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p73093e10vq.htm"/>
        <w:bookmarkStart w:id="1" w:name="ksp73093e10vq"/>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UNITED STATES</w:t>
        <w:b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10-Q</w:t>
      </w:r>
      <w:r>
        <w:rPr>
          <w:rFonts w:ascii="Times New Roman;Times;serif" w:hAnsi="Times New Roman;Times;serif"/>
          <w:sz w:val="30"/>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(Mark one) </w:t>
      </w:r>
    </w:p>
    <w:tbl>
      <w:tblPr>
        <w:tblW w:w="5000" w:type="pct"/>
        <w:jc w:val="center"/>
        <w:tblInd w:w="0" w:type="dxa"/>
        <w:tblCellMar>
          <w:top w:w="0" w:type="dxa"/>
          <w:left w:w="0" w:type="dxa"/>
          <w:bottom w:w="0" w:type="dxa"/>
          <w:right w:w="0" w:type="dxa"/>
        </w:tblCellMar>
      </w:tblPr>
      <w:tblGrid>
        <w:gridCol w:w="713"/>
        <w:gridCol w:w="509"/>
        <w:gridCol w:w="8983"/>
      </w:tblGrid>
      <w:tr>
        <w:trPr/>
        <w:tc>
          <w:tcPr>
            <w:tcW w:w="713" w:type="dxa"/>
            <w:tcBorders/>
            <w:shd w:fill="auto" w:val="clear"/>
            <w:vAlign w:val="center"/>
          </w:tcPr>
          <w:p>
            <w:pPr>
              <w:pStyle w:val="TableContents"/>
              <w:spacing w:before="0" w:after="283"/>
              <w:rPr/>
            </w:pPr>
            <w:r>
              <w:rPr/>
              <w:t> </w:t>
            </w:r>
          </w:p>
        </w:tc>
        <w:tc>
          <w:tcPr>
            <w:tcW w:w="509" w:type="dxa"/>
            <w:tcBorders/>
            <w:shd w:fill="auto" w:val="clear"/>
            <w:vAlign w:val="center"/>
          </w:tcPr>
          <w:p>
            <w:pPr>
              <w:pStyle w:val="TableContents"/>
              <w:spacing w:before="0" w:after="283"/>
              <w:rPr/>
            </w:pPr>
            <w:r>
              <w:rPr/>
              <w:t> </w:t>
            </w:r>
          </w:p>
        </w:tc>
        <w:tc>
          <w:tcPr>
            <w:tcW w:w="8983" w:type="dxa"/>
            <w:tcBorders/>
            <w:shd w:fill="auto" w:val="clear"/>
            <w:vAlign w:val="center"/>
          </w:tcPr>
          <w:p>
            <w:pPr>
              <w:pStyle w:val="TableContents"/>
              <w:spacing w:before="0" w:after="283"/>
              <w:rPr/>
            </w:pPr>
            <w:r>
              <w:rPr/>
              <w:t> </w:t>
            </w:r>
          </w:p>
        </w:tc>
      </w:tr>
      <w:tr>
        <w:trPr/>
        <w:tc>
          <w:tcPr>
            <w:tcW w:w="713" w:type="dxa"/>
            <w:tcBorders/>
            <w:shd w:fill="auto" w:val="clear"/>
          </w:tcPr>
          <w:p>
            <w:pPr>
              <w:pStyle w:val="TableContents"/>
              <w:spacing w:before="0" w:after="283"/>
              <w:jc w:val="center"/>
              <w:rPr/>
            </w:pPr>
            <w:r>
              <w:rPr/>
              <w:t>☑</w:t>
            </w:r>
          </w:p>
        </w:tc>
        <w:tc>
          <w:tcPr>
            <w:tcW w:w="509"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b/>
              </w:rPr>
            </w:pPr>
            <w:r>
              <w:rPr>
                <w:b/>
              </w:rPr>
              <w:t>QUARTERLY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quarterly period ended </w:t>
      </w:r>
      <w:r>
        <w:rPr>
          <w:rFonts w:ascii="Times New Roman;Times;serif" w:hAnsi="Times New Roman;Times;serif"/>
          <w:b/>
          <w:sz w:val="17"/>
          <w:u w:val="single"/>
        </w:rPr>
        <w:t>September 30, 2006</w:t>
      </w:r>
      <w:r>
        <w:rPr>
          <w:rFonts w:ascii="Times New Roman;Times;serif" w:hAnsi="Times New Roman;Times;serif"/>
          <w:b/>
          <w:sz w:val="17"/>
        </w:rPr>
        <w:t xml:space="preserve">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or</w:t>
      </w:r>
    </w:p>
    <w:tbl>
      <w:tblPr>
        <w:tblW w:w="5000" w:type="pct"/>
        <w:jc w:val="center"/>
        <w:tblInd w:w="0" w:type="dxa"/>
        <w:tblCellMar>
          <w:top w:w="0" w:type="dxa"/>
          <w:left w:w="0" w:type="dxa"/>
          <w:bottom w:w="0" w:type="dxa"/>
          <w:right w:w="0" w:type="dxa"/>
        </w:tblCellMar>
      </w:tblPr>
      <w:tblGrid>
        <w:gridCol w:w="714"/>
        <w:gridCol w:w="507"/>
        <w:gridCol w:w="8984"/>
      </w:tblGrid>
      <w:tr>
        <w:trPr/>
        <w:tc>
          <w:tcPr>
            <w:tcW w:w="714" w:type="dxa"/>
            <w:tcBorders/>
            <w:shd w:fill="auto" w:val="clear"/>
            <w:vAlign w:val="center"/>
          </w:tcPr>
          <w:p>
            <w:pPr>
              <w:pStyle w:val="TableContents"/>
              <w:spacing w:before="0" w:after="283"/>
              <w:rPr/>
            </w:pPr>
            <w:r>
              <w:rPr/>
              <w:t> </w:t>
            </w:r>
          </w:p>
        </w:tc>
        <w:tc>
          <w:tcPr>
            <w:tcW w:w="507" w:type="dxa"/>
            <w:tcBorders/>
            <w:shd w:fill="auto" w:val="clear"/>
            <w:vAlign w:val="center"/>
          </w:tcPr>
          <w:p>
            <w:pPr>
              <w:pStyle w:val="TableContents"/>
              <w:spacing w:before="0" w:after="283"/>
              <w:rPr/>
            </w:pPr>
            <w:r>
              <w:rPr/>
              <w:t> </w:t>
            </w:r>
          </w:p>
        </w:tc>
        <w:tc>
          <w:tcPr>
            <w:tcW w:w="8984" w:type="dxa"/>
            <w:tcBorders/>
            <w:shd w:fill="auto" w:val="clear"/>
            <w:vAlign w:val="center"/>
          </w:tcPr>
          <w:p>
            <w:pPr>
              <w:pStyle w:val="TableContents"/>
              <w:spacing w:before="0" w:after="283"/>
              <w:rPr/>
            </w:pPr>
            <w:r>
              <w:rPr/>
              <w:t> </w:t>
            </w:r>
          </w:p>
        </w:tc>
      </w:tr>
      <w:tr>
        <w:trPr/>
        <w:tc>
          <w:tcPr>
            <w:tcW w:w="714" w:type="dxa"/>
            <w:tcBorders/>
            <w:shd w:fill="auto" w:val="clear"/>
          </w:tcPr>
          <w:p>
            <w:pPr>
              <w:pStyle w:val="TableContents"/>
              <w:spacing w:before="0" w:after="283"/>
              <w:jc w:val="center"/>
              <w:rPr>
                <w:rFonts w:ascii="Wingdings" w:hAnsi="Wingdings"/>
              </w:rPr>
            </w:pPr>
            <w:r>
              <w:rPr>
                <w:rFonts w:ascii="Wingdings" w:hAnsi="Wingdings"/>
              </w:rPr>
              <w:t>o</w:t>
            </w:r>
          </w:p>
        </w:tc>
        <w:tc>
          <w:tcPr>
            <w:tcW w:w="507" w:type="dxa"/>
            <w:tcBorders/>
            <w:shd w:fill="auto" w:val="clear"/>
          </w:tcPr>
          <w:p>
            <w:pPr>
              <w:pStyle w:val="TableContents"/>
              <w:spacing w:before="0" w:after="283"/>
              <w:rPr/>
            </w:pPr>
            <w:r>
              <w:rPr/>
              <w:t> </w:t>
            </w:r>
          </w:p>
        </w:tc>
        <w:tc>
          <w:tcPr>
            <w:tcW w:w="8984" w:type="dxa"/>
            <w:tcBorders/>
            <w:shd w:fill="auto" w:val="clear"/>
          </w:tcPr>
          <w:p>
            <w:pPr>
              <w:pStyle w:val="TableContents"/>
              <w:spacing w:before="0" w:after="283"/>
              <w:rPr>
                <w:b/>
              </w:rPr>
            </w:pPr>
            <w:r>
              <w:rPr>
                <w:b/>
              </w:rPr>
              <w:t>TRANSITION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transition period from </w:t>
      </w:r>
      <w:r>
        <w:rPr>
          <w:rFonts w:ascii="Times New Roman;Times;serif" w:hAnsi="Times New Roman;Times;serif"/>
          <w:b/>
          <w:sz w:val="17"/>
          <w:u w:val="single"/>
        </w:rPr>
        <w:t>                    </w:t>
      </w:r>
      <w:r>
        <w:rPr>
          <w:rFonts w:ascii="Times New Roman;Times;serif" w:hAnsi="Times New Roman;Times;serif"/>
          <w:b/>
          <w:sz w:val="17"/>
        </w:rPr>
        <w:t xml:space="preserve"> to </w:t>
      </w:r>
      <w:r>
        <w:rPr>
          <w:rFonts w:ascii="Times New Roman;Times;serif" w:hAnsi="Times New Roman;Times;serif"/>
          <w:b/>
          <w:sz w:val="17"/>
          <w:u w:val="single"/>
        </w:rPr>
        <w:t>                    </w:t>
      </w:r>
      <w:r>
        <w:rPr>
          <w:rFonts w:ascii="Times New Roman;Times;serif" w:hAnsi="Times New Roman;Times;serif"/>
          <w:b/>
          <w:sz w:val="17"/>
        </w:rPr>
        <w:t xml:space="preserve"> </w:t>
      </w:r>
    </w:p>
    <w:p>
      <w:pPr>
        <w:pStyle w:val="TextBody"/>
        <w:spacing w:before="240" w:after="283"/>
        <w:jc w:val="center"/>
        <w:rPr>
          <w:rFonts w:ascii="Times New Roman;Times;serif" w:hAnsi="Times New Roman;Times;serif"/>
          <w:sz w:val="17"/>
        </w:rPr>
      </w:pPr>
      <w:r>
        <w:rPr>
          <w:rFonts w:ascii="Times New Roman;Times;serif" w:hAnsi="Times New Roman;Times;serif"/>
          <w:b/>
          <w:sz w:val="17"/>
        </w:rPr>
        <w:t>Commission File Number:</w:t>
      </w:r>
      <w:r>
        <w:rPr>
          <w:rFonts w:ascii="Times New Roman;Times;serif" w:hAnsi="Times New Roman;Times;serif"/>
          <w:sz w:val="17"/>
        </w:rPr>
        <w:t xml:space="preserve"> </w:t>
      </w:r>
      <w:r>
        <w:rPr>
          <w:rFonts w:ascii="Times New Roman;Times;serif" w:hAnsi="Times New Roman;Times;serif"/>
          <w:b/>
          <w:sz w:val="17"/>
          <w:u w:val="single"/>
        </w:rPr>
        <w:t>001-11015</w:t>
      </w:r>
    </w:p>
    <w:p>
      <w:pPr>
        <w:pStyle w:val="TextBody"/>
        <w:spacing w:before="240" w:after="283"/>
        <w:jc w:val="center"/>
        <w:rPr>
          <w:rFonts w:ascii="Times New Roman;Times;serif" w:hAnsi="Times New Roman;Times;serif"/>
          <w:sz w:val="40"/>
        </w:rPr>
      </w:pPr>
      <w:r>
        <w:rPr>
          <w:rFonts w:ascii="Times New Roman;Times;serif" w:hAnsi="Times New Roman;Times;serif"/>
          <w:b/>
          <w:sz w:val="40"/>
        </w:rPr>
        <w:t>VIAD CORP</w:t>
      </w:r>
      <w:r>
        <w:rPr>
          <w:rFonts w:ascii="Times New Roman;Times;serif" w:hAnsi="Times New Roman;Times;serif"/>
          <w:sz w:val="40"/>
        </w:rPr>
        <w:t xml:space="preserve"> </w:t>
      </w:r>
    </w:p>
    <w:p>
      <w:pPr>
        <w:pStyle w:val="TextBody"/>
        <w:spacing w:before="15" w:after="283"/>
        <w:jc w:val="center"/>
        <w:rPr>
          <w:rFonts w:ascii="Times New Roman;Times;serif" w:hAnsi="Times New Roman;Times;serif"/>
          <w:sz w:val="17"/>
          <w:bdr w:val="single" w:sz="2" w:space="1" w:color="000000"/>
        </w:rPr>
      </w:pPr>
      <w:r>
        <w:rPr>
          <w:rFonts w:ascii="Times New Roman;Times;serif" w:hAnsi="Times New Roman;Times;serif"/>
          <w:sz w:val="17"/>
          <w:bdr w:val="single" w:sz="2" w:space="1" w:color="000000"/>
        </w:rPr>
        <w:t xml:space="preserve">(Exact name of registrant as specified in its charter) </w:t>
      </w:r>
    </w:p>
    <w:tbl>
      <w:tblPr>
        <w:tblW w:w="5000" w:type="pct"/>
        <w:jc w:val="center"/>
        <w:tblInd w:w="0" w:type="dxa"/>
        <w:tblCellMar>
          <w:top w:w="0" w:type="dxa"/>
          <w:left w:w="0" w:type="dxa"/>
          <w:bottom w:w="0" w:type="dxa"/>
          <w:right w:w="0" w:type="dxa"/>
        </w:tblCellMar>
      </w:tblPr>
      <w:tblGrid>
        <w:gridCol w:w="4844"/>
        <w:gridCol w:w="516"/>
        <w:gridCol w:w="4845"/>
      </w:tblGrid>
      <w:tr>
        <w:trPr/>
        <w:tc>
          <w:tcPr>
            <w:tcW w:w="4844"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4845" w:type="dxa"/>
            <w:tcBorders/>
            <w:shd w:fill="auto" w:val="clear"/>
            <w:vAlign w:val="bottom"/>
          </w:tcPr>
          <w:p>
            <w:pPr>
              <w:pStyle w:val="TableContents"/>
              <w:spacing w:before="0" w:after="283"/>
              <w:rPr/>
            </w:pPr>
            <w:r>
              <w:rPr/>
              <w:t> </w:t>
            </w:r>
          </w:p>
        </w:tc>
      </w:tr>
      <w:tr>
        <w:trPr/>
        <w:tc>
          <w:tcPr>
            <w:tcW w:w="4844" w:type="dxa"/>
            <w:tcBorders/>
            <w:shd w:fill="auto" w:val="clear"/>
          </w:tcPr>
          <w:p>
            <w:pPr>
              <w:pStyle w:val="TableContents"/>
              <w:spacing w:before="0" w:after="283"/>
              <w:jc w:val="center"/>
              <w:rPr/>
            </w:pPr>
            <w:r>
              <w:rPr>
                <w:b/>
              </w:rPr>
              <w:t>Delaware</w:t>
            </w:r>
            <w:r>
              <w:rPr/>
              <w:t xml:space="preserve">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b/>
              </w:rPr>
            </w:pPr>
            <w:r>
              <w:rPr>
                <w:b/>
              </w:rPr>
              <w:t>36-1169950</w:t>
            </w:r>
          </w:p>
        </w:tc>
      </w:tr>
      <w:tr>
        <w:trPr/>
        <w:tc>
          <w:tcPr>
            <w:tcW w:w="4844"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516" w:type="dxa"/>
            <w:tcBorders/>
            <w:shd w:fill="auto" w:val="clear"/>
            <w:vAlign w:val="center"/>
          </w:tcPr>
          <w:p>
            <w:pPr>
              <w:pStyle w:val="TableContents"/>
              <w:spacing w:before="0" w:after="283"/>
              <w:rPr/>
            </w:pPr>
            <w:r>
              <w:rPr/>
              <w:t> </w:t>
            </w:r>
          </w:p>
        </w:tc>
        <w:tc>
          <w:tcPr>
            <w:tcW w:w="4845"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844" w:type="dxa"/>
            <w:tcBorders/>
            <w:shd w:fill="auto" w:val="clear"/>
          </w:tcPr>
          <w:p>
            <w:pPr>
              <w:pStyle w:val="TableContents"/>
              <w:spacing w:before="0" w:after="283"/>
              <w:jc w:val="center"/>
              <w:rPr/>
            </w:pPr>
            <w:r>
              <w:rPr/>
              <w:t xml:space="preserve">(State or other jurisdiction of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pPr>
            <w:r>
              <w:rPr/>
              <w:t>(I.R.S. Employer Identification No.)</w:t>
            </w:r>
          </w:p>
        </w:tc>
      </w:tr>
      <w:tr>
        <w:trPr/>
        <w:tc>
          <w:tcPr>
            <w:tcW w:w="4844" w:type="dxa"/>
            <w:tcBorders/>
            <w:shd w:fill="auto" w:val="clear"/>
          </w:tcPr>
          <w:p>
            <w:pPr>
              <w:pStyle w:val="TableContents"/>
              <w:spacing w:before="0" w:after="283"/>
              <w:jc w:val="center"/>
              <w:rPr/>
            </w:pPr>
            <w:r>
              <w:rPr/>
              <w:t>incorporation or organization)</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pPr>
            <w:r>
              <w:rPr/>
              <w:t> </w:t>
            </w:r>
          </w:p>
        </w:tc>
      </w:tr>
      <w:tr>
        <w:trPr/>
        <w:tc>
          <w:tcPr>
            <w:tcW w:w="4844" w:type="dxa"/>
            <w:tcBorders/>
            <w:shd w:fill="auto" w:val="clear"/>
          </w:tcPr>
          <w:p>
            <w:pPr>
              <w:pStyle w:val="TableContents"/>
              <w:spacing w:before="0" w:after="283"/>
              <w:jc w:val="center"/>
              <w:rPr/>
            </w:pPr>
            <w:r>
              <w:rPr/>
              <w:t>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pPr>
            <w:r>
              <w:rPr/>
              <w:t> </w:t>
            </w:r>
          </w:p>
        </w:tc>
      </w:tr>
      <w:tr>
        <w:trPr/>
        <w:tc>
          <w:tcPr>
            <w:tcW w:w="4844" w:type="dxa"/>
            <w:tcBorders/>
            <w:shd w:fill="auto" w:val="clear"/>
          </w:tcPr>
          <w:p>
            <w:pPr>
              <w:pStyle w:val="TableContents"/>
              <w:spacing w:before="0" w:after="283"/>
              <w:jc w:val="center"/>
              <w:rPr/>
            </w:pPr>
            <w:r>
              <w:rPr>
                <w:b/>
              </w:rPr>
              <w:t>1850 North Central Avenue, Suite 800</w:t>
              <w:br/>
              <w:t>Phoenix, Arizona</w:t>
            </w:r>
            <w:r>
              <w:rPr/>
              <w:t xml:space="preserve"> </w:t>
            </w:r>
          </w:p>
        </w:tc>
        <w:tc>
          <w:tcPr>
            <w:tcW w:w="516" w:type="dxa"/>
            <w:tcBorders/>
            <w:shd w:fill="auto" w:val="clear"/>
            <w:vAlign w:val="bottom"/>
          </w:tcPr>
          <w:p>
            <w:pPr>
              <w:pStyle w:val="TableContents"/>
              <w:spacing w:before="0" w:after="283"/>
              <w:rPr/>
            </w:pPr>
            <w:r>
              <w:rPr/>
              <w:t> </w:t>
            </w:r>
          </w:p>
        </w:tc>
        <w:tc>
          <w:tcPr>
            <w:tcW w:w="4845" w:type="dxa"/>
            <w:tcBorders/>
            <w:shd w:fill="auto" w:val="clear"/>
            <w:vAlign w:val="bottom"/>
          </w:tcPr>
          <w:p>
            <w:pPr>
              <w:pStyle w:val="TableContents"/>
              <w:spacing w:before="0" w:after="283"/>
              <w:jc w:val="center"/>
              <w:rPr>
                <w:b/>
              </w:rPr>
            </w:pPr>
            <w:r>
              <w:rPr>
                <w:b/>
              </w:rPr>
              <w:t>85004-4545</w:t>
            </w:r>
          </w:p>
        </w:tc>
      </w:tr>
      <w:tr>
        <w:trPr/>
        <w:tc>
          <w:tcPr>
            <w:tcW w:w="4844"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516" w:type="dxa"/>
            <w:tcBorders/>
            <w:shd w:fill="auto" w:val="clear"/>
            <w:vAlign w:val="center"/>
          </w:tcPr>
          <w:p>
            <w:pPr>
              <w:pStyle w:val="TableContents"/>
              <w:spacing w:before="0" w:after="283"/>
              <w:rPr/>
            </w:pPr>
            <w:r>
              <w:rPr/>
              <w:t> </w:t>
            </w:r>
          </w:p>
        </w:tc>
        <w:tc>
          <w:tcPr>
            <w:tcW w:w="4845"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844" w:type="dxa"/>
            <w:tcBorders/>
            <w:shd w:fill="auto" w:val="clear"/>
          </w:tcPr>
          <w:p>
            <w:pPr>
              <w:pStyle w:val="TableContents"/>
              <w:spacing w:before="0" w:after="283"/>
              <w:jc w:val="center"/>
              <w:rPr/>
            </w:pPr>
            <w:r>
              <w:rPr/>
              <w:t xml:space="preserve">(Address of principal executive offices)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pPr>
            <w:r>
              <w:rPr/>
              <w:t>(Zip Code)</w:t>
            </w:r>
          </w:p>
        </w:tc>
      </w:tr>
    </w:tbl>
    <w:p>
      <w:pPr>
        <w:pStyle w:val="TextBody"/>
        <w:spacing w:before="240" w:after="283"/>
        <w:jc w:val="center"/>
        <w:rPr>
          <w:rFonts w:ascii="Times New Roman;Times;serif" w:hAnsi="Times New Roman;Times;serif"/>
          <w:b/>
          <w:sz w:val="17"/>
        </w:rPr>
      </w:pPr>
      <w:r>
        <w:rPr>
          <w:rFonts w:ascii="Times New Roman;Times;serif" w:hAnsi="Times New Roman;Times;serif"/>
          <w:b/>
          <w:sz w:val="17"/>
        </w:rPr>
        <w:t>(602) 207-4000</w:t>
      </w:r>
    </w:p>
    <w:p>
      <w:pPr>
        <w:pStyle w:val="TextBody"/>
        <w:spacing w:before="15" w:after="283"/>
        <w:jc w:val="center"/>
        <w:rPr>
          <w:rFonts w:ascii="Times New Roman;Times;serif" w:hAnsi="Times New Roman;Times;serif"/>
          <w:sz w:val="17"/>
          <w:bdr w:val="single" w:sz="2" w:space="1" w:color="000000"/>
        </w:rPr>
      </w:pPr>
      <w:r>
        <w:rPr>
          <w:rFonts w:ascii="Times New Roman;Times;serif" w:hAnsi="Times New Roman;Times;serif"/>
          <w:sz w:val="17"/>
          <w:bdr w:val="single" w:sz="2" w:space="1" w:color="000000"/>
        </w:rPr>
        <w:t>(Registrants telephone number, including area code)</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No </w:t>
      </w:r>
      <w:r>
        <w:rPr>
          <w:rFonts w:ascii="Wingdings" w:hAnsi="Wingdings"/>
          <w:sz w:val="17"/>
        </w:rPr>
        <w:t>o</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is a large accelerated filer, an accelerated filer, or a non-accelerated filer. See definition of accelerated filer and large accelerated filer in Rule 12b-2 of the Exchange Act. (Check one): </w:t>
      </w:r>
    </w:p>
    <w:p>
      <w:pPr>
        <w:pStyle w:val="TextBody"/>
        <w:spacing w:before="0" w:after="0"/>
        <w:jc w:val="center"/>
        <w:rPr>
          <w:rFonts w:ascii="Times New Roman;Times;serif" w:hAnsi="Times New Roman;Times;serif"/>
          <w:sz w:val="17"/>
        </w:rPr>
      </w:pPr>
      <w:r>
        <w:rPr>
          <w:rFonts w:ascii="Times New Roman;Times;serif" w:hAnsi="Times New Roman;Times;serif"/>
          <w:sz w:val="17"/>
        </w:rPr>
        <w:t xml:space="preserve">Large accelerated filer </w:t>
      </w:r>
      <w:r>
        <w:rPr>
          <w:rFonts w:ascii="Wingdings" w:hAnsi="Wingdings"/>
          <w:sz w:val="17"/>
        </w:rPr>
        <w:t>o</w:t>
      </w:r>
      <w:r>
        <w:rPr>
          <w:rFonts w:ascii="Times New Roman;Times;serif" w:hAnsi="Times New Roman;Times;serif"/>
          <w:sz w:val="17"/>
        </w:rPr>
        <w:t xml:space="preserve">     Accelerated filer ☑     Non-accelerated filer </w:t>
      </w:r>
      <w:r>
        <w:rPr>
          <w:rFonts w:ascii="Wingdings" w:hAnsi="Wingdings"/>
          <w:sz w:val="17"/>
        </w:rPr>
        <w:t>o</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is a shell company (as defined in Rule 12b-2 of the Exchange Act). Yes </w:t>
      </w:r>
      <w:r>
        <w:rPr>
          <w:rFonts w:ascii="Wingdings" w:hAnsi="Wingdings"/>
          <w:sz w:val="17"/>
        </w:rPr>
        <w:t>o</w:t>
      </w:r>
      <w:r>
        <w:rPr>
          <w:rFonts w:ascii="Times New Roman;Times;serif" w:hAnsi="Times New Roman;Times;serif"/>
          <w:sz w:val="17"/>
        </w:rPr>
        <w:t xml:space="preserve">     No ☑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of September 30, 2006, 21,628,232 shares of common stock ($1.50 par value) were outstanding.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p>
    <w:p>
      <w:pPr>
        <w:pStyle w:val="TextBody"/>
        <w:jc w:val="center"/>
        <w:rPr>
          <w:rFonts w:ascii="Times New Roman;Times;serif" w:hAnsi="Times New Roman;Times;serif"/>
          <w:b/>
          <w:u w:val="single"/>
        </w:rPr>
      </w:pPr>
      <w:bookmarkStart w:id="2" w:name="toc"/>
      <w:bookmarkEnd w:id="2"/>
      <w:r>
        <w:rPr>
          <w:rFonts w:ascii="Times New Roman;Times;serif" w:hAnsi="Times New Roman;Times;serif"/>
          <w:b/>
          <w:u w:val="single"/>
        </w:rPr>
        <w:t>TABLE OF CONTENTS</w:t>
      </w:r>
    </w:p>
    <w:tbl>
      <w:tblPr>
        <w:tblW w:w="4500" w:type="pct"/>
        <w:jc w:val="center"/>
        <w:tblInd w:w="0" w:type="dxa"/>
        <w:tblCellMar>
          <w:top w:w="0" w:type="dxa"/>
          <w:left w:w="0" w:type="dxa"/>
          <w:bottom w:w="0" w:type="dxa"/>
          <w:right w:w="0" w:type="dxa"/>
        </w:tblCellMar>
      </w:tblPr>
      <w:tblGrid>
        <w:gridCol w:w="275"/>
        <w:gridCol w:w="275"/>
        <w:gridCol w:w="275"/>
        <w:gridCol w:w="275"/>
        <w:gridCol w:w="275"/>
        <w:gridCol w:w="276"/>
        <w:gridCol w:w="275"/>
        <w:gridCol w:w="275"/>
        <w:gridCol w:w="6983"/>
      </w:tblGrid>
      <w:tr>
        <w:trPr/>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983" w:type="dxa"/>
            <w:tcBorders/>
            <w:shd w:fill="auto" w:val="clear"/>
            <w:vAlign w:val="center"/>
          </w:tcPr>
          <w:p>
            <w:pPr>
              <w:pStyle w:val="TableContents"/>
              <w:spacing w:before="0" w:after="283"/>
              <w:rPr>
                <w:sz w:val="4"/>
                <w:szCs w:val="4"/>
              </w:rPr>
            </w:pPr>
            <w:r>
              <w:rPr>
                <w:sz w:val="4"/>
                <w:szCs w:val="4"/>
              </w:rPr>
            </w:r>
          </w:p>
        </w:tc>
      </w:tr>
      <w:tr>
        <w:trPr/>
        <w:tc>
          <w:tcPr>
            <w:tcW w:w="9184" w:type="dxa"/>
            <w:gridSpan w:val="9"/>
            <w:tcBorders/>
            <w:shd w:fill="auto" w:val="clear"/>
            <w:vAlign w:val="center"/>
          </w:tcPr>
          <w:p>
            <w:pPr>
              <w:pStyle w:val="TableContents"/>
              <w:spacing w:before="0" w:after="283"/>
              <w:rPr/>
            </w:pPr>
            <w:hyperlink w:anchor="000">
              <w:r>
                <w:rPr>
                  <w:rStyle w:val="InternetLink"/>
                </w:rPr>
                <w:t>PART IFINANCIAL INFORMATION</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1">
              <w:r>
                <w:rPr>
                  <w:rStyle w:val="InternetLink"/>
                </w:rPr>
                <w:t>Item 1. Financial Statements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2">
              <w:r>
                <w:rPr>
                  <w:rStyle w:val="InternetLink"/>
                </w:rPr>
                <w:t>Item 2. Managements Discussion and Analysis of Financial Condition and Results of Operations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3">
              <w:r>
                <w:rPr>
                  <w:rStyle w:val="InternetLink"/>
                </w:rPr>
                <w:t>Item 3. Quantitative and Qualitative Disclosures About Market Risk</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4">
              <w:r>
                <w:rPr>
                  <w:rStyle w:val="InternetLink"/>
                </w:rPr>
                <w:t>Item 4. Controls and Procedures</w:t>
              </w:r>
            </w:hyperlink>
          </w:p>
        </w:tc>
      </w:tr>
      <w:tr>
        <w:trPr/>
        <w:tc>
          <w:tcPr>
            <w:tcW w:w="9184" w:type="dxa"/>
            <w:gridSpan w:val="9"/>
            <w:tcBorders/>
            <w:shd w:fill="auto" w:val="clear"/>
            <w:vAlign w:val="center"/>
          </w:tcPr>
          <w:p>
            <w:pPr>
              <w:pStyle w:val="TableContents"/>
              <w:spacing w:before="0" w:after="283"/>
              <w:rPr/>
            </w:pPr>
            <w:hyperlink w:anchor="005">
              <w:r>
                <w:rPr>
                  <w:rStyle w:val="InternetLink"/>
                </w:rPr>
                <w:t>PART II  OTHER INFORMATION</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6">
              <w:r>
                <w:rPr>
                  <w:rStyle w:val="InternetLink"/>
                </w:rPr>
                <w:t>Item 1A. Risk Factors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7">
              <w:r>
                <w:rPr>
                  <w:rStyle w:val="InternetLink"/>
                </w:rPr>
                <w:t>Item 2. Unregistered Sales of Equity Securities and Use of Proceeds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8">
              <w:r>
                <w:rPr>
                  <w:rStyle w:val="InternetLink"/>
                </w:rPr>
                <w:t>Item 6. Exhibits</w:t>
              </w:r>
            </w:hyperlink>
          </w:p>
        </w:tc>
      </w:tr>
      <w:tr>
        <w:trPr/>
        <w:tc>
          <w:tcPr>
            <w:tcW w:w="9184" w:type="dxa"/>
            <w:gridSpan w:val="9"/>
            <w:tcBorders/>
            <w:shd w:fill="auto" w:val="clear"/>
            <w:vAlign w:val="center"/>
          </w:tcPr>
          <w:p>
            <w:pPr>
              <w:pStyle w:val="TableContents"/>
              <w:spacing w:before="0" w:after="283"/>
              <w:rPr/>
            </w:pPr>
            <w:hyperlink w:anchor="009">
              <w:r>
                <w:rPr>
                  <w:rStyle w:val="InternetLink"/>
                </w:rPr>
                <w:t>SIGNATURES</w:t>
              </w:r>
            </w:hyperlink>
          </w:p>
        </w:tc>
      </w:tr>
      <w:tr>
        <w:trPr/>
        <w:tc>
          <w:tcPr>
            <w:tcW w:w="9184" w:type="dxa"/>
            <w:gridSpan w:val="9"/>
            <w:tcBorders/>
            <w:shd w:fill="auto" w:val="clear"/>
            <w:vAlign w:val="center"/>
          </w:tcPr>
          <w:p>
            <w:pPr>
              <w:pStyle w:val="TableContents"/>
              <w:spacing w:before="0" w:after="283"/>
              <w:rPr/>
            </w:pPr>
            <w:hyperlink w:anchor="p73093exv31w1.htm">
              <w:r>
                <w:rPr>
                  <w:rStyle w:val="InternetLink"/>
                </w:rPr>
                <w:t>EX-31.1</w:t>
              </w:r>
            </w:hyperlink>
          </w:p>
        </w:tc>
      </w:tr>
      <w:tr>
        <w:trPr/>
        <w:tc>
          <w:tcPr>
            <w:tcW w:w="9184" w:type="dxa"/>
            <w:gridSpan w:val="9"/>
            <w:tcBorders/>
            <w:shd w:fill="auto" w:val="clear"/>
            <w:vAlign w:val="center"/>
          </w:tcPr>
          <w:p>
            <w:pPr>
              <w:pStyle w:val="TableContents"/>
              <w:spacing w:before="0" w:after="283"/>
              <w:rPr/>
            </w:pPr>
            <w:hyperlink w:anchor="p73093exv31w2.htm">
              <w:r>
                <w:rPr>
                  <w:rStyle w:val="InternetLink"/>
                </w:rPr>
                <w:t>EX-31.2</w:t>
              </w:r>
            </w:hyperlink>
          </w:p>
        </w:tc>
      </w:tr>
      <w:tr>
        <w:trPr/>
        <w:tc>
          <w:tcPr>
            <w:tcW w:w="9184" w:type="dxa"/>
            <w:gridSpan w:val="9"/>
            <w:tcBorders/>
            <w:shd w:fill="auto" w:val="clear"/>
            <w:vAlign w:val="center"/>
          </w:tcPr>
          <w:p>
            <w:pPr>
              <w:pStyle w:val="TableContents"/>
              <w:spacing w:before="0" w:after="283"/>
              <w:rPr/>
            </w:pPr>
            <w:hyperlink w:anchor="p73093exv32w1.htm">
              <w:r>
                <w:rPr>
                  <w:rStyle w:val="InternetLink"/>
                </w:rPr>
                <w:t>EX-32.1</w:t>
              </w:r>
            </w:hyperlink>
          </w:p>
        </w:tc>
      </w:tr>
      <w:tr>
        <w:trPr/>
        <w:tc>
          <w:tcPr>
            <w:tcW w:w="9184" w:type="dxa"/>
            <w:gridSpan w:val="9"/>
            <w:tcBorders/>
            <w:shd w:fill="auto" w:val="clear"/>
            <w:vAlign w:val="center"/>
          </w:tcPr>
          <w:p>
            <w:pPr>
              <w:pStyle w:val="TableContents"/>
              <w:spacing w:before="0" w:after="283"/>
              <w:rPr/>
            </w:pPr>
            <w:hyperlink w:anchor="p73093exv32w2.htm">
              <w:r>
                <w:rPr>
                  <w:rStyle w:val="InternetLink"/>
                </w:rPr>
                <w:t>EX-32.2</w:t>
              </w:r>
            </w:hyperlink>
          </w:p>
        </w:tc>
      </w:tr>
    </w:tbl>
    <w:p>
      <w:pPr>
        <w:pStyle w:val="HorizontalLine"/>
        <w:pBdr>
          <w:bottom w:val="single" w:sz="20" w:space="0" w:color="808080"/>
        </w:pBdr>
        <w:rPr/>
      </w:pPr>
      <w:r>
        <w:rPr/>
      </w:r>
      <w:r>
        <w:br w:type="page"/>
      </w:r>
    </w:p>
    <w:p>
      <w:pPr>
        <w:pStyle w:val="Heading5"/>
        <w:jc w:val="left"/>
        <w:rPr/>
      </w:pPr>
      <w:hyperlink w:anchor="toc">
        <w:r>
          <w:rPr>
            <w:rStyle w:val="InternetLink"/>
            <w:rFonts w:ascii="Times New Roman;Times;serif" w:hAnsi="Times New Roman;Times;serif"/>
          </w:rPr>
          <w:t>Table of Contents</w:t>
        </w:r>
      </w:hyperlink>
    </w:p>
    <w:p>
      <w:pPr>
        <w:pStyle w:val="TextBody"/>
        <w:spacing w:before="360" w:after="283"/>
        <w:jc w:val="center"/>
        <w:rPr>
          <w:rFonts w:ascii="Times New Roman;Times;serif" w:hAnsi="Times New Roman;Times;serif"/>
          <w:sz w:val="17"/>
        </w:rPr>
      </w:pPr>
      <w:bookmarkStart w:id="3" w:name="000"/>
      <w:bookmarkEnd w:id="3"/>
      <w:r>
        <w:rPr>
          <w:rFonts w:ascii="Times New Roman;Times;serif" w:hAnsi="Times New Roman;Times;serif"/>
          <w:b/>
          <w:sz w:val="17"/>
        </w:rPr>
        <w:t>PART IFINANCIAL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4" w:name="001"/>
      <w:bookmarkEnd w:id="4"/>
      <w:r>
        <w:rPr>
          <w:rFonts w:ascii="Times New Roman;Times;serif" w:hAnsi="Times New Roman;Times;serif"/>
          <w:b/>
          <w:sz w:val="17"/>
        </w:rPr>
        <w:t>Item 1. Financial Statements.</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BALANCE SHEETS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363"/>
        <w:gridCol w:w="291"/>
        <w:gridCol w:w="286"/>
        <w:gridCol w:w="1738"/>
        <w:gridCol w:w="129"/>
        <w:gridCol w:w="291"/>
        <w:gridCol w:w="279"/>
        <w:gridCol w:w="1693"/>
        <w:gridCol w:w="135"/>
      </w:tblGrid>
      <w:tr>
        <w:trPr/>
        <w:tc>
          <w:tcPr>
            <w:tcW w:w="536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02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September 30, 2006</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97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December 31, 2005</w:t>
            </w:r>
          </w:p>
        </w:tc>
        <w:tc>
          <w:tcPr>
            <w:tcW w:w="135" w:type="dxa"/>
            <w:tcBorders/>
            <w:shd w:fill="auto"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4416" w:type="dxa"/>
            <w:gridSpan w:val="6"/>
            <w:tcBorders/>
            <w:shd w:fill="auto" w:val="clear"/>
            <w:vAlign w:val="bottom"/>
          </w:tcPr>
          <w:p>
            <w:pPr>
              <w:pStyle w:val="TableContents"/>
              <w:spacing w:before="0" w:after="283"/>
              <w:jc w:val="center"/>
              <w:rPr>
                <w:b/>
              </w:rPr>
            </w:pPr>
            <w:r>
              <w:rPr>
                <w:b/>
              </w:rPr>
              <w:t>(in thousands, except share data)</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225" w:right="0" w:hanging="225"/>
              <w:jc w:val="center"/>
              <w:rPr>
                <w:b/>
              </w:rPr>
            </w:pPr>
            <w:r>
              <w:rPr>
                <w:b/>
              </w:rPr>
              <w:t>ASSETS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pPr>
            <w:r>
              <w:rPr/>
              <w:t>Current assets: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450" w:right="0" w:hanging="225"/>
              <w:rPr/>
            </w:pPr>
            <w:r>
              <w:rPr/>
              <w:t>Cash and cash equivalents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w:t>
            </w:r>
          </w:p>
        </w:tc>
        <w:tc>
          <w:tcPr>
            <w:tcW w:w="1738" w:type="dxa"/>
            <w:tcBorders/>
            <w:shd w:fill="CCEEFF" w:val="clear"/>
            <w:vAlign w:val="bottom"/>
          </w:tcPr>
          <w:p>
            <w:pPr>
              <w:pStyle w:val="TableContents"/>
              <w:spacing w:before="0" w:after="283"/>
              <w:jc w:val="right"/>
              <w:rPr/>
            </w:pPr>
            <w:r>
              <w:rPr/>
              <w:t>197,225</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jc w:val="left"/>
              <w:rPr/>
            </w:pPr>
            <w:r>
              <w:rPr/>
              <w:t>$</w:t>
            </w:r>
          </w:p>
        </w:tc>
        <w:tc>
          <w:tcPr>
            <w:tcW w:w="1693" w:type="dxa"/>
            <w:tcBorders/>
            <w:shd w:fill="CCEEFF" w:val="clear"/>
            <w:vAlign w:val="bottom"/>
          </w:tcPr>
          <w:p>
            <w:pPr>
              <w:pStyle w:val="TableContents"/>
              <w:spacing w:before="0" w:after="283"/>
              <w:jc w:val="right"/>
              <w:rPr/>
            </w:pPr>
            <w:r>
              <w:rPr/>
              <w:t>152,601</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450" w:right="0" w:hanging="225"/>
              <w:rPr/>
            </w:pPr>
            <w:r>
              <w:rPr/>
              <w:t>Accounts receivable, net of allowance for doubtful accounts of $1,648 and $1,400, respectively</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59,964</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56,752</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450" w:right="0" w:hanging="225"/>
              <w:rPr/>
            </w:pPr>
            <w:r>
              <w:rPr/>
              <w:t>Inventories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39,302</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37,853</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450" w:right="0" w:hanging="225"/>
              <w:rPr/>
            </w:pPr>
            <w:r>
              <w:rPr/>
              <w:t>Deferred income taxes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21,567</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28,155</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450" w:right="0" w:hanging="225"/>
              <w:rPr/>
            </w:pPr>
            <w:r>
              <w:rPr/>
              <w:t>Other current assets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9,235</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7,348</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20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363" w:type="dxa"/>
            <w:tcBorders/>
            <w:shd w:fill="auto" w:val="clear"/>
            <w:vAlign w:val="bottom"/>
          </w:tcPr>
          <w:p>
            <w:pPr>
              <w:pStyle w:val="TableContents"/>
              <w:spacing w:before="0" w:after="0"/>
              <w:ind w:left="450" w:right="0" w:hanging="225"/>
              <w:rPr/>
            </w:pPr>
            <w:r>
              <w:rPr/>
              <w:t>Total current assets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327,293</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282,709</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225" w:right="0" w:hanging="225"/>
              <w:rPr/>
            </w:pPr>
            <w:r>
              <w:rPr/>
              <w:t>Property and equipment, net</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134,805</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143,038</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pPr>
            <w:r>
              <w:rPr/>
              <w:t>Other investments and assets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26,774</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28,504</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225" w:right="0" w:hanging="225"/>
              <w:rPr/>
            </w:pPr>
            <w:r>
              <w:rPr/>
              <w:t>Deferred income taxes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35,772</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40,891</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pPr>
            <w:r>
              <w:rPr/>
              <w:t>Goodwill</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186,535</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184,310</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225" w:right="0" w:hanging="225"/>
              <w:rPr/>
            </w:pPr>
            <w:r>
              <w:rPr/>
              <w:t>Other intangible assets, net</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6,071</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6,238</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20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b/>
              </w:rPr>
            </w:pPr>
            <w:r>
              <w:rPr>
                <w:b/>
              </w:rPr>
              <w:t>Total Assets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left"/>
              <w:rPr/>
            </w:pPr>
            <w:r>
              <w:rPr/>
              <w:t>$</w:t>
            </w:r>
          </w:p>
        </w:tc>
        <w:tc>
          <w:tcPr>
            <w:tcW w:w="1738" w:type="dxa"/>
            <w:tcBorders/>
            <w:shd w:fill="auto" w:val="clear"/>
            <w:vAlign w:val="bottom"/>
          </w:tcPr>
          <w:p>
            <w:pPr>
              <w:pStyle w:val="TableContents"/>
              <w:spacing w:before="0" w:after="283"/>
              <w:jc w:val="right"/>
              <w:rPr/>
            </w:pPr>
            <w:r>
              <w:rPr/>
              <w:t>717,250</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jc w:val="left"/>
              <w:rPr/>
            </w:pPr>
            <w:r>
              <w:rPr/>
              <w:t>$</w:t>
            </w:r>
          </w:p>
        </w:tc>
        <w:tc>
          <w:tcPr>
            <w:tcW w:w="1693" w:type="dxa"/>
            <w:tcBorders/>
            <w:shd w:fill="auto" w:val="clear"/>
            <w:vAlign w:val="bottom"/>
          </w:tcPr>
          <w:p>
            <w:pPr>
              <w:pStyle w:val="TableContents"/>
              <w:spacing w:before="0" w:after="283"/>
              <w:jc w:val="right"/>
              <w:rPr/>
            </w:pPr>
            <w:r>
              <w:rPr/>
              <w:t>685,690</w:t>
            </w:r>
          </w:p>
        </w:tc>
        <w:tc>
          <w:tcPr>
            <w:tcW w:w="135" w:type="dxa"/>
            <w:tcBorders/>
            <w:shd w:fill="auto" w:val="clear"/>
            <w:vAlign w:val="bottom"/>
          </w:tcPr>
          <w:p>
            <w:pPr>
              <w:pStyle w:val="TableContents"/>
              <w:spacing w:before="0" w:after="283"/>
              <w:rPr/>
            </w:pPr>
            <w:r>
              <w:rPr/>
              <w:t> </w:t>
            </w:r>
          </w:p>
        </w:tc>
      </w:tr>
      <w:tr>
        <w:trPr/>
        <w:tc>
          <w:tcPr>
            <w:tcW w:w="5363"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20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pPr>
            <w:r>
              <w:rPr/>
              <w:t> </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225" w:right="0" w:hanging="225"/>
              <w:jc w:val="center"/>
              <w:rPr>
                <w:b/>
              </w:rPr>
            </w:pPr>
            <w:r>
              <w:rPr>
                <w:b/>
              </w:rPr>
              <w:t>LIABILITIES AND STOCKHOLDERS EQUITY</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pPr>
            <w:r>
              <w:rPr/>
              <w:t>Current liabilities: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450" w:right="0" w:hanging="225"/>
              <w:rPr/>
            </w:pPr>
            <w:r>
              <w:rPr/>
              <w:t>Accounts payable</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w:t>
            </w:r>
          </w:p>
        </w:tc>
        <w:tc>
          <w:tcPr>
            <w:tcW w:w="1738" w:type="dxa"/>
            <w:tcBorders/>
            <w:shd w:fill="CCEEFF" w:val="clear"/>
            <w:vAlign w:val="bottom"/>
          </w:tcPr>
          <w:p>
            <w:pPr>
              <w:pStyle w:val="TableContents"/>
              <w:spacing w:before="0" w:after="283"/>
              <w:jc w:val="right"/>
              <w:rPr/>
            </w:pPr>
            <w:r>
              <w:rPr/>
              <w:t>45,923</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jc w:val="left"/>
              <w:rPr/>
            </w:pPr>
            <w:r>
              <w:rPr/>
              <w:t>$</w:t>
            </w:r>
          </w:p>
        </w:tc>
        <w:tc>
          <w:tcPr>
            <w:tcW w:w="1693" w:type="dxa"/>
            <w:tcBorders/>
            <w:shd w:fill="CCEEFF" w:val="clear"/>
            <w:vAlign w:val="bottom"/>
          </w:tcPr>
          <w:p>
            <w:pPr>
              <w:pStyle w:val="TableContents"/>
              <w:spacing w:before="0" w:after="283"/>
              <w:jc w:val="right"/>
              <w:rPr/>
            </w:pPr>
            <w:r>
              <w:rPr/>
              <w:t>35,150</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450" w:right="0" w:hanging="225"/>
              <w:rPr/>
            </w:pPr>
            <w:r>
              <w:rPr/>
              <w:t>Other current liabilities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104,396</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131,498</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450" w:right="0" w:hanging="225"/>
              <w:rPr/>
            </w:pPr>
            <w:r>
              <w:rPr/>
              <w:t>Current portion of long-term debt and capital lease obligations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2,044</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3,263</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20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363" w:type="dxa"/>
            <w:tcBorders/>
            <w:shd w:fill="auto" w:val="clear"/>
            <w:vAlign w:val="bottom"/>
          </w:tcPr>
          <w:p>
            <w:pPr>
              <w:pStyle w:val="TableContents"/>
              <w:spacing w:before="0" w:after="0"/>
              <w:ind w:left="450" w:right="0" w:hanging="225"/>
              <w:rPr/>
            </w:pPr>
            <w:r>
              <w:rPr/>
              <w:t>Total current liabilities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152,363</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169,911</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225" w:right="0" w:hanging="225"/>
              <w:rPr/>
            </w:pPr>
            <w:r>
              <w:rPr/>
              <w:t>Long-term debt and capital lease obligations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13,301</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14,089</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pPr>
            <w:r>
              <w:rPr/>
              <w:t>Pension and other postretirement benefits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28,702</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28,428</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225" w:right="0" w:hanging="225"/>
              <w:rPr/>
            </w:pPr>
            <w:r>
              <w:rPr/>
              <w:t>Other deferred items and insurance liabilities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69,540</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71,589</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pPr>
            <w:r>
              <w:rPr/>
              <w:t>Commitments and contingencies (Note 14)</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225" w:right="0" w:hanging="225"/>
              <w:rPr/>
            </w:pPr>
            <w:r>
              <w:rPr/>
              <w:t>Minority interest</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5,344</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4,704</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pPr>
            <w:r>
              <w:rPr/>
              <w:t>Common stock and other equity:</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450" w:right="0" w:hanging="225"/>
              <w:rPr/>
            </w:pPr>
            <w:r>
              <w:rPr/>
              <w:t>Common stock, $1.50 par value, 200,000,000 shares authorized, 24,934,981 shares issued</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37,402</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37,402</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450" w:right="0" w:hanging="225"/>
              <w:rPr/>
            </w:pPr>
            <w:r>
              <w:rPr/>
              <w:t>Additional capital</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636,717</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653,883</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450" w:right="0" w:hanging="225"/>
              <w:rPr/>
            </w:pPr>
            <w:r>
              <w:rPr/>
              <w:t>Retained earnings (deficit)</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22,731</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jc w:val="left"/>
              <w:rPr/>
            </w:pPr>
            <w:r>
              <w:rPr/>
              <w:t> </w:t>
            </w:r>
          </w:p>
        </w:tc>
        <w:tc>
          <w:tcPr>
            <w:tcW w:w="1693" w:type="dxa"/>
            <w:tcBorders/>
            <w:shd w:fill="CCEEFF" w:val="clear"/>
            <w:vAlign w:val="bottom"/>
          </w:tcPr>
          <w:p>
            <w:pPr>
              <w:pStyle w:val="TableContents"/>
              <w:spacing w:before="0" w:after="283"/>
              <w:jc w:val="right"/>
              <w:rPr/>
            </w:pPr>
            <w:r>
              <w:rPr/>
              <w:t>(40,199</w:t>
            </w:r>
          </w:p>
        </w:tc>
        <w:tc>
          <w:tcPr>
            <w:tcW w:w="135" w:type="dxa"/>
            <w:tcBorders/>
            <w:shd w:fill="CCEEFF" w:val="clear"/>
            <w:vAlign w:val="bottom"/>
          </w:tcPr>
          <w:p>
            <w:pPr>
              <w:pStyle w:val="TableContents"/>
              <w:spacing w:before="0" w:after="283"/>
              <w:rPr/>
            </w:pPr>
            <w:r>
              <w:rPr/>
              <w:t>)</w:t>
            </w:r>
          </w:p>
        </w:tc>
      </w:tr>
      <w:tr>
        <w:trPr/>
        <w:tc>
          <w:tcPr>
            <w:tcW w:w="5363" w:type="dxa"/>
            <w:tcBorders/>
            <w:shd w:fill="auto" w:val="clear"/>
            <w:vAlign w:val="bottom"/>
          </w:tcPr>
          <w:p>
            <w:pPr>
              <w:pStyle w:val="TableContents"/>
              <w:spacing w:before="0" w:after="0"/>
              <w:ind w:left="450" w:right="0" w:hanging="225"/>
              <w:rPr/>
            </w:pPr>
            <w:r>
              <w:rPr/>
              <w:t>Unearned employee benefits and other</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left"/>
              <w:rPr/>
            </w:pPr>
            <w:r>
              <w:rPr/>
              <w:t> </w:t>
            </w:r>
          </w:p>
        </w:tc>
        <w:tc>
          <w:tcPr>
            <w:tcW w:w="1738" w:type="dxa"/>
            <w:tcBorders/>
            <w:shd w:fill="auto" w:val="clear"/>
            <w:vAlign w:val="bottom"/>
          </w:tcPr>
          <w:p>
            <w:pPr>
              <w:pStyle w:val="TableContents"/>
              <w:spacing w:before="0" w:after="283"/>
              <w:jc w:val="right"/>
              <w:rPr/>
            </w:pPr>
            <w:r>
              <w:rPr/>
              <w:t>(14,107</w:t>
            </w:r>
          </w:p>
        </w:tc>
        <w:tc>
          <w:tcPr>
            <w:tcW w:w="129" w:type="dxa"/>
            <w:tcBorders/>
            <w:shd w:fill="auto" w:val="clear"/>
            <w:vAlign w:val="bottom"/>
          </w:tcPr>
          <w:p>
            <w:pPr>
              <w:pStyle w:val="TableContents"/>
              <w:spacing w:before="0" w:after="283"/>
              <w:rPr/>
            </w:pPr>
            <w:r>
              <w:rPr/>
              <w:t>)</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jc w:val="left"/>
              <w:rPr/>
            </w:pPr>
            <w:r>
              <w:rPr/>
              <w:t> </w:t>
            </w:r>
          </w:p>
        </w:tc>
        <w:tc>
          <w:tcPr>
            <w:tcW w:w="1693" w:type="dxa"/>
            <w:tcBorders/>
            <w:shd w:fill="auto" w:val="clear"/>
            <w:vAlign w:val="bottom"/>
          </w:tcPr>
          <w:p>
            <w:pPr>
              <w:pStyle w:val="TableContents"/>
              <w:spacing w:before="0" w:after="283"/>
              <w:jc w:val="right"/>
              <w:rPr/>
            </w:pPr>
            <w:r>
              <w:rPr/>
              <w:t>(17,409</w:t>
            </w:r>
          </w:p>
        </w:tc>
        <w:tc>
          <w:tcPr>
            <w:tcW w:w="135" w:type="dxa"/>
            <w:tcBorders/>
            <w:shd w:fill="auto" w:val="clear"/>
            <w:vAlign w:val="bottom"/>
          </w:tcPr>
          <w:p>
            <w:pPr>
              <w:pStyle w:val="TableContents"/>
              <w:spacing w:before="0" w:after="283"/>
              <w:rPr/>
            </w:pPr>
            <w:r>
              <w:rPr/>
              <w:t>)</w:t>
            </w:r>
          </w:p>
        </w:tc>
      </w:tr>
      <w:tr>
        <w:trPr/>
        <w:tc>
          <w:tcPr>
            <w:tcW w:w="5363" w:type="dxa"/>
            <w:tcBorders/>
            <w:shd w:fill="CCEEFF" w:val="clear"/>
            <w:vAlign w:val="bottom"/>
          </w:tcPr>
          <w:p>
            <w:pPr>
              <w:pStyle w:val="TableContents"/>
              <w:spacing w:before="0" w:after="0"/>
              <w:ind w:left="450" w:right="0" w:hanging="225"/>
              <w:rPr/>
            </w:pPr>
            <w:r>
              <w:rPr/>
              <w:t>Accumulated other comprehensive income (loss):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675" w:right="0" w:hanging="225"/>
              <w:rPr/>
            </w:pPr>
            <w:r>
              <w:rPr/>
              <w:t>Unrealized gain on investments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478</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456</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675" w:right="0" w:hanging="225"/>
              <w:rPr/>
            </w:pPr>
            <w:r>
              <w:rPr/>
              <w:t>Unrealized gain on derivative financial instruments</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2</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38</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bottom"/>
          </w:tcPr>
          <w:p>
            <w:pPr>
              <w:pStyle w:val="TableContents"/>
              <w:spacing w:before="0" w:after="0"/>
              <w:ind w:left="675" w:right="0" w:hanging="225"/>
              <w:rPr/>
            </w:pPr>
            <w:r>
              <w:rPr/>
              <w:t>Cumulative foreign currency translation adjustments</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jc w:val="right"/>
              <w:rPr/>
            </w:pPr>
            <w:r>
              <w:rPr/>
              <w:t>29,935</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23,576</w:t>
            </w:r>
          </w:p>
        </w:tc>
        <w:tc>
          <w:tcPr>
            <w:tcW w:w="135" w:type="dxa"/>
            <w:tcBorders/>
            <w:shd w:fill="auto" w:val="clear"/>
            <w:vAlign w:val="bottom"/>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675" w:right="0" w:hanging="225"/>
              <w:rPr/>
            </w:pPr>
            <w:r>
              <w:rPr/>
              <w:t>Minimum pension liability adjustment</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 </w:t>
            </w:r>
          </w:p>
        </w:tc>
        <w:tc>
          <w:tcPr>
            <w:tcW w:w="1738" w:type="dxa"/>
            <w:tcBorders/>
            <w:shd w:fill="CCEEFF" w:val="clear"/>
            <w:vAlign w:val="bottom"/>
          </w:tcPr>
          <w:p>
            <w:pPr>
              <w:pStyle w:val="TableContents"/>
              <w:spacing w:before="0" w:after="283"/>
              <w:jc w:val="right"/>
              <w:rPr/>
            </w:pPr>
            <w:r>
              <w:rPr/>
              <w:t>(5,548</w:t>
            </w:r>
          </w:p>
        </w:tc>
        <w:tc>
          <w:tcPr>
            <w:tcW w:w="129" w:type="dxa"/>
            <w:tcBorders/>
            <w:shd w:fill="CCEEFF" w:val="clear"/>
            <w:vAlign w:val="bottom"/>
          </w:tcPr>
          <w:p>
            <w:pPr>
              <w:pStyle w:val="TableContents"/>
              <w:spacing w:before="0" w:after="283"/>
              <w:rPr/>
            </w:pPr>
            <w:r>
              <w:rPr/>
              <w:t>)</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jc w:val="left"/>
              <w:rPr/>
            </w:pPr>
            <w:r>
              <w:rPr/>
              <w:t> </w:t>
            </w:r>
          </w:p>
        </w:tc>
        <w:tc>
          <w:tcPr>
            <w:tcW w:w="1693" w:type="dxa"/>
            <w:tcBorders/>
            <w:shd w:fill="CCEEFF" w:val="clear"/>
            <w:vAlign w:val="bottom"/>
          </w:tcPr>
          <w:p>
            <w:pPr>
              <w:pStyle w:val="TableContents"/>
              <w:spacing w:before="0" w:after="283"/>
              <w:jc w:val="right"/>
              <w:rPr/>
            </w:pPr>
            <w:r>
              <w:rPr/>
              <w:t>(5,548</w:t>
            </w:r>
          </w:p>
        </w:tc>
        <w:tc>
          <w:tcPr>
            <w:tcW w:w="135" w:type="dxa"/>
            <w:tcBorders/>
            <w:shd w:fill="CCEEFF" w:val="clear"/>
            <w:vAlign w:val="bottom"/>
          </w:tcPr>
          <w:p>
            <w:pPr>
              <w:pStyle w:val="TableContents"/>
              <w:spacing w:before="0" w:after="283"/>
              <w:rPr/>
            </w:pPr>
            <w:r>
              <w:rPr/>
              <w:t>)</w:t>
            </w:r>
          </w:p>
        </w:tc>
      </w:tr>
      <w:tr>
        <w:trPr/>
        <w:tc>
          <w:tcPr>
            <w:tcW w:w="5363" w:type="dxa"/>
            <w:tcBorders/>
            <w:shd w:fill="auto" w:val="clear"/>
            <w:vAlign w:val="bottom"/>
          </w:tcPr>
          <w:p>
            <w:pPr>
              <w:pStyle w:val="TableContents"/>
              <w:spacing w:before="0" w:after="0"/>
              <w:ind w:left="450" w:right="0" w:hanging="225"/>
              <w:rPr/>
            </w:pPr>
            <w:r>
              <w:rPr/>
              <w:t>Common stock in treasury, at cost, 3,306,749 and 2,500,927 shares, respectively</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left"/>
              <w:rPr/>
            </w:pPr>
            <w:r>
              <w:rPr/>
              <w:t> </w:t>
            </w:r>
          </w:p>
        </w:tc>
        <w:tc>
          <w:tcPr>
            <w:tcW w:w="1738" w:type="dxa"/>
            <w:tcBorders/>
            <w:shd w:fill="auto" w:val="clear"/>
            <w:vAlign w:val="bottom"/>
          </w:tcPr>
          <w:p>
            <w:pPr>
              <w:pStyle w:val="TableContents"/>
              <w:spacing w:before="0" w:after="283"/>
              <w:jc w:val="right"/>
              <w:rPr/>
            </w:pPr>
            <w:r>
              <w:rPr/>
              <w:t>(259,610</w:t>
            </w:r>
          </w:p>
        </w:tc>
        <w:tc>
          <w:tcPr>
            <w:tcW w:w="129" w:type="dxa"/>
            <w:tcBorders/>
            <w:shd w:fill="auto" w:val="clear"/>
            <w:vAlign w:val="bottom"/>
          </w:tcPr>
          <w:p>
            <w:pPr>
              <w:pStyle w:val="TableContents"/>
              <w:spacing w:before="0" w:after="283"/>
              <w:rPr/>
            </w:pPr>
            <w:r>
              <w:rPr/>
              <w:t>)</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jc w:val="left"/>
              <w:rPr/>
            </w:pPr>
            <w:r>
              <w:rPr/>
              <w:t> </w:t>
            </w:r>
          </w:p>
        </w:tc>
        <w:tc>
          <w:tcPr>
            <w:tcW w:w="1693" w:type="dxa"/>
            <w:tcBorders/>
            <w:shd w:fill="auto" w:val="clear"/>
            <w:vAlign w:val="bottom"/>
          </w:tcPr>
          <w:p>
            <w:pPr>
              <w:pStyle w:val="TableContents"/>
              <w:spacing w:before="0" w:after="283"/>
              <w:jc w:val="right"/>
              <w:rPr/>
            </w:pPr>
            <w:r>
              <w:rPr/>
              <w:t>(255,230</w:t>
            </w:r>
          </w:p>
        </w:tc>
        <w:tc>
          <w:tcPr>
            <w:tcW w:w="135" w:type="dxa"/>
            <w:tcBorders/>
            <w:shd w:fill="auto" w:val="clear"/>
            <w:vAlign w:val="bottom"/>
          </w:tcPr>
          <w:p>
            <w:pPr>
              <w:pStyle w:val="TableContents"/>
              <w:spacing w:before="0" w:after="283"/>
              <w:rPr/>
            </w:pPr>
            <w:r>
              <w:rPr/>
              <w:t>)</w:t>
            </w:r>
          </w:p>
        </w:tc>
      </w:tr>
      <w:tr>
        <w:trPr/>
        <w:tc>
          <w:tcPr>
            <w:tcW w:w="5363"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20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363" w:type="dxa"/>
            <w:tcBorders/>
            <w:shd w:fill="CCEEFF" w:val="clear"/>
            <w:vAlign w:val="bottom"/>
          </w:tcPr>
          <w:p>
            <w:pPr>
              <w:pStyle w:val="TableContents"/>
              <w:spacing w:before="0" w:after="0"/>
              <w:ind w:left="450" w:right="0" w:hanging="225"/>
              <w:rPr/>
            </w:pPr>
            <w:r>
              <w:rPr/>
              <w:t>Total common stock and other equity</w:t>
            </w:r>
          </w:p>
        </w:tc>
        <w:tc>
          <w:tcPr>
            <w:tcW w:w="29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738" w:type="dxa"/>
            <w:tcBorders/>
            <w:shd w:fill="CCEEFF" w:val="clear"/>
            <w:vAlign w:val="bottom"/>
          </w:tcPr>
          <w:p>
            <w:pPr>
              <w:pStyle w:val="TableContents"/>
              <w:spacing w:before="0" w:after="283"/>
              <w:jc w:val="right"/>
              <w:rPr/>
            </w:pPr>
            <w:r>
              <w:rPr/>
              <w:t>448,000</w:t>
            </w:r>
          </w:p>
        </w:tc>
        <w:tc>
          <w:tcPr>
            <w:tcW w:w="129"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93" w:type="dxa"/>
            <w:tcBorders/>
            <w:shd w:fill="CCEEFF" w:val="clear"/>
            <w:vAlign w:val="bottom"/>
          </w:tcPr>
          <w:p>
            <w:pPr>
              <w:pStyle w:val="TableContents"/>
              <w:spacing w:before="0" w:after="283"/>
              <w:jc w:val="right"/>
              <w:rPr/>
            </w:pPr>
            <w:r>
              <w:rPr/>
              <w:t>396,969</w:t>
            </w:r>
          </w:p>
        </w:tc>
        <w:tc>
          <w:tcPr>
            <w:tcW w:w="135" w:type="dxa"/>
            <w:tcBorders/>
            <w:shd w:fill="CCEEFF" w:val="clear"/>
            <w:vAlign w:val="bottom"/>
          </w:tcPr>
          <w:p>
            <w:pPr>
              <w:pStyle w:val="TableContents"/>
              <w:spacing w:before="0" w:after="283"/>
              <w:rPr/>
            </w:pPr>
            <w:r>
              <w:rPr/>
              <w:t> </w:t>
            </w:r>
          </w:p>
        </w:tc>
      </w:tr>
      <w:tr>
        <w:trPr/>
        <w:tc>
          <w:tcPr>
            <w:tcW w:w="5363"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20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363" w:type="dxa"/>
            <w:tcBorders/>
            <w:shd w:fill="auto" w:val="clear"/>
            <w:vAlign w:val="bottom"/>
          </w:tcPr>
          <w:p>
            <w:pPr>
              <w:pStyle w:val="TableContents"/>
              <w:spacing w:before="0" w:after="0"/>
              <w:ind w:left="225" w:right="0" w:hanging="225"/>
              <w:rPr>
                <w:b/>
              </w:rPr>
            </w:pPr>
            <w:r>
              <w:rPr>
                <w:b/>
              </w:rPr>
              <w:t>Total Liabilities and Stockholders Equity</w:t>
            </w:r>
          </w:p>
        </w:tc>
        <w:tc>
          <w:tcPr>
            <w:tcW w:w="29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left"/>
              <w:rPr/>
            </w:pPr>
            <w:r>
              <w:rPr/>
              <w:t>$</w:t>
            </w:r>
          </w:p>
        </w:tc>
        <w:tc>
          <w:tcPr>
            <w:tcW w:w="1738" w:type="dxa"/>
            <w:tcBorders/>
            <w:shd w:fill="auto" w:val="clear"/>
            <w:vAlign w:val="bottom"/>
          </w:tcPr>
          <w:p>
            <w:pPr>
              <w:pStyle w:val="TableContents"/>
              <w:spacing w:before="0" w:after="283"/>
              <w:jc w:val="right"/>
              <w:rPr/>
            </w:pPr>
            <w:r>
              <w:rPr/>
              <w:t>717,250</w:t>
            </w:r>
          </w:p>
        </w:tc>
        <w:tc>
          <w:tcPr>
            <w:tcW w:w="129"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jc w:val="left"/>
              <w:rPr/>
            </w:pPr>
            <w:r>
              <w:rPr/>
              <w:t>$</w:t>
            </w:r>
          </w:p>
        </w:tc>
        <w:tc>
          <w:tcPr>
            <w:tcW w:w="1693" w:type="dxa"/>
            <w:tcBorders/>
            <w:shd w:fill="auto" w:val="clear"/>
            <w:vAlign w:val="bottom"/>
          </w:tcPr>
          <w:p>
            <w:pPr>
              <w:pStyle w:val="TableContents"/>
              <w:spacing w:before="0" w:after="283"/>
              <w:jc w:val="right"/>
              <w:rPr/>
            </w:pPr>
            <w:r>
              <w:rPr/>
              <w:t>685,690</w:t>
            </w:r>
          </w:p>
        </w:tc>
        <w:tc>
          <w:tcPr>
            <w:tcW w:w="135" w:type="dxa"/>
            <w:tcBorders/>
            <w:shd w:fill="auto" w:val="clear"/>
            <w:vAlign w:val="bottom"/>
          </w:tcPr>
          <w:p>
            <w:pPr>
              <w:pStyle w:val="TableContents"/>
              <w:spacing w:before="0" w:after="283"/>
              <w:rPr/>
            </w:pPr>
            <w:r>
              <w:rPr/>
              <w:t> </w:t>
            </w:r>
          </w:p>
        </w:tc>
      </w:tr>
      <w:tr>
        <w:trPr/>
        <w:tc>
          <w:tcPr>
            <w:tcW w:w="5363"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20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OPERATIONS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220"/>
        <w:gridCol w:w="174"/>
        <w:gridCol w:w="253"/>
        <w:gridCol w:w="1431"/>
        <w:gridCol w:w="179"/>
        <w:gridCol w:w="217"/>
        <w:gridCol w:w="253"/>
        <w:gridCol w:w="1434"/>
        <w:gridCol w:w="111"/>
        <w:gridCol w:w="173"/>
        <w:gridCol w:w="244"/>
        <w:gridCol w:w="1382"/>
        <w:gridCol w:w="173"/>
        <w:gridCol w:w="213"/>
        <w:gridCol w:w="244"/>
        <w:gridCol w:w="1386"/>
        <w:gridCol w:w="118"/>
      </w:tblGrid>
      <w:tr>
        <w:trPr/>
        <w:tc>
          <w:tcPr>
            <w:tcW w:w="222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376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September 30,</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3642"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68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68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62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63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7693" w:type="dxa"/>
            <w:gridSpan w:val="14"/>
            <w:tcBorders/>
            <w:shd w:fill="auto" w:val="clear"/>
            <w:vAlign w:val="bottom"/>
          </w:tcPr>
          <w:p>
            <w:pPr>
              <w:pStyle w:val="TableContents"/>
              <w:spacing w:before="0" w:after="283"/>
              <w:jc w:val="center"/>
              <w:rPr>
                <w:b/>
              </w:rPr>
            </w:pPr>
            <w:r>
              <w:rPr>
                <w:b/>
              </w:rPr>
              <w:t>(in thousands, except per share data)</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pPr>
            <w:r>
              <w:rPr/>
              <w:t>Revenues: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450" w:right="0" w:hanging="225"/>
              <w:rPr/>
            </w:pPr>
            <w:r>
              <w:rPr/>
              <w:t>Convention show services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431" w:type="dxa"/>
            <w:tcBorders/>
            <w:shd w:fill="auto" w:val="clear"/>
            <w:vAlign w:val="bottom"/>
          </w:tcPr>
          <w:p>
            <w:pPr>
              <w:pStyle w:val="TableContents"/>
              <w:spacing w:before="0" w:after="283"/>
              <w:jc w:val="right"/>
              <w:rPr/>
            </w:pPr>
            <w:r>
              <w:rPr/>
              <w:t>143,342</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434" w:type="dxa"/>
            <w:tcBorders/>
            <w:shd w:fill="auto" w:val="clear"/>
            <w:vAlign w:val="bottom"/>
          </w:tcPr>
          <w:p>
            <w:pPr>
              <w:pStyle w:val="TableContents"/>
              <w:spacing w:before="0" w:after="283"/>
              <w:jc w:val="right"/>
              <w:rPr/>
            </w:pPr>
            <w:r>
              <w:rPr/>
              <w:t>110,671</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1382" w:type="dxa"/>
            <w:tcBorders/>
            <w:shd w:fill="auto" w:val="clear"/>
            <w:vAlign w:val="bottom"/>
          </w:tcPr>
          <w:p>
            <w:pPr>
              <w:pStyle w:val="TableContents"/>
              <w:spacing w:before="0" w:after="283"/>
              <w:jc w:val="right"/>
              <w:rPr/>
            </w:pPr>
            <w:r>
              <w:rPr/>
              <w:t>500,515</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1386" w:type="dxa"/>
            <w:tcBorders/>
            <w:shd w:fill="auto" w:val="clear"/>
            <w:vAlign w:val="bottom"/>
          </w:tcPr>
          <w:p>
            <w:pPr>
              <w:pStyle w:val="TableContents"/>
              <w:spacing w:before="0" w:after="283"/>
              <w:jc w:val="right"/>
              <w:rPr/>
            </w:pPr>
            <w:r>
              <w:rPr/>
              <w:t>453,635</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450" w:right="0" w:hanging="225"/>
              <w:rPr/>
            </w:pPr>
            <w:r>
              <w:rPr/>
              <w:t>Exhibit design and construction</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40,348</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jc w:val="right"/>
              <w:rPr/>
            </w:pPr>
            <w:r>
              <w:rPr/>
              <w:t>36,199</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jc w:val="right"/>
              <w:rPr/>
            </w:pPr>
            <w:r>
              <w:rPr/>
              <w:t>128,260</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146,954</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450" w:right="0" w:hanging="225"/>
              <w:rPr/>
            </w:pPr>
            <w:r>
              <w:rPr/>
              <w:t>Travel and recreation services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46,858</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44,267</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jc w:val="right"/>
              <w:rPr/>
            </w:pPr>
            <w:r>
              <w:rPr/>
              <w:t>72,952</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67,091</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675" w:right="0" w:hanging="225"/>
              <w:rPr/>
            </w:pPr>
            <w:r>
              <w:rPr/>
              <w:t>Total revenues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230,548</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jc w:val="right"/>
              <w:rPr/>
            </w:pPr>
            <w:r>
              <w:rPr/>
              <w:t>191,137</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jc w:val="right"/>
              <w:rPr/>
            </w:pPr>
            <w:r>
              <w:rPr/>
              <w:t>701,727</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667,680</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 </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Costs and expenses: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450" w:right="0" w:hanging="225"/>
              <w:rPr/>
            </w:pPr>
            <w:r>
              <w:rPr/>
              <w:t>Costs of services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159,161</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jc w:val="right"/>
              <w:rPr/>
            </w:pPr>
            <w:r>
              <w:rPr/>
              <w:t>134,672</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jc w:val="right"/>
              <w:rPr/>
            </w:pPr>
            <w:r>
              <w:rPr/>
              <w:t>500,891</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455,821</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450" w:right="0" w:hanging="225"/>
              <w:rPr/>
            </w:pPr>
            <w:r>
              <w:rPr/>
              <w:t>Costs of products sold</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43,758</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40,099</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jc w:val="right"/>
              <w:rPr/>
            </w:pPr>
            <w:r>
              <w:rPr/>
              <w:t>129,698</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150,437</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450" w:right="0" w:hanging="225"/>
              <w:rPr/>
            </w:pPr>
            <w:r>
              <w:rPr/>
              <w:t>Corporate activities and minority interest</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4,243</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jc w:val="right"/>
              <w:rPr/>
            </w:pPr>
            <w:r>
              <w:rPr/>
              <w:t>4,103</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jc w:val="right"/>
              <w:rPr/>
            </w:pPr>
            <w:r>
              <w:rPr/>
              <w:t>9,295</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9,869</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450" w:right="0" w:hanging="225"/>
              <w:rPr/>
            </w:pPr>
            <w:r>
              <w:rPr/>
              <w:t>Gains on sale of corporate assets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 </w:t>
            </w:r>
          </w:p>
        </w:tc>
        <w:tc>
          <w:tcPr>
            <w:tcW w:w="1382" w:type="dxa"/>
            <w:tcBorders/>
            <w:shd w:fill="auto" w:val="clear"/>
            <w:vAlign w:val="bottom"/>
          </w:tcPr>
          <w:p>
            <w:pPr>
              <w:pStyle w:val="TableContents"/>
              <w:spacing w:before="0" w:after="283"/>
              <w:jc w:val="right"/>
              <w:rPr/>
            </w:pPr>
            <w:r>
              <w:rPr/>
              <w:t>(3,468</w:t>
            </w:r>
          </w:p>
        </w:tc>
        <w:tc>
          <w:tcPr>
            <w:tcW w:w="173" w:type="dxa"/>
            <w:tcBorders/>
            <w:shd w:fill="auto" w:val="clear"/>
            <w:vAlign w:val="bottom"/>
          </w:tcPr>
          <w:p>
            <w:pPr>
              <w:pStyle w:val="TableContents"/>
              <w:spacing w:before="0" w:after="283"/>
              <w:rPr/>
            </w:pPr>
            <w:r>
              <w:rPr/>
              <w:t>)</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450" w:right="0" w:hanging="225"/>
              <w:rPr/>
            </w:pPr>
            <w:r>
              <w:rPr/>
              <w:t>Restructuring charges (recoveries)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355</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 </w:t>
            </w:r>
          </w:p>
        </w:tc>
        <w:tc>
          <w:tcPr>
            <w:tcW w:w="1434" w:type="dxa"/>
            <w:tcBorders/>
            <w:shd w:fill="CCEEFF" w:val="clear"/>
            <w:vAlign w:val="bottom"/>
          </w:tcPr>
          <w:p>
            <w:pPr>
              <w:pStyle w:val="TableContents"/>
              <w:spacing w:before="0" w:after="283"/>
              <w:jc w:val="right"/>
              <w:rPr/>
            </w:pPr>
            <w:r>
              <w:rPr/>
              <w:t>(230</w:t>
            </w:r>
          </w:p>
        </w:tc>
        <w:tc>
          <w:tcPr>
            <w:tcW w:w="111" w:type="dxa"/>
            <w:tcBorders/>
            <w:shd w:fill="CCEEFF" w:val="clear"/>
            <w:vAlign w:val="bottom"/>
          </w:tcPr>
          <w:p>
            <w:pPr>
              <w:pStyle w:val="TableContents"/>
              <w:spacing w:before="0" w:after="283"/>
              <w:rPr/>
            </w:pPr>
            <w:r>
              <w:rPr/>
              <w:t>)</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 </w:t>
            </w:r>
          </w:p>
        </w:tc>
        <w:tc>
          <w:tcPr>
            <w:tcW w:w="1382" w:type="dxa"/>
            <w:tcBorders/>
            <w:shd w:fill="CCEEFF" w:val="clear"/>
            <w:vAlign w:val="bottom"/>
          </w:tcPr>
          <w:p>
            <w:pPr>
              <w:pStyle w:val="TableContents"/>
              <w:spacing w:before="0" w:after="283"/>
              <w:jc w:val="right"/>
              <w:rPr/>
            </w:pPr>
            <w:r>
              <w:rPr/>
              <w:t>(215</w:t>
            </w:r>
          </w:p>
        </w:tc>
        <w:tc>
          <w:tcPr>
            <w:tcW w:w="173" w:type="dxa"/>
            <w:tcBorders/>
            <w:shd w:fill="CCEEFF" w:val="clear"/>
            <w:vAlign w:val="bottom"/>
          </w:tcPr>
          <w:p>
            <w:pPr>
              <w:pStyle w:val="TableContents"/>
              <w:spacing w:before="0" w:after="283"/>
              <w:rPr/>
            </w:pPr>
            <w:r>
              <w:rPr/>
              <w:t>)</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 </w:t>
            </w:r>
          </w:p>
        </w:tc>
        <w:tc>
          <w:tcPr>
            <w:tcW w:w="1386" w:type="dxa"/>
            <w:tcBorders/>
            <w:shd w:fill="CCEEFF" w:val="clear"/>
            <w:vAlign w:val="bottom"/>
          </w:tcPr>
          <w:p>
            <w:pPr>
              <w:pStyle w:val="TableContents"/>
              <w:spacing w:before="0" w:after="283"/>
              <w:jc w:val="right"/>
              <w:rPr/>
            </w:pPr>
            <w:r>
              <w:rPr/>
              <w:t>(593</w:t>
            </w:r>
          </w:p>
        </w:tc>
        <w:tc>
          <w:tcPr>
            <w:tcW w:w="118" w:type="dxa"/>
            <w:tcBorders/>
            <w:shd w:fill="CCEEFF" w:val="clear"/>
            <w:vAlign w:val="bottom"/>
          </w:tcPr>
          <w:p>
            <w:pPr>
              <w:pStyle w:val="TableContents"/>
              <w:spacing w:before="0" w:after="283"/>
              <w:rPr/>
            </w:pPr>
            <w:r>
              <w:rPr/>
              <w:t>)</w:t>
            </w:r>
          </w:p>
        </w:tc>
      </w:tr>
      <w:tr>
        <w:trPr/>
        <w:tc>
          <w:tcPr>
            <w:tcW w:w="2220" w:type="dxa"/>
            <w:tcBorders/>
            <w:shd w:fill="auto" w:val="clear"/>
            <w:vAlign w:val="bottom"/>
          </w:tcPr>
          <w:p>
            <w:pPr>
              <w:pStyle w:val="TableContents"/>
              <w:spacing w:before="0" w:after="0"/>
              <w:ind w:left="450" w:right="0" w:hanging="225"/>
              <w:rPr/>
            </w:pPr>
            <w:r>
              <w:rPr/>
              <w:t>Impairment losses (recoveries)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193</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843</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 </w:t>
            </w:r>
          </w:p>
        </w:tc>
        <w:tc>
          <w:tcPr>
            <w:tcW w:w="1382" w:type="dxa"/>
            <w:tcBorders/>
            <w:shd w:fill="auto" w:val="clear"/>
            <w:vAlign w:val="bottom"/>
          </w:tcPr>
          <w:p>
            <w:pPr>
              <w:pStyle w:val="TableContents"/>
              <w:spacing w:before="0" w:after="283"/>
              <w:jc w:val="right"/>
              <w:rPr/>
            </w:pPr>
            <w:r>
              <w:rPr/>
              <w:t>(650</w:t>
            </w:r>
          </w:p>
        </w:tc>
        <w:tc>
          <w:tcPr>
            <w:tcW w:w="173" w:type="dxa"/>
            <w:tcBorders/>
            <w:shd w:fill="auto" w:val="clear"/>
            <w:vAlign w:val="bottom"/>
          </w:tcPr>
          <w:p>
            <w:pPr>
              <w:pStyle w:val="TableContents"/>
              <w:spacing w:before="0" w:after="283"/>
              <w:rPr/>
            </w:pPr>
            <w:r>
              <w:rPr/>
              <w:t>)</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843</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450" w:right="0" w:hanging="225"/>
              <w:rPr/>
            </w:pPr>
            <w:r>
              <w:rPr/>
              <w:t>Net interest income</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 </w:t>
            </w:r>
          </w:p>
        </w:tc>
        <w:tc>
          <w:tcPr>
            <w:tcW w:w="1431" w:type="dxa"/>
            <w:tcBorders/>
            <w:shd w:fill="CCEEFF" w:val="clear"/>
            <w:vAlign w:val="bottom"/>
          </w:tcPr>
          <w:p>
            <w:pPr>
              <w:pStyle w:val="TableContents"/>
              <w:spacing w:before="0" w:after="283"/>
              <w:jc w:val="right"/>
              <w:rPr/>
            </w:pPr>
            <w:r>
              <w:rPr/>
              <w:t>(1,614</w:t>
            </w:r>
          </w:p>
        </w:tc>
        <w:tc>
          <w:tcPr>
            <w:tcW w:w="179" w:type="dxa"/>
            <w:tcBorders/>
            <w:shd w:fill="CCEEFF" w:val="clear"/>
            <w:vAlign w:val="bottom"/>
          </w:tcPr>
          <w:p>
            <w:pPr>
              <w:pStyle w:val="TableContents"/>
              <w:spacing w:before="0" w:after="283"/>
              <w:rPr/>
            </w:pPr>
            <w:r>
              <w:rPr/>
              <w:t>)</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 </w:t>
            </w:r>
          </w:p>
        </w:tc>
        <w:tc>
          <w:tcPr>
            <w:tcW w:w="1434" w:type="dxa"/>
            <w:tcBorders/>
            <w:shd w:fill="CCEEFF" w:val="clear"/>
            <w:vAlign w:val="bottom"/>
          </w:tcPr>
          <w:p>
            <w:pPr>
              <w:pStyle w:val="TableContents"/>
              <w:spacing w:before="0" w:after="283"/>
              <w:jc w:val="right"/>
              <w:rPr/>
            </w:pPr>
            <w:r>
              <w:rPr/>
              <w:t>(348</w:t>
            </w:r>
          </w:p>
        </w:tc>
        <w:tc>
          <w:tcPr>
            <w:tcW w:w="111" w:type="dxa"/>
            <w:tcBorders/>
            <w:shd w:fill="CCEEFF" w:val="clear"/>
            <w:vAlign w:val="bottom"/>
          </w:tcPr>
          <w:p>
            <w:pPr>
              <w:pStyle w:val="TableContents"/>
              <w:spacing w:before="0" w:after="283"/>
              <w:rPr/>
            </w:pPr>
            <w:r>
              <w:rPr/>
              <w:t>)</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 </w:t>
            </w:r>
          </w:p>
        </w:tc>
        <w:tc>
          <w:tcPr>
            <w:tcW w:w="1382" w:type="dxa"/>
            <w:tcBorders/>
            <w:shd w:fill="CCEEFF" w:val="clear"/>
            <w:vAlign w:val="bottom"/>
          </w:tcPr>
          <w:p>
            <w:pPr>
              <w:pStyle w:val="TableContents"/>
              <w:spacing w:before="0" w:after="283"/>
              <w:jc w:val="right"/>
              <w:rPr/>
            </w:pPr>
            <w:r>
              <w:rPr/>
              <w:t>(4,572</w:t>
            </w:r>
          </w:p>
        </w:tc>
        <w:tc>
          <w:tcPr>
            <w:tcW w:w="173" w:type="dxa"/>
            <w:tcBorders/>
            <w:shd w:fill="CCEEFF" w:val="clear"/>
            <w:vAlign w:val="bottom"/>
          </w:tcPr>
          <w:p>
            <w:pPr>
              <w:pStyle w:val="TableContents"/>
              <w:spacing w:before="0" w:after="283"/>
              <w:rPr/>
            </w:pPr>
            <w:r>
              <w:rPr/>
              <w:t>)</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 </w:t>
            </w:r>
          </w:p>
        </w:tc>
        <w:tc>
          <w:tcPr>
            <w:tcW w:w="1386" w:type="dxa"/>
            <w:tcBorders/>
            <w:shd w:fill="CCEEFF" w:val="clear"/>
            <w:vAlign w:val="bottom"/>
          </w:tcPr>
          <w:p>
            <w:pPr>
              <w:pStyle w:val="TableContents"/>
              <w:spacing w:before="0" w:after="283"/>
              <w:jc w:val="right"/>
              <w:rPr/>
            </w:pPr>
            <w:r>
              <w:rPr/>
              <w:t>(760</w:t>
            </w:r>
          </w:p>
        </w:tc>
        <w:tc>
          <w:tcPr>
            <w:tcW w:w="118" w:type="dxa"/>
            <w:tcBorders/>
            <w:shd w:fill="CCEEFF" w:val="clear"/>
            <w:vAlign w:val="bottom"/>
          </w:tcPr>
          <w:p>
            <w:pPr>
              <w:pStyle w:val="TableContents"/>
              <w:spacing w:before="0" w:after="283"/>
              <w:rPr/>
            </w:pPr>
            <w:r>
              <w:rPr/>
              <w:t>)</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auto" w:val="clear"/>
            <w:vAlign w:val="bottom"/>
          </w:tcPr>
          <w:p>
            <w:pPr>
              <w:pStyle w:val="TableContents"/>
              <w:spacing w:before="0" w:after="0"/>
              <w:ind w:left="675" w:right="0" w:hanging="225"/>
              <w:rPr/>
            </w:pPr>
            <w:r>
              <w:rPr/>
              <w:t>Total costs and expenses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206,096</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179,139</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jc w:val="right"/>
              <w:rPr/>
            </w:pPr>
            <w:r>
              <w:rPr/>
              <w:t>630,979</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615,617</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 </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pPr>
            <w:r>
              <w:rPr/>
              <w:t>Income before income taxes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24,452</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jc w:val="right"/>
              <w:rPr/>
            </w:pPr>
            <w:r>
              <w:rPr/>
              <w:t>11,998</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jc w:val="right"/>
              <w:rPr/>
            </w:pPr>
            <w:r>
              <w:rPr/>
              <w:t>70,748</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52,063</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Income tax expense</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2,429</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2,627</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jc w:val="right"/>
              <w:rPr/>
            </w:pPr>
            <w:r>
              <w:rPr/>
              <w:t>16,385</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19,181</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pPr>
            <w:r>
              <w:rPr/>
              <w:t>Income from continuing operations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22,023</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jc w:val="right"/>
              <w:rPr/>
            </w:pPr>
            <w:r>
              <w:rPr/>
              <w:t>9,371</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jc w:val="right"/>
              <w:rPr/>
            </w:pPr>
            <w:r>
              <w:rPr/>
              <w:t>54,363</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32,882</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Income from discontinued operations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1,496</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1,328</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jc w:val="right"/>
              <w:rPr/>
            </w:pPr>
            <w:r>
              <w:rPr/>
              <w:t>11,026</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1,160</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b/>
              </w:rPr>
            </w:pPr>
            <w:r>
              <w:rPr>
                <w:b/>
              </w:rPr>
              <w:t>Net income</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431" w:type="dxa"/>
            <w:tcBorders/>
            <w:shd w:fill="CCEEFF" w:val="clear"/>
            <w:vAlign w:val="bottom"/>
          </w:tcPr>
          <w:p>
            <w:pPr>
              <w:pStyle w:val="TableContents"/>
              <w:spacing w:before="0" w:after="283"/>
              <w:jc w:val="right"/>
              <w:rPr/>
            </w:pPr>
            <w:r>
              <w:rPr/>
              <w:t>23,519</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434" w:type="dxa"/>
            <w:tcBorders/>
            <w:shd w:fill="CCEEFF" w:val="clear"/>
            <w:vAlign w:val="bottom"/>
          </w:tcPr>
          <w:p>
            <w:pPr>
              <w:pStyle w:val="TableContents"/>
              <w:spacing w:before="0" w:after="283"/>
              <w:jc w:val="right"/>
              <w:rPr/>
            </w:pPr>
            <w:r>
              <w:rPr/>
              <w:t>10,699</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w:t>
            </w:r>
          </w:p>
        </w:tc>
        <w:tc>
          <w:tcPr>
            <w:tcW w:w="1382" w:type="dxa"/>
            <w:tcBorders/>
            <w:shd w:fill="CCEEFF" w:val="clear"/>
            <w:vAlign w:val="bottom"/>
          </w:tcPr>
          <w:p>
            <w:pPr>
              <w:pStyle w:val="TableContents"/>
              <w:spacing w:before="0" w:after="283"/>
              <w:jc w:val="right"/>
              <w:rPr/>
            </w:pPr>
            <w:r>
              <w:rPr/>
              <w:t>65,389</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w:t>
            </w:r>
          </w:p>
        </w:tc>
        <w:tc>
          <w:tcPr>
            <w:tcW w:w="1386" w:type="dxa"/>
            <w:tcBorders/>
            <w:shd w:fill="CCEEFF" w:val="clear"/>
            <w:vAlign w:val="bottom"/>
          </w:tcPr>
          <w:p>
            <w:pPr>
              <w:pStyle w:val="TableContents"/>
              <w:spacing w:before="0" w:after="283"/>
              <w:jc w:val="right"/>
              <w:rPr/>
            </w:pPr>
            <w:r>
              <w:rPr/>
              <w:t>34,042</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 </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b/>
              </w:rPr>
            </w:pPr>
            <w:r>
              <w:rPr>
                <w:b/>
              </w:rPr>
              <w:t>Diluted income per common share</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pPr>
            <w:r>
              <w:rPr/>
              <w:t>Income from continuing operations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431" w:type="dxa"/>
            <w:tcBorders/>
            <w:shd w:fill="CCEEFF" w:val="clear"/>
            <w:vAlign w:val="bottom"/>
          </w:tcPr>
          <w:p>
            <w:pPr>
              <w:pStyle w:val="TableContents"/>
              <w:spacing w:before="0" w:after="283"/>
              <w:jc w:val="right"/>
              <w:rPr/>
            </w:pPr>
            <w:r>
              <w:rPr/>
              <w:t>1.03</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434" w:type="dxa"/>
            <w:tcBorders/>
            <w:shd w:fill="CCEEFF" w:val="clear"/>
            <w:vAlign w:val="bottom"/>
          </w:tcPr>
          <w:p>
            <w:pPr>
              <w:pStyle w:val="TableContents"/>
              <w:spacing w:before="0" w:after="283"/>
              <w:jc w:val="right"/>
              <w:rPr/>
            </w:pPr>
            <w:r>
              <w:rPr/>
              <w:t>0.42</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w:t>
            </w:r>
          </w:p>
        </w:tc>
        <w:tc>
          <w:tcPr>
            <w:tcW w:w="1382" w:type="dxa"/>
            <w:tcBorders/>
            <w:shd w:fill="CCEEFF" w:val="clear"/>
            <w:vAlign w:val="bottom"/>
          </w:tcPr>
          <w:p>
            <w:pPr>
              <w:pStyle w:val="TableContents"/>
              <w:spacing w:before="0" w:after="283"/>
              <w:jc w:val="right"/>
              <w:rPr/>
            </w:pPr>
            <w:r>
              <w:rPr/>
              <w:t>2.49</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w:t>
            </w:r>
          </w:p>
        </w:tc>
        <w:tc>
          <w:tcPr>
            <w:tcW w:w="1386" w:type="dxa"/>
            <w:tcBorders/>
            <w:shd w:fill="CCEEFF" w:val="clear"/>
            <w:vAlign w:val="bottom"/>
          </w:tcPr>
          <w:p>
            <w:pPr>
              <w:pStyle w:val="TableContents"/>
              <w:spacing w:before="0" w:after="283"/>
              <w:jc w:val="right"/>
              <w:rPr/>
            </w:pPr>
            <w:r>
              <w:rPr/>
              <w:t>1.48</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Income from discontinued operations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0.07</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0.06</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jc w:val="right"/>
              <w:rPr/>
            </w:pPr>
            <w:r>
              <w:rPr/>
              <w:t>0.50</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0.05</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b/>
              </w:rPr>
            </w:pPr>
            <w:r>
              <w:rPr>
                <w:b/>
              </w:rPr>
              <w:t>Net income</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431" w:type="dxa"/>
            <w:tcBorders/>
            <w:shd w:fill="CCEEFF" w:val="clear"/>
            <w:vAlign w:val="bottom"/>
          </w:tcPr>
          <w:p>
            <w:pPr>
              <w:pStyle w:val="TableContents"/>
              <w:spacing w:before="0" w:after="283"/>
              <w:jc w:val="right"/>
              <w:rPr/>
            </w:pPr>
            <w:r>
              <w:rPr/>
              <w:t>1.10</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434" w:type="dxa"/>
            <w:tcBorders/>
            <w:shd w:fill="CCEEFF" w:val="clear"/>
            <w:vAlign w:val="bottom"/>
          </w:tcPr>
          <w:p>
            <w:pPr>
              <w:pStyle w:val="TableContents"/>
              <w:spacing w:before="0" w:after="283"/>
              <w:jc w:val="right"/>
              <w:rPr/>
            </w:pPr>
            <w:r>
              <w:rPr/>
              <w:t>0.48</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w:t>
            </w:r>
          </w:p>
        </w:tc>
        <w:tc>
          <w:tcPr>
            <w:tcW w:w="1382" w:type="dxa"/>
            <w:tcBorders/>
            <w:shd w:fill="CCEEFF" w:val="clear"/>
            <w:vAlign w:val="bottom"/>
          </w:tcPr>
          <w:p>
            <w:pPr>
              <w:pStyle w:val="TableContents"/>
              <w:spacing w:before="0" w:after="283"/>
              <w:jc w:val="right"/>
              <w:rPr/>
            </w:pPr>
            <w:r>
              <w:rPr/>
              <w:t>2.99</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w:t>
            </w:r>
          </w:p>
        </w:tc>
        <w:tc>
          <w:tcPr>
            <w:tcW w:w="1386" w:type="dxa"/>
            <w:tcBorders/>
            <w:shd w:fill="CCEEFF" w:val="clear"/>
            <w:vAlign w:val="bottom"/>
          </w:tcPr>
          <w:p>
            <w:pPr>
              <w:pStyle w:val="TableContents"/>
              <w:spacing w:before="0" w:after="283"/>
              <w:jc w:val="right"/>
              <w:rPr/>
            </w:pPr>
            <w:r>
              <w:rPr/>
              <w:t>1.53</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 </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Average outstanding and potentially dilutive common shares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jc w:val="right"/>
              <w:rPr/>
            </w:pPr>
            <w:r>
              <w:rPr/>
              <w:t>21,424</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right"/>
              <w:rPr/>
            </w:pPr>
            <w:r>
              <w:rPr/>
              <w:t>22,345</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jc w:val="right"/>
              <w:rPr/>
            </w:pPr>
            <w:r>
              <w:rPr/>
              <w:t>21,850</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22,211</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 </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b/>
              </w:rPr>
            </w:pPr>
            <w:r>
              <w:rPr>
                <w:b/>
              </w:rPr>
              <w:t>Basic income per common share</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Income from continuing operations</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431" w:type="dxa"/>
            <w:tcBorders/>
            <w:shd w:fill="auto" w:val="clear"/>
            <w:vAlign w:val="bottom"/>
          </w:tcPr>
          <w:p>
            <w:pPr>
              <w:pStyle w:val="TableContents"/>
              <w:spacing w:before="0" w:after="283"/>
              <w:jc w:val="right"/>
              <w:rPr/>
            </w:pPr>
            <w:r>
              <w:rPr/>
              <w:t>1.04</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434" w:type="dxa"/>
            <w:tcBorders/>
            <w:shd w:fill="auto" w:val="clear"/>
            <w:vAlign w:val="bottom"/>
          </w:tcPr>
          <w:p>
            <w:pPr>
              <w:pStyle w:val="TableContents"/>
              <w:spacing w:before="0" w:after="283"/>
              <w:jc w:val="right"/>
              <w:rPr/>
            </w:pPr>
            <w:r>
              <w:rPr/>
              <w:t>0.42</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1382" w:type="dxa"/>
            <w:tcBorders/>
            <w:shd w:fill="auto" w:val="clear"/>
            <w:vAlign w:val="bottom"/>
          </w:tcPr>
          <w:p>
            <w:pPr>
              <w:pStyle w:val="TableContents"/>
              <w:spacing w:before="0" w:after="283"/>
              <w:jc w:val="right"/>
              <w:rPr/>
            </w:pPr>
            <w:r>
              <w:rPr/>
              <w:t>2.54</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1386" w:type="dxa"/>
            <w:tcBorders/>
            <w:shd w:fill="auto" w:val="clear"/>
            <w:vAlign w:val="bottom"/>
          </w:tcPr>
          <w:p>
            <w:pPr>
              <w:pStyle w:val="TableContents"/>
              <w:spacing w:before="0" w:after="283"/>
              <w:jc w:val="right"/>
              <w:rPr/>
            </w:pPr>
            <w:r>
              <w:rPr/>
              <w:t>1.50</w:t>
            </w:r>
          </w:p>
        </w:tc>
        <w:tc>
          <w:tcPr>
            <w:tcW w:w="118" w:type="dxa"/>
            <w:tcBorders/>
            <w:shd w:fill="auto" w:val="clear"/>
            <w:vAlign w:val="bottom"/>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pPr>
            <w:r>
              <w:rPr/>
              <w:t>Income from discontinued operations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0.07</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jc w:val="right"/>
              <w:rPr/>
            </w:pPr>
            <w:r>
              <w:rPr/>
              <w:t>0.06</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jc w:val="right"/>
              <w:rPr/>
            </w:pPr>
            <w:r>
              <w:rPr/>
              <w:t>0.51</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0.05</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b/>
              </w:rPr>
            </w:pPr>
            <w:r>
              <w:rPr>
                <w:b/>
              </w:rPr>
              <w:t>Net income</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431" w:type="dxa"/>
            <w:tcBorders/>
            <w:shd w:fill="auto" w:val="clear"/>
            <w:vAlign w:val="bottom"/>
          </w:tcPr>
          <w:p>
            <w:pPr>
              <w:pStyle w:val="TableContents"/>
              <w:spacing w:before="0" w:after="283"/>
              <w:jc w:val="right"/>
              <w:rPr/>
            </w:pPr>
            <w:r>
              <w:rPr/>
              <w:t>1.11</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434" w:type="dxa"/>
            <w:tcBorders/>
            <w:shd w:fill="auto" w:val="clear"/>
            <w:vAlign w:val="bottom"/>
          </w:tcPr>
          <w:p>
            <w:pPr>
              <w:pStyle w:val="TableContents"/>
              <w:spacing w:before="0" w:after="283"/>
              <w:jc w:val="right"/>
              <w:rPr/>
            </w:pPr>
            <w:r>
              <w:rPr/>
              <w:t>0.48</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1382" w:type="dxa"/>
            <w:tcBorders/>
            <w:shd w:fill="auto" w:val="clear"/>
            <w:vAlign w:val="bottom"/>
          </w:tcPr>
          <w:p>
            <w:pPr>
              <w:pStyle w:val="TableContents"/>
              <w:spacing w:before="0" w:after="283"/>
              <w:jc w:val="right"/>
              <w:rPr/>
            </w:pPr>
            <w:r>
              <w:rPr/>
              <w:t>3.05</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1386" w:type="dxa"/>
            <w:tcBorders/>
            <w:shd w:fill="auto" w:val="clear"/>
            <w:vAlign w:val="bottom"/>
          </w:tcPr>
          <w:p>
            <w:pPr>
              <w:pStyle w:val="TableContents"/>
              <w:spacing w:before="0" w:after="283"/>
              <w:jc w:val="right"/>
              <w:rPr/>
            </w:pPr>
            <w:r>
              <w:rPr/>
              <w:t>1.55</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CCEEFF" w:val="clear"/>
            <w:vAlign w:val="bottom"/>
          </w:tcPr>
          <w:p>
            <w:pPr>
              <w:pStyle w:val="TableContents"/>
              <w:spacing w:before="0" w:after="0"/>
              <w:ind w:left="225" w:right="0" w:hanging="225"/>
              <w:rPr/>
            </w:pPr>
            <w:r>
              <w:rPr/>
              <w:t>Average outstanding common shares</w:t>
            </w:r>
          </w:p>
        </w:tc>
        <w:tc>
          <w:tcPr>
            <w:tcW w:w="1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1" w:type="dxa"/>
            <w:tcBorders/>
            <w:shd w:fill="CCEEFF" w:val="clear"/>
            <w:vAlign w:val="bottom"/>
          </w:tcPr>
          <w:p>
            <w:pPr>
              <w:pStyle w:val="TableContents"/>
              <w:spacing w:before="0" w:after="283"/>
              <w:jc w:val="right"/>
              <w:rPr/>
            </w:pPr>
            <w:r>
              <w:rPr/>
              <w:t>21,121</w:t>
            </w:r>
          </w:p>
        </w:tc>
        <w:tc>
          <w:tcPr>
            <w:tcW w:w="1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4" w:type="dxa"/>
            <w:tcBorders/>
            <w:shd w:fill="CCEEFF" w:val="clear"/>
            <w:vAlign w:val="bottom"/>
          </w:tcPr>
          <w:p>
            <w:pPr>
              <w:pStyle w:val="TableContents"/>
              <w:spacing w:before="0" w:after="283"/>
              <w:jc w:val="right"/>
              <w:rPr/>
            </w:pPr>
            <w:r>
              <w:rPr/>
              <w:t>22,135</w:t>
            </w:r>
          </w:p>
        </w:tc>
        <w:tc>
          <w:tcPr>
            <w:tcW w:w="11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jc w:val="right"/>
              <w:rPr/>
            </w:pPr>
            <w:r>
              <w:rPr/>
              <w:t>21,456</w:t>
            </w:r>
          </w:p>
        </w:tc>
        <w:tc>
          <w:tcPr>
            <w:tcW w:w="17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22,028</w:t>
            </w:r>
          </w:p>
        </w:tc>
        <w:tc>
          <w:tcPr>
            <w:tcW w:w="118" w:type="dxa"/>
            <w:tcBorders/>
            <w:shd w:fill="CCEEFF"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220" w:type="dxa"/>
            <w:tcBorders/>
            <w:shd w:fill="auto" w:val="clear"/>
            <w:vAlign w:val="bottom"/>
          </w:tcPr>
          <w:p>
            <w:pPr>
              <w:pStyle w:val="TableContents"/>
              <w:spacing w:before="0" w:after="0"/>
              <w:ind w:left="225" w:right="0" w:hanging="225"/>
              <w:rPr/>
            </w:pPr>
            <w:r>
              <w:rPr/>
              <w:t>Dividends declared per common share</w:t>
            </w:r>
          </w:p>
        </w:tc>
        <w:tc>
          <w:tcPr>
            <w:tcW w:w="1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431" w:type="dxa"/>
            <w:tcBorders/>
            <w:shd w:fill="auto" w:val="clear"/>
            <w:vAlign w:val="bottom"/>
          </w:tcPr>
          <w:p>
            <w:pPr>
              <w:pStyle w:val="TableContents"/>
              <w:spacing w:before="0" w:after="283"/>
              <w:jc w:val="right"/>
              <w:rPr/>
            </w:pPr>
            <w:r>
              <w:rPr/>
              <w:t>0.04</w:t>
            </w:r>
          </w:p>
        </w:tc>
        <w:tc>
          <w:tcPr>
            <w:tcW w:w="1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434" w:type="dxa"/>
            <w:tcBorders/>
            <w:shd w:fill="auto" w:val="clear"/>
            <w:vAlign w:val="bottom"/>
          </w:tcPr>
          <w:p>
            <w:pPr>
              <w:pStyle w:val="TableContents"/>
              <w:spacing w:before="0" w:after="283"/>
              <w:jc w:val="right"/>
              <w:rPr/>
            </w:pPr>
            <w:r>
              <w:rPr/>
              <w:t>0.04</w:t>
            </w:r>
          </w:p>
        </w:tc>
        <w:tc>
          <w:tcPr>
            <w:tcW w:w="11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1382" w:type="dxa"/>
            <w:tcBorders/>
            <w:shd w:fill="auto" w:val="clear"/>
            <w:vAlign w:val="bottom"/>
          </w:tcPr>
          <w:p>
            <w:pPr>
              <w:pStyle w:val="TableContents"/>
              <w:spacing w:before="0" w:after="283"/>
              <w:jc w:val="right"/>
              <w:rPr/>
            </w:pPr>
            <w:r>
              <w:rPr/>
              <w:t>0.12</w:t>
            </w:r>
          </w:p>
        </w:tc>
        <w:tc>
          <w:tcPr>
            <w:tcW w:w="17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1386" w:type="dxa"/>
            <w:tcBorders/>
            <w:shd w:fill="auto" w:val="clear"/>
            <w:vAlign w:val="bottom"/>
          </w:tcPr>
          <w:p>
            <w:pPr>
              <w:pStyle w:val="TableContents"/>
              <w:spacing w:before="0" w:after="283"/>
              <w:jc w:val="right"/>
              <w:rPr/>
            </w:pPr>
            <w:r>
              <w:rPr/>
              <w:t>0.12</w:t>
            </w:r>
          </w:p>
        </w:tc>
        <w:tc>
          <w:tcPr>
            <w:tcW w:w="118" w:type="dxa"/>
            <w:tcBorders/>
            <w:shd w:fill="auto" w:val="clear"/>
            <w:vAlign w:val="bottom"/>
          </w:tcPr>
          <w:p>
            <w:pPr>
              <w:pStyle w:val="TableContents"/>
              <w:spacing w:before="0" w:after="283"/>
              <w:rPr/>
            </w:pPr>
            <w:r>
              <w:rPr/>
              <w:t> </w:t>
            </w:r>
          </w:p>
        </w:tc>
      </w:tr>
      <w:tr>
        <w:trPr/>
        <w:tc>
          <w:tcPr>
            <w:tcW w:w="2220" w:type="dxa"/>
            <w:tcBorders/>
            <w:shd w:fill="auto" w:val="clear"/>
            <w:vAlign w:val="center"/>
          </w:tcPr>
          <w:p>
            <w:pPr>
              <w:pStyle w:val="TableContents"/>
              <w:spacing w:before="0" w:after="0"/>
              <w:ind w:left="225" w:right="0" w:hanging="225"/>
              <w:rPr/>
            </w:pPr>
            <w:r>
              <w:rPr/>
              <w:t> </w:t>
            </w:r>
          </w:p>
        </w:tc>
        <w:tc>
          <w:tcPr>
            <w:tcW w:w="174" w:type="dxa"/>
            <w:tcBorders/>
            <w:shd w:fill="auto" w:val="clear"/>
            <w:vAlign w:val="center"/>
          </w:tcPr>
          <w:p>
            <w:pPr>
              <w:pStyle w:val="TableContents"/>
              <w:spacing w:before="0" w:after="283"/>
              <w:rPr/>
            </w:pPr>
            <w:r>
              <w:rPr/>
              <w:t> </w:t>
            </w:r>
          </w:p>
        </w:tc>
        <w:tc>
          <w:tcPr>
            <w:tcW w:w="16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6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c>
          <w:tcPr>
            <w:tcW w:w="16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6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COMPREHENSIVE INCOME</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309"/>
        <w:gridCol w:w="163"/>
        <w:gridCol w:w="283"/>
        <w:gridCol w:w="1382"/>
        <w:gridCol w:w="199"/>
        <w:gridCol w:w="220"/>
        <w:gridCol w:w="283"/>
        <w:gridCol w:w="1384"/>
        <w:gridCol w:w="77"/>
        <w:gridCol w:w="162"/>
        <w:gridCol w:w="273"/>
        <w:gridCol w:w="1334"/>
        <w:gridCol w:w="192"/>
        <w:gridCol w:w="215"/>
        <w:gridCol w:w="273"/>
        <w:gridCol w:w="1338"/>
        <w:gridCol w:w="118"/>
      </w:tblGrid>
      <w:tr>
        <w:trPr/>
        <w:tc>
          <w:tcPr>
            <w:tcW w:w="230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30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3751"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September 30,</w:t>
            </w:r>
          </w:p>
        </w:tc>
        <w:tc>
          <w:tcPr>
            <w:tcW w:w="7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62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18" w:type="dxa"/>
            <w:tcBorders/>
            <w:shd w:fill="auto" w:val="clear"/>
            <w:vAlign w:val="bottom"/>
          </w:tcPr>
          <w:p>
            <w:pPr>
              <w:pStyle w:val="TableContents"/>
              <w:spacing w:before="0" w:after="283"/>
              <w:rPr/>
            </w:pPr>
            <w:r>
              <w:rPr/>
              <w:t> </w:t>
            </w:r>
          </w:p>
        </w:tc>
      </w:tr>
      <w:tr>
        <w:trPr/>
        <w:tc>
          <w:tcPr>
            <w:tcW w:w="230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9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66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7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60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9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61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18" w:type="dxa"/>
            <w:tcBorders/>
            <w:shd w:fill="auto" w:val="clear"/>
            <w:vAlign w:val="bottom"/>
          </w:tcPr>
          <w:p>
            <w:pPr>
              <w:pStyle w:val="TableContents"/>
              <w:spacing w:before="0" w:after="283"/>
              <w:rPr/>
            </w:pPr>
            <w:r>
              <w:rPr/>
              <w:t> </w:t>
            </w:r>
          </w:p>
        </w:tc>
      </w:tr>
      <w:tr>
        <w:trPr/>
        <w:tc>
          <w:tcPr>
            <w:tcW w:w="230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615" w:type="dxa"/>
            <w:gridSpan w:val="14"/>
            <w:tcBorders/>
            <w:shd w:fill="auto" w:val="clear"/>
            <w:vAlign w:val="bottom"/>
          </w:tcPr>
          <w:p>
            <w:pPr>
              <w:pStyle w:val="TableContents"/>
              <w:spacing w:before="0" w:after="283"/>
              <w:jc w:val="center"/>
              <w:rPr>
                <w:b/>
              </w:rPr>
            </w:pPr>
            <w:r>
              <w:rPr>
                <w:b/>
              </w:rPr>
              <w:t>(in thousands)</w:t>
            </w:r>
          </w:p>
        </w:tc>
        <w:tc>
          <w:tcPr>
            <w:tcW w:w="118" w:type="dxa"/>
            <w:tcBorders/>
            <w:shd w:fill="auto" w:val="clear"/>
            <w:vAlign w:val="bottom"/>
          </w:tcPr>
          <w:p>
            <w:pPr>
              <w:pStyle w:val="TableContents"/>
              <w:spacing w:before="0" w:after="283"/>
              <w:rPr/>
            </w:pPr>
            <w:r>
              <w:rPr/>
              <w:t> </w:t>
            </w:r>
          </w:p>
        </w:tc>
      </w:tr>
      <w:tr>
        <w:trPr/>
        <w:tc>
          <w:tcPr>
            <w:tcW w:w="2309" w:type="dxa"/>
            <w:tcBorders/>
            <w:shd w:fill="CCEEFF" w:val="clear"/>
            <w:vAlign w:val="bottom"/>
          </w:tcPr>
          <w:p>
            <w:pPr>
              <w:pStyle w:val="TableContents"/>
              <w:spacing w:before="0" w:after="0"/>
              <w:ind w:left="225" w:right="0" w:hanging="225"/>
              <w:rPr>
                <w:b/>
              </w:rPr>
            </w:pPr>
            <w:r>
              <w:rPr>
                <w:b/>
              </w:rPr>
              <w:t>Net income</w:t>
            </w:r>
          </w:p>
        </w:tc>
        <w:tc>
          <w:tcPr>
            <w:tcW w:w="16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left"/>
              <w:rPr/>
            </w:pPr>
            <w:r>
              <w:rPr/>
              <w:t>$</w:t>
            </w:r>
          </w:p>
        </w:tc>
        <w:tc>
          <w:tcPr>
            <w:tcW w:w="1382" w:type="dxa"/>
            <w:tcBorders/>
            <w:shd w:fill="CCEEFF" w:val="clear"/>
            <w:vAlign w:val="bottom"/>
          </w:tcPr>
          <w:p>
            <w:pPr>
              <w:pStyle w:val="TableContents"/>
              <w:spacing w:before="0" w:after="283"/>
              <w:jc w:val="right"/>
              <w:rPr/>
            </w:pPr>
            <w:r>
              <w:rPr/>
              <w:t>23,519</w:t>
            </w:r>
          </w:p>
        </w:tc>
        <w:tc>
          <w:tcPr>
            <w:tcW w:w="199"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left"/>
              <w:rPr/>
            </w:pPr>
            <w:r>
              <w:rPr/>
              <w:t>$</w:t>
            </w:r>
          </w:p>
        </w:tc>
        <w:tc>
          <w:tcPr>
            <w:tcW w:w="1384" w:type="dxa"/>
            <w:tcBorders/>
            <w:shd w:fill="CCEEFF" w:val="clear"/>
            <w:vAlign w:val="bottom"/>
          </w:tcPr>
          <w:p>
            <w:pPr>
              <w:pStyle w:val="TableContents"/>
              <w:spacing w:before="0" w:after="283"/>
              <w:jc w:val="right"/>
              <w:rPr/>
            </w:pPr>
            <w:r>
              <w:rPr/>
              <w:t>10,699</w:t>
            </w:r>
          </w:p>
        </w:tc>
        <w:tc>
          <w:tcPr>
            <w:tcW w:w="7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jc w:val="left"/>
              <w:rPr/>
            </w:pPr>
            <w:r>
              <w:rPr/>
              <w:t>$</w:t>
            </w:r>
          </w:p>
        </w:tc>
        <w:tc>
          <w:tcPr>
            <w:tcW w:w="1334" w:type="dxa"/>
            <w:tcBorders/>
            <w:shd w:fill="CCEEFF" w:val="clear"/>
            <w:vAlign w:val="bottom"/>
          </w:tcPr>
          <w:p>
            <w:pPr>
              <w:pStyle w:val="TableContents"/>
              <w:spacing w:before="0" w:after="283"/>
              <w:jc w:val="right"/>
              <w:rPr/>
            </w:pPr>
            <w:r>
              <w:rPr/>
              <w:t>65,389</w:t>
            </w:r>
          </w:p>
        </w:tc>
        <w:tc>
          <w:tcPr>
            <w:tcW w:w="19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jc w:val="left"/>
              <w:rPr/>
            </w:pPr>
            <w:r>
              <w:rPr/>
              <w:t>$</w:t>
            </w:r>
          </w:p>
        </w:tc>
        <w:tc>
          <w:tcPr>
            <w:tcW w:w="1338" w:type="dxa"/>
            <w:tcBorders/>
            <w:shd w:fill="CCEEFF" w:val="clear"/>
            <w:vAlign w:val="bottom"/>
          </w:tcPr>
          <w:p>
            <w:pPr>
              <w:pStyle w:val="TableContents"/>
              <w:spacing w:before="0" w:after="283"/>
              <w:jc w:val="right"/>
              <w:rPr/>
            </w:pPr>
            <w:r>
              <w:rPr/>
              <w:t>34,042</w:t>
            </w:r>
          </w:p>
        </w:tc>
        <w:tc>
          <w:tcPr>
            <w:tcW w:w="118" w:type="dxa"/>
            <w:tcBorders/>
            <w:shd w:fill="CCEEFF" w:val="clear"/>
            <w:vAlign w:val="bottom"/>
          </w:tcPr>
          <w:p>
            <w:pPr>
              <w:pStyle w:val="TableContents"/>
              <w:spacing w:before="0" w:after="283"/>
              <w:rPr/>
            </w:pPr>
            <w:r>
              <w:rPr/>
              <w:t> </w:t>
            </w:r>
          </w:p>
        </w:tc>
      </w:tr>
      <w:tr>
        <w:trPr/>
        <w:tc>
          <w:tcPr>
            <w:tcW w:w="2309"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16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6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16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16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309" w:type="dxa"/>
            <w:tcBorders/>
            <w:shd w:fill="auto" w:val="clear"/>
            <w:vAlign w:val="bottom"/>
          </w:tcPr>
          <w:p>
            <w:pPr>
              <w:pStyle w:val="TableContents"/>
              <w:spacing w:before="0" w:after="0"/>
              <w:ind w:left="225" w:right="0" w:hanging="225"/>
              <w:rPr/>
            </w:pPr>
            <w:r>
              <w:rPr/>
              <w:t> </w:t>
            </w:r>
          </w:p>
        </w:tc>
        <w:tc>
          <w:tcPr>
            <w:tcW w:w="16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309" w:type="dxa"/>
            <w:tcBorders/>
            <w:shd w:fill="auto" w:val="clear"/>
            <w:vAlign w:val="bottom"/>
          </w:tcPr>
          <w:p>
            <w:pPr>
              <w:pStyle w:val="TableContents"/>
              <w:spacing w:before="0" w:after="0"/>
              <w:ind w:left="225" w:right="0" w:hanging="225"/>
              <w:rPr/>
            </w:pPr>
            <w:r>
              <w:rPr/>
              <w:t>Other comprehensive income (loss):</w:t>
            </w:r>
          </w:p>
        </w:tc>
        <w:tc>
          <w:tcPr>
            <w:tcW w:w="16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2309" w:type="dxa"/>
            <w:tcBorders/>
            <w:shd w:fill="CCEEFF" w:val="clear"/>
            <w:vAlign w:val="bottom"/>
          </w:tcPr>
          <w:p>
            <w:pPr>
              <w:pStyle w:val="TableContents"/>
              <w:spacing w:before="0" w:after="0"/>
              <w:ind w:left="450" w:right="0" w:hanging="225"/>
              <w:rPr/>
            </w:pPr>
            <w:r>
              <w:rPr/>
              <w:t>Unrealized gains (losses) on investments:</w:t>
            </w:r>
          </w:p>
        </w:tc>
        <w:tc>
          <w:tcPr>
            <w:tcW w:w="16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384"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r>
      <w:tr>
        <w:trPr/>
        <w:tc>
          <w:tcPr>
            <w:tcW w:w="2309" w:type="dxa"/>
            <w:tcBorders/>
            <w:shd w:fill="auto" w:val="clear"/>
            <w:vAlign w:val="bottom"/>
          </w:tcPr>
          <w:p>
            <w:pPr>
              <w:pStyle w:val="TableContents"/>
              <w:spacing w:before="0" w:after="0"/>
              <w:ind w:left="675" w:right="0" w:hanging="225"/>
              <w:rPr/>
            </w:pPr>
            <w:r>
              <w:rPr/>
              <w:t>Holding gains (losses) arising during the period, net of tax</w:t>
            </w:r>
          </w:p>
        </w:tc>
        <w:tc>
          <w:tcPr>
            <w:tcW w:w="16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2" w:type="dxa"/>
            <w:tcBorders/>
            <w:shd w:fill="auto" w:val="clear"/>
            <w:vAlign w:val="bottom"/>
          </w:tcPr>
          <w:p>
            <w:pPr>
              <w:pStyle w:val="TableContents"/>
              <w:spacing w:before="0" w:after="283"/>
              <w:jc w:val="right"/>
              <w:rPr/>
            </w:pPr>
            <w:r>
              <w:rPr/>
              <w:t>22</w:t>
            </w:r>
          </w:p>
        </w:tc>
        <w:tc>
          <w:tcPr>
            <w:tcW w:w="19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4" w:type="dxa"/>
            <w:tcBorders/>
            <w:shd w:fill="auto" w:val="clear"/>
            <w:vAlign w:val="bottom"/>
          </w:tcPr>
          <w:p>
            <w:pPr>
              <w:pStyle w:val="TableContents"/>
              <w:spacing w:before="0" w:after="283"/>
              <w:jc w:val="right"/>
              <w:rPr/>
            </w:pPr>
            <w:r>
              <w:rPr/>
              <w:t>15</w:t>
            </w:r>
          </w:p>
        </w:tc>
        <w:tc>
          <w:tcPr>
            <w:tcW w:w="7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22</w:t>
            </w:r>
          </w:p>
        </w:tc>
        <w:tc>
          <w:tcPr>
            <w:tcW w:w="19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jc w:val="left"/>
              <w:rPr/>
            </w:pPr>
            <w:r>
              <w:rPr/>
              <w:t> </w:t>
            </w:r>
          </w:p>
        </w:tc>
        <w:tc>
          <w:tcPr>
            <w:tcW w:w="1338" w:type="dxa"/>
            <w:tcBorders/>
            <w:shd w:fill="auto" w:val="clear"/>
            <w:vAlign w:val="bottom"/>
          </w:tcPr>
          <w:p>
            <w:pPr>
              <w:pStyle w:val="TableContents"/>
              <w:spacing w:before="0" w:after="283"/>
              <w:jc w:val="right"/>
              <w:rPr/>
            </w:pPr>
            <w:r>
              <w:rPr/>
              <w:t>(21</w:t>
            </w:r>
          </w:p>
        </w:tc>
        <w:tc>
          <w:tcPr>
            <w:tcW w:w="118" w:type="dxa"/>
            <w:tcBorders/>
            <w:shd w:fill="auto" w:val="clear"/>
            <w:vAlign w:val="bottom"/>
          </w:tcPr>
          <w:p>
            <w:pPr>
              <w:pStyle w:val="TableContents"/>
              <w:spacing w:before="0" w:after="283"/>
              <w:rPr/>
            </w:pPr>
            <w:r>
              <w:rPr/>
              <w:t>)</w:t>
            </w:r>
          </w:p>
        </w:tc>
      </w:tr>
      <w:tr>
        <w:trPr/>
        <w:tc>
          <w:tcPr>
            <w:tcW w:w="2309" w:type="dxa"/>
            <w:tcBorders/>
            <w:shd w:fill="CCEEFF" w:val="clear"/>
            <w:vAlign w:val="bottom"/>
          </w:tcPr>
          <w:p>
            <w:pPr>
              <w:pStyle w:val="TableContents"/>
              <w:spacing w:before="0" w:after="0"/>
              <w:ind w:left="450" w:right="0" w:hanging="225"/>
              <w:rPr/>
            </w:pPr>
            <w:r>
              <w:rPr/>
              <w:t>Unrealized losses on derivative financial instruments:</w:t>
            </w:r>
          </w:p>
        </w:tc>
        <w:tc>
          <w:tcPr>
            <w:tcW w:w="16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382"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384"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r>
      <w:tr>
        <w:trPr/>
        <w:tc>
          <w:tcPr>
            <w:tcW w:w="2309" w:type="dxa"/>
            <w:tcBorders/>
            <w:shd w:fill="auto" w:val="clear"/>
            <w:vAlign w:val="bottom"/>
          </w:tcPr>
          <w:p>
            <w:pPr>
              <w:pStyle w:val="TableContents"/>
              <w:spacing w:before="0" w:after="0"/>
              <w:ind w:left="675" w:right="0" w:hanging="225"/>
              <w:rPr/>
            </w:pPr>
            <w:r>
              <w:rPr/>
              <w:t>Holding losses arising during the period, net of tax</w:t>
            </w:r>
          </w:p>
        </w:tc>
        <w:tc>
          <w:tcPr>
            <w:tcW w:w="16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left"/>
              <w:rPr/>
            </w:pPr>
            <w:r>
              <w:rPr/>
              <w:t> </w:t>
            </w:r>
          </w:p>
        </w:tc>
        <w:tc>
          <w:tcPr>
            <w:tcW w:w="1382" w:type="dxa"/>
            <w:tcBorders/>
            <w:shd w:fill="auto" w:val="clear"/>
            <w:vAlign w:val="bottom"/>
          </w:tcPr>
          <w:p>
            <w:pPr>
              <w:pStyle w:val="TableContents"/>
              <w:spacing w:before="0" w:after="283"/>
              <w:jc w:val="right"/>
              <w:rPr/>
            </w:pPr>
            <w:r>
              <w:rPr/>
              <w:t>(59</w:t>
            </w:r>
          </w:p>
        </w:tc>
        <w:tc>
          <w:tcPr>
            <w:tcW w:w="199" w:type="dxa"/>
            <w:tcBorders/>
            <w:shd w:fill="auto" w:val="clear"/>
            <w:vAlign w:val="bottom"/>
          </w:tcPr>
          <w:p>
            <w:pPr>
              <w:pStyle w:val="TableContents"/>
              <w:spacing w:before="0" w:after="283"/>
              <w:rPr/>
            </w:pPr>
            <w:r>
              <w:rPr/>
              <w:t>)</w:t>
            </w:r>
          </w:p>
        </w:tc>
        <w:tc>
          <w:tcPr>
            <w:tcW w:w="2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4" w:type="dxa"/>
            <w:tcBorders/>
            <w:shd w:fill="auto" w:val="clear"/>
            <w:vAlign w:val="bottom"/>
          </w:tcPr>
          <w:p>
            <w:pPr>
              <w:pStyle w:val="TableContents"/>
              <w:spacing w:before="0" w:after="283"/>
              <w:jc w:val="right"/>
              <w:rPr/>
            </w:pPr>
            <w:r>
              <w:rPr/>
              <w:t></w:t>
            </w:r>
          </w:p>
        </w:tc>
        <w:tc>
          <w:tcPr>
            <w:tcW w:w="7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jc w:val="left"/>
              <w:rPr/>
            </w:pPr>
            <w:r>
              <w:rPr/>
              <w:t> </w:t>
            </w:r>
          </w:p>
        </w:tc>
        <w:tc>
          <w:tcPr>
            <w:tcW w:w="1334" w:type="dxa"/>
            <w:tcBorders/>
            <w:shd w:fill="auto" w:val="clear"/>
            <w:vAlign w:val="bottom"/>
          </w:tcPr>
          <w:p>
            <w:pPr>
              <w:pStyle w:val="TableContents"/>
              <w:spacing w:before="0" w:after="283"/>
              <w:jc w:val="right"/>
              <w:rPr/>
            </w:pPr>
            <w:r>
              <w:rPr/>
              <w:t>(36</w:t>
            </w:r>
          </w:p>
        </w:tc>
        <w:tc>
          <w:tcPr>
            <w:tcW w:w="192" w:type="dxa"/>
            <w:tcBorders/>
            <w:shd w:fill="auto" w:val="clear"/>
            <w:vAlign w:val="bottom"/>
          </w:tcPr>
          <w:p>
            <w:pPr>
              <w:pStyle w:val="TableContents"/>
              <w:spacing w:before="0" w:after="283"/>
              <w:rPr/>
            </w:pPr>
            <w:r>
              <w:rPr/>
              <w:t>)</w:t>
            </w:r>
          </w:p>
        </w:tc>
        <w:tc>
          <w:tcPr>
            <w:tcW w:w="21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r>
      <w:tr>
        <w:trPr/>
        <w:tc>
          <w:tcPr>
            <w:tcW w:w="2309" w:type="dxa"/>
            <w:tcBorders/>
            <w:shd w:fill="CCEEFF" w:val="clear"/>
            <w:vAlign w:val="bottom"/>
          </w:tcPr>
          <w:p>
            <w:pPr>
              <w:pStyle w:val="TableContents"/>
              <w:spacing w:before="0" w:after="0"/>
              <w:ind w:left="450" w:right="0" w:hanging="225"/>
              <w:rPr/>
            </w:pPr>
            <w:r>
              <w:rPr/>
              <w:t>Unrealized foreign currency translation gains (losses)</w:t>
            </w:r>
          </w:p>
        </w:tc>
        <w:tc>
          <w:tcPr>
            <w:tcW w:w="16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left"/>
              <w:rPr/>
            </w:pPr>
            <w:r>
              <w:rPr/>
              <w:t> </w:t>
            </w:r>
          </w:p>
        </w:tc>
        <w:tc>
          <w:tcPr>
            <w:tcW w:w="1382" w:type="dxa"/>
            <w:tcBorders/>
            <w:shd w:fill="CCEEFF" w:val="clear"/>
            <w:vAlign w:val="bottom"/>
          </w:tcPr>
          <w:p>
            <w:pPr>
              <w:pStyle w:val="TableContents"/>
              <w:spacing w:before="0" w:after="283"/>
              <w:jc w:val="right"/>
              <w:rPr/>
            </w:pPr>
            <w:r>
              <w:rPr/>
              <w:t>(117</w:t>
            </w:r>
          </w:p>
        </w:tc>
        <w:tc>
          <w:tcPr>
            <w:tcW w:w="199" w:type="dxa"/>
            <w:tcBorders/>
            <w:shd w:fill="CCEEFF" w:val="clear"/>
            <w:vAlign w:val="bottom"/>
          </w:tcPr>
          <w:p>
            <w:pPr>
              <w:pStyle w:val="TableContents"/>
              <w:spacing w:before="0" w:after="283"/>
              <w:rPr/>
            </w:pPr>
            <w:r>
              <w:rPr/>
              <w:t>)</w:t>
            </w:r>
          </w:p>
        </w:tc>
        <w:tc>
          <w:tcPr>
            <w:tcW w:w="2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384" w:type="dxa"/>
            <w:tcBorders/>
            <w:shd w:fill="CCEEFF" w:val="clear"/>
            <w:vAlign w:val="bottom"/>
          </w:tcPr>
          <w:p>
            <w:pPr>
              <w:pStyle w:val="TableContents"/>
              <w:spacing w:before="0" w:after="283"/>
              <w:jc w:val="right"/>
              <w:rPr/>
            </w:pPr>
            <w:r>
              <w:rPr/>
              <w:t>6,661</w:t>
            </w:r>
          </w:p>
        </w:tc>
        <w:tc>
          <w:tcPr>
            <w:tcW w:w="7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6,359</w:t>
            </w:r>
          </w:p>
        </w:tc>
        <w:tc>
          <w:tcPr>
            <w:tcW w:w="19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3,722</w:t>
            </w:r>
          </w:p>
        </w:tc>
        <w:tc>
          <w:tcPr>
            <w:tcW w:w="118" w:type="dxa"/>
            <w:tcBorders/>
            <w:shd w:fill="CCEEFF" w:val="clear"/>
            <w:vAlign w:val="bottom"/>
          </w:tcPr>
          <w:p>
            <w:pPr>
              <w:pStyle w:val="TableContents"/>
              <w:spacing w:before="0" w:after="283"/>
              <w:rPr/>
            </w:pPr>
            <w:r>
              <w:rPr/>
              <w:t> </w:t>
            </w:r>
          </w:p>
        </w:tc>
      </w:tr>
      <w:tr>
        <w:trPr/>
        <w:tc>
          <w:tcPr>
            <w:tcW w:w="2309"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16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6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16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16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309" w:type="dxa"/>
            <w:tcBorders/>
            <w:shd w:fill="auto" w:val="clear"/>
            <w:vAlign w:val="bottom"/>
          </w:tcPr>
          <w:p>
            <w:pPr>
              <w:pStyle w:val="TableContents"/>
              <w:spacing w:before="0" w:after="0"/>
              <w:ind w:left="225" w:right="0" w:hanging="225"/>
              <w:rPr/>
            </w:pPr>
            <w:r>
              <w:rPr/>
              <w:t>Other comprehensive income (loss)</w:t>
            </w:r>
          </w:p>
        </w:tc>
        <w:tc>
          <w:tcPr>
            <w:tcW w:w="16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left"/>
              <w:rPr/>
            </w:pPr>
            <w:r>
              <w:rPr/>
              <w:t> </w:t>
            </w:r>
          </w:p>
        </w:tc>
        <w:tc>
          <w:tcPr>
            <w:tcW w:w="1382" w:type="dxa"/>
            <w:tcBorders/>
            <w:shd w:fill="auto" w:val="clear"/>
            <w:vAlign w:val="bottom"/>
          </w:tcPr>
          <w:p>
            <w:pPr>
              <w:pStyle w:val="TableContents"/>
              <w:spacing w:before="0" w:after="283"/>
              <w:jc w:val="right"/>
              <w:rPr/>
            </w:pPr>
            <w:r>
              <w:rPr/>
              <w:t>(154</w:t>
            </w:r>
          </w:p>
        </w:tc>
        <w:tc>
          <w:tcPr>
            <w:tcW w:w="199" w:type="dxa"/>
            <w:tcBorders/>
            <w:shd w:fill="auto" w:val="clear"/>
            <w:vAlign w:val="bottom"/>
          </w:tcPr>
          <w:p>
            <w:pPr>
              <w:pStyle w:val="TableContents"/>
              <w:spacing w:before="0" w:after="283"/>
              <w:rPr/>
            </w:pPr>
            <w:r>
              <w:rPr/>
              <w:t>)</w:t>
            </w:r>
          </w:p>
        </w:tc>
        <w:tc>
          <w:tcPr>
            <w:tcW w:w="2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84" w:type="dxa"/>
            <w:tcBorders/>
            <w:shd w:fill="auto" w:val="clear"/>
            <w:vAlign w:val="bottom"/>
          </w:tcPr>
          <w:p>
            <w:pPr>
              <w:pStyle w:val="TableContents"/>
              <w:spacing w:before="0" w:after="283"/>
              <w:jc w:val="right"/>
              <w:rPr/>
            </w:pPr>
            <w:r>
              <w:rPr/>
              <w:t>6,676</w:t>
            </w:r>
          </w:p>
        </w:tc>
        <w:tc>
          <w:tcPr>
            <w:tcW w:w="7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6,345</w:t>
            </w:r>
          </w:p>
        </w:tc>
        <w:tc>
          <w:tcPr>
            <w:tcW w:w="19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3,701</w:t>
            </w:r>
          </w:p>
        </w:tc>
        <w:tc>
          <w:tcPr>
            <w:tcW w:w="118" w:type="dxa"/>
            <w:tcBorders/>
            <w:shd w:fill="auto" w:val="clear"/>
            <w:vAlign w:val="bottom"/>
          </w:tcPr>
          <w:p>
            <w:pPr>
              <w:pStyle w:val="TableContents"/>
              <w:spacing w:before="0" w:after="283"/>
              <w:rPr/>
            </w:pPr>
            <w:r>
              <w:rPr/>
              <w:t> </w:t>
            </w:r>
          </w:p>
        </w:tc>
      </w:tr>
      <w:tr>
        <w:trPr/>
        <w:tc>
          <w:tcPr>
            <w:tcW w:w="2309"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16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6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16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16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2309" w:type="dxa"/>
            <w:tcBorders/>
            <w:shd w:fill="CCEEFF" w:val="clear"/>
            <w:vAlign w:val="bottom"/>
          </w:tcPr>
          <w:p>
            <w:pPr>
              <w:pStyle w:val="TableContents"/>
              <w:spacing w:before="0" w:after="0"/>
              <w:ind w:left="225" w:right="0" w:hanging="225"/>
              <w:rPr/>
            </w:pPr>
            <w:r>
              <w:rPr/>
              <w:t>Comprehensive income</w:t>
            </w:r>
          </w:p>
        </w:tc>
        <w:tc>
          <w:tcPr>
            <w:tcW w:w="16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left"/>
              <w:rPr/>
            </w:pPr>
            <w:r>
              <w:rPr/>
              <w:t>$</w:t>
            </w:r>
          </w:p>
        </w:tc>
        <w:tc>
          <w:tcPr>
            <w:tcW w:w="1382" w:type="dxa"/>
            <w:tcBorders/>
            <w:shd w:fill="CCEEFF" w:val="clear"/>
            <w:vAlign w:val="bottom"/>
          </w:tcPr>
          <w:p>
            <w:pPr>
              <w:pStyle w:val="TableContents"/>
              <w:spacing w:before="0" w:after="283"/>
              <w:jc w:val="right"/>
              <w:rPr/>
            </w:pPr>
            <w:r>
              <w:rPr/>
              <w:t>23,365</w:t>
            </w:r>
          </w:p>
        </w:tc>
        <w:tc>
          <w:tcPr>
            <w:tcW w:w="199"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left"/>
              <w:rPr/>
            </w:pPr>
            <w:r>
              <w:rPr/>
              <w:t>$</w:t>
            </w:r>
          </w:p>
        </w:tc>
        <w:tc>
          <w:tcPr>
            <w:tcW w:w="1384" w:type="dxa"/>
            <w:tcBorders/>
            <w:shd w:fill="CCEEFF" w:val="clear"/>
            <w:vAlign w:val="bottom"/>
          </w:tcPr>
          <w:p>
            <w:pPr>
              <w:pStyle w:val="TableContents"/>
              <w:spacing w:before="0" w:after="283"/>
              <w:jc w:val="right"/>
              <w:rPr/>
            </w:pPr>
            <w:r>
              <w:rPr/>
              <w:t>17,375</w:t>
            </w:r>
          </w:p>
        </w:tc>
        <w:tc>
          <w:tcPr>
            <w:tcW w:w="7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jc w:val="left"/>
              <w:rPr/>
            </w:pPr>
            <w:r>
              <w:rPr/>
              <w:t>$</w:t>
            </w:r>
          </w:p>
        </w:tc>
        <w:tc>
          <w:tcPr>
            <w:tcW w:w="1334" w:type="dxa"/>
            <w:tcBorders/>
            <w:shd w:fill="CCEEFF" w:val="clear"/>
            <w:vAlign w:val="bottom"/>
          </w:tcPr>
          <w:p>
            <w:pPr>
              <w:pStyle w:val="TableContents"/>
              <w:spacing w:before="0" w:after="283"/>
              <w:jc w:val="right"/>
              <w:rPr/>
            </w:pPr>
            <w:r>
              <w:rPr/>
              <w:t>71,734</w:t>
            </w:r>
          </w:p>
        </w:tc>
        <w:tc>
          <w:tcPr>
            <w:tcW w:w="19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jc w:val="left"/>
              <w:rPr/>
            </w:pPr>
            <w:r>
              <w:rPr/>
              <w:t>$</w:t>
            </w:r>
          </w:p>
        </w:tc>
        <w:tc>
          <w:tcPr>
            <w:tcW w:w="1338" w:type="dxa"/>
            <w:tcBorders/>
            <w:shd w:fill="CCEEFF" w:val="clear"/>
            <w:vAlign w:val="bottom"/>
          </w:tcPr>
          <w:p>
            <w:pPr>
              <w:pStyle w:val="TableContents"/>
              <w:spacing w:before="0" w:after="283"/>
              <w:jc w:val="right"/>
              <w:rPr/>
            </w:pPr>
            <w:r>
              <w:rPr/>
              <w:t>37,743</w:t>
            </w:r>
          </w:p>
        </w:tc>
        <w:tc>
          <w:tcPr>
            <w:tcW w:w="118" w:type="dxa"/>
            <w:tcBorders/>
            <w:shd w:fill="CCEEFF" w:val="clear"/>
            <w:vAlign w:val="bottom"/>
          </w:tcPr>
          <w:p>
            <w:pPr>
              <w:pStyle w:val="TableContents"/>
              <w:spacing w:before="0" w:after="283"/>
              <w:rPr/>
            </w:pPr>
            <w:r>
              <w:rPr/>
              <w:t> </w:t>
            </w:r>
          </w:p>
        </w:tc>
      </w:tr>
      <w:tr>
        <w:trPr/>
        <w:tc>
          <w:tcPr>
            <w:tcW w:w="2309"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16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66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16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16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CASH FLOWS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827"/>
        <w:gridCol w:w="369"/>
        <w:gridCol w:w="250"/>
        <w:gridCol w:w="1386"/>
        <w:gridCol w:w="190"/>
        <w:gridCol w:w="402"/>
        <w:gridCol w:w="250"/>
        <w:gridCol w:w="1389"/>
        <w:gridCol w:w="142"/>
      </w:tblGrid>
      <w:tr>
        <w:trPr/>
        <w:tc>
          <w:tcPr>
            <w:tcW w:w="5827"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386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42" w:type="dxa"/>
            <w:tcBorders/>
            <w:shd w:fill="auto"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63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63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2" w:type="dxa"/>
            <w:tcBorders/>
            <w:shd w:fill="auto"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3867" w:type="dxa"/>
            <w:gridSpan w:val="6"/>
            <w:tcBorders/>
            <w:shd w:fill="auto" w:val="clear"/>
            <w:vAlign w:val="bottom"/>
          </w:tcPr>
          <w:p>
            <w:pPr>
              <w:pStyle w:val="TableContents"/>
              <w:spacing w:before="0" w:after="283"/>
              <w:jc w:val="center"/>
              <w:rPr>
                <w:b/>
              </w:rPr>
            </w:pPr>
            <w:r>
              <w:rPr>
                <w:b/>
              </w:rPr>
              <w:t>(in thousands)</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b/>
              </w:rPr>
            </w:pPr>
            <w:r>
              <w:rPr>
                <w:b/>
              </w:rPr>
              <w:t>Cash flows from operating activities: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Net income</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386" w:type="dxa"/>
            <w:tcBorders/>
            <w:shd w:fill="auto" w:val="clear"/>
            <w:vAlign w:val="bottom"/>
          </w:tcPr>
          <w:p>
            <w:pPr>
              <w:pStyle w:val="TableContents"/>
              <w:spacing w:before="0" w:after="283"/>
              <w:jc w:val="right"/>
              <w:rPr/>
            </w:pPr>
            <w:r>
              <w:rPr/>
              <w:t>65,389</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389" w:type="dxa"/>
            <w:tcBorders/>
            <w:shd w:fill="auto" w:val="clear"/>
            <w:vAlign w:val="bottom"/>
          </w:tcPr>
          <w:p>
            <w:pPr>
              <w:pStyle w:val="TableContents"/>
              <w:spacing w:before="0" w:after="283"/>
              <w:jc w:val="right"/>
              <w:rPr/>
            </w:pPr>
            <w:r>
              <w:rPr/>
              <w:t>34,042</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pPr>
            <w:r>
              <w:rPr/>
              <w:t>Adjustments to reconcile net income to net cash provided by operating activities: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450" w:right="0" w:hanging="225"/>
              <w:rPr/>
            </w:pPr>
            <w:r>
              <w:rPr/>
              <w:t>Depreciation and amortization</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15,044</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jc w:val="right"/>
              <w:rPr/>
            </w:pPr>
            <w:r>
              <w:rPr/>
              <w:t>16,988</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450" w:right="0" w:hanging="225"/>
              <w:rPr/>
            </w:pPr>
            <w:r>
              <w:rPr/>
              <w:t>Deferred income taxes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1,477</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9,682</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450" w:right="0" w:hanging="225"/>
              <w:rPr/>
            </w:pPr>
            <w:r>
              <w:rPr/>
              <w:t>Income from discontinued operations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(11,026</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9" w:type="dxa"/>
            <w:tcBorders/>
            <w:shd w:fill="auto" w:val="clear"/>
            <w:vAlign w:val="bottom"/>
          </w:tcPr>
          <w:p>
            <w:pPr>
              <w:pStyle w:val="TableContents"/>
              <w:spacing w:before="0" w:after="283"/>
              <w:jc w:val="right"/>
              <w:rPr/>
            </w:pPr>
            <w:r>
              <w:rPr/>
              <w:t>(1,160</w:t>
            </w:r>
          </w:p>
        </w:tc>
        <w:tc>
          <w:tcPr>
            <w:tcW w:w="142" w:type="dxa"/>
            <w:tcBorders/>
            <w:shd w:fill="auto" w:val="clear"/>
            <w:vAlign w:val="bottom"/>
          </w:tcPr>
          <w:p>
            <w:pPr>
              <w:pStyle w:val="TableContents"/>
              <w:spacing w:before="0" w:after="283"/>
              <w:rPr/>
            </w:pPr>
            <w:r>
              <w:rPr/>
              <w:t>)</w:t>
            </w:r>
          </w:p>
        </w:tc>
      </w:tr>
      <w:tr>
        <w:trPr/>
        <w:tc>
          <w:tcPr>
            <w:tcW w:w="5827" w:type="dxa"/>
            <w:tcBorders/>
            <w:shd w:fill="CCEEFF" w:val="clear"/>
            <w:vAlign w:val="bottom"/>
          </w:tcPr>
          <w:p>
            <w:pPr>
              <w:pStyle w:val="TableContents"/>
              <w:spacing w:before="0" w:after="0"/>
              <w:ind w:left="450" w:right="0" w:hanging="225"/>
              <w:rPr/>
            </w:pPr>
            <w:r>
              <w:rPr/>
              <w:t>Restructuring recoveries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6" w:type="dxa"/>
            <w:tcBorders/>
            <w:shd w:fill="CCEEFF" w:val="clear"/>
            <w:vAlign w:val="bottom"/>
          </w:tcPr>
          <w:p>
            <w:pPr>
              <w:pStyle w:val="TableContents"/>
              <w:spacing w:before="0" w:after="283"/>
              <w:jc w:val="right"/>
              <w:rPr/>
            </w:pPr>
            <w:r>
              <w:rPr/>
              <w:t>(215</w:t>
            </w:r>
          </w:p>
        </w:tc>
        <w:tc>
          <w:tcPr>
            <w:tcW w:w="190" w:type="dxa"/>
            <w:tcBorders/>
            <w:shd w:fill="CCEEFF" w:val="clear"/>
            <w:vAlign w:val="bottom"/>
          </w:tcPr>
          <w:p>
            <w:pPr>
              <w:pStyle w:val="TableContents"/>
              <w:spacing w:before="0" w:after="283"/>
              <w:rPr/>
            </w:pPr>
            <w:r>
              <w:rPr/>
              <w:t>)</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9" w:type="dxa"/>
            <w:tcBorders/>
            <w:shd w:fill="CCEEFF" w:val="clear"/>
            <w:vAlign w:val="bottom"/>
          </w:tcPr>
          <w:p>
            <w:pPr>
              <w:pStyle w:val="TableContents"/>
              <w:spacing w:before="0" w:after="283"/>
              <w:jc w:val="right"/>
              <w:rPr/>
            </w:pPr>
            <w:r>
              <w:rPr/>
              <w:t>(593</w:t>
            </w:r>
          </w:p>
        </w:tc>
        <w:tc>
          <w:tcPr>
            <w:tcW w:w="142" w:type="dxa"/>
            <w:tcBorders/>
            <w:shd w:fill="CCEEFF" w:val="clear"/>
            <w:vAlign w:val="bottom"/>
          </w:tcPr>
          <w:p>
            <w:pPr>
              <w:pStyle w:val="TableContents"/>
              <w:spacing w:before="0" w:after="283"/>
              <w:rPr/>
            </w:pPr>
            <w:r>
              <w:rPr/>
              <w:t>)</w:t>
            </w:r>
          </w:p>
        </w:tc>
      </w:tr>
      <w:tr>
        <w:trPr/>
        <w:tc>
          <w:tcPr>
            <w:tcW w:w="5827" w:type="dxa"/>
            <w:tcBorders/>
            <w:shd w:fill="auto" w:val="clear"/>
            <w:vAlign w:val="bottom"/>
          </w:tcPr>
          <w:p>
            <w:pPr>
              <w:pStyle w:val="TableContents"/>
              <w:spacing w:before="0" w:after="0"/>
              <w:ind w:left="450" w:right="0" w:hanging="225"/>
              <w:rPr/>
            </w:pPr>
            <w:r>
              <w:rPr/>
              <w:t>Impairment losses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600</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jc w:val="right"/>
              <w:rPr/>
            </w:pPr>
            <w:r>
              <w:rPr/>
              <w:t>843</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450" w:right="0" w:hanging="225"/>
              <w:rPr/>
            </w:pPr>
            <w:r>
              <w:rPr/>
              <w:t>Gains on dispositions of property and other assets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6" w:type="dxa"/>
            <w:tcBorders/>
            <w:shd w:fill="CCEEFF" w:val="clear"/>
            <w:vAlign w:val="bottom"/>
          </w:tcPr>
          <w:p>
            <w:pPr>
              <w:pStyle w:val="TableContents"/>
              <w:spacing w:before="0" w:after="283"/>
              <w:jc w:val="right"/>
              <w:rPr/>
            </w:pPr>
            <w:r>
              <w:rPr/>
              <w:t>(3,478</w:t>
            </w:r>
          </w:p>
        </w:tc>
        <w:tc>
          <w:tcPr>
            <w:tcW w:w="190" w:type="dxa"/>
            <w:tcBorders/>
            <w:shd w:fill="CCEEFF" w:val="clear"/>
            <w:vAlign w:val="bottom"/>
          </w:tcPr>
          <w:p>
            <w:pPr>
              <w:pStyle w:val="TableContents"/>
              <w:spacing w:before="0" w:after="283"/>
              <w:rPr/>
            </w:pPr>
            <w:r>
              <w:rPr/>
              <w:t>)</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9" w:type="dxa"/>
            <w:tcBorders/>
            <w:shd w:fill="CCEEFF" w:val="clear"/>
            <w:vAlign w:val="bottom"/>
          </w:tcPr>
          <w:p>
            <w:pPr>
              <w:pStyle w:val="TableContents"/>
              <w:spacing w:before="0" w:after="283"/>
              <w:jc w:val="right"/>
              <w:rPr/>
            </w:pPr>
            <w:r>
              <w:rPr/>
              <w:t>(61</w:t>
            </w:r>
          </w:p>
        </w:tc>
        <w:tc>
          <w:tcPr>
            <w:tcW w:w="142" w:type="dxa"/>
            <w:tcBorders/>
            <w:shd w:fill="CCEEFF" w:val="clear"/>
            <w:vAlign w:val="bottom"/>
          </w:tcPr>
          <w:p>
            <w:pPr>
              <w:pStyle w:val="TableContents"/>
              <w:spacing w:before="0" w:after="283"/>
              <w:rPr/>
            </w:pPr>
            <w:r>
              <w:rPr/>
              <w:t>)</w:t>
            </w:r>
          </w:p>
        </w:tc>
      </w:tr>
      <w:tr>
        <w:trPr/>
        <w:tc>
          <w:tcPr>
            <w:tcW w:w="5827" w:type="dxa"/>
            <w:tcBorders/>
            <w:shd w:fill="auto" w:val="clear"/>
            <w:vAlign w:val="bottom"/>
          </w:tcPr>
          <w:p>
            <w:pPr>
              <w:pStyle w:val="TableContents"/>
              <w:spacing w:before="0" w:after="0"/>
              <w:ind w:left="450" w:right="0" w:hanging="225"/>
              <w:rPr/>
            </w:pPr>
            <w:r>
              <w:rPr/>
              <w:t>Share-based compensation expense</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7,072</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jc w:val="right"/>
              <w:rPr/>
            </w:pPr>
            <w:r>
              <w:rPr/>
              <w:t>5,564</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450" w:right="0" w:hanging="225"/>
              <w:rPr/>
            </w:pPr>
            <w:r>
              <w:rPr/>
              <w:t>Tax benefits from share-based compensation arrangements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7,446</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707</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450" w:right="0" w:hanging="225"/>
              <w:rPr/>
            </w:pPr>
            <w:r>
              <w:rPr/>
              <w:t>Excess tax benefits from share-based compensation arrangements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(4,340</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jc w:val="right"/>
              <w:rPr/>
            </w:pPr>
            <w:r>
              <w:rPr/>
              <w:t></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450" w:right="0" w:hanging="225"/>
              <w:rPr/>
            </w:pPr>
            <w:r>
              <w:rPr/>
              <w:t>Other non-cash items, net</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3,531</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3,422</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450" w:right="0" w:hanging="225"/>
              <w:rPr/>
            </w:pPr>
            <w:r>
              <w:rPr/>
              <w:t>Change in operating assets and liabilities: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675" w:right="0" w:hanging="225"/>
              <w:rPr/>
            </w:pPr>
            <w:r>
              <w:rPr/>
              <w:t>Receivables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6" w:type="dxa"/>
            <w:tcBorders/>
            <w:shd w:fill="CCEEFF" w:val="clear"/>
            <w:vAlign w:val="bottom"/>
          </w:tcPr>
          <w:p>
            <w:pPr>
              <w:pStyle w:val="TableContents"/>
              <w:spacing w:before="0" w:after="283"/>
              <w:jc w:val="right"/>
              <w:rPr/>
            </w:pPr>
            <w:r>
              <w:rPr/>
              <w:t>(4,509</w:t>
            </w:r>
          </w:p>
        </w:tc>
        <w:tc>
          <w:tcPr>
            <w:tcW w:w="190" w:type="dxa"/>
            <w:tcBorders/>
            <w:shd w:fill="CCEEFF" w:val="clear"/>
            <w:vAlign w:val="bottom"/>
          </w:tcPr>
          <w:p>
            <w:pPr>
              <w:pStyle w:val="TableContents"/>
              <w:spacing w:before="0" w:after="283"/>
              <w:rPr/>
            </w:pPr>
            <w:r>
              <w:rPr/>
              <w:t>)</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9" w:type="dxa"/>
            <w:tcBorders/>
            <w:shd w:fill="CCEEFF" w:val="clear"/>
            <w:vAlign w:val="bottom"/>
          </w:tcPr>
          <w:p>
            <w:pPr>
              <w:pStyle w:val="TableContents"/>
              <w:spacing w:before="0" w:after="283"/>
              <w:jc w:val="right"/>
              <w:rPr/>
            </w:pPr>
            <w:r>
              <w:rPr/>
              <w:t>(21,814</w:t>
            </w:r>
          </w:p>
        </w:tc>
        <w:tc>
          <w:tcPr>
            <w:tcW w:w="142" w:type="dxa"/>
            <w:tcBorders/>
            <w:shd w:fill="CCEEFF" w:val="clear"/>
            <w:vAlign w:val="bottom"/>
          </w:tcPr>
          <w:p>
            <w:pPr>
              <w:pStyle w:val="TableContents"/>
              <w:spacing w:before="0" w:after="283"/>
              <w:rPr/>
            </w:pPr>
            <w:r>
              <w:rPr/>
              <w:t>)</w:t>
            </w:r>
          </w:p>
        </w:tc>
      </w:tr>
      <w:tr>
        <w:trPr/>
        <w:tc>
          <w:tcPr>
            <w:tcW w:w="5827" w:type="dxa"/>
            <w:tcBorders/>
            <w:shd w:fill="auto" w:val="clear"/>
            <w:vAlign w:val="bottom"/>
          </w:tcPr>
          <w:p>
            <w:pPr>
              <w:pStyle w:val="TableContents"/>
              <w:spacing w:before="0" w:after="0"/>
              <w:ind w:left="675" w:right="0" w:hanging="225"/>
              <w:rPr/>
            </w:pPr>
            <w:r>
              <w:rPr/>
              <w:t>Inventories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(1,449</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9" w:type="dxa"/>
            <w:tcBorders/>
            <w:shd w:fill="auto" w:val="clear"/>
            <w:vAlign w:val="bottom"/>
          </w:tcPr>
          <w:p>
            <w:pPr>
              <w:pStyle w:val="TableContents"/>
              <w:spacing w:before="0" w:after="283"/>
              <w:jc w:val="right"/>
              <w:rPr/>
            </w:pPr>
            <w:r>
              <w:rPr/>
              <w:t>(739</w:t>
            </w:r>
          </w:p>
        </w:tc>
        <w:tc>
          <w:tcPr>
            <w:tcW w:w="142" w:type="dxa"/>
            <w:tcBorders/>
            <w:shd w:fill="auto" w:val="clear"/>
            <w:vAlign w:val="bottom"/>
          </w:tcPr>
          <w:p>
            <w:pPr>
              <w:pStyle w:val="TableContents"/>
              <w:spacing w:before="0" w:after="283"/>
              <w:rPr/>
            </w:pPr>
            <w:r>
              <w:rPr/>
              <w:t>)</w:t>
            </w:r>
          </w:p>
        </w:tc>
      </w:tr>
      <w:tr>
        <w:trPr/>
        <w:tc>
          <w:tcPr>
            <w:tcW w:w="5827" w:type="dxa"/>
            <w:tcBorders/>
            <w:shd w:fill="CCEEFF" w:val="clear"/>
            <w:vAlign w:val="bottom"/>
          </w:tcPr>
          <w:p>
            <w:pPr>
              <w:pStyle w:val="TableContents"/>
              <w:spacing w:before="0" w:after="0"/>
              <w:ind w:left="675" w:right="0" w:hanging="225"/>
              <w:rPr/>
            </w:pPr>
            <w:r>
              <w:rPr/>
              <w:t>Accounts payable</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13,843</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11,246</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675" w:right="0" w:hanging="225"/>
              <w:rPr/>
            </w:pPr>
            <w:r>
              <w:rPr/>
              <w:t>Restructuring liability</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(1,168</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9" w:type="dxa"/>
            <w:tcBorders/>
            <w:shd w:fill="auto" w:val="clear"/>
            <w:vAlign w:val="bottom"/>
          </w:tcPr>
          <w:p>
            <w:pPr>
              <w:pStyle w:val="TableContents"/>
              <w:spacing w:before="0" w:after="283"/>
              <w:jc w:val="right"/>
              <w:rPr/>
            </w:pPr>
            <w:r>
              <w:rPr/>
              <w:t>(2,058</w:t>
            </w:r>
          </w:p>
        </w:tc>
        <w:tc>
          <w:tcPr>
            <w:tcW w:w="142" w:type="dxa"/>
            <w:tcBorders/>
            <w:shd w:fill="auto" w:val="clear"/>
            <w:vAlign w:val="bottom"/>
          </w:tcPr>
          <w:p>
            <w:pPr>
              <w:pStyle w:val="TableContents"/>
              <w:spacing w:before="0" w:after="283"/>
              <w:rPr/>
            </w:pPr>
            <w:r>
              <w:rPr/>
              <w:t>)</w:t>
            </w:r>
          </w:p>
        </w:tc>
      </w:tr>
      <w:tr>
        <w:trPr/>
        <w:tc>
          <w:tcPr>
            <w:tcW w:w="5827" w:type="dxa"/>
            <w:tcBorders/>
            <w:shd w:fill="CCEEFF" w:val="clear"/>
            <w:vAlign w:val="bottom"/>
          </w:tcPr>
          <w:p>
            <w:pPr>
              <w:pStyle w:val="TableContents"/>
              <w:spacing w:before="0" w:after="0"/>
              <w:ind w:left="675" w:right="0" w:hanging="225"/>
              <w:rPr/>
            </w:pPr>
            <w:r>
              <w:rPr/>
              <w:t>Other assets and liabilities, net</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6" w:type="dxa"/>
            <w:tcBorders/>
            <w:shd w:fill="CCEEFF" w:val="clear"/>
            <w:vAlign w:val="bottom"/>
          </w:tcPr>
          <w:p>
            <w:pPr>
              <w:pStyle w:val="TableContents"/>
              <w:spacing w:before="0" w:after="283"/>
              <w:jc w:val="right"/>
              <w:rPr/>
            </w:pPr>
            <w:r>
              <w:rPr/>
              <w:t>(12,636</w:t>
            </w:r>
          </w:p>
        </w:tc>
        <w:tc>
          <w:tcPr>
            <w:tcW w:w="190" w:type="dxa"/>
            <w:tcBorders/>
            <w:shd w:fill="CCEEFF" w:val="clear"/>
            <w:vAlign w:val="bottom"/>
          </w:tcPr>
          <w:p>
            <w:pPr>
              <w:pStyle w:val="TableContents"/>
              <w:spacing w:before="0" w:after="283"/>
              <w:rPr/>
            </w:pPr>
            <w:r>
              <w:rPr/>
              <w:t>)</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9" w:type="dxa"/>
            <w:tcBorders/>
            <w:shd w:fill="CCEEFF" w:val="clear"/>
            <w:vAlign w:val="bottom"/>
          </w:tcPr>
          <w:p>
            <w:pPr>
              <w:pStyle w:val="TableContents"/>
              <w:spacing w:before="0" w:after="283"/>
              <w:jc w:val="right"/>
              <w:rPr/>
            </w:pPr>
            <w:r>
              <w:rPr/>
              <w:t>(21,710</w:t>
            </w:r>
          </w:p>
        </w:tc>
        <w:tc>
          <w:tcPr>
            <w:tcW w:w="142" w:type="dxa"/>
            <w:tcBorders/>
            <w:shd w:fill="CCEEFF" w:val="clear"/>
            <w:vAlign w:val="bottom"/>
          </w:tcPr>
          <w:p>
            <w:pPr>
              <w:pStyle w:val="TableContents"/>
              <w:spacing w:before="0" w:after="283"/>
              <w:rPr/>
            </w:pPr>
            <w:r>
              <w:rPr/>
              <w:t>)</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Net cash provided by operating activities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75,581</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jc w:val="right"/>
              <w:rPr/>
            </w:pPr>
            <w:r>
              <w:rPr/>
              <w:t>34,359</w:t>
            </w:r>
          </w:p>
        </w:tc>
        <w:tc>
          <w:tcPr>
            <w:tcW w:w="142" w:type="dxa"/>
            <w:tcBorders/>
            <w:shd w:fill="auto"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 </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b/>
              </w:rPr>
            </w:pPr>
            <w:r>
              <w:rPr>
                <w:b/>
              </w:rPr>
              <w:t>Cash flows from investing activities: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Capital expenditures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(14,695</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9" w:type="dxa"/>
            <w:tcBorders/>
            <w:shd w:fill="auto" w:val="clear"/>
            <w:vAlign w:val="bottom"/>
          </w:tcPr>
          <w:p>
            <w:pPr>
              <w:pStyle w:val="TableContents"/>
              <w:spacing w:before="0" w:after="283"/>
              <w:jc w:val="right"/>
              <w:rPr/>
            </w:pPr>
            <w:r>
              <w:rPr/>
              <w:t>(13,921</w:t>
            </w:r>
          </w:p>
        </w:tc>
        <w:tc>
          <w:tcPr>
            <w:tcW w:w="142" w:type="dxa"/>
            <w:tcBorders/>
            <w:shd w:fill="auto" w:val="clear"/>
            <w:vAlign w:val="bottom"/>
          </w:tcPr>
          <w:p>
            <w:pPr>
              <w:pStyle w:val="TableContents"/>
              <w:spacing w:before="0" w:after="283"/>
              <w:rPr/>
            </w:pPr>
            <w:r>
              <w:rPr/>
              <w:t>)</w:t>
            </w:r>
          </w:p>
        </w:tc>
      </w:tr>
      <w:tr>
        <w:trPr/>
        <w:tc>
          <w:tcPr>
            <w:tcW w:w="5827" w:type="dxa"/>
            <w:tcBorders/>
            <w:shd w:fill="CCEEFF" w:val="clear"/>
            <w:vAlign w:val="bottom"/>
          </w:tcPr>
          <w:p>
            <w:pPr>
              <w:pStyle w:val="TableContents"/>
              <w:spacing w:before="0" w:after="0"/>
              <w:ind w:left="225" w:right="0" w:hanging="225"/>
              <w:rPr/>
            </w:pPr>
            <w:r>
              <w:rPr/>
              <w:t>Proceeds from dispositions of property and other assets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13,872</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8,661</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Net cash used in investing activities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(823</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9" w:type="dxa"/>
            <w:tcBorders/>
            <w:shd w:fill="auto" w:val="clear"/>
            <w:vAlign w:val="bottom"/>
          </w:tcPr>
          <w:p>
            <w:pPr>
              <w:pStyle w:val="TableContents"/>
              <w:spacing w:before="0" w:after="283"/>
              <w:jc w:val="right"/>
              <w:rPr/>
            </w:pPr>
            <w:r>
              <w:rPr/>
              <w:t>(5,260</w:t>
            </w:r>
          </w:p>
        </w:tc>
        <w:tc>
          <w:tcPr>
            <w:tcW w:w="142" w:type="dxa"/>
            <w:tcBorders/>
            <w:shd w:fill="auto" w:val="clear"/>
            <w:vAlign w:val="bottom"/>
          </w:tcPr>
          <w:p>
            <w:pPr>
              <w:pStyle w:val="TableContents"/>
              <w:spacing w:before="0" w:after="283"/>
              <w:rPr/>
            </w:pPr>
            <w:r>
              <w:rPr/>
              <w:t>)</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 </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b/>
              </w:rPr>
            </w:pPr>
            <w:r>
              <w:rPr>
                <w:b/>
              </w:rPr>
              <w:t>Cash flows from financing activities: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Payments on debt and capital lease obligations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(2,941</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9" w:type="dxa"/>
            <w:tcBorders/>
            <w:shd w:fill="auto" w:val="clear"/>
            <w:vAlign w:val="bottom"/>
          </w:tcPr>
          <w:p>
            <w:pPr>
              <w:pStyle w:val="TableContents"/>
              <w:spacing w:before="0" w:after="283"/>
              <w:jc w:val="right"/>
              <w:rPr/>
            </w:pPr>
            <w:r>
              <w:rPr/>
              <w:t>(3,870</w:t>
            </w:r>
          </w:p>
        </w:tc>
        <w:tc>
          <w:tcPr>
            <w:tcW w:w="142" w:type="dxa"/>
            <w:tcBorders/>
            <w:shd w:fill="auto" w:val="clear"/>
            <w:vAlign w:val="bottom"/>
          </w:tcPr>
          <w:p>
            <w:pPr>
              <w:pStyle w:val="TableContents"/>
              <w:spacing w:before="0" w:after="283"/>
              <w:rPr/>
            </w:pPr>
            <w:r>
              <w:rPr/>
              <w:t>)</w:t>
            </w:r>
          </w:p>
        </w:tc>
      </w:tr>
      <w:tr>
        <w:trPr/>
        <w:tc>
          <w:tcPr>
            <w:tcW w:w="5827" w:type="dxa"/>
            <w:tcBorders/>
            <w:shd w:fill="CCEEFF" w:val="clear"/>
            <w:vAlign w:val="bottom"/>
          </w:tcPr>
          <w:p>
            <w:pPr>
              <w:pStyle w:val="TableContents"/>
              <w:spacing w:before="0" w:after="0"/>
              <w:ind w:left="225" w:right="0" w:hanging="225"/>
              <w:rPr/>
            </w:pPr>
            <w:r>
              <w:rPr/>
              <w:t>Dividends paid on common stock</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6" w:type="dxa"/>
            <w:tcBorders/>
            <w:shd w:fill="CCEEFF" w:val="clear"/>
            <w:vAlign w:val="bottom"/>
          </w:tcPr>
          <w:p>
            <w:pPr>
              <w:pStyle w:val="TableContents"/>
              <w:spacing w:before="0" w:after="283"/>
              <w:jc w:val="right"/>
              <w:rPr/>
            </w:pPr>
            <w:r>
              <w:rPr/>
              <w:t>(2,603</w:t>
            </w:r>
          </w:p>
        </w:tc>
        <w:tc>
          <w:tcPr>
            <w:tcW w:w="190" w:type="dxa"/>
            <w:tcBorders/>
            <w:shd w:fill="CCEEFF" w:val="clear"/>
            <w:vAlign w:val="bottom"/>
          </w:tcPr>
          <w:p>
            <w:pPr>
              <w:pStyle w:val="TableContents"/>
              <w:spacing w:before="0" w:after="283"/>
              <w:rPr/>
            </w:pPr>
            <w:r>
              <w:rPr/>
              <w:t>)</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9" w:type="dxa"/>
            <w:tcBorders/>
            <w:shd w:fill="CCEEFF" w:val="clear"/>
            <w:vAlign w:val="bottom"/>
          </w:tcPr>
          <w:p>
            <w:pPr>
              <w:pStyle w:val="TableContents"/>
              <w:spacing w:before="0" w:after="283"/>
              <w:jc w:val="right"/>
              <w:rPr/>
            </w:pPr>
            <w:r>
              <w:rPr/>
              <w:t>(2,649</w:t>
            </w:r>
          </w:p>
        </w:tc>
        <w:tc>
          <w:tcPr>
            <w:tcW w:w="142" w:type="dxa"/>
            <w:tcBorders/>
            <w:shd w:fill="CCEEFF" w:val="clear"/>
            <w:vAlign w:val="bottom"/>
          </w:tcPr>
          <w:p>
            <w:pPr>
              <w:pStyle w:val="TableContents"/>
              <w:spacing w:before="0" w:after="283"/>
              <w:rPr/>
            </w:pPr>
            <w:r>
              <w:rPr/>
              <w:t>)</w:t>
            </w:r>
          </w:p>
        </w:tc>
      </w:tr>
      <w:tr>
        <w:trPr/>
        <w:tc>
          <w:tcPr>
            <w:tcW w:w="5827" w:type="dxa"/>
            <w:tcBorders/>
            <w:shd w:fill="auto" w:val="clear"/>
            <w:vAlign w:val="bottom"/>
          </w:tcPr>
          <w:p>
            <w:pPr>
              <w:pStyle w:val="TableContents"/>
              <w:spacing w:before="0" w:after="0"/>
              <w:ind w:left="225" w:right="0" w:hanging="225"/>
              <w:rPr/>
            </w:pPr>
            <w:r>
              <w:rPr/>
              <w:t>Common stock purchased for treasury</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(34,413</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jc w:val="right"/>
              <w:rPr/>
            </w:pPr>
            <w:r>
              <w:rPr/>
              <w:t></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pPr>
            <w:r>
              <w:rPr/>
              <w:t>Debt issuance costs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386" w:type="dxa"/>
            <w:tcBorders/>
            <w:shd w:fill="CCEEFF" w:val="clear"/>
            <w:vAlign w:val="bottom"/>
          </w:tcPr>
          <w:p>
            <w:pPr>
              <w:pStyle w:val="TableContents"/>
              <w:spacing w:before="0" w:after="283"/>
              <w:jc w:val="right"/>
              <w:rPr/>
            </w:pPr>
            <w:r>
              <w:rPr/>
              <w:t>(488</w:t>
            </w:r>
          </w:p>
        </w:tc>
        <w:tc>
          <w:tcPr>
            <w:tcW w:w="190" w:type="dxa"/>
            <w:tcBorders/>
            <w:shd w:fill="CCEEFF" w:val="clear"/>
            <w:vAlign w:val="bottom"/>
          </w:tcPr>
          <w:p>
            <w:pPr>
              <w:pStyle w:val="TableContents"/>
              <w:spacing w:before="0" w:after="283"/>
              <w:rPr/>
            </w:pPr>
            <w:r>
              <w:rPr/>
              <w:t>)</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Excess tax benefits from share-based compensation arrangements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4,340</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jc w:val="right"/>
              <w:rPr/>
            </w:pPr>
            <w:r>
              <w:rPr/>
              <w:t></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pPr>
            <w:r>
              <w:rPr/>
              <w:t>Proceeds from exercise of stock options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5,028</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5,202</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Net cash used in financing activities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6" w:type="dxa"/>
            <w:tcBorders/>
            <w:shd w:fill="auto" w:val="clear"/>
            <w:vAlign w:val="bottom"/>
          </w:tcPr>
          <w:p>
            <w:pPr>
              <w:pStyle w:val="TableContents"/>
              <w:spacing w:before="0" w:after="283"/>
              <w:jc w:val="right"/>
              <w:rPr/>
            </w:pPr>
            <w:r>
              <w:rPr/>
              <w:t>(31,077</w:t>
            </w:r>
          </w:p>
        </w:tc>
        <w:tc>
          <w:tcPr>
            <w:tcW w:w="19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389" w:type="dxa"/>
            <w:tcBorders/>
            <w:shd w:fill="auto" w:val="clear"/>
            <w:vAlign w:val="bottom"/>
          </w:tcPr>
          <w:p>
            <w:pPr>
              <w:pStyle w:val="TableContents"/>
              <w:spacing w:before="0" w:after="283"/>
              <w:jc w:val="right"/>
              <w:rPr/>
            </w:pPr>
            <w:r>
              <w:rPr/>
              <w:t>(1,317</w:t>
            </w:r>
          </w:p>
        </w:tc>
        <w:tc>
          <w:tcPr>
            <w:tcW w:w="142" w:type="dxa"/>
            <w:tcBorders/>
            <w:shd w:fill="auto" w:val="clear"/>
            <w:vAlign w:val="bottom"/>
          </w:tcPr>
          <w:p>
            <w:pPr>
              <w:pStyle w:val="TableContents"/>
              <w:spacing w:before="0" w:after="283"/>
              <w:rPr/>
            </w:pPr>
            <w:r>
              <w:rPr/>
              <w:t>)</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pPr>
            <w:r>
              <w:rPr/>
              <w:t>Effect of exchange rate changes on cash and cash equivalents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943</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822</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Net increase in cash and cash equivalents</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jc w:val="right"/>
              <w:rPr/>
            </w:pPr>
            <w:r>
              <w:rPr/>
              <w:t>44,624</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jc w:val="right"/>
              <w:rPr/>
            </w:pPr>
            <w:r>
              <w:rPr/>
              <w:t>28,604</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pPr>
            <w:r>
              <w:rPr/>
              <w:t>Cash and cash equivalents, beginning of year</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jc w:val="right"/>
              <w:rPr/>
            </w:pPr>
            <w:r>
              <w:rPr/>
              <w:t>152,601</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jc w:val="right"/>
              <w:rPr/>
            </w:pPr>
            <w:r>
              <w:rPr/>
              <w:t>115,050</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b/>
              </w:rPr>
            </w:pPr>
            <w:r>
              <w:rPr>
                <w:b/>
              </w:rPr>
              <w:t>Cash and cash equivalents, end of period</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386" w:type="dxa"/>
            <w:tcBorders/>
            <w:shd w:fill="auto" w:val="clear"/>
            <w:vAlign w:val="bottom"/>
          </w:tcPr>
          <w:p>
            <w:pPr>
              <w:pStyle w:val="TableContents"/>
              <w:spacing w:before="0" w:after="283"/>
              <w:jc w:val="right"/>
              <w:rPr/>
            </w:pPr>
            <w:r>
              <w:rPr/>
              <w:t>197,225</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389" w:type="dxa"/>
            <w:tcBorders/>
            <w:shd w:fill="auto" w:val="clear"/>
            <w:vAlign w:val="bottom"/>
          </w:tcPr>
          <w:p>
            <w:pPr>
              <w:pStyle w:val="TableContents"/>
              <w:spacing w:before="0" w:after="283"/>
              <w:jc w:val="right"/>
              <w:rPr/>
            </w:pPr>
            <w:r>
              <w:rPr/>
              <w:t>143,654</w:t>
            </w:r>
          </w:p>
        </w:tc>
        <w:tc>
          <w:tcPr>
            <w:tcW w:w="142" w:type="dxa"/>
            <w:tcBorders/>
            <w:shd w:fill="auto"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225" w:right="0" w:hanging="225"/>
              <w:rPr/>
            </w:pPr>
            <w:r>
              <w:rPr/>
              <w:t> </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225" w:right="0" w:hanging="225"/>
              <w:rPr>
                <w:b/>
              </w:rPr>
            </w:pPr>
            <w:r>
              <w:rPr>
                <w:b/>
              </w:rPr>
              <w:t>Supplemental disclosure of cash flow information</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6"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38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bottom"/>
          </w:tcPr>
          <w:p>
            <w:pPr>
              <w:pStyle w:val="TableContents"/>
              <w:spacing w:before="0" w:after="0"/>
              <w:ind w:left="450" w:right="0" w:hanging="225"/>
              <w:rPr/>
            </w:pPr>
            <w:r>
              <w:rPr/>
              <w:t>Cash paid during the period for:</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6"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38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675" w:right="0" w:hanging="225"/>
              <w:rPr/>
            </w:pPr>
            <w:r>
              <w:rPr/>
              <w:t>Income taxes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386" w:type="dxa"/>
            <w:tcBorders/>
            <w:shd w:fill="CCEEFF" w:val="clear"/>
            <w:vAlign w:val="bottom"/>
          </w:tcPr>
          <w:p>
            <w:pPr>
              <w:pStyle w:val="TableContents"/>
              <w:spacing w:before="0" w:after="283"/>
              <w:jc w:val="right"/>
              <w:rPr/>
            </w:pPr>
            <w:r>
              <w:rPr/>
              <w:t>11,359</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389" w:type="dxa"/>
            <w:tcBorders/>
            <w:shd w:fill="CCEEFF" w:val="clear"/>
            <w:vAlign w:val="bottom"/>
          </w:tcPr>
          <w:p>
            <w:pPr>
              <w:pStyle w:val="TableContents"/>
              <w:spacing w:before="0" w:after="283"/>
              <w:jc w:val="right"/>
              <w:rPr/>
            </w:pPr>
            <w:r>
              <w:rPr/>
              <w:t>19,806</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auto" w:val="clear"/>
            <w:vAlign w:val="bottom"/>
          </w:tcPr>
          <w:p>
            <w:pPr>
              <w:pStyle w:val="TableContents"/>
              <w:spacing w:before="0" w:after="0"/>
              <w:ind w:left="675" w:right="0" w:hanging="225"/>
              <w:rPr/>
            </w:pPr>
            <w:r>
              <w:rPr/>
              <w:t>Interest</w:t>
            </w:r>
          </w:p>
        </w:tc>
        <w:tc>
          <w:tcPr>
            <w:tcW w:w="36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386" w:type="dxa"/>
            <w:tcBorders/>
            <w:shd w:fill="auto" w:val="clear"/>
            <w:vAlign w:val="bottom"/>
          </w:tcPr>
          <w:p>
            <w:pPr>
              <w:pStyle w:val="TableContents"/>
              <w:spacing w:before="0" w:after="283"/>
              <w:jc w:val="right"/>
              <w:rPr/>
            </w:pPr>
            <w:r>
              <w:rPr/>
              <w:t>879</w:t>
            </w:r>
          </w:p>
        </w:tc>
        <w:tc>
          <w:tcPr>
            <w:tcW w:w="19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389" w:type="dxa"/>
            <w:tcBorders/>
            <w:shd w:fill="auto" w:val="clear"/>
            <w:vAlign w:val="bottom"/>
          </w:tcPr>
          <w:p>
            <w:pPr>
              <w:pStyle w:val="TableContents"/>
              <w:spacing w:before="0" w:after="283"/>
              <w:jc w:val="right"/>
              <w:rPr/>
            </w:pPr>
            <w:r>
              <w:rPr/>
              <w:t>1,380</w:t>
            </w:r>
          </w:p>
        </w:tc>
        <w:tc>
          <w:tcPr>
            <w:tcW w:w="142" w:type="dxa"/>
            <w:tcBorders/>
            <w:shd w:fill="auto"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827" w:type="dxa"/>
            <w:tcBorders/>
            <w:shd w:fill="CCEEFF" w:val="clear"/>
            <w:vAlign w:val="bottom"/>
          </w:tcPr>
          <w:p>
            <w:pPr>
              <w:pStyle w:val="TableContents"/>
              <w:spacing w:before="0" w:after="0"/>
              <w:ind w:left="450" w:right="0" w:hanging="225"/>
              <w:rPr/>
            </w:pPr>
            <w:r>
              <w:rPr/>
              <w:t>Equipment acquired under capital leases</w:t>
            </w:r>
          </w:p>
        </w:tc>
        <w:tc>
          <w:tcPr>
            <w:tcW w:w="36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386" w:type="dxa"/>
            <w:tcBorders/>
            <w:shd w:fill="CCEEFF" w:val="clear"/>
            <w:vAlign w:val="bottom"/>
          </w:tcPr>
          <w:p>
            <w:pPr>
              <w:pStyle w:val="TableContents"/>
              <w:spacing w:before="0" w:after="283"/>
              <w:jc w:val="right"/>
              <w:rPr/>
            </w:pPr>
            <w:r>
              <w:rPr/>
              <w:t>815</w:t>
            </w:r>
          </w:p>
        </w:tc>
        <w:tc>
          <w:tcPr>
            <w:tcW w:w="19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389" w:type="dxa"/>
            <w:tcBorders/>
            <w:shd w:fill="CCEEFF" w:val="clear"/>
            <w:vAlign w:val="bottom"/>
          </w:tcPr>
          <w:p>
            <w:pPr>
              <w:pStyle w:val="TableContents"/>
              <w:spacing w:before="0" w:after="283"/>
              <w:jc w:val="right"/>
              <w:rPr/>
            </w:pPr>
            <w:r>
              <w:rPr/>
              <w:t>183</w:t>
            </w:r>
          </w:p>
        </w:tc>
        <w:tc>
          <w:tcPr>
            <w:tcW w:w="142" w:type="dxa"/>
            <w:tcBorders/>
            <w:shd w:fill="CCEEFF" w:val="clear"/>
            <w:vAlign w:val="bottom"/>
          </w:tcPr>
          <w:p>
            <w:pPr>
              <w:pStyle w:val="TableContents"/>
              <w:spacing w:before="0" w:after="283"/>
              <w:rPr/>
            </w:pPr>
            <w:r>
              <w:rPr/>
              <w:t> </w:t>
            </w:r>
          </w:p>
        </w:tc>
      </w:tr>
      <w:tr>
        <w:trPr/>
        <w:tc>
          <w:tcPr>
            <w:tcW w:w="5827"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16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6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NOTES TO CONSOLIDATED FINANCIAL STATEMENTS</w:t>
        <w:br/>
        <w:t>(Unaudited)</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 Basis of Preparation and Principles of Consolidation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accompanying unaudited consolidated financial statements of Viad Corp (Viad or the Company) have been prepared in accordance with accounting principles generally accepted in the United States of America for interim financial information and with the instructions to Form 10-Q and Article 10 of Regulation S-X. Accordingly, they do not include all of the information and footnotes required for complete financial statements. In the opinion of management, all adjustments (consisting of normal recurring accruals) considered necessary for a fair presentation have been included. Operating results for the three and nine months ended September 30, 2006 are not necessarily indicative of the results that may be expected for the year ending December 31, 2006. </w:t>
      </w:r>
    </w:p>
    <w:p>
      <w:pPr>
        <w:pStyle w:val="TextBody"/>
        <w:spacing w:before="120" w:after="283"/>
        <w:jc w:val="left"/>
        <w:rPr/>
      </w:pPr>
      <w:r>
        <w:rPr/>
        <w:t>     </w:t>
      </w:r>
      <w:r>
        <w:rPr>
          <w:rFonts w:ascii="Times New Roman;Times;serif" w:hAnsi="Times New Roman;Times;serif"/>
          <w:sz w:val="17"/>
        </w:rPr>
        <w:t xml:space="preserve">For further information, refer to the consolidated financial statements and related footnotes for the year ended December 31, 2005, included in the Companys Form 10-K (File No. 001-11015), filed with the Securities and Exchange Commission (SEC) on March 1, 2006. </w:t>
      </w:r>
    </w:p>
    <w:p>
      <w:pPr>
        <w:pStyle w:val="TextBody"/>
        <w:spacing w:before="120" w:after="283"/>
        <w:jc w:val="left"/>
        <w:rPr/>
      </w:pPr>
      <w:r>
        <w:rPr/>
        <w:t>     </w:t>
      </w:r>
      <w:r>
        <w:rPr>
          <w:rFonts w:ascii="Times New Roman;Times;serif" w:hAnsi="Times New Roman;Times;serif"/>
          <w:sz w:val="17"/>
        </w:rPr>
        <w:t xml:space="preserve">The consolidated financial statements include the accounts of Viad and all of its subsidiaries. All significant intercompany account balances and transactions between Viad and its subsidiaries have been eliminated in consolidation. Viads reporting segments consist of: GES Exposition Services, Inc. (GES), Exhibitgroup/Giltspur (Exhibitgroup) and Travel and Recreation Services.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2. Share-Based Compensation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grants share-based compensation awards pursuant to the Viad Corp Omnibus Incentive Plan (the Omnibus Plan), which was adopted by Viads stockholders in 1997. The Omnibus Plan provides for the following types of awards to officers, directors and certain key employees: (a) incentive and non-qualified stock options; (b) restricted stock; (c) performance-based awards; and (d) stock appreciation rights. The number of shares of common stock available for grant under the Omnibus Plan in each calendar year is limited to two percent of the total number of shares of common stock outstanding as of the first day of each year, provided that any shares available for grant in a particular year which are not, in fact, granted in that year will be added to the shares available for grant in any subsequent year. Viad issues shares related to its share-based compensation awards from its Employee Equity Trust and from shares held in treasury. Viad has the authority to repurchase common stock for the purpose of replacing shares issued upon exercise of stock options and in connection with other stock compensation plans. There were no repurchases of common stock under this program during the nine months ended September 30, 2006 or 2005. </w:t>
      </w:r>
    </w:p>
    <w:p>
      <w:pPr>
        <w:pStyle w:val="TextBody"/>
        <w:spacing w:before="120" w:after="283"/>
        <w:jc w:val="left"/>
        <w:rPr/>
      </w:pPr>
      <w:r>
        <w:rPr/>
        <w:t>     </w:t>
      </w:r>
      <w:r>
        <w:rPr>
          <w:rFonts w:ascii="Times New Roman;Times;serif" w:hAnsi="Times New Roman;Times;serif"/>
          <w:sz w:val="17"/>
        </w:rPr>
        <w:t xml:space="preserve">In December 2004, the Financial Accounting Standards Board (FASB) issued Statement of Financial Accounting Standards (SFAS) No. 123 (revised 2004), Share-Based Payment, which requires that compensation cost related to all share-based payment arrangements, including employee stock options, be recognized in the financial statements based on the fair value method of accounting. In addition, SFAS No. 123(R) requires that excess tax benefits related to share-based payment arrangements be classified as cash inflows from financing activities and cash outflows from operating activities. SFAS No. 123(R) is a revision of SFAS No. 123, Accounting for Stock-Based Compensation, and supercedes Accounting Principles Board (APB) Opinion No. 25, Accounting for Stock Issued to Employees, and related interpretations. </w:t>
      </w:r>
    </w:p>
    <w:p>
      <w:pPr>
        <w:pStyle w:val="TextBody"/>
        <w:spacing w:before="120" w:after="283"/>
        <w:jc w:val="left"/>
        <w:rPr/>
      </w:pPr>
      <w:r>
        <w:rPr/>
        <w:t>     </w:t>
      </w:r>
      <w:r>
        <w:rPr>
          <w:rFonts w:ascii="Times New Roman;Times;serif" w:hAnsi="Times New Roman;Times;serif"/>
          <w:sz w:val="17"/>
        </w:rPr>
        <w:t xml:space="preserve">As originally permitted by SFAS No. 123, Viad had previously elected to apply the guidance in APB Opinion No. 25, which allowed companies to use the intrinsic value method of accounting to measure the value of share-based payment transactions with employees. Based on this method, Viad had not previously recognized the compensation cost related to employee stock options in the consolidated financial statements as the stock options granted had an exercise price equal to the fair market value of the underlying common stock on the date of grant. Effective January 1, 2006, Viad adopted the provisions of SFAS No. 123(R) using the modified prospective application method. Accordingly, prior period amounts have not been restated. Under the modified prospective application method, the compensation cost related to the unvested portion of all awards (including stock options) granted prior to the adoption of SFAS No. 123(R) and all new awards are recognized in the consolidated financial statements over the requisite service period based on the fair value of the awards. </w:t>
      </w:r>
    </w:p>
    <w:p>
      <w:pPr>
        <w:pStyle w:val="TextBody"/>
        <w:spacing w:before="120" w:after="283"/>
        <w:jc w:val="left"/>
        <w:rPr/>
      </w:pPr>
      <w:r>
        <w:rPr/>
        <w:t>     </w:t>
      </w:r>
      <w:r>
        <w:rPr>
          <w:rFonts w:ascii="Times New Roman;Times;serif" w:hAnsi="Times New Roman;Times;serif"/>
          <w:sz w:val="17"/>
        </w:rPr>
        <w:t xml:space="preserve">Total share-based compensation expense recognized in the consolidated financial statements during the three months ended September 30, 2006 and 2005, was $3.0 million and $1.7 million, respectively, and $7.1 million and $5.6 million, during the nine months ended September 30, 2006 and 2005, respectively. Furthermore, the total tax benefits related to such costs were $1.2 million and $675,000 for the three months ended September 30, 2006 and 2005, respectively, and $2.8 million and $2.2 million for the nine months ended September 30, 2006 and 2005, respectively. No share-based compensation costs were capitalized during the nine months ended September 30, 2006 or 2005. </w:t>
      </w:r>
    </w:p>
    <w:p>
      <w:pPr>
        <w:pStyle w:val="TextBody"/>
        <w:jc w:val="center"/>
        <w:rPr>
          <w:rFonts w:ascii="Times New Roman;Times;serif" w:hAnsi="Times New Roman;Times;serif"/>
          <w:sz w:val="17"/>
        </w:rPr>
      </w:pPr>
      <w:r>
        <w:rPr>
          <w:rFonts w:ascii="Times New Roman;Times;serif" w:hAnsi="Times New Roman;Times;serif"/>
          <w:sz w:val="17"/>
        </w:rPr>
        <w:t xml:space="preserve">Page 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During the three and nine months ended September 30, 2006, the adoption of SFAS No. 123(R) resulted in incremental share-based compensation expense (and a reduction of income before income taxes) of $264,000 and $800,000, respectively. As a result of this incremental expense, net income was reduced by $160,000 and $560,000, respectively. Diluted and basic income per share were each reduced by $0.03 per share for the nine months ended September 30, 2006. Also in connection with the adoption of SFAS No. 123(R), Viad presented $4.3 million of excess tax benefits from share-based compensation arrangements as a cash outflow from operating activities and a cash inflow from financing activities during the nine months ended September 30, 2006. </w:t>
      </w:r>
    </w:p>
    <w:p>
      <w:pPr>
        <w:pStyle w:val="TextBody"/>
        <w:spacing w:before="120" w:after="283"/>
        <w:jc w:val="left"/>
        <w:rPr/>
      </w:pPr>
      <w:r>
        <w:rPr/>
        <w:t>     </w:t>
      </w:r>
      <w:r>
        <w:rPr>
          <w:rFonts w:ascii="Times New Roman;Times;serif" w:hAnsi="Times New Roman;Times;serif"/>
          <w:sz w:val="17"/>
        </w:rPr>
        <w:t xml:space="preserve">As noted above, prior to the adoption of SFAS No. 123(R), Viad used the intrinsic value method of accounting prescribed by APB Opinion No. 25. Assuming Viad had recognized compensation cost during the three and nine months ended September 30, 2005 related to all share-based compensation awards (including stock options) in accordance with the fair value method of accounting under SFAS No. 123, net income and diluted and basic income per share would have been as presented below. Compensation cost calculated under SFAS No. 123 is recognized over the vesting period and is net of estimated forfeitures and tax effects. The forfeiture rate assumption is based on the Companys historical average forfeiture rate. </w:t>
      </w:r>
    </w:p>
    <w:tbl>
      <w:tblPr>
        <w:tblW w:w="5000" w:type="pct"/>
        <w:jc w:val="center"/>
        <w:tblInd w:w="0" w:type="dxa"/>
        <w:tblCellMar>
          <w:top w:w="0" w:type="dxa"/>
          <w:left w:w="0" w:type="dxa"/>
          <w:bottom w:w="0" w:type="dxa"/>
          <w:right w:w="0" w:type="dxa"/>
        </w:tblCellMar>
      </w:tblPr>
      <w:tblGrid>
        <w:gridCol w:w="6260"/>
        <w:gridCol w:w="402"/>
        <w:gridCol w:w="249"/>
        <w:gridCol w:w="1227"/>
        <w:gridCol w:w="140"/>
        <w:gridCol w:w="402"/>
        <w:gridCol w:w="233"/>
        <w:gridCol w:w="1146"/>
        <w:gridCol w:w="146"/>
      </w:tblGrid>
      <w:tr>
        <w:trPr/>
        <w:tc>
          <w:tcPr>
            <w:tcW w:w="626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22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146"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26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476" w:type="dxa"/>
            <w:gridSpan w:val="2"/>
            <w:tcBorders/>
            <w:shd w:fill="auto" w:val="clear"/>
            <w:vAlign w:val="bottom"/>
          </w:tcPr>
          <w:p>
            <w:pPr>
              <w:pStyle w:val="TableContents"/>
              <w:spacing w:before="0" w:after="283"/>
              <w:jc w:val="center"/>
              <w:rPr>
                <w:b/>
              </w:rPr>
            </w:pPr>
            <w:r>
              <w:rPr>
                <w:b/>
              </w:rPr>
              <w:t>Three months</w:t>
            </w:r>
          </w:p>
        </w:tc>
        <w:tc>
          <w:tcPr>
            <w:tcW w:w="14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379" w:type="dxa"/>
            <w:gridSpan w:val="2"/>
            <w:tcBorders/>
            <w:shd w:fill="auto" w:val="clear"/>
            <w:vAlign w:val="bottom"/>
          </w:tcPr>
          <w:p>
            <w:pPr>
              <w:pStyle w:val="TableContents"/>
              <w:spacing w:before="0" w:after="283"/>
              <w:jc w:val="center"/>
              <w:rPr>
                <w:b/>
              </w:rPr>
            </w:pPr>
            <w:r>
              <w:rPr>
                <w:b/>
              </w:rPr>
              <w:t>Nine months</w:t>
            </w:r>
          </w:p>
        </w:tc>
        <w:tc>
          <w:tcPr>
            <w:tcW w:w="146" w:type="dxa"/>
            <w:tcBorders/>
            <w:shd w:fill="auto" w:val="clear"/>
            <w:vAlign w:val="bottom"/>
          </w:tcPr>
          <w:p>
            <w:pPr>
              <w:pStyle w:val="TableContents"/>
              <w:spacing w:before="0" w:after="283"/>
              <w:rPr/>
            </w:pPr>
            <w:r>
              <w:rPr/>
              <w:t> </w:t>
            </w:r>
          </w:p>
        </w:tc>
      </w:tr>
      <w:tr>
        <w:trPr/>
        <w:tc>
          <w:tcPr>
            <w:tcW w:w="626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47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ended</w:t>
            </w:r>
          </w:p>
        </w:tc>
        <w:tc>
          <w:tcPr>
            <w:tcW w:w="14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37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ended</w:t>
            </w:r>
          </w:p>
        </w:tc>
        <w:tc>
          <w:tcPr>
            <w:tcW w:w="146" w:type="dxa"/>
            <w:tcBorders/>
            <w:shd w:fill="auto" w:val="clear"/>
            <w:vAlign w:val="bottom"/>
          </w:tcPr>
          <w:p>
            <w:pPr>
              <w:pStyle w:val="TableContents"/>
              <w:spacing w:before="0" w:after="283"/>
              <w:rPr/>
            </w:pPr>
            <w:r>
              <w:rPr/>
              <w:t> </w:t>
            </w:r>
          </w:p>
        </w:tc>
      </w:tr>
      <w:tr>
        <w:trPr/>
        <w:tc>
          <w:tcPr>
            <w:tcW w:w="626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39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 2005</w:t>
            </w:r>
          </w:p>
        </w:tc>
        <w:tc>
          <w:tcPr>
            <w:tcW w:w="146" w:type="dxa"/>
            <w:tcBorders/>
            <w:shd w:fill="auto" w:val="clear"/>
            <w:vAlign w:val="bottom"/>
          </w:tcPr>
          <w:p>
            <w:pPr>
              <w:pStyle w:val="TableContents"/>
              <w:spacing w:before="0" w:after="283"/>
              <w:rPr/>
            </w:pPr>
            <w:r>
              <w:rPr/>
              <w:t> </w:t>
            </w:r>
          </w:p>
        </w:tc>
      </w:tr>
      <w:tr>
        <w:trPr/>
        <w:tc>
          <w:tcPr>
            <w:tcW w:w="626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397" w:type="dxa"/>
            <w:gridSpan w:val="6"/>
            <w:tcBorders/>
            <w:shd w:fill="auto" w:val="clear"/>
            <w:vAlign w:val="bottom"/>
          </w:tcPr>
          <w:p>
            <w:pPr>
              <w:pStyle w:val="TableContents"/>
              <w:spacing w:before="0" w:after="283"/>
              <w:jc w:val="center"/>
              <w:rPr>
                <w:b/>
              </w:rPr>
            </w:pPr>
            <w:r>
              <w:rPr>
                <w:b/>
              </w:rPr>
              <w:t>(in thousands, except per</w:t>
            </w:r>
          </w:p>
        </w:tc>
        <w:tc>
          <w:tcPr>
            <w:tcW w:w="146" w:type="dxa"/>
            <w:tcBorders/>
            <w:shd w:fill="auto" w:val="clear"/>
            <w:vAlign w:val="bottom"/>
          </w:tcPr>
          <w:p>
            <w:pPr>
              <w:pStyle w:val="TableContents"/>
              <w:spacing w:before="0" w:after="283"/>
              <w:rPr/>
            </w:pPr>
            <w:r>
              <w:rPr/>
              <w:t> </w:t>
            </w:r>
          </w:p>
        </w:tc>
      </w:tr>
      <w:tr>
        <w:trPr/>
        <w:tc>
          <w:tcPr>
            <w:tcW w:w="626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397" w:type="dxa"/>
            <w:gridSpan w:val="6"/>
            <w:tcBorders/>
            <w:shd w:fill="auto" w:val="clear"/>
            <w:vAlign w:val="bottom"/>
          </w:tcPr>
          <w:p>
            <w:pPr>
              <w:pStyle w:val="TableContents"/>
              <w:spacing w:before="0" w:after="283"/>
              <w:jc w:val="center"/>
              <w:rPr>
                <w:b/>
              </w:rPr>
            </w:pPr>
            <w:r>
              <w:rPr>
                <w:b/>
              </w:rPr>
              <w:t>share data)</w:t>
            </w:r>
          </w:p>
        </w:tc>
        <w:tc>
          <w:tcPr>
            <w:tcW w:w="146" w:type="dxa"/>
            <w:tcBorders/>
            <w:shd w:fill="auto" w:val="clear"/>
            <w:vAlign w:val="bottom"/>
          </w:tcPr>
          <w:p>
            <w:pPr>
              <w:pStyle w:val="TableContents"/>
              <w:spacing w:before="0" w:after="283"/>
              <w:rPr/>
            </w:pPr>
            <w:r>
              <w:rPr/>
              <w:t> </w:t>
            </w:r>
          </w:p>
        </w:tc>
      </w:tr>
      <w:tr>
        <w:trPr/>
        <w:tc>
          <w:tcPr>
            <w:tcW w:w="6260" w:type="dxa"/>
            <w:tcBorders/>
            <w:shd w:fill="CCEEFF" w:val="clear"/>
            <w:vAlign w:val="bottom"/>
          </w:tcPr>
          <w:p>
            <w:pPr>
              <w:pStyle w:val="TableContents"/>
              <w:spacing w:before="0" w:after="0"/>
              <w:ind w:left="225" w:right="0" w:hanging="225"/>
              <w:rPr/>
            </w:pPr>
            <w:r>
              <w:rPr/>
              <w:t>Net income, as reported</w:t>
            </w:r>
          </w:p>
        </w:tc>
        <w:tc>
          <w:tcPr>
            <w:tcW w:w="402"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1227" w:type="dxa"/>
            <w:tcBorders/>
            <w:shd w:fill="CCEEFF" w:val="clear"/>
            <w:vAlign w:val="bottom"/>
          </w:tcPr>
          <w:p>
            <w:pPr>
              <w:pStyle w:val="TableContents"/>
              <w:spacing w:before="0" w:after="283"/>
              <w:jc w:val="right"/>
              <w:rPr/>
            </w:pPr>
            <w:r>
              <w:rPr/>
              <w:t>10,699</w:t>
            </w:r>
          </w:p>
        </w:tc>
        <w:tc>
          <w:tcPr>
            <w:tcW w:w="14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1146" w:type="dxa"/>
            <w:tcBorders/>
            <w:shd w:fill="CCEEFF" w:val="clear"/>
            <w:vAlign w:val="bottom"/>
          </w:tcPr>
          <w:p>
            <w:pPr>
              <w:pStyle w:val="TableContents"/>
              <w:spacing w:before="0" w:after="283"/>
              <w:jc w:val="right"/>
              <w:rPr/>
            </w:pPr>
            <w:r>
              <w:rPr/>
              <w:t>34,042</w:t>
            </w:r>
          </w:p>
        </w:tc>
        <w:tc>
          <w:tcPr>
            <w:tcW w:w="146" w:type="dxa"/>
            <w:tcBorders/>
            <w:shd w:fill="CCEEFF" w:val="clear"/>
            <w:vAlign w:val="bottom"/>
          </w:tcPr>
          <w:p>
            <w:pPr>
              <w:pStyle w:val="TableContents"/>
              <w:spacing w:before="0" w:after="283"/>
              <w:rPr/>
            </w:pPr>
            <w:r>
              <w:rPr/>
              <w:t> </w:t>
            </w:r>
          </w:p>
        </w:tc>
      </w:tr>
      <w:tr>
        <w:trPr/>
        <w:tc>
          <w:tcPr>
            <w:tcW w:w="6260" w:type="dxa"/>
            <w:tcBorders/>
            <w:shd w:fill="auto" w:val="clear"/>
            <w:vAlign w:val="bottom"/>
          </w:tcPr>
          <w:p>
            <w:pPr>
              <w:pStyle w:val="TableContents"/>
              <w:spacing w:before="0" w:after="0"/>
              <w:ind w:left="225" w:right="0" w:hanging="225"/>
              <w:rPr/>
            </w:pPr>
            <w:r>
              <w:rPr/>
              <w:t>Less: share-based compensation expense determined under fair value based method, net of tax</w:t>
            </w:r>
          </w:p>
        </w:tc>
        <w:tc>
          <w:tcPr>
            <w:tcW w:w="402"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 </w:t>
            </w:r>
          </w:p>
        </w:tc>
        <w:tc>
          <w:tcPr>
            <w:tcW w:w="1227" w:type="dxa"/>
            <w:tcBorders/>
            <w:shd w:fill="auto" w:val="clear"/>
            <w:vAlign w:val="bottom"/>
          </w:tcPr>
          <w:p>
            <w:pPr>
              <w:pStyle w:val="TableContents"/>
              <w:spacing w:before="0" w:after="283"/>
              <w:jc w:val="right"/>
              <w:rPr/>
            </w:pPr>
            <w:r>
              <w:rPr/>
              <w:t>(420</w:t>
            </w:r>
          </w:p>
        </w:tc>
        <w:tc>
          <w:tcPr>
            <w:tcW w:w="140" w:type="dxa"/>
            <w:tcBorders/>
            <w:shd w:fill="auto" w:val="clear"/>
            <w:vAlign w:val="bottom"/>
          </w:tcPr>
          <w:p>
            <w:pPr>
              <w:pStyle w:val="TableContents"/>
              <w:spacing w:before="0" w:after="283"/>
              <w:rPr/>
            </w:pPr>
            <w:r>
              <w:rPr/>
              <w:t>)</w:t>
            </w:r>
          </w:p>
        </w:tc>
        <w:tc>
          <w:tcPr>
            <w:tcW w:w="402"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146" w:type="dxa"/>
            <w:tcBorders/>
            <w:shd w:fill="auto" w:val="clear"/>
            <w:vAlign w:val="bottom"/>
          </w:tcPr>
          <w:p>
            <w:pPr>
              <w:pStyle w:val="TableContents"/>
              <w:spacing w:before="0" w:after="283"/>
              <w:jc w:val="right"/>
              <w:rPr/>
            </w:pPr>
            <w:r>
              <w:rPr/>
              <w:t>(1,151</w:t>
            </w:r>
          </w:p>
        </w:tc>
        <w:tc>
          <w:tcPr>
            <w:tcW w:w="146" w:type="dxa"/>
            <w:tcBorders/>
            <w:shd w:fill="auto" w:val="clear"/>
            <w:vAlign w:val="bottom"/>
          </w:tcPr>
          <w:p>
            <w:pPr>
              <w:pStyle w:val="TableContents"/>
              <w:spacing w:before="0" w:after="283"/>
              <w:rPr/>
            </w:pPr>
            <w:r>
              <w:rPr/>
              <w:t>)</w:t>
            </w:r>
          </w:p>
        </w:tc>
      </w:tr>
      <w:tr>
        <w:trPr/>
        <w:tc>
          <w:tcPr>
            <w:tcW w:w="6260" w:type="dxa"/>
            <w:tcBorders/>
            <w:shd w:fill="auto" w:val="clear"/>
            <w:vAlign w:val="center"/>
          </w:tcPr>
          <w:p>
            <w:pPr>
              <w:pStyle w:val="TableContents"/>
              <w:spacing w:before="0" w:after="0"/>
              <w:ind w:left="225" w:right="0" w:hanging="225"/>
              <w:rPr/>
            </w:pPr>
            <w:r>
              <w:rPr/>
              <w:t> </w:t>
            </w:r>
          </w:p>
        </w:tc>
        <w:tc>
          <w:tcPr>
            <w:tcW w:w="402"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3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260" w:type="dxa"/>
            <w:tcBorders/>
            <w:shd w:fill="CCEEFF" w:val="clear"/>
            <w:vAlign w:val="bottom"/>
          </w:tcPr>
          <w:p>
            <w:pPr>
              <w:pStyle w:val="TableContents"/>
              <w:spacing w:before="0" w:after="0"/>
              <w:ind w:left="225" w:right="0" w:hanging="225"/>
              <w:rPr/>
            </w:pPr>
            <w:r>
              <w:rPr/>
              <w:t>Pro forma net income</w:t>
            </w:r>
          </w:p>
        </w:tc>
        <w:tc>
          <w:tcPr>
            <w:tcW w:w="402"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1227" w:type="dxa"/>
            <w:tcBorders/>
            <w:shd w:fill="CCEEFF" w:val="clear"/>
            <w:vAlign w:val="bottom"/>
          </w:tcPr>
          <w:p>
            <w:pPr>
              <w:pStyle w:val="TableContents"/>
              <w:spacing w:before="0" w:after="283"/>
              <w:jc w:val="right"/>
              <w:rPr/>
            </w:pPr>
            <w:r>
              <w:rPr/>
              <w:t>10,279</w:t>
            </w:r>
          </w:p>
        </w:tc>
        <w:tc>
          <w:tcPr>
            <w:tcW w:w="14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1146" w:type="dxa"/>
            <w:tcBorders/>
            <w:shd w:fill="CCEEFF" w:val="clear"/>
            <w:vAlign w:val="bottom"/>
          </w:tcPr>
          <w:p>
            <w:pPr>
              <w:pStyle w:val="TableContents"/>
              <w:spacing w:before="0" w:after="283"/>
              <w:jc w:val="right"/>
              <w:rPr/>
            </w:pPr>
            <w:r>
              <w:rPr/>
              <w:t>32,891</w:t>
            </w:r>
          </w:p>
        </w:tc>
        <w:tc>
          <w:tcPr>
            <w:tcW w:w="146" w:type="dxa"/>
            <w:tcBorders/>
            <w:shd w:fill="CCEEFF" w:val="clear"/>
            <w:vAlign w:val="bottom"/>
          </w:tcPr>
          <w:p>
            <w:pPr>
              <w:pStyle w:val="TableContents"/>
              <w:spacing w:before="0" w:after="283"/>
              <w:rPr/>
            </w:pPr>
            <w:r>
              <w:rPr/>
              <w:t> </w:t>
            </w:r>
          </w:p>
        </w:tc>
      </w:tr>
      <w:tr>
        <w:trPr/>
        <w:tc>
          <w:tcPr>
            <w:tcW w:w="6260" w:type="dxa"/>
            <w:tcBorders/>
            <w:shd w:fill="auto" w:val="clear"/>
            <w:vAlign w:val="center"/>
          </w:tcPr>
          <w:p>
            <w:pPr>
              <w:pStyle w:val="TableContents"/>
              <w:spacing w:before="0" w:after="0"/>
              <w:ind w:left="225" w:right="0" w:hanging="225"/>
              <w:rPr/>
            </w:pPr>
            <w:r>
              <w:rPr/>
              <w:t> </w:t>
            </w:r>
          </w:p>
        </w:tc>
        <w:tc>
          <w:tcPr>
            <w:tcW w:w="402"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3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260" w:type="dxa"/>
            <w:tcBorders/>
            <w:shd w:fill="auto" w:val="clear"/>
            <w:vAlign w:val="bottom"/>
          </w:tcPr>
          <w:p>
            <w:pPr>
              <w:pStyle w:val="TableContents"/>
              <w:spacing w:before="0" w:after="0"/>
              <w:ind w:left="225" w:right="0" w:hanging="225"/>
              <w:rPr/>
            </w:pPr>
            <w:r>
              <w:rPr/>
              <w:t>Diluted income per share:</w:t>
            </w:r>
          </w:p>
        </w:tc>
        <w:tc>
          <w:tcPr>
            <w:tcW w:w="402"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22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146"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260" w:type="dxa"/>
            <w:tcBorders/>
            <w:shd w:fill="CCEEFF" w:val="clear"/>
            <w:vAlign w:val="bottom"/>
          </w:tcPr>
          <w:p>
            <w:pPr>
              <w:pStyle w:val="TableContents"/>
              <w:spacing w:before="0" w:after="0"/>
              <w:ind w:left="450" w:right="0" w:hanging="225"/>
              <w:rPr/>
            </w:pPr>
            <w:r>
              <w:rPr/>
              <w:t>As reported</w:t>
            </w:r>
          </w:p>
        </w:tc>
        <w:tc>
          <w:tcPr>
            <w:tcW w:w="402"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1227" w:type="dxa"/>
            <w:tcBorders/>
            <w:shd w:fill="CCEEFF" w:val="clear"/>
            <w:vAlign w:val="bottom"/>
          </w:tcPr>
          <w:p>
            <w:pPr>
              <w:pStyle w:val="TableContents"/>
              <w:spacing w:before="0" w:after="283"/>
              <w:jc w:val="right"/>
              <w:rPr/>
            </w:pPr>
            <w:r>
              <w:rPr/>
              <w:t>0.48</w:t>
            </w:r>
          </w:p>
        </w:tc>
        <w:tc>
          <w:tcPr>
            <w:tcW w:w="14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1146" w:type="dxa"/>
            <w:tcBorders/>
            <w:shd w:fill="CCEEFF" w:val="clear"/>
            <w:vAlign w:val="bottom"/>
          </w:tcPr>
          <w:p>
            <w:pPr>
              <w:pStyle w:val="TableContents"/>
              <w:spacing w:before="0" w:after="283"/>
              <w:jc w:val="right"/>
              <w:rPr/>
            </w:pPr>
            <w:r>
              <w:rPr/>
              <w:t>1.53</w:t>
            </w:r>
          </w:p>
        </w:tc>
        <w:tc>
          <w:tcPr>
            <w:tcW w:w="146" w:type="dxa"/>
            <w:tcBorders/>
            <w:shd w:fill="CCEEFF" w:val="clear"/>
            <w:vAlign w:val="bottom"/>
          </w:tcPr>
          <w:p>
            <w:pPr>
              <w:pStyle w:val="TableContents"/>
              <w:spacing w:before="0" w:after="283"/>
              <w:rPr/>
            </w:pPr>
            <w:r>
              <w:rPr/>
              <w:t> </w:t>
            </w:r>
          </w:p>
        </w:tc>
      </w:tr>
      <w:tr>
        <w:trPr/>
        <w:tc>
          <w:tcPr>
            <w:tcW w:w="6260" w:type="dxa"/>
            <w:tcBorders/>
            <w:shd w:fill="auto" w:val="clear"/>
            <w:vAlign w:val="center"/>
          </w:tcPr>
          <w:p>
            <w:pPr>
              <w:pStyle w:val="TableContents"/>
              <w:spacing w:before="0" w:after="0"/>
              <w:ind w:left="225" w:right="0" w:hanging="225"/>
              <w:rPr/>
            </w:pPr>
            <w:r>
              <w:rPr/>
              <w:t> </w:t>
            </w:r>
          </w:p>
        </w:tc>
        <w:tc>
          <w:tcPr>
            <w:tcW w:w="402"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3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260" w:type="dxa"/>
            <w:tcBorders/>
            <w:shd w:fill="auto" w:val="clear"/>
            <w:vAlign w:val="bottom"/>
          </w:tcPr>
          <w:p>
            <w:pPr>
              <w:pStyle w:val="TableContents"/>
              <w:spacing w:before="0" w:after="0"/>
              <w:ind w:left="450" w:right="0" w:hanging="225"/>
              <w:rPr/>
            </w:pPr>
            <w:r>
              <w:rPr/>
              <w:t>Pro forma</w:t>
            </w:r>
          </w:p>
        </w:tc>
        <w:tc>
          <w:tcPr>
            <w:tcW w:w="402"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1227" w:type="dxa"/>
            <w:tcBorders/>
            <w:shd w:fill="auto" w:val="clear"/>
            <w:vAlign w:val="bottom"/>
          </w:tcPr>
          <w:p>
            <w:pPr>
              <w:pStyle w:val="TableContents"/>
              <w:spacing w:before="0" w:after="283"/>
              <w:jc w:val="right"/>
              <w:rPr/>
            </w:pPr>
            <w:r>
              <w:rPr/>
              <w:t>0.46</w:t>
            </w:r>
          </w:p>
        </w:tc>
        <w:tc>
          <w:tcPr>
            <w:tcW w:w="14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1146" w:type="dxa"/>
            <w:tcBorders/>
            <w:shd w:fill="auto" w:val="clear"/>
            <w:vAlign w:val="bottom"/>
          </w:tcPr>
          <w:p>
            <w:pPr>
              <w:pStyle w:val="TableContents"/>
              <w:spacing w:before="0" w:after="283"/>
              <w:jc w:val="right"/>
              <w:rPr/>
            </w:pPr>
            <w:r>
              <w:rPr/>
              <w:t>1.49</w:t>
            </w:r>
          </w:p>
        </w:tc>
        <w:tc>
          <w:tcPr>
            <w:tcW w:w="146" w:type="dxa"/>
            <w:tcBorders/>
            <w:shd w:fill="auto" w:val="clear"/>
            <w:vAlign w:val="bottom"/>
          </w:tcPr>
          <w:p>
            <w:pPr>
              <w:pStyle w:val="TableContents"/>
              <w:spacing w:before="0" w:after="283"/>
              <w:rPr/>
            </w:pPr>
            <w:r>
              <w:rPr/>
              <w:t> </w:t>
            </w:r>
          </w:p>
        </w:tc>
      </w:tr>
      <w:tr>
        <w:trPr/>
        <w:tc>
          <w:tcPr>
            <w:tcW w:w="6260" w:type="dxa"/>
            <w:tcBorders/>
            <w:shd w:fill="auto" w:val="clear"/>
            <w:vAlign w:val="center"/>
          </w:tcPr>
          <w:p>
            <w:pPr>
              <w:pStyle w:val="TableContents"/>
              <w:spacing w:before="0" w:after="0"/>
              <w:ind w:left="225" w:right="0" w:hanging="225"/>
              <w:rPr/>
            </w:pPr>
            <w:r>
              <w:rPr/>
              <w:t> </w:t>
            </w:r>
          </w:p>
        </w:tc>
        <w:tc>
          <w:tcPr>
            <w:tcW w:w="402"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3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260" w:type="dxa"/>
            <w:tcBorders/>
            <w:shd w:fill="auto" w:val="clear"/>
            <w:vAlign w:val="bottom"/>
          </w:tcPr>
          <w:p>
            <w:pPr>
              <w:pStyle w:val="TableContents"/>
              <w:spacing w:before="0" w:after="0"/>
              <w:ind w:left="225" w:right="0" w:hanging="225"/>
              <w:rPr/>
            </w:pPr>
            <w:r>
              <w:rPr/>
              <w:t> </w:t>
            </w:r>
          </w:p>
        </w:tc>
        <w:tc>
          <w:tcPr>
            <w:tcW w:w="402"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22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146"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260" w:type="dxa"/>
            <w:tcBorders/>
            <w:shd w:fill="CCEEFF" w:val="clear"/>
            <w:vAlign w:val="bottom"/>
          </w:tcPr>
          <w:p>
            <w:pPr>
              <w:pStyle w:val="TableContents"/>
              <w:spacing w:before="0" w:after="0"/>
              <w:ind w:left="225" w:right="0" w:hanging="225"/>
              <w:rPr/>
            </w:pPr>
            <w:r>
              <w:rPr/>
              <w:t>Basic income per share:</w:t>
            </w:r>
          </w:p>
        </w:tc>
        <w:tc>
          <w:tcPr>
            <w:tcW w:w="402"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122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14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r>
      <w:tr>
        <w:trPr/>
        <w:tc>
          <w:tcPr>
            <w:tcW w:w="6260" w:type="dxa"/>
            <w:tcBorders/>
            <w:shd w:fill="auto" w:val="clear"/>
            <w:vAlign w:val="bottom"/>
          </w:tcPr>
          <w:p>
            <w:pPr>
              <w:pStyle w:val="TableContents"/>
              <w:spacing w:before="0" w:after="0"/>
              <w:ind w:left="450" w:right="0" w:hanging="225"/>
              <w:rPr/>
            </w:pPr>
            <w:r>
              <w:rPr/>
              <w:t>As reported</w:t>
            </w:r>
          </w:p>
        </w:tc>
        <w:tc>
          <w:tcPr>
            <w:tcW w:w="402"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1227" w:type="dxa"/>
            <w:tcBorders/>
            <w:shd w:fill="auto" w:val="clear"/>
            <w:vAlign w:val="bottom"/>
          </w:tcPr>
          <w:p>
            <w:pPr>
              <w:pStyle w:val="TableContents"/>
              <w:spacing w:before="0" w:after="283"/>
              <w:jc w:val="right"/>
              <w:rPr/>
            </w:pPr>
            <w:r>
              <w:rPr/>
              <w:t>0.48</w:t>
            </w:r>
          </w:p>
        </w:tc>
        <w:tc>
          <w:tcPr>
            <w:tcW w:w="14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1146" w:type="dxa"/>
            <w:tcBorders/>
            <w:shd w:fill="auto" w:val="clear"/>
            <w:vAlign w:val="bottom"/>
          </w:tcPr>
          <w:p>
            <w:pPr>
              <w:pStyle w:val="TableContents"/>
              <w:spacing w:before="0" w:after="283"/>
              <w:jc w:val="right"/>
              <w:rPr/>
            </w:pPr>
            <w:r>
              <w:rPr/>
              <w:t>1.55</w:t>
            </w:r>
          </w:p>
        </w:tc>
        <w:tc>
          <w:tcPr>
            <w:tcW w:w="146" w:type="dxa"/>
            <w:tcBorders/>
            <w:shd w:fill="auto" w:val="clear"/>
            <w:vAlign w:val="bottom"/>
          </w:tcPr>
          <w:p>
            <w:pPr>
              <w:pStyle w:val="TableContents"/>
              <w:spacing w:before="0" w:after="283"/>
              <w:rPr/>
            </w:pPr>
            <w:r>
              <w:rPr/>
              <w:t> </w:t>
            </w:r>
          </w:p>
        </w:tc>
      </w:tr>
      <w:tr>
        <w:trPr/>
        <w:tc>
          <w:tcPr>
            <w:tcW w:w="6260" w:type="dxa"/>
            <w:tcBorders/>
            <w:shd w:fill="auto" w:val="clear"/>
            <w:vAlign w:val="center"/>
          </w:tcPr>
          <w:p>
            <w:pPr>
              <w:pStyle w:val="TableContents"/>
              <w:spacing w:before="0" w:after="0"/>
              <w:ind w:left="225" w:right="0" w:hanging="225"/>
              <w:rPr/>
            </w:pPr>
            <w:r>
              <w:rPr/>
              <w:t> </w:t>
            </w:r>
          </w:p>
        </w:tc>
        <w:tc>
          <w:tcPr>
            <w:tcW w:w="402"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3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260" w:type="dxa"/>
            <w:tcBorders/>
            <w:shd w:fill="CCEEFF" w:val="clear"/>
            <w:vAlign w:val="bottom"/>
          </w:tcPr>
          <w:p>
            <w:pPr>
              <w:pStyle w:val="TableContents"/>
              <w:spacing w:before="0" w:after="0"/>
              <w:ind w:left="450" w:right="0" w:hanging="225"/>
              <w:rPr/>
            </w:pPr>
            <w:r>
              <w:rPr/>
              <w:t>Pro forma</w:t>
            </w:r>
          </w:p>
        </w:tc>
        <w:tc>
          <w:tcPr>
            <w:tcW w:w="402"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1227" w:type="dxa"/>
            <w:tcBorders/>
            <w:shd w:fill="CCEEFF" w:val="clear"/>
            <w:vAlign w:val="bottom"/>
          </w:tcPr>
          <w:p>
            <w:pPr>
              <w:pStyle w:val="TableContents"/>
              <w:spacing w:before="0" w:after="283"/>
              <w:jc w:val="right"/>
              <w:rPr/>
            </w:pPr>
            <w:r>
              <w:rPr/>
              <w:t>0.47</w:t>
            </w:r>
          </w:p>
        </w:tc>
        <w:tc>
          <w:tcPr>
            <w:tcW w:w="14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1146" w:type="dxa"/>
            <w:tcBorders/>
            <w:shd w:fill="CCEEFF" w:val="clear"/>
            <w:vAlign w:val="bottom"/>
          </w:tcPr>
          <w:p>
            <w:pPr>
              <w:pStyle w:val="TableContents"/>
              <w:spacing w:before="0" w:after="283"/>
              <w:jc w:val="right"/>
              <w:rPr/>
            </w:pPr>
            <w:r>
              <w:rPr/>
              <w:t>1.50</w:t>
            </w:r>
          </w:p>
        </w:tc>
        <w:tc>
          <w:tcPr>
            <w:tcW w:w="146" w:type="dxa"/>
            <w:tcBorders/>
            <w:shd w:fill="CCEEFF" w:val="clear"/>
            <w:vAlign w:val="bottom"/>
          </w:tcPr>
          <w:p>
            <w:pPr>
              <w:pStyle w:val="TableContents"/>
              <w:spacing w:before="0" w:after="283"/>
              <w:rPr/>
            </w:pPr>
            <w:r>
              <w:rPr/>
              <w:t> </w:t>
            </w:r>
          </w:p>
        </w:tc>
      </w:tr>
      <w:tr>
        <w:trPr/>
        <w:tc>
          <w:tcPr>
            <w:tcW w:w="6260" w:type="dxa"/>
            <w:tcBorders/>
            <w:shd w:fill="auto" w:val="clear"/>
            <w:vAlign w:val="center"/>
          </w:tcPr>
          <w:p>
            <w:pPr>
              <w:pStyle w:val="TableContents"/>
              <w:spacing w:before="0" w:after="0"/>
              <w:ind w:left="225" w:right="0" w:hanging="225"/>
              <w:rPr/>
            </w:pPr>
            <w:r>
              <w:rPr/>
              <w:t> </w:t>
            </w:r>
          </w:p>
        </w:tc>
        <w:tc>
          <w:tcPr>
            <w:tcW w:w="402"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3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purposes of applying SFAS No. 123(R) (and SFAS No. 123 where applicable), the fair value of each stock option grant was estimated on the date of grant using the Black-Scholes option pricing model for the nine months ended September 30 with the following assumptions: </w:t>
      </w:r>
    </w:p>
    <w:tbl>
      <w:tblPr>
        <w:tblW w:w="5000" w:type="pct"/>
        <w:jc w:val="center"/>
        <w:tblInd w:w="0" w:type="dxa"/>
        <w:tblCellMar>
          <w:top w:w="0" w:type="dxa"/>
          <w:left w:w="0" w:type="dxa"/>
          <w:bottom w:w="0" w:type="dxa"/>
          <w:right w:w="0" w:type="dxa"/>
        </w:tblCellMar>
      </w:tblPr>
      <w:tblGrid>
        <w:gridCol w:w="6818"/>
        <w:gridCol w:w="458"/>
        <w:gridCol w:w="361"/>
        <w:gridCol w:w="447"/>
        <w:gridCol w:w="424"/>
        <w:gridCol w:w="458"/>
        <w:gridCol w:w="361"/>
        <w:gridCol w:w="447"/>
        <w:gridCol w:w="431"/>
      </w:tblGrid>
      <w:tr>
        <w:trPr/>
        <w:tc>
          <w:tcPr>
            <w:tcW w:w="681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r>
      <w:tr>
        <w:trPr/>
        <w:tc>
          <w:tcPr>
            <w:tcW w:w="681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232"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458" w:type="dxa"/>
            <w:tcBorders/>
            <w:shd w:fill="auto" w:val="clear"/>
            <w:vAlign w:val="bottom"/>
          </w:tcPr>
          <w:p>
            <w:pPr>
              <w:pStyle w:val="TableContents"/>
              <w:spacing w:before="0" w:after="283"/>
              <w:rPr/>
            </w:pPr>
            <w:r>
              <w:rPr/>
              <w:t> </w:t>
            </w:r>
          </w:p>
        </w:tc>
        <w:tc>
          <w:tcPr>
            <w:tcW w:w="1239"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r>
      <w:tr>
        <w:trPr/>
        <w:tc>
          <w:tcPr>
            <w:tcW w:w="6818" w:type="dxa"/>
            <w:tcBorders/>
            <w:shd w:fill="CCEEFF" w:val="clear"/>
            <w:vAlign w:val="bottom"/>
          </w:tcPr>
          <w:p>
            <w:pPr>
              <w:pStyle w:val="TableContents"/>
              <w:spacing w:before="0" w:after="0"/>
              <w:ind w:left="225" w:right="0" w:hanging="225"/>
              <w:rPr/>
            </w:pPr>
            <w:r>
              <w:rPr/>
              <w:t>Estimated fair value of stock options granted</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w:t>
            </w:r>
          </w:p>
        </w:tc>
        <w:tc>
          <w:tcPr>
            <w:tcW w:w="447" w:type="dxa"/>
            <w:tcBorders/>
            <w:shd w:fill="CCEEFF" w:val="clear"/>
            <w:vAlign w:val="bottom"/>
          </w:tcPr>
          <w:p>
            <w:pPr>
              <w:pStyle w:val="TableContents"/>
              <w:spacing w:before="0" w:after="283"/>
              <w:jc w:val="right"/>
              <w:rPr/>
            </w:pPr>
            <w:r>
              <w:rPr/>
              <w:t>9.29</w:t>
            </w:r>
          </w:p>
        </w:tc>
        <w:tc>
          <w:tcPr>
            <w:tcW w:w="42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w:t>
            </w:r>
          </w:p>
        </w:tc>
        <w:tc>
          <w:tcPr>
            <w:tcW w:w="447" w:type="dxa"/>
            <w:tcBorders/>
            <w:shd w:fill="CCEEFF" w:val="clear"/>
            <w:vAlign w:val="bottom"/>
          </w:tcPr>
          <w:p>
            <w:pPr>
              <w:pStyle w:val="TableContents"/>
              <w:spacing w:before="0" w:after="283"/>
              <w:jc w:val="right"/>
              <w:rPr/>
            </w:pPr>
            <w:r>
              <w:rPr/>
              <w:t>7.57</w:t>
            </w:r>
          </w:p>
        </w:tc>
        <w:tc>
          <w:tcPr>
            <w:tcW w:w="431" w:type="dxa"/>
            <w:tcBorders/>
            <w:shd w:fill="CCEEFF" w:val="clear"/>
            <w:vAlign w:val="bottom"/>
          </w:tcPr>
          <w:p>
            <w:pPr>
              <w:pStyle w:val="TableContents"/>
              <w:spacing w:before="0" w:after="283"/>
              <w:rPr/>
            </w:pPr>
            <w:r>
              <w:rPr/>
              <w:t> </w:t>
            </w:r>
          </w:p>
        </w:tc>
      </w:tr>
      <w:tr>
        <w:trPr/>
        <w:tc>
          <w:tcPr>
            <w:tcW w:w="6818" w:type="dxa"/>
            <w:tcBorders/>
            <w:shd w:fill="auto" w:val="clear"/>
            <w:vAlign w:val="bottom"/>
          </w:tcPr>
          <w:p>
            <w:pPr>
              <w:pStyle w:val="TableContents"/>
              <w:spacing w:before="0" w:after="0"/>
              <w:ind w:left="225" w:right="0" w:hanging="225"/>
              <w:rPr/>
            </w:pPr>
            <w:r>
              <w:rPr/>
              <w:t>Expected dividend yield</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 </w:t>
            </w:r>
          </w:p>
        </w:tc>
        <w:tc>
          <w:tcPr>
            <w:tcW w:w="447" w:type="dxa"/>
            <w:tcBorders/>
            <w:shd w:fill="auto" w:val="clear"/>
            <w:vAlign w:val="bottom"/>
          </w:tcPr>
          <w:p>
            <w:pPr>
              <w:pStyle w:val="TableContents"/>
              <w:spacing w:before="0" w:after="283"/>
              <w:jc w:val="right"/>
              <w:rPr/>
            </w:pPr>
            <w:r>
              <w:rPr/>
              <w:t>0.5</w:t>
            </w:r>
          </w:p>
        </w:tc>
        <w:tc>
          <w:tcPr>
            <w:tcW w:w="424" w:type="dxa"/>
            <w:tcBorders/>
            <w:shd w:fill="auto" w:val="clear"/>
            <w:vAlign w:val="bottom"/>
          </w:tcPr>
          <w:p>
            <w:pPr>
              <w:pStyle w:val="TableContents"/>
              <w:spacing w:before="0" w:after="283"/>
              <w:rPr/>
            </w:pPr>
            <w:r>
              <w:rPr/>
              <w:t>%</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 </w:t>
            </w:r>
          </w:p>
        </w:tc>
        <w:tc>
          <w:tcPr>
            <w:tcW w:w="447" w:type="dxa"/>
            <w:tcBorders/>
            <w:shd w:fill="auto" w:val="clear"/>
            <w:vAlign w:val="bottom"/>
          </w:tcPr>
          <w:p>
            <w:pPr>
              <w:pStyle w:val="TableContents"/>
              <w:spacing w:before="0" w:after="283"/>
              <w:jc w:val="right"/>
              <w:rPr/>
            </w:pPr>
            <w:r>
              <w:rPr/>
              <w:t>0.6</w:t>
            </w:r>
          </w:p>
        </w:tc>
        <w:tc>
          <w:tcPr>
            <w:tcW w:w="431" w:type="dxa"/>
            <w:tcBorders/>
            <w:shd w:fill="auto" w:val="clear"/>
            <w:vAlign w:val="bottom"/>
          </w:tcPr>
          <w:p>
            <w:pPr>
              <w:pStyle w:val="TableContents"/>
              <w:spacing w:before="0" w:after="283"/>
              <w:rPr/>
            </w:pPr>
            <w:r>
              <w:rPr/>
              <w:t>%</w:t>
            </w:r>
          </w:p>
        </w:tc>
      </w:tr>
      <w:tr>
        <w:trPr/>
        <w:tc>
          <w:tcPr>
            <w:tcW w:w="6818" w:type="dxa"/>
            <w:tcBorders/>
            <w:shd w:fill="CCEEFF" w:val="clear"/>
            <w:vAlign w:val="bottom"/>
          </w:tcPr>
          <w:p>
            <w:pPr>
              <w:pStyle w:val="TableContents"/>
              <w:spacing w:before="0" w:after="0"/>
              <w:ind w:left="225" w:right="0" w:hanging="225"/>
              <w:rPr/>
            </w:pPr>
            <w:r>
              <w:rPr/>
              <w:t>Expected volatility</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 </w:t>
            </w:r>
          </w:p>
        </w:tc>
        <w:tc>
          <w:tcPr>
            <w:tcW w:w="447" w:type="dxa"/>
            <w:tcBorders/>
            <w:shd w:fill="CCEEFF" w:val="clear"/>
            <w:vAlign w:val="bottom"/>
          </w:tcPr>
          <w:p>
            <w:pPr>
              <w:pStyle w:val="TableContents"/>
              <w:spacing w:before="0" w:after="283"/>
              <w:jc w:val="right"/>
              <w:rPr/>
            </w:pPr>
            <w:r>
              <w:rPr/>
              <w:t>24.3</w:t>
            </w:r>
          </w:p>
        </w:tc>
        <w:tc>
          <w:tcPr>
            <w:tcW w:w="424"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 </w:t>
            </w:r>
          </w:p>
        </w:tc>
        <w:tc>
          <w:tcPr>
            <w:tcW w:w="447" w:type="dxa"/>
            <w:tcBorders/>
            <w:shd w:fill="CCEEFF" w:val="clear"/>
            <w:vAlign w:val="bottom"/>
          </w:tcPr>
          <w:p>
            <w:pPr>
              <w:pStyle w:val="TableContents"/>
              <w:spacing w:before="0" w:after="283"/>
              <w:jc w:val="right"/>
              <w:rPr/>
            </w:pPr>
            <w:r>
              <w:rPr/>
              <w:t>26.3</w:t>
            </w:r>
          </w:p>
        </w:tc>
        <w:tc>
          <w:tcPr>
            <w:tcW w:w="431" w:type="dxa"/>
            <w:tcBorders/>
            <w:shd w:fill="CCEEFF" w:val="clear"/>
            <w:vAlign w:val="bottom"/>
          </w:tcPr>
          <w:p>
            <w:pPr>
              <w:pStyle w:val="TableContents"/>
              <w:spacing w:before="0" w:after="283"/>
              <w:rPr/>
            </w:pPr>
            <w:r>
              <w:rPr/>
              <w:t>%</w:t>
            </w:r>
          </w:p>
        </w:tc>
      </w:tr>
      <w:tr>
        <w:trPr/>
        <w:tc>
          <w:tcPr>
            <w:tcW w:w="6818" w:type="dxa"/>
            <w:tcBorders/>
            <w:shd w:fill="auto" w:val="clear"/>
            <w:vAlign w:val="bottom"/>
          </w:tcPr>
          <w:p>
            <w:pPr>
              <w:pStyle w:val="TableContents"/>
              <w:spacing w:before="0" w:after="0"/>
              <w:ind w:left="225" w:right="0" w:hanging="225"/>
              <w:rPr/>
            </w:pPr>
            <w:r>
              <w:rPr/>
              <w:t>Expected life</w:t>
            </w:r>
          </w:p>
        </w:tc>
        <w:tc>
          <w:tcPr>
            <w:tcW w:w="458" w:type="dxa"/>
            <w:tcBorders/>
            <w:shd w:fill="auto" w:val="clear"/>
            <w:vAlign w:val="bottom"/>
          </w:tcPr>
          <w:p>
            <w:pPr>
              <w:pStyle w:val="TableContents"/>
              <w:spacing w:before="0" w:after="283"/>
              <w:rPr/>
            </w:pPr>
            <w:r>
              <w:rPr/>
              <w:t> </w:t>
            </w:r>
          </w:p>
        </w:tc>
        <w:tc>
          <w:tcPr>
            <w:tcW w:w="1232" w:type="dxa"/>
            <w:gridSpan w:val="3"/>
            <w:tcBorders/>
            <w:shd w:fill="auto" w:val="clear"/>
            <w:vAlign w:val="bottom"/>
          </w:tcPr>
          <w:p>
            <w:pPr>
              <w:pStyle w:val="TableContents"/>
              <w:spacing w:before="0" w:after="283"/>
              <w:jc w:val="center"/>
              <w:rPr/>
            </w:pPr>
            <w:r>
              <w:rPr/>
              <w:t>5 years</w:t>
            </w:r>
          </w:p>
        </w:tc>
        <w:tc>
          <w:tcPr>
            <w:tcW w:w="458" w:type="dxa"/>
            <w:tcBorders/>
            <w:shd w:fill="auto" w:val="clear"/>
            <w:vAlign w:val="bottom"/>
          </w:tcPr>
          <w:p>
            <w:pPr>
              <w:pStyle w:val="TableContents"/>
              <w:spacing w:before="0" w:after="283"/>
              <w:rPr/>
            </w:pPr>
            <w:r>
              <w:rPr/>
              <w:t> </w:t>
            </w:r>
          </w:p>
        </w:tc>
        <w:tc>
          <w:tcPr>
            <w:tcW w:w="1239" w:type="dxa"/>
            <w:gridSpan w:val="3"/>
            <w:tcBorders/>
            <w:shd w:fill="auto" w:val="clear"/>
            <w:vAlign w:val="bottom"/>
          </w:tcPr>
          <w:p>
            <w:pPr>
              <w:pStyle w:val="TableContents"/>
              <w:spacing w:before="0" w:after="283"/>
              <w:jc w:val="center"/>
              <w:rPr/>
            </w:pPr>
            <w:r>
              <w:rPr/>
              <w:t>5 years</w:t>
            </w:r>
          </w:p>
        </w:tc>
      </w:tr>
      <w:tr>
        <w:trPr/>
        <w:tc>
          <w:tcPr>
            <w:tcW w:w="6818" w:type="dxa"/>
            <w:tcBorders/>
            <w:shd w:fill="CCEEFF" w:val="clear"/>
            <w:vAlign w:val="bottom"/>
          </w:tcPr>
          <w:p>
            <w:pPr>
              <w:pStyle w:val="TableContents"/>
              <w:spacing w:before="0" w:after="0"/>
              <w:ind w:left="225" w:right="0" w:hanging="225"/>
              <w:rPr/>
            </w:pPr>
            <w:r>
              <w:rPr/>
              <w:t>Risk-free interest rate</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 </w:t>
            </w:r>
          </w:p>
        </w:tc>
        <w:tc>
          <w:tcPr>
            <w:tcW w:w="447" w:type="dxa"/>
            <w:tcBorders/>
            <w:shd w:fill="CCEEFF" w:val="clear"/>
            <w:vAlign w:val="bottom"/>
          </w:tcPr>
          <w:p>
            <w:pPr>
              <w:pStyle w:val="TableContents"/>
              <w:spacing w:before="0" w:after="283"/>
              <w:jc w:val="right"/>
              <w:rPr/>
            </w:pPr>
            <w:r>
              <w:rPr/>
              <w:t>4.57</w:t>
            </w:r>
          </w:p>
        </w:tc>
        <w:tc>
          <w:tcPr>
            <w:tcW w:w="424"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 </w:t>
            </w:r>
          </w:p>
        </w:tc>
        <w:tc>
          <w:tcPr>
            <w:tcW w:w="447" w:type="dxa"/>
            <w:tcBorders/>
            <w:shd w:fill="CCEEFF" w:val="clear"/>
            <w:vAlign w:val="bottom"/>
          </w:tcPr>
          <w:p>
            <w:pPr>
              <w:pStyle w:val="TableContents"/>
              <w:spacing w:before="0" w:after="283"/>
              <w:jc w:val="right"/>
              <w:rPr/>
            </w:pPr>
            <w:r>
              <w:rPr/>
              <w:t>3.89</w:t>
            </w:r>
          </w:p>
        </w:tc>
        <w:tc>
          <w:tcPr>
            <w:tcW w:w="431" w:type="dxa"/>
            <w:tcBorders/>
            <w:shd w:fill="CCEEFF" w:val="clear"/>
            <w:vAlign w:val="bottom"/>
          </w:tcPr>
          <w:p>
            <w:pPr>
              <w:pStyle w:val="TableContents"/>
              <w:spacing w:before="0" w:after="283"/>
              <w:rPr/>
            </w:pPr>
            <w:r>
              <w:rPr/>
              <w:t>%</w:t>
            </w:r>
          </w:p>
        </w:tc>
      </w:tr>
    </w:tbl>
    <w:p>
      <w:pPr>
        <w:pStyle w:val="TextBody"/>
        <w:spacing w:before="120" w:after="283"/>
        <w:jc w:val="left"/>
        <w:rPr/>
      </w:pPr>
      <w:r>
        <w:rPr/>
        <w:t>     </w:t>
      </w:r>
      <w:r>
        <w:rPr>
          <w:rFonts w:ascii="Times New Roman;Times;serif" w:hAnsi="Times New Roman;Times;serif"/>
          <w:sz w:val="17"/>
        </w:rPr>
        <w:t xml:space="preserve">The expected dividend yield was based on Viads expectation of future dividend payouts. The volatility assumption was based on Viads daily historical stock price volatility during the time period that corresponds to the expected weighted-average life of the option. The expected life (estimated period of time outstanding) of stock options granted was estimated based on historical exercise activity. The risk-free interest rate assumption was based on the interest rate of a U.S. Treasury strip for a five-year term from the date the option was granted. </w:t>
      </w:r>
    </w:p>
    <w:p>
      <w:pPr>
        <w:pStyle w:val="TextBody"/>
        <w:spacing w:before="120" w:after="283"/>
        <w:jc w:val="left"/>
        <w:rPr/>
      </w:pPr>
      <w:r>
        <w:rPr/>
        <w:t>     </w:t>
      </w:r>
      <w:r>
        <w:rPr>
          <w:rFonts w:ascii="Times New Roman;Times;serif" w:hAnsi="Times New Roman;Times;serif"/>
          <w:sz w:val="17"/>
        </w:rPr>
        <w:t xml:space="preserve">Stock options granted during the nine months ended September 30, 2006 and 2005 were for contractual terms of seven years at exercise prices based on the fair market value of Viads common stock on the grant date. Stock options become exercisable, based on a graded vesting schedule, in annual increments of 20 percent beginning one year after grant date and become fully exercisable after five years from the date of grant. Stock options granted since 1998 contain certain forfeiture and non-compete provisions. Share-based compensation expense related to stock option awards is recognized on the straight-line method over the requisite service period, which is approximately five years. As of September 30, 2006, the total unrecognized cost related to non-vested stock option awards was $2.6 million. Viad expects to recognize such costs in the consolidated financial statements over a weighted-average period of approximately 1.9 years. </w:t>
      </w:r>
    </w:p>
    <w:p>
      <w:pPr>
        <w:pStyle w:val="TextBody"/>
        <w:jc w:val="center"/>
        <w:rPr>
          <w:rFonts w:ascii="Times New Roman;Times;serif" w:hAnsi="Times New Roman;Times;serif"/>
          <w:sz w:val="17"/>
        </w:rPr>
      </w:pPr>
      <w:r>
        <w:rPr>
          <w:rFonts w:ascii="Times New Roman;Times;serif" w:hAnsi="Times New Roman;Times;serif"/>
          <w:sz w:val="17"/>
        </w:rPr>
        <w:t xml:space="preserve">Page 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Viads stock options generally contain contingent cash settlement features upon a change of control of the Company as defined in the Omnibus Plan. Management believes this cash settlement event is not considered probable, and therefore, the outstanding stock options are accounted for as equity awards and not considered liability awards under SFAS No. 123(R) and related guidance. Although not considered probable, the cash settlement contingency is deemed to be outside the control of Viad. Accordingly, Viads stock options are subject to the provisions of SEC Accounting Series Release No. 268, Presentation in Financial Statements of Redeemable Preferred Stocks and Emerging Issues Task Force Issue No. D-98, Classification and Measurement of Redeemable Securities. This guidance generally specifies that when the redemption of instruments (within its scope) is outside the control of the issuer, certain amounts should be classified outside of permanent equity on the balance sheet. As of September 30, 2006, Viad has not recorded any amounts related to stock options outside of permanent equity as there was no intrinsic value (in-the-money redemption amount) related to Viads stock options on the date of grant. As noted above, the exercise price of Viads stock option grants is based on the fair market value of the underlying common stock on the date of grant. </w:t>
      </w:r>
    </w:p>
    <w:p>
      <w:pPr>
        <w:pStyle w:val="TextBody"/>
        <w:spacing w:before="120" w:after="283"/>
        <w:jc w:val="left"/>
        <w:rPr/>
      </w:pPr>
      <w:r>
        <w:rPr/>
        <w:t>     </w:t>
      </w:r>
      <w:r>
        <w:rPr>
          <w:rFonts w:ascii="Times New Roman;Times;serif" w:hAnsi="Times New Roman;Times;serif"/>
          <w:sz w:val="17"/>
        </w:rPr>
        <w:t xml:space="preserve">The following table summarizes stock option activity during the nine months ended September 30, 2006: </w:t>
      </w:r>
    </w:p>
    <w:tbl>
      <w:tblPr>
        <w:tblW w:w="5000" w:type="pct"/>
        <w:jc w:val="center"/>
        <w:tblInd w:w="0" w:type="dxa"/>
        <w:tblCellMar>
          <w:top w:w="0" w:type="dxa"/>
          <w:left w:w="0" w:type="dxa"/>
          <w:bottom w:w="0" w:type="dxa"/>
          <w:right w:w="0" w:type="dxa"/>
        </w:tblCellMar>
      </w:tblPr>
      <w:tblGrid>
        <w:gridCol w:w="4759"/>
        <w:gridCol w:w="347"/>
        <w:gridCol w:w="108"/>
        <w:gridCol w:w="1088"/>
        <w:gridCol w:w="136"/>
        <w:gridCol w:w="347"/>
        <w:gridCol w:w="295"/>
        <w:gridCol w:w="1240"/>
        <w:gridCol w:w="108"/>
        <w:gridCol w:w="347"/>
        <w:gridCol w:w="126"/>
        <w:gridCol w:w="1191"/>
        <w:gridCol w:w="113"/>
      </w:tblGrid>
      <w:tr>
        <w:trPr/>
        <w:tc>
          <w:tcPr>
            <w:tcW w:w="4759"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1"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r>
      <w:tr>
        <w:trPr/>
        <w:tc>
          <w:tcPr>
            <w:tcW w:w="4759"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35" w:type="dxa"/>
            <w:gridSpan w:val="2"/>
            <w:tcBorders/>
            <w:shd w:fill="auto" w:val="clear"/>
            <w:vAlign w:val="bottom"/>
          </w:tcPr>
          <w:p>
            <w:pPr>
              <w:pStyle w:val="TableContents"/>
              <w:spacing w:before="0" w:after="283"/>
              <w:jc w:val="center"/>
              <w:rPr>
                <w:b/>
              </w:rPr>
            </w:pPr>
            <w:r>
              <w:rPr>
                <w:b/>
              </w:rPr>
              <w:t>Weighted-</w:t>
            </w:r>
          </w:p>
        </w:tc>
        <w:tc>
          <w:tcPr>
            <w:tcW w:w="108"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317" w:type="dxa"/>
            <w:gridSpan w:val="2"/>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rPr/>
            </w:pPr>
            <w:r>
              <w:rPr/>
              <w:t> </w:t>
            </w:r>
          </w:p>
        </w:tc>
      </w:tr>
      <w:tr>
        <w:trPr/>
        <w:tc>
          <w:tcPr>
            <w:tcW w:w="4759"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35" w:type="dxa"/>
            <w:gridSpan w:val="2"/>
            <w:tcBorders/>
            <w:shd w:fill="auto" w:val="clear"/>
            <w:vAlign w:val="bottom"/>
          </w:tcPr>
          <w:p>
            <w:pPr>
              <w:pStyle w:val="TableContents"/>
              <w:spacing w:before="0" w:after="283"/>
              <w:jc w:val="center"/>
              <w:rPr>
                <w:b/>
              </w:rPr>
            </w:pPr>
            <w:r>
              <w:rPr>
                <w:b/>
              </w:rPr>
              <w:t>Average</w:t>
            </w:r>
          </w:p>
        </w:tc>
        <w:tc>
          <w:tcPr>
            <w:tcW w:w="108"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317" w:type="dxa"/>
            <w:gridSpan w:val="2"/>
            <w:tcBorders/>
            <w:shd w:fill="auto" w:val="clear"/>
            <w:vAlign w:val="bottom"/>
          </w:tcPr>
          <w:p>
            <w:pPr>
              <w:pStyle w:val="TableContents"/>
              <w:spacing w:before="0" w:after="283"/>
              <w:jc w:val="center"/>
              <w:rPr>
                <w:b/>
              </w:rPr>
            </w:pPr>
            <w:r>
              <w:rPr>
                <w:b/>
              </w:rPr>
              <w:t>Options</w:t>
            </w:r>
          </w:p>
        </w:tc>
        <w:tc>
          <w:tcPr>
            <w:tcW w:w="113" w:type="dxa"/>
            <w:tcBorders/>
            <w:shd w:fill="auto" w:val="clear"/>
            <w:vAlign w:val="bottom"/>
          </w:tcPr>
          <w:p>
            <w:pPr>
              <w:pStyle w:val="TableContents"/>
              <w:spacing w:before="0" w:after="283"/>
              <w:rPr/>
            </w:pPr>
            <w:r>
              <w:rPr/>
              <w:t> </w:t>
            </w:r>
          </w:p>
        </w:tc>
      </w:tr>
      <w:tr>
        <w:trPr/>
        <w:tc>
          <w:tcPr>
            <w:tcW w:w="4759"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1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13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3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108"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3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Exercisable</w:t>
            </w:r>
          </w:p>
        </w:tc>
        <w:tc>
          <w:tcPr>
            <w:tcW w:w="113" w:type="dxa"/>
            <w:tcBorders/>
            <w:shd w:fill="auto" w:val="clear"/>
            <w:vAlign w:val="bottom"/>
          </w:tcPr>
          <w:p>
            <w:pPr>
              <w:pStyle w:val="TableContents"/>
              <w:spacing w:before="0" w:after="283"/>
              <w:rPr/>
            </w:pPr>
            <w:r>
              <w:rPr/>
              <w:t> </w:t>
            </w:r>
          </w:p>
        </w:tc>
      </w:tr>
      <w:tr>
        <w:trPr/>
        <w:tc>
          <w:tcPr>
            <w:tcW w:w="4759" w:type="dxa"/>
            <w:tcBorders/>
            <w:shd w:fill="CCEEFF" w:val="clear"/>
            <w:vAlign w:val="bottom"/>
          </w:tcPr>
          <w:p>
            <w:pPr>
              <w:pStyle w:val="TableContents"/>
              <w:spacing w:before="0" w:after="0"/>
              <w:ind w:left="225" w:right="0" w:hanging="225"/>
              <w:rPr/>
            </w:pPr>
            <w:r>
              <w:rPr/>
              <w:t>Options outstanding at January 1, 2006</w:t>
            </w:r>
          </w:p>
        </w:tc>
        <w:tc>
          <w:tcPr>
            <w:tcW w:w="347"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088" w:type="dxa"/>
            <w:tcBorders/>
            <w:shd w:fill="CCEEFF" w:val="clear"/>
            <w:vAlign w:val="bottom"/>
          </w:tcPr>
          <w:p>
            <w:pPr>
              <w:pStyle w:val="TableContents"/>
              <w:spacing w:before="0" w:after="283"/>
              <w:jc w:val="right"/>
              <w:rPr/>
            </w:pPr>
            <w:r>
              <w:rPr/>
              <w:t>1,109,770</w:t>
            </w:r>
          </w:p>
        </w:tc>
        <w:tc>
          <w:tcPr>
            <w:tcW w:w="13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jc w:val="left"/>
              <w:rPr/>
            </w:pPr>
            <w:r>
              <w:rPr/>
              <w:t>$</w:t>
            </w:r>
          </w:p>
        </w:tc>
        <w:tc>
          <w:tcPr>
            <w:tcW w:w="1240" w:type="dxa"/>
            <w:tcBorders/>
            <w:shd w:fill="CCEEFF" w:val="clear"/>
            <w:vAlign w:val="bottom"/>
          </w:tcPr>
          <w:p>
            <w:pPr>
              <w:pStyle w:val="TableContents"/>
              <w:spacing w:before="0" w:after="283"/>
              <w:jc w:val="right"/>
              <w:rPr/>
            </w:pPr>
            <w:r>
              <w:rPr/>
              <w:t>23.55</w:t>
            </w:r>
          </w:p>
        </w:tc>
        <w:tc>
          <w:tcPr>
            <w:tcW w:w="108"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1" w:type="dxa"/>
            <w:tcBorders/>
            <w:shd w:fill="CCEEFF" w:val="clear"/>
            <w:vAlign w:val="bottom"/>
          </w:tcPr>
          <w:p>
            <w:pPr>
              <w:pStyle w:val="TableContents"/>
              <w:spacing w:before="0" w:after="283"/>
              <w:jc w:val="right"/>
              <w:rPr/>
            </w:pPr>
            <w:r>
              <w:rPr/>
              <w:t>745,732</w:t>
            </w:r>
          </w:p>
        </w:tc>
        <w:tc>
          <w:tcPr>
            <w:tcW w:w="113" w:type="dxa"/>
            <w:tcBorders/>
            <w:shd w:fill="CCEEFF" w:val="clear"/>
            <w:vAlign w:val="bottom"/>
          </w:tcPr>
          <w:p>
            <w:pPr>
              <w:pStyle w:val="TableContents"/>
              <w:spacing w:before="0" w:after="283"/>
              <w:rPr/>
            </w:pPr>
            <w:r>
              <w:rPr/>
              <w:t> </w:t>
            </w:r>
          </w:p>
        </w:tc>
      </w:tr>
      <w:tr>
        <w:trPr/>
        <w:tc>
          <w:tcPr>
            <w:tcW w:w="4759" w:type="dxa"/>
            <w:tcBorders/>
            <w:shd w:fill="auto" w:val="clear"/>
            <w:vAlign w:val="bottom"/>
          </w:tcPr>
          <w:p>
            <w:pPr>
              <w:pStyle w:val="TableContents"/>
              <w:spacing w:before="0" w:after="0"/>
              <w:ind w:left="450" w:right="0" w:hanging="225"/>
              <w:rPr/>
            </w:pPr>
            <w:r>
              <w:rPr/>
              <w:t>Granted</w:t>
            </w:r>
          </w:p>
        </w:tc>
        <w:tc>
          <w:tcPr>
            <w:tcW w:w="347"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jc w:val="right"/>
              <w:rPr/>
            </w:pPr>
            <w:r>
              <w:rPr/>
              <w:t>21,700</w:t>
            </w:r>
          </w:p>
        </w:tc>
        <w:tc>
          <w:tcPr>
            <w:tcW w:w="13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31.92</w:t>
            </w:r>
          </w:p>
        </w:tc>
        <w:tc>
          <w:tcPr>
            <w:tcW w:w="108"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1"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r>
      <w:tr>
        <w:trPr/>
        <w:tc>
          <w:tcPr>
            <w:tcW w:w="4759" w:type="dxa"/>
            <w:tcBorders/>
            <w:shd w:fill="CCEEFF" w:val="clear"/>
            <w:vAlign w:val="bottom"/>
          </w:tcPr>
          <w:p>
            <w:pPr>
              <w:pStyle w:val="TableContents"/>
              <w:spacing w:before="0" w:after="0"/>
              <w:ind w:left="450" w:right="0" w:hanging="225"/>
              <w:rPr/>
            </w:pPr>
            <w:r>
              <w:rPr/>
              <w:t>Exercised</w:t>
            </w:r>
          </w:p>
        </w:tc>
        <w:tc>
          <w:tcPr>
            <w:tcW w:w="347"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jc w:val="left"/>
              <w:rPr/>
            </w:pPr>
            <w:r>
              <w:rPr/>
              <w:t> </w:t>
            </w:r>
          </w:p>
        </w:tc>
        <w:tc>
          <w:tcPr>
            <w:tcW w:w="1088" w:type="dxa"/>
            <w:tcBorders/>
            <w:shd w:fill="CCEEFF" w:val="clear"/>
            <w:vAlign w:val="bottom"/>
          </w:tcPr>
          <w:p>
            <w:pPr>
              <w:pStyle w:val="TableContents"/>
              <w:spacing w:before="0" w:after="283"/>
              <w:jc w:val="right"/>
              <w:rPr/>
            </w:pPr>
            <w:r>
              <w:rPr/>
              <w:t>(179,518</w:t>
            </w:r>
          </w:p>
        </w:tc>
        <w:tc>
          <w:tcPr>
            <w:tcW w:w="13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pPr>
            <w:r>
              <w:rPr/>
              <w:t>21.99</w:t>
            </w:r>
          </w:p>
        </w:tc>
        <w:tc>
          <w:tcPr>
            <w:tcW w:w="108"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1"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r>
      <w:tr>
        <w:trPr/>
        <w:tc>
          <w:tcPr>
            <w:tcW w:w="4759" w:type="dxa"/>
            <w:tcBorders/>
            <w:shd w:fill="auto" w:val="clear"/>
            <w:vAlign w:val="bottom"/>
          </w:tcPr>
          <w:p>
            <w:pPr>
              <w:pStyle w:val="TableContents"/>
              <w:spacing w:before="0" w:after="0"/>
              <w:ind w:left="450" w:right="0" w:hanging="225"/>
              <w:rPr/>
            </w:pPr>
            <w:r>
              <w:rPr/>
              <w:t>Forfeited</w:t>
            </w:r>
          </w:p>
        </w:tc>
        <w:tc>
          <w:tcPr>
            <w:tcW w:w="347"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jc w:val="left"/>
              <w:rPr/>
            </w:pPr>
            <w:r>
              <w:rPr/>
              <w:t> </w:t>
            </w:r>
          </w:p>
        </w:tc>
        <w:tc>
          <w:tcPr>
            <w:tcW w:w="1088" w:type="dxa"/>
            <w:tcBorders/>
            <w:shd w:fill="auto" w:val="clear"/>
            <w:vAlign w:val="bottom"/>
          </w:tcPr>
          <w:p>
            <w:pPr>
              <w:pStyle w:val="TableContents"/>
              <w:spacing w:before="0" w:after="283"/>
              <w:jc w:val="right"/>
              <w:rPr/>
            </w:pPr>
            <w:r>
              <w:rPr/>
              <w:t>(84,848</w:t>
            </w:r>
          </w:p>
        </w:tc>
        <w:tc>
          <w:tcPr>
            <w:tcW w:w="136" w:type="dxa"/>
            <w:tcBorders/>
            <w:shd w:fill="auto" w:val="clear"/>
            <w:vAlign w:val="bottom"/>
          </w:tcPr>
          <w:p>
            <w:pPr>
              <w:pStyle w:val="TableContents"/>
              <w:spacing w:before="0" w:after="283"/>
              <w:rPr/>
            </w:pPr>
            <w:r>
              <w:rPr/>
              <w:t>)</w:t>
            </w:r>
          </w:p>
        </w:tc>
        <w:tc>
          <w:tcPr>
            <w:tcW w:w="347"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22.53</w:t>
            </w:r>
          </w:p>
        </w:tc>
        <w:tc>
          <w:tcPr>
            <w:tcW w:w="108"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1"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r>
      <w:tr>
        <w:trPr/>
        <w:tc>
          <w:tcPr>
            <w:tcW w:w="4759" w:type="dxa"/>
            <w:tcBorders/>
            <w:shd w:fill="auto" w:val="clear"/>
            <w:vAlign w:val="center"/>
          </w:tcPr>
          <w:p>
            <w:pPr>
              <w:pStyle w:val="TableContents"/>
              <w:spacing w:before="0" w:after="0"/>
              <w:ind w:left="225" w:right="0" w:hanging="225"/>
              <w:rPr/>
            </w:pPr>
            <w:r>
              <w:rPr/>
              <w:t> </w:t>
            </w:r>
          </w:p>
        </w:tc>
        <w:tc>
          <w:tcPr>
            <w:tcW w:w="347"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240"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1191"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r>
      <w:tr>
        <w:trPr/>
        <w:tc>
          <w:tcPr>
            <w:tcW w:w="4759" w:type="dxa"/>
            <w:tcBorders/>
            <w:shd w:fill="CCEEFF" w:val="clear"/>
            <w:vAlign w:val="bottom"/>
          </w:tcPr>
          <w:p>
            <w:pPr>
              <w:pStyle w:val="TableContents"/>
              <w:spacing w:before="0" w:after="0"/>
              <w:ind w:left="225" w:right="0" w:hanging="225"/>
              <w:rPr/>
            </w:pPr>
            <w:r>
              <w:rPr/>
              <w:t>Options outstanding at September 30, 2006</w:t>
            </w:r>
          </w:p>
        </w:tc>
        <w:tc>
          <w:tcPr>
            <w:tcW w:w="347"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088" w:type="dxa"/>
            <w:tcBorders/>
            <w:shd w:fill="CCEEFF" w:val="clear"/>
            <w:vAlign w:val="bottom"/>
          </w:tcPr>
          <w:p>
            <w:pPr>
              <w:pStyle w:val="TableContents"/>
              <w:spacing w:before="0" w:after="283"/>
              <w:jc w:val="right"/>
              <w:rPr/>
            </w:pPr>
            <w:r>
              <w:rPr/>
              <w:t>867,104</w:t>
            </w:r>
          </w:p>
        </w:tc>
        <w:tc>
          <w:tcPr>
            <w:tcW w:w="13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pPr>
            <w:r>
              <w:rPr/>
              <w:t>24.18</w:t>
            </w:r>
          </w:p>
        </w:tc>
        <w:tc>
          <w:tcPr>
            <w:tcW w:w="108"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1" w:type="dxa"/>
            <w:tcBorders/>
            <w:shd w:fill="CCEEFF" w:val="clear"/>
            <w:vAlign w:val="bottom"/>
          </w:tcPr>
          <w:p>
            <w:pPr>
              <w:pStyle w:val="TableContents"/>
              <w:spacing w:before="0" w:after="283"/>
              <w:jc w:val="right"/>
              <w:rPr/>
            </w:pPr>
            <w:r>
              <w:rPr/>
              <w:t>628,274</w:t>
            </w:r>
          </w:p>
        </w:tc>
        <w:tc>
          <w:tcPr>
            <w:tcW w:w="113" w:type="dxa"/>
            <w:tcBorders/>
            <w:shd w:fill="CCEEFF" w:val="clear"/>
            <w:vAlign w:val="bottom"/>
          </w:tcPr>
          <w:p>
            <w:pPr>
              <w:pStyle w:val="TableContents"/>
              <w:spacing w:before="0" w:after="283"/>
              <w:rPr/>
            </w:pPr>
            <w:r>
              <w:rPr/>
              <w:t> </w:t>
            </w:r>
          </w:p>
        </w:tc>
      </w:tr>
      <w:tr>
        <w:trPr/>
        <w:tc>
          <w:tcPr>
            <w:tcW w:w="4759" w:type="dxa"/>
            <w:tcBorders/>
            <w:shd w:fill="auto" w:val="clear"/>
            <w:vAlign w:val="center"/>
          </w:tcPr>
          <w:p>
            <w:pPr>
              <w:pStyle w:val="TableContents"/>
              <w:spacing w:before="0" w:after="0"/>
              <w:ind w:left="225" w:right="0" w:hanging="225"/>
              <w:rPr/>
            </w:pPr>
            <w:r>
              <w:rPr/>
              <w:t> </w:t>
            </w:r>
          </w:p>
        </w:tc>
        <w:tc>
          <w:tcPr>
            <w:tcW w:w="347" w:type="dxa"/>
            <w:tcBorders/>
            <w:shd w:fill="auto" w:val="clear"/>
            <w:vAlign w:val="center"/>
          </w:tcPr>
          <w:p>
            <w:pPr>
              <w:pStyle w:val="TableContents"/>
              <w:spacing w:before="0" w:after="283"/>
              <w:rPr/>
            </w:pPr>
            <w:r>
              <w:rPr/>
              <w:t> </w:t>
            </w:r>
          </w:p>
        </w:tc>
        <w:tc>
          <w:tcPr>
            <w:tcW w:w="11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240"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1191"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summarizes information concerning stock options outstanding and exercisable as of September 30, 2006: </w:t>
      </w:r>
    </w:p>
    <w:tbl>
      <w:tblPr>
        <w:tblW w:w="5000" w:type="pct"/>
        <w:jc w:val="center"/>
        <w:tblInd w:w="0" w:type="dxa"/>
        <w:tblCellMar>
          <w:top w:w="0" w:type="dxa"/>
          <w:left w:w="0" w:type="dxa"/>
          <w:bottom w:w="0" w:type="dxa"/>
          <w:right w:w="0" w:type="dxa"/>
        </w:tblCellMar>
      </w:tblPr>
      <w:tblGrid>
        <w:gridCol w:w="2600"/>
        <w:gridCol w:w="70"/>
        <w:gridCol w:w="67"/>
        <w:gridCol w:w="897"/>
        <w:gridCol w:w="67"/>
        <w:gridCol w:w="76"/>
        <w:gridCol w:w="962"/>
        <w:gridCol w:w="971"/>
        <w:gridCol w:w="67"/>
        <w:gridCol w:w="76"/>
        <w:gridCol w:w="288"/>
        <w:gridCol w:w="1180"/>
        <w:gridCol w:w="61"/>
        <w:gridCol w:w="70"/>
        <w:gridCol w:w="74"/>
        <w:gridCol w:w="980"/>
        <w:gridCol w:w="74"/>
        <w:gridCol w:w="83"/>
        <w:gridCol w:w="291"/>
        <w:gridCol w:w="1177"/>
        <w:gridCol w:w="74"/>
      </w:tblGrid>
      <w:tr>
        <w:trPr/>
        <w:tc>
          <w:tcPr>
            <w:tcW w:w="260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4651"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Options Outstanding</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67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Options Exercisable</w:t>
            </w:r>
          </w:p>
        </w:tc>
        <w:tc>
          <w:tcPr>
            <w:tcW w:w="74" w:type="dxa"/>
            <w:tcBorders/>
            <w:shd w:fill="auto"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933" w:type="dxa"/>
            <w:gridSpan w:val="2"/>
            <w:tcBorders/>
            <w:shd w:fill="auto" w:val="clear"/>
            <w:vAlign w:val="bottom"/>
          </w:tcPr>
          <w:p>
            <w:pPr>
              <w:pStyle w:val="TableContents"/>
              <w:spacing w:before="0" w:after="283"/>
              <w:jc w:val="center"/>
              <w:rPr>
                <w:b/>
              </w:rPr>
            </w:pPr>
            <w:r>
              <w:rPr>
                <w:b/>
              </w:rPr>
              <w:t>Weighted-Average</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Weighted-</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Weighted-</w:t>
            </w:r>
          </w:p>
        </w:tc>
        <w:tc>
          <w:tcPr>
            <w:tcW w:w="74" w:type="dxa"/>
            <w:tcBorders/>
            <w:shd w:fill="auto"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933" w:type="dxa"/>
            <w:gridSpan w:val="2"/>
            <w:tcBorders/>
            <w:shd w:fill="auto" w:val="clear"/>
            <w:vAlign w:val="bottom"/>
          </w:tcPr>
          <w:p>
            <w:pPr>
              <w:pStyle w:val="TableContents"/>
              <w:spacing w:before="0" w:after="283"/>
              <w:jc w:val="center"/>
              <w:rPr>
                <w:b/>
              </w:rPr>
            </w:pPr>
            <w:r>
              <w:rPr>
                <w:b/>
              </w:rPr>
              <w:t>Remaining</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Average</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Average</w:t>
            </w:r>
          </w:p>
        </w:tc>
        <w:tc>
          <w:tcPr>
            <w:tcW w:w="74" w:type="dxa"/>
            <w:tcBorders/>
            <w:shd w:fill="auto" w:val="clear"/>
            <w:vAlign w:val="bottom"/>
          </w:tcPr>
          <w:p>
            <w:pPr>
              <w:pStyle w:val="TableContents"/>
              <w:spacing w:before="0" w:after="283"/>
              <w:rPr/>
            </w:pPr>
            <w:r>
              <w:rPr/>
              <w:t> </w:t>
            </w:r>
          </w:p>
        </w:tc>
      </w:tr>
      <w:tr>
        <w:trPr/>
        <w:tc>
          <w:tcPr>
            <w:tcW w:w="2600" w:type="dxa"/>
            <w:tcBorders>
              <w:bottom w:val="single" w:sz="2" w:space="0" w:color="000000"/>
            </w:tcBorders>
            <w:shd w:fill="auto" w:val="clear"/>
            <w:tcMar>
              <w:bottom w:w="28" w:type="dxa"/>
            </w:tcMar>
            <w:vAlign w:val="bottom"/>
          </w:tcPr>
          <w:p>
            <w:pPr>
              <w:pStyle w:val="TableContents"/>
              <w:spacing w:before="0" w:after="283"/>
              <w:jc w:val="left"/>
              <w:rPr>
                <w:b/>
              </w:rPr>
            </w:pPr>
            <w:r>
              <w:rPr>
                <w:b/>
              </w:rPr>
              <w:t>Range of Exercise Prices</w:t>
            </w:r>
          </w:p>
        </w:tc>
        <w:tc>
          <w:tcPr>
            <w:tcW w:w="70" w:type="dxa"/>
            <w:tcBorders/>
            <w:shd w:fill="auto" w:val="clear"/>
            <w:vAlign w:val="bottom"/>
          </w:tcPr>
          <w:p>
            <w:pPr>
              <w:pStyle w:val="TableContents"/>
              <w:spacing w:before="0" w:after="283"/>
              <w:rPr/>
            </w:pPr>
            <w:r>
              <w:rPr/>
              <w:t> </w:t>
            </w:r>
          </w:p>
        </w:tc>
        <w:tc>
          <w:tcPr>
            <w:tcW w:w="96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9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Contractual Life</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5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4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74" w:type="dxa"/>
            <w:tcBorders/>
            <w:shd w:fill="auto" w:val="clear"/>
            <w:vAlign w:val="bottom"/>
          </w:tcPr>
          <w:p>
            <w:pPr>
              <w:pStyle w:val="TableContents"/>
              <w:spacing w:before="0" w:after="283"/>
              <w:rPr/>
            </w:pPr>
            <w:r>
              <w:rPr/>
              <w:t> </w:t>
            </w:r>
          </w:p>
        </w:tc>
      </w:tr>
      <w:tr>
        <w:trPr/>
        <w:tc>
          <w:tcPr>
            <w:tcW w:w="2600" w:type="dxa"/>
            <w:tcBorders/>
            <w:shd w:fill="CCEEFF" w:val="clear"/>
            <w:vAlign w:val="bottom"/>
          </w:tcPr>
          <w:p>
            <w:pPr>
              <w:pStyle w:val="TableContents"/>
              <w:spacing w:before="0" w:after="0"/>
              <w:ind w:left="225" w:right="0" w:hanging="225"/>
              <w:rPr/>
            </w:pPr>
            <w:r>
              <w:rPr/>
              <w:t>$17.51 to $23.32</w:t>
            </w:r>
          </w:p>
        </w:tc>
        <w:tc>
          <w:tcPr>
            <w:tcW w:w="7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jc w:val="right"/>
              <w:rPr/>
            </w:pPr>
            <w:r>
              <w:rPr/>
              <w:t>187,178</w:t>
            </w:r>
          </w:p>
        </w:tc>
        <w:tc>
          <w:tcPr>
            <w:tcW w:w="67"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000" w:type="dxa"/>
            <w:gridSpan w:val="3"/>
            <w:tcBorders/>
            <w:shd w:fill="CCEEFF" w:val="clear"/>
            <w:vAlign w:val="bottom"/>
          </w:tcPr>
          <w:p>
            <w:pPr>
              <w:pStyle w:val="TableContents"/>
              <w:spacing w:before="0" w:after="283"/>
              <w:jc w:val="center"/>
              <w:rPr/>
            </w:pPr>
            <w:r>
              <w:rPr/>
              <w:t>5.0 years</w:t>
            </w:r>
          </w:p>
        </w:tc>
        <w:tc>
          <w:tcPr>
            <w:tcW w:w="76"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w:t>
            </w:r>
          </w:p>
        </w:tc>
        <w:tc>
          <w:tcPr>
            <w:tcW w:w="1180" w:type="dxa"/>
            <w:tcBorders/>
            <w:shd w:fill="CCEEFF" w:val="clear"/>
            <w:vAlign w:val="bottom"/>
          </w:tcPr>
          <w:p>
            <w:pPr>
              <w:pStyle w:val="TableContents"/>
              <w:spacing w:before="0" w:after="283"/>
              <w:jc w:val="right"/>
              <w:rPr/>
            </w:pPr>
            <w:r>
              <w:rPr/>
              <w:t>19.21</w:t>
            </w:r>
          </w:p>
        </w:tc>
        <w:tc>
          <w:tcPr>
            <w:tcW w:w="61"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187,178</w:t>
            </w:r>
          </w:p>
        </w:tc>
        <w:tc>
          <w:tcPr>
            <w:tcW w:w="7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left"/>
              <w:rPr/>
            </w:pPr>
            <w:r>
              <w:rPr/>
              <w:t>$</w:t>
            </w:r>
          </w:p>
        </w:tc>
        <w:tc>
          <w:tcPr>
            <w:tcW w:w="1177" w:type="dxa"/>
            <w:tcBorders/>
            <w:shd w:fill="CCEEFF" w:val="clear"/>
            <w:vAlign w:val="bottom"/>
          </w:tcPr>
          <w:p>
            <w:pPr>
              <w:pStyle w:val="TableContents"/>
              <w:spacing w:before="0" w:after="283"/>
              <w:jc w:val="right"/>
              <w:rPr/>
            </w:pPr>
            <w:r>
              <w:rPr/>
              <w:t>19.21</w:t>
            </w:r>
          </w:p>
        </w:tc>
        <w:tc>
          <w:tcPr>
            <w:tcW w:w="74" w:type="dxa"/>
            <w:tcBorders/>
            <w:shd w:fill="CCEEFF"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0"/>
              <w:ind w:left="225" w:right="0" w:hanging="225"/>
              <w:rPr/>
            </w:pPr>
            <w:r>
              <w:rPr/>
              <w:t>$23.32 to $24.05</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jc w:val="right"/>
              <w:rPr/>
            </w:pPr>
            <w:r>
              <w:rPr/>
              <w:t>213,023</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000" w:type="dxa"/>
            <w:gridSpan w:val="3"/>
            <w:tcBorders/>
            <w:shd w:fill="auto" w:val="clear"/>
            <w:vAlign w:val="bottom"/>
          </w:tcPr>
          <w:p>
            <w:pPr>
              <w:pStyle w:val="TableContents"/>
              <w:spacing w:before="0" w:after="283"/>
              <w:jc w:val="center"/>
              <w:rPr/>
            </w:pPr>
            <w:r>
              <w:rPr/>
              <w:t>3.6 years</w:t>
            </w:r>
          </w:p>
        </w:tc>
        <w:tc>
          <w:tcPr>
            <w:tcW w:w="7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jc w:val="right"/>
              <w:rPr/>
            </w:pPr>
            <w:r>
              <w:rPr/>
              <w:t>23.76</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213,023</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23.76</w:t>
            </w:r>
          </w:p>
        </w:tc>
        <w:tc>
          <w:tcPr>
            <w:tcW w:w="74" w:type="dxa"/>
            <w:tcBorders/>
            <w:shd w:fill="auto" w:val="clear"/>
            <w:vAlign w:val="bottom"/>
          </w:tcPr>
          <w:p>
            <w:pPr>
              <w:pStyle w:val="TableContents"/>
              <w:spacing w:before="0" w:after="283"/>
              <w:rPr/>
            </w:pPr>
            <w:r>
              <w:rPr/>
              <w:t> </w:t>
            </w:r>
          </w:p>
        </w:tc>
      </w:tr>
      <w:tr>
        <w:trPr/>
        <w:tc>
          <w:tcPr>
            <w:tcW w:w="2600" w:type="dxa"/>
            <w:tcBorders/>
            <w:shd w:fill="CCEEFF" w:val="clear"/>
            <w:vAlign w:val="bottom"/>
          </w:tcPr>
          <w:p>
            <w:pPr>
              <w:pStyle w:val="TableContents"/>
              <w:spacing w:before="0" w:after="0"/>
              <w:ind w:left="225" w:right="0" w:hanging="225"/>
              <w:rPr/>
            </w:pPr>
            <w:r>
              <w:rPr/>
              <w:t>$24.22 to $26.07</w:t>
            </w:r>
          </w:p>
        </w:tc>
        <w:tc>
          <w:tcPr>
            <w:tcW w:w="7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jc w:val="right"/>
              <w:rPr/>
            </w:pPr>
            <w:r>
              <w:rPr/>
              <w:t>190,579</w:t>
            </w:r>
          </w:p>
        </w:tc>
        <w:tc>
          <w:tcPr>
            <w:tcW w:w="67"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000" w:type="dxa"/>
            <w:gridSpan w:val="3"/>
            <w:tcBorders/>
            <w:shd w:fill="CCEEFF" w:val="clear"/>
            <w:vAlign w:val="bottom"/>
          </w:tcPr>
          <w:p>
            <w:pPr>
              <w:pStyle w:val="TableContents"/>
              <w:spacing w:before="0" w:after="283"/>
              <w:jc w:val="center"/>
              <w:rPr/>
            </w:pPr>
            <w:r>
              <w:rPr/>
              <w:t>4.9 years</w:t>
            </w:r>
          </w:p>
        </w:tc>
        <w:tc>
          <w:tcPr>
            <w:tcW w:w="76"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80" w:type="dxa"/>
            <w:tcBorders/>
            <w:shd w:fill="CCEEFF" w:val="clear"/>
            <w:vAlign w:val="bottom"/>
          </w:tcPr>
          <w:p>
            <w:pPr>
              <w:pStyle w:val="TableContents"/>
              <w:spacing w:before="0" w:after="283"/>
              <w:jc w:val="right"/>
              <w:rPr/>
            </w:pPr>
            <w:r>
              <w:rPr/>
              <w:t>25.18</w:t>
            </w:r>
          </w:p>
        </w:tc>
        <w:tc>
          <w:tcPr>
            <w:tcW w:w="61"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135,022</w:t>
            </w:r>
          </w:p>
        </w:tc>
        <w:tc>
          <w:tcPr>
            <w:tcW w:w="7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25.57</w:t>
            </w:r>
          </w:p>
        </w:tc>
        <w:tc>
          <w:tcPr>
            <w:tcW w:w="74" w:type="dxa"/>
            <w:tcBorders/>
            <w:shd w:fill="CCEEFF"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0"/>
              <w:ind w:left="225" w:right="0" w:hanging="225"/>
              <w:rPr/>
            </w:pPr>
            <w:r>
              <w:rPr/>
              <w:t>$26.31 to $26.37</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jc w:val="right"/>
              <w:rPr/>
            </w:pPr>
            <w:r>
              <w:rPr/>
              <w:t>164,500</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000" w:type="dxa"/>
            <w:gridSpan w:val="3"/>
            <w:tcBorders/>
            <w:shd w:fill="auto" w:val="clear"/>
            <w:vAlign w:val="bottom"/>
          </w:tcPr>
          <w:p>
            <w:pPr>
              <w:pStyle w:val="TableContents"/>
              <w:spacing w:before="0" w:after="283"/>
              <w:jc w:val="center"/>
              <w:rPr/>
            </w:pPr>
            <w:r>
              <w:rPr/>
              <w:t>5.4 years</w:t>
            </w:r>
          </w:p>
        </w:tc>
        <w:tc>
          <w:tcPr>
            <w:tcW w:w="7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jc w:val="right"/>
              <w:rPr/>
            </w:pPr>
            <w:r>
              <w:rPr/>
              <w:t>26.31</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31,220</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26.31</w:t>
            </w:r>
          </w:p>
        </w:tc>
        <w:tc>
          <w:tcPr>
            <w:tcW w:w="74" w:type="dxa"/>
            <w:tcBorders/>
            <w:shd w:fill="auto" w:val="clear"/>
            <w:vAlign w:val="bottom"/>
          </w:tcPr>
          <w:p>
            <w:pPr>
              <w:pStyle w:val="TableContents"/>
              <w:spacing w:before="0" w:after="283"/>
              <w:rPr/>
            </w:pPr>
            <w:r>
              <w:rPr/>
              <w:t> </w:t>
            </w:r>
          </w:p>
        </w:tc>
      </w:tr>
      <w:tr>
        <w:trPr/>
        <w:tc>
          <w:tcPr>
            <w:tcW w:w="2600" w:type="dxa"/>
            <w:tcBorders/>
            <w:shd w:fill="CCEEFF" w:val="clear"/>
            <w:vAlign w:val="bottom"/>
          </w:tcPr>
          <w:p>
            <w:pPr>
              <w:pStyle w:val="TableContents"/>
              <w:spacing w:before="0" w:after="0"/>
              <w:ind w:left="225" w:right="0" w:hanging="225"/>
              <w:rPr/>
            </w:pPr>
            <w:r>
              <w:rPr/>
              <w:t>$26.47 to $31.92</w:t>
            </w:r>
          </w:p>
        </w:tc>
        <w:tc>
          <w:tcPr>
            <w:tcW w:w="7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jc w:val="right"/>
              <w:rPr/>
            </w:pPr>
            <w:r>
              <w:rPr/>
              <w:t>111,824</w:t>
            </w:r>
          </w:p>
        </w:tc>
        <w:tc>
          <w:tcPr>
            <w:tcW w:w="67"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000" w:type="dxa"/>
            <w:gridSpan w:val="3"/>
            <w:tcBorders/>
            <w:shd w:fill="CCEEFF" w:val="clear"/>
            <w:vAlign w:val="bottom"/>
          </w:tcPr>
          <w:p>
            <w:pPr>
              <w:pStyle w:val="TableContents"/>
              <w:spacing w:before="0" w:after="283"/>
              <w:jc w:val="center"/>
              <w:rPr/>
            </w:pPr>
            <w:r>
              <w:rPr/>
              <w:t>4.2 years</w:t>
            </w:r>
          </w:p>
        </w:tc>
        <w:tc>
          <w:tcPr>
            <w:tcW w:w="76"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80" w:type="dxa"/>
            <w:tcBorders/>
            <w:shd w:fill="CCEEFF" w:val="clear"/>
            <w:vAlign w:val="bottom"/>
          </w:tcPr>
          <w:p>
            <w:pPr>
              <w:pStyle w:val="TableContents"/>
              <w:spacing w:before="0" w:after="283"/>
              <w:jc w:val="right"/>
              <w:rPr/>
            </w:pPr>
            <w:r>
              <w:rPr/>
              <w:t>28.46</w:t>
            </w:r>
          </w:p>
        </w:tc>
        <w:tc>
          <w:tcPr>
            <w:tcW w:w="61"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61,831</w:t>
            </w:r>
          </w:p>
        </w:tc>
        <w:tc>
          <w:tcPr>
            <w:tcW w:w="7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27.88</w:t>
            </w:r>
          </w:p>
        </w:tc>
        <w:tc>
          <w:tcPr>
            <w:tcW w:w="74" w:type="dxa"/>
            <w:tcBorders/>
            <w:shd w:fill="CCEEFF" w:val="clear"/>
            <w:vAlign w:val="bottom"/>
          </w:tcPr>
          <w:p>
            <w:pPr>
              <w:pStyle w:val="TableContents"/>
              <w:spacing w:before="0" w:after="283"/>
              <w:rPr/>
            </w:pPr>
            <w:r>
              <w:rPr/>
              <w:t> </w:t>
            </w:r>
          </w:p>
        </w:tc>
      </w:tr>
      <w:tr>
        <w:trPr/>
        <w:tc>
          <w:tcPr>
            <w:tcW w:w="2600"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7"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962" w:type="dxa"/>
            <w:tcBorders/>
            <w:shd w:fill="auto" w:val="clear"/>
            <w:vAlign w:val="center"/>
          </w:tcPr>
          <w:p>
            <w:pPr>
              <w:pStyle w:val="TableContents"/>
              <w:spacing w:before="0" w:after="283"/>
              <w:rPr/>
            </w:pPr>
            <w:r>
              <w:rPr/>
              <w:t> </w:t>
            </w:r>
          </w:p>
        </w:tc>
        <w:tc>
          <w:tcPr>
            <w:tcW w:w="971" w:type="dxa"/>
            <w:tcBorders/>
            <w:shd w:fill="auto" w:val="clear"/>
            <w:vAlign w:val="center"/>
          </w:tcPr>
          <w:p>
            <w:pPr>
              <w:pStyle w:val="TableContents"/>
              <w:spacing w:before="0" w:after="283"/>
              <w:rPr/>
            </w:pPr>
            <w:r>
              <w:rPr/>
              <w:t> </w:t>
            </w:r>
          </w:p>
        </w:tc>
        <w:tc>
          <w:tcPr>
            <w:tcW w:w="67"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0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177"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r>
      <w:tr>
        <w:trPr/>
        <w:tc>
          <w:tcPr>
            <w:tcW w:w="2600" w:type="dxa"/>
            <w:tcBorders/>
            <w:shd w:fill="auto" w:val="clear"/>
            <w:vAlign w:val="bottom"/>
          </w:tcPr>
          <w:p>
            <w:pPr>
              <w:pStyle w:val="TableContents"/>
              <w:spacing w:before="0" w:after="0"/>
              <w:ind w:left="225" w:right="0" w:hanging="225"/>
              <w:rPr/>
            </w:pPr>
            <w:r>
              <w:rPr/>
              <w:t>$17.51 to $31.92</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jc w:val="right"/>
              <w:rPr/>
            </w:pPr>
            <w:r>
              <w:rPr/>
              <w:t>867,104</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000" w:type="dxa"/>
            <w:gridSpan w:val="3"/>
            <w:tcBorders/>
            <w:shd w:fill="auto" w:val="clear"/>
            <w:vAlign w:val="bottom"/>
          </w:tcPr>
          <w:p>
            <w:pPr>
              <w:pStyle w:val="TableContents"/>
              <w:spacing w:before="0" w:after="283"/>
              <w:jc w:val="center"/>
              <w:rPr/>
            </w:pPr>
            <w:r>
              <w:rPr/>
              <w:t>4.6 years</w:t>
            </w:r>
          </w:p>
        </w:tc>
        <w:tc>
          <w:tcPr>
            <w:tcW w:w="7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jc w:val="right"/>
              <w:rPr/>
            </w:pPr>
            <w:r>
              <w:rPr/>
              <w:t>24.18</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628,274</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23.33</w:t>
            </w:r>
          </w:p>
        </w:tc>
        <w:tc>
          <w:tcPr>
            <w:tcW w:w="74" w:type="dxa"/>
            <w:tcBorders/>
            <w:shd w:fill="auto" w:val="clear"/>
            <w:vAlign w:val="bottom"/>
          </w:tcPr>
          <w:p>
            <w:pPr>
              <w:pStyle w:val="TableContents"/>
              <w:spacing w:before="0" w:after="283"/>
              <w:rPr/>
            </w:pPr>
            <w:r>
              <w:rPr/>
              <w:t> </w:t>
            </w:r>
          </w:p>
        </w:tc>
      </w:tr>
      <w:tr>
        <w:trPr/>
        <w:tc>
          <w:tcPr>
            <w:tcW w:w="2600"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9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7"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962" w:type="dxa"/>
            <w:tcBorders/>
            <w:shd w:fill="auto" w:val="clear"/>
            <w:vAlign w:val="center"/>
          </w:tcPr>
          <w:p>
            <w:pPr>
              <w:pStyle w:val="TableContents"/>
              <w:spacing w:before="0" w:after="283"/>
              <w:rPr/>
            </w:pPr>
            <w:r>
              <w:rPr/>
              <w:t> </w:t>
            </w:r>
          </w:p>
        </w:tc>
        <w:tc>
          <w:tcPr>
            <w:tcW w:w="971" w:type="dxa"/>
            <w:tcBorders/>
            <w:shd w:fill="auto" w:val="clear"/>
            <w:vAlign w:val="center"/>
          </w:tcPr>
          <w:p>
            <w:pPr>
              <w:pStyle w:val="TableContents"/>
              <w:spacing w:before="0" w:after="283"/>
              <w:rPr/>
            </w:pPr>
            <w:r>
              <w:rPr/>
              <w:t> </w:t>
            </w:r>
          </w:p>
        </w:tc>
        <w:tc>
          <w:tcPr>
            <w:tcW w:w="67"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0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177"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 addition to the above, Viad had stock options outstanding which were granted to employees of MoneyGram International, Inc. (MoneyGram) prior to the spin-off of that company as described in Note 15. As of September 30, 2006, there were 103,594 of such options outstanding and 71,530 exercisable, both with exercise prices ranging from $17.51 to $28.15. The weighted-average remaining contractual life of these options outstanding was approximately 4.7 years. During the nine months ended September 30, 2006, a total of 60,191 options were exercised by MoneyGram employees at exercise prices ranging from $13.24 to $28.15. </w:t>
      </w:r>
    </w:p>
    <w:p>
      <w:pPr>
        <w:pStyle w:val="TextBody"/>
        <w:spacing w:before="120" w:after="283"/>
        <w:jc w:val="left"/>
        <w:rPr/>
      </w:pPr>
      <w:r>
        <w:rPr/>
        <w:t>     </w:t>
      </w:r>
      <w:r>
        <w:rPr>
          <w:rFonts w:ascii="Times New Roman;Times;serif" w:hAnsi="Times New Roman;Times;serif"/>
          <w:sz w:val="17"/>
        </w:rPr>
        <w:t xml:space="preserve">The aggregate intrinsic value related to stock options outstanding as of September 30, 2006 was $9.7 million. The aggregate intrinsic value is based on the weighted-average exercise price and Viads closing stock price of $35.41 as of September 30, 2006. The total intrinsic value of stock option awards exercised during the nine months ended September 30, 2006 and 2005 was $5.8 million and $4.2 million, respectively. The fair value of stock options that vested during the nine months ended September 30, 2006 and 2005 was $2.0 million and $1.7 million, respectively. During the nine months ended September 30, 2006 and 2005, Viad received cash proceeds from the exercise of stock options of $5.0 million and $5.2 million, respectively. The actual tax benefits realized for the tax deductions related to the exercise of stock options and vesting of restricted stock and performance-based awards was $7.4 million and $707,000 for the nine months ended September 30, 2006 and 2005,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Page 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Restricted stock awards of 182,000 and 103,300 shares were granted during the nine months ended September 30, 2006 and 2005, respectively, at weighted-average grant date fair values (based on the fair market value on the date of grant) of $32.80 and $26.30, respectively. The fair value of restricted stock that vested during the nine months ended September 30, 2006 and 2005 was $759,000 and $873,000, respectively. All restricted stock awards vest three years from the date of grant. Share-based compensation expense related to restricted stock awards is recognized on the straight-line method over the requisite service period, which is approximately three years. As of September 30, 2006, the total unrecognized costs related to non-vested restricted stock awards granted was $5.8 million. Viad expects to recognize such costs in the consolidated financial statements over a weighted-average period of approximately 1.4 years. </w:t>
      </w:r>
    </w:p>
    <w:p>
      <w:pPr>
        <w:pStyle w:val="TextBody"/>
        <w:spacing w:before="120" w:after="283"/>
        <w:jc w:val="left"/>
        <w:rPr/>
      </w:pPr>
      <w:r>
        <w:rPr/>
        <w:t>     </w:t>
      </w:r>
      <w:r>
        <w:rPr>
          <w:rFonts w:ascii="Times New Roman;Times;serif" w:hAnsi="Times New Roman;Times;serif"/>
          <w:sz w:val="17"/>
        </w:rPr>
        <w:t xml:space="preserve">During the nine months ended September 30, 2006 and 2005, Viad also granted performance-based restricted stock (PBRS) awards of 58,200 and 81,800 shares, respectively, at weighted-average grant date fair values (based on the fair market value on the date of grant) of $32.60 and $26.31, respectively. The fair value of PBRS that vested during the nine months ended September 30, 2006 and 2005 was $1.2 million and $558,000, respectively. PBRS vests when certain incentive performance targets established in the year of grant are achieved at target levels. PBRS awards are subject to a graded vesting schedule whereby one third of the earned shares vest after the first year, an additional one third after two years and the balance after three years from the date of grant. Share-based compensation expense related to PBRS awards is recognized based on an accelerated multiple-award approach over the requisite service period, which is approximately three years. As of September 30, 2006, the total unrecognized costs related to non-vested PBRS awards granted was $1.4 million. Viad expects to recognize such costs in the consolidated financial statements over a weighted-average period of approximately one year. </w:t>
      </w:r>
    </w:p>
    <w:p>
      <w:pPr>
        <w:pStyle w:val="TextBody"/>
        <w:spacing w:before="120" w:after="283"/>
        <w:jc w:val="left"/>
        <w:rPr/>
      </w:pPr>
      <w:r>
        <w:rPr/>
        <w:t>     </w:t>
      </w:r>
      <w:r>
        <w:rPr>
          <w:rFonts w:ascii="Times New Roman;Times;serif" w:hAnsi="Times New Roman;Times;serif"/>
          <w:sz w:val="17"/>
        </w:rPr>
        <w:t xml:space="preserve">Certain performance-driven restricted stock (PDRS) awards granted in 2002 and 2001 vested during the nine months ended September 30, 2006 and 2005 based on achievement of certain long-term incentive performance targets. The fair value of PDRS that vested during the nine months ended September 30, 2006 and 2005 was $313,000 and $1.4 million, respectively. </w:t>
      </w:r>
    </w:p>
    <w:p>
      <w:pPr>
        <w:pStyle w:val="TextBody"/>
        <w:spacing w:before="120" w:after="283"/>
        <w:jc w:val="left"/>
        <w:rPr/>
      </w:pPr>
      <w:r>
        <w:rPr/>
        <w:t>     </w:t>
      </w:r>
      <w:r>
        <w:rPr>
          <w:rFonts w:ascii="Times New Roman;Times;serif" w:hAnsi="Times New Roman;Times;serif"/>
          <w:sz w:val="17"/>
        </w:rPr>
        <w:t xml:space="preserve">Future vesting of restricted stock and PBRS is generally subject to continued employment with Viad or its subsidiaries. Holders of restricted stock and PBRS have the right to receive dividends and vote the shares, but may not sell, assign, transfer, pledge or otherwise encumber the stock, except to the extent restrictions have lapsed. The following table summarizes restricted stock, PBRS and PDRS activity during the nine months ended September 30, 2006: </w:t>
      </w:r>
    </w:p>
    <w:tbl>
      <w:tblPr>
        <w:tblW w:w="10295" w:type="dxa"/>
        <w:jc w:val="center"/>
        <w:tblInd w:w="0" w:type="dxa"/>
        <w:tblCellMar>
          <w:top w:w="0" w:type="dxa"/>
          <w:left w:w="0" w:type="dxa"/>
          <w:bottom w:w="0" w:type="dxa"/>
          <w:right w:w="0" w:type="dxa"/>
        </w:tblCellMar>
      </w:tblPr>
      <w:tblGrid>
        <w:gridCol w:w="1160"/>
        <w:gridCol w:w="60"/>
        <w:gridCol w:w="60"/>
        <w:gridCol w:w="800"/>
        <w:gridCol w:w="95"/>
        <w:gridCol w:w="60"/>
        <w:gridCol w:w="385"/>
        <w:gridCol w:w="1540"/>
        <w:gridCol w:w="60"/>
        <w:gridCol w:w="60"/>
        <w:gridCol w:w="60"/>
        <w:gridCol w:w="800"/>
        <w:gridCol w:w="95"/>
        <w:gridCol w:w="60"/>
        <w:gridCol w:w="385"/>
        <w:gridCol w:w="1540"/>
        <w:gridCol w:w="60"/>
        <w:gridCol w:w="60"/>
        <w:gridCol w:w="60"/>
        <w:gridCol w:w="755"/>
        <w:gridCol w:w="95"/>
        <w:gridCol w:w="60"/>
        <w:gridCol w:w="385"/>
        <w:gridCol w:w="1540"/>
        <w:gridCol w:w="60"/>
      </w:tblGrid>
      <w:tr>
        <w:trPr/>
        <w:tc>
          <w:tcPr>
            <w:tcW w:w="1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1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94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Restricted Stock</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94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PBRS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89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PDRS</w:t>
            </w:r>
          </w:p>
        </w:tc>
        <w:tc>
          <w:tcPr>
            <w:tcW w:w="60" w:type="dxa"/>
            <w:tcBorders/>
            <w:shd w:fill="auto" w:val="clear"/>
            <w:vAlign w:val="bottom"/>
          </w:tcPr>
          <w:p>
            <w:pPr>
              <w:pStyle w:val="TableContents"/>
              <w:spacing w:before="0" w:after="283"/>
              <w:rPr/>
            </w:pPr>
            <w:r>
              <w:rPr/>
              <w:t> </w:t>
            </w:r>
          </w:p>
        </w:tc>
      </w:tr>
      <w:tr>
        <w:trPr/>
        <w:tc>
          <w:tcPr>
            <w:tcW w:w="1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Weighted-Average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Weighted-Average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Weighted-Average</w:t>
            </w:r>
          </w:p>
        </w:tc>
        <w:tc>
          <w:tcPr>
            <w:tcW w:w="60" w:type="dxa"/>
            <w:tcBorders/>
            <w:shd w:fill="auto" w:val="clear"/>
            <w:vAlign w:val="bottom"/>
          </w:tcPr>
          <w:p>
            <w:pPr>
              <w:pStyle w:val="TableContents"/>
              <w:spacing w:before="0" w:after="283"/>
              <w:rPr/>
            </w:pPr>
            <w:r>
              <w:rPr/>
              <w:t> </w:t>
            </w:r>
          </w:p>
        </w:tc>
      </w:tr>
      <w:tr>
        <w:trPr/>
        <w:tc>
          <w:tcPr>
            <w:tcW w:w="1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Grant Date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Grant Date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Grant Date</w:t>
            </w:r>
          </w:p>
        </w:tc>
        <w:tc>
          <w:tcPr>
            <w:tcW w:w="60" w:type="dxa"/>
            <w:tcBorders/>
            <w:shd w:fill="auto" w:val="clear"/>
            <w:vAlign w:val="bottom"/>
          </w:tcPr>
          <w:p>
            <w:pPr>
              <w:pStyle w:val="TableContents"/>
              <w:spacing w:before="0" w:after="283"/>
              <w:rPr/>
            </w:pPr>
            <w:r>
              <w:rPr/>
              <w:t> </w:t>
            </w:r>
          </w:p>
        </w:tc>
      </w:tr>
      <w:tr>
        <w:trPr/>
        <w:tc>
          <w:tcPr>
            <w:tcW w:w="1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60" w:type="dxa"/>
            <w:tcBorders/>
            <w:shd w:fill="auto" w:val="clear"/>
            <w:vAlign w:val="bottom"/>
          </w:tcPr>
          <w:p>
            <w:pPr>
              <w:pStyle w:val="TableContents"/>
              <w:spacing w:before="0" w:after="283"/>
              <w:rPr/>
            </w:pPr>
            <w:r>
              <w:rPr/>
              <w:t> </w:t>
            </w:r>
          </w:p>
        </w:tc>
      </w:tr>
      <w:tr>
        <w:trPr/>
        <w:tc>
          <w:tcPr>
            <w:tcW w:w="1160" w:type="dxa"/>
            <w:tcBorders/>
            <w:shd w:fill="CCEEFF" w:val="clear"/>
            <w:vAlign w:val="bottom"/>
          </w:tcPr>
          <w:p>
            <w:pPr>
              <w:pStyle w:val="TableContents"/>
              <w:spacing w:before="0" w:after="0"/>
              <w:ind w:left="225" w:right="0" w:hanging="225"/>
              <w:rPr/>
            </w:pPr>
            <w:r>
              <w:rPr/>
              <w:t>Balance at January 1, 2006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165,050</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0" w:type="dxa"/>
            <w:tcBorders/>
            <w:shd w:fill="CCEEFF" w:val="clear"/>
            <w:vAlign w:val="bottom"/>
          </w:tcPr>
          <w:p>
            <w:pPr>
              <w:pStyle w:val="TableContents"/>
              <w:spacing w:before="0" w:after="283"/>
              <w:jc w:val="right"/>
              <w:rPr/>
            </w:pPr>
            <w:r>
              <w:rPr/>
              <w:t>24.38</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114,682</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0" w:type="dxa"/>
            <w:tcBorders/>
            <w:shd w:fill="CCEEFF" w:val="clear"/>
            <w:vAlign w:val="bottom"/>
          </w:tcPr>
          <w:p>
            <w:pPr>
              <w:pStyle w:val="TableContents"/>
              <w:spacing w:before="0" w:after="283"/>
              <w:jc w:val="right"/>
              <w:rPr/>
            </w:pPr>
            <w:r>
              <w:rPr/>
              <w:t>25.04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13,734</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0" w:type="dxa"/>
            <w:tcBorders/>
            <w:shd w:fill="CCEEFF" w:val="clear"/>
            <w:vAlign w:val="bottom"/>
          </w:tcPr>
          <w:p>
            <w:pPr>
              <w:pStyle w:val="TableContents"/>
              <w:spacing w:before="0" w:after="283"/>
              <w:jc w:val="right"/>
              <w:rPr/>
            </w:pPr>
            <w:r>
              <w:rPr/>
              <w:t>22.76</w:t>
            </w:r>
          </w:p>
        </w:tc>
        <w:tc>
          <w:tcPr>
            <w:tcW w:w="60" w:type="dxa"/>
            <w:tcBorders/>
            <w:shd w:fill="CCEEFF" w:val="clear"/>
            <w:vAlign w:val="bottom"/>
          </w:tcPr>
          <w:p>
            <w:pPr>
              <w:pStyle w:val="TableContents"/>
              <w:spacing w:before="0" w:after="283"/>
              <w:rPr/>
            </w:pPr>
            <w:r>
              <w:rPr/>
              <w:t> </w:t>
            </w:r>
          </w:p>
        </w:tc>
      </w:tr>
      <w:tr>
        <w:trPr/>
        <w:tc>
          <w:tcPr>
            <w:tcW w:w="1160" w:type="dxa"/>
            <w:tcBorders/>
            <w:shd w:fill="auto" w:val="clear"/>
            <w:vAlign w:val="bottom"/>
          </w:tcPr>
          <w:p>
            <w:pPr>
              <w:pStyle w:val="TableContents"/>
              <w:spacing w:before="0" w:after="0"/>
              <w:ind w:left="225" w:right="0" w:hanging="225"/>
              <w:rPr/>
            </w:pPr>
            <w:r>
              <w:rPr/>
              <w:t>Granted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182,000</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jc w:val="right"/>
              <w:rPr/>
            </w:pPr>
            <w:r>
              <w:rPr/>
              <w:t>32.80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58,200</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jc w:val="right"/>
              <w:rPr/>
            </w:pPr>
            <w:r>
              <w:rPr/>
              <w:t>32.60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r>
      <w:tr>
        <w:trPr/>
        <w:tc>
          <w:tcPr>
            <w:tcW w:w="1160" w:type="dxa"/>
            <w:tcBorders/>
            <w:shd w:fill="CCEEFF" w:val="clear"/>
            <w:vAlign w:val="bottom"/>
          </w:tcPr>
          <w:p>
            <w:pPr>
              <w:pStyle w:val="TableContents"/>
              <w:spacing w:before="0" w:after="0"/>
              <w:ind w:left="225" w:right="0" w:hanging="225"/>
              <w:rPr/>
            </w:pPr>
            <w:r>
              <w:rPr/>
              <w:t>Vested</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(38,800</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0" w:type="dxa"/>
            <w:tcBorders/>
            <w:shd w:fill="CCEEFF" w:val="clear"/>
            <w:vAlign w:val="bottom"/>
          </w:tcPr>
          <w:p>
            <w:pPr>
              <w:pStyle w:val="TableContents"/>
              <w:spacing w:before="0" w:after="283"/>
              <w:jc w:val="right"/>
              <w:rPr/>
            </w:pPr>
            <w:r>
              <w:rPr/>
              <w:t>19.57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(51,752</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0" w:type="dxa"/>
            <w:tcBorders/>
            <w:shd w:fill="CCEEFF" w:val="clear"/>
            <w:vAlign w:val="bottom"/>
          </w:tcPr>
          <w:p>
            <w:pPr>
              <w:pStyle w:val="TableContents"/>
              <w:spacing w:before="0" w:after="283"/>
              <w:jc w:val="right"/>
              <w:rPr/>
            </w:pPr>
            <w:r>
              <w:rPr/>
              <w:t>23.94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jc w:val="left"/>
              <w:rPr/>
            </w:pPr>
            <w:r>
              <w:rPr/>
              <w:t> </w:t>
            </w:r>
          </w:p>
        </w:tc>
        <w:tc>
          <w:tcPr>
            <w:tcW w:w="755" w:type="dxa"/>
            <w:tcBorders/>
            <w:shd w:fill="CCEEFF" w:val="clear"/>
            <w:vAlign w:val="bottom"/>
          </w:tcPr>
          <w:p>
            <w:pPr>
              <w:pStyle w:val="TableContents"/>
              <w:spacing w:before="0" w:after="283"/>
              <w:jc w:val="right"/>
              <w:rPr/>
            </w:pPr>
            <w:r>
              <w:rPr/>
              <w:t>(13,734</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0" w:type="dxa"/>
            <w:tcBorders/>
            <w:shd w:fill="CCEEFF" w:val="clear"/>
            <w:vAlign w:val="bottom"/>
          </w:tcPr>
          <w:p>
            <w:pPr>
              <w:pStyle w:val="TableContents"/>
              <w:spacing w:before="0" w:after="283"/>
              <w:jc w:val="right"/>
              <w:rPr/>
            </w:pPr>
            <w:r>
              <w:rPr/>
              <w:t>22.76</w:t>
            </w:r>
          </w:p>
        </w:tc>
        <w:tc>
          <w:tcPr>
            <w:tcW w:w="60" w:type="dxa"/>
            <w:tcBorders/>
            <w:shd w:fill="CCEEFF" w:val="clear"/>
            <w:vAlign w:val="bottom"/>
          </w:tcPr>
          <w:p>
            <w:pPr>
              <w:pStyle w:val="TableContents"/>
              <w:spacing w:before="0" w:after="283"/>
              <w:rPr/>
            </w:pPr>
            <w:r>
              <w:rPr/>
              <w:t> </w:t>
            </w:r>
          </w:p>
        </w:tc>
      </w:tr>
      <w:tr>
        <w:trPr/>
        <w:tc>
          <w:tcPr>
            <w:tcW w:w="1160" w:type="dxa"/>
            <w:tcBorders/>
            <w:shd w:fill="auto" w:val="clear"/>
            <w:vAlign w:val="bottom"/>
          </w:tcPr>
          <w:p>
            <w:pPr>
              <w:pStyle w:val="TableContents"/>
              <w:spacing w:before="0" w:after="0"/>
              <w:ind w:left="225" w:right="0" w:hanging="225"/>
              <w:rPr/>
            </w:pPr>
            <w:r>
              <w:rPr/>
              <w:t>Forfeited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(22,525</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jc w:val="right"/>
              <w:rPr/>
            </w:pPr>
            <w:r>
              <w:rPr/>
              <w:t>28.37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(11,342</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jc w:val="right"/>
              <w:rPr/>
            </w:pPr>
            <w:r>
              <w:rPr/>
              <w:t>28.96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r>
      <w:tr>
        <w:trPr/>
        <w:tc>
          <w:tcPr>
            <w:tcW w:w="11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r>
      <w:tr>
        <w:trPr/>
        <w:tc>
          <w:tcPr>
            <w:tcW w:w="1160" w:type="dxa"/>
            <w:tcBorders/>
            <w:shd w:fill="CCEEFF" w:val="clear"/>
            <w:vAlign w:val="bottom"/>
          </w:tcPr>
          <w:p>
            <w:pPr>
              <w:pStyle w:val="TableContents"/>
              <w:spacing w:before="0" w:after="0"/>
              <w:ind w:left="225" w:right="0" w:hanging="225"/>
              <w:rPr/>
            </w:pPr>
            <w:r>
              <w:rPr/>
              <w:t>Balance at September 30, 2006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285,725</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0" w:type="dxa"/>
            <w:tcBorders/>
            <w:shd w:fill="CCEEFF" w:val="clear"/>
            <w:vAlign w:val="bottom"/>
          </w:tcPr>
          <w:p>
            <w:pPr>
              <w:pStyle w:val="TableContents"/>
              <w:spacing w:before="0" w:after="283"/>
              <w:jc w:val="right"/>
              <w:rPr/>
            </w:pPr>
            <w:r>
              <w:rPr/>
              <w:t>30.08</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109,788</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0" w:type="dxa"/>
            <w:tcBorders/>
            <w:shd w:fill="CCEEFF" w:val="clear"/>
            <w:vAlign w:val="bottom"/>
          </w:tcPr>
          <w:p>
            <w:pPr>
              <w:pStyle w:val="TableContents"/>
              <w:spacing w:before="0" w:after="283"/>
              <w:jc w:val="right"/>
              <w:rPr/>
            </w:pPr>
            <w:r>
              <w:rPr/>
              <w:t>29.16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r>
      <w:tr>
        <w:trPr/>
        <w:tc>
          <w:tcPr>
            <w:tcW w:w="11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nine months ended September 30, 2006 and 2005, Viad granted performance unit incentive plan (PUP) awards to key employees pursuant to the Omnibus Plan of 85,100 and 130,900, respectively. PUP awards are earned based on the level of achievement of predefined performance goals over the performance period, which is three years. To the extent earned, the PUP awards will be settled in cash based on the market price of Viads common stock. The aggregate liability related to PUP awards is recorded at estimated fair value based on the number of units expected to vest, and is remeasured on each balance sheet date until the time of cash settlement. As of September 30, 2006, Viad had recorded liabilities of $586,000 and $4.0 million related to the 2006 and 2005 PUP awards, respectively. Share-based compensation expense related to PUP awards is recognized ratably over the requisite service period, which is approximately three years. There were no PUP awards which vested during the nine months ended September 30, 2006 or 2005. Furthermore, there were no cash settlements related to PUP awards or any other share-based compensation awards during such periods. </w:t>
      </w:r>
    </w:p>
    <w:p>
      <w:pPr>
        <w:pStyle w:val="TextBody"/>
        <w:jc w:val="center"/>
        <w:rPr>
          <w:rFonts w:ascii="Times New Roman;Times;serif" w:hAnsi="Times New Roman;Times;serif"/>
          <w:sz w:val="17"/>
        </w:rPr>
      </w:pPr>
      <w:r>
        <w:rPr>
          <w:rFonts w:ascii="Times New Roman;Times;serif" w:hAnsi="Times New Roman;Times;serif"/>
          <w:sz w:val="17"/>
        </w:rPr>
        <w:t xml:space="preserve">Page 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3. Impairment Losses and Recoveries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September 2005, GESs operations in New Orleans, Louisiana were severely impacted by Hurricane Katrina and related events. As a result, management estimated the damage to GESs New Orleans property and recorded asset impairment and related losses of $843,000. During the nine months ended September 30, 2006, Viad recorded insurance recoveries of $1.3 million (including $407,000 during the three months ended September 30, 2006) related to claims associated with Hurricane Katrina, which are included in the consolidated statements of operations under the caption Impairment losses (recoveries). While final resolution of these claims remains pending with Viads insurance carriers, the Company anticipates receiving approximately $1.8 million in final settlement of its property and business interruption insurance claims related to GES during the fourth quarter of 2006. Such amounts will be recorded when received. Certain claims related to Exhibitgroup remain pending with Viads insurance carriers and the amounts of recoveries related to Exhibitgroup, if any, remain uncertain. </w:t>
      </w:r>
    </w:p>
    <w:p>
      <w:pPr>
        <w:pStyle w:val="TextBody"/>
        <w:spacing w:before="120" w:after="283"/>
        <w:jc w:val="left"/>
        <w:rPr/>
      </w:pPr>
      <w:r>
        <w:rPr/>
        <w:t>     </w:t>
      </w:r>
      <w:r>
        <w:rPr>
          <w:rFonts w:ascii="Times New Roman;Times;serif" w:hAnsi="Times New Roman;Times;serif"/>
          <w:sz w:val="17"/>
        </w:rPr>
        <w:t xml:space="preserve">Also in September 2006, Viad recorded an impairment loss of $600,000 related to the estimated reduction in value of a non-core asset.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4. Gains on Sale of Corporate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January 2005, Viad sold a 50 percent interest in its corporate aircraft to a former subsidiary, MoneyGram International, Inc., for $8.6 million in cash. No gain or loss was recorded in connection with the transaction. In January 2006, Viad sold its remaining 50 percent interest in its corporate aircraft and certain related equipment to MoneyGram for $10.0 million in cash, resulting in a gain of $1.7 million. See Note 15. </w:t>
      </w:r>
    </w:p>
    <w:p>
      <w:pPr>
        <w:pStyle w:val="TextBody"/>
        <w:spacing w:before="120" w:after="283"/>
        <w:jc w:val="left"/>
        <w:rPr/>
      </w:pPr>
      <w:r>
        <w:rPr/>
        <w:t>     </w:t>
      </w:r>
      <w:r>
        <w:rPr>
          <w:rFonts w:ascii="Times New Roman;Times;serif" w:hAnsi="Times New Roman;Times;serif"/>
          <w:sz w:val="17"/>
        </w:rPr>
        <w:t xml:space="preserve">Also in January 2006, Viad sold certain undeveloped land in Phoenix, Arizona for $2.9 million in cash to an unrelated third party, resulting in a gain of $1.7 million.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5. Inventories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components of inventories were as follows: </w:t>
      </w:r>
    </w:p>
    <w:tbl>
      <w:tblPr>
        <w:tblW w:w="5000" w:type="pct"/>
        <w:jc w:val="center"/>
        <w:tblInd w:w="0" w:type="dxa"/>
        <w:tblCellMar>
          <w:top w:w="0" w:type="dxa"/>
          <w:left w:w="0" w:type="dxa"/>
          <w:bottom w:w="0" w:type="dxa"/>
          <w:right w:w="0" w:type="dxa"/>
        </w:tblCellMar>
      </w:tblPr>
      <w:tblGrid>
        <w:gridCol w:w="6180"/>
        <w:gridCol w:w="409"/>
        <w:gridCol w:w="254"/>
        <w:gridCol w:w="1251"/>
        <w:gridCol w:w="116"/>
        <w:gridCol w:w="409"/>
        <w:gridCol w:w="247"/>
        <w:gridCol w:w="1215"/>
        <w:gridCol w:w="124"/>
      </w:tblGrid>
      <w:tr>
        <w:trPr/>
        <w:tc>
          <w:tcPr>
            <w:tcW w:w="6180"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5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21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6180"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505" w:type="dxa"/>
            <w:gridSpan w:val="2"/>
            <w:tcBorders/>
            <w:shd w:fill="auto" w:val="clear"/>
            <w:vAlign w:val="bottom"/>
          </w:tcPr>
          <w:p>
            <w:pPr>
              <w:pStyle w:val="TableContents"/>
              <w:spacing w:before="0" w:after="283"/>
              <w:jc w:val="center"/>
              <w:rPr>
                <w:b/>
              </w:rPr>
            </w:pPr>
            <w:r>
              <w:rPr>
                <w:b/>
              </w:rPr>
              <w:t>September 30,</w:t>
            </w:r>
          </w:p>
        </w:tc>
        <w:tc>
          <w:tcPr>
            <w:tcW w:w="11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62" w:type="dxa"/>
            <w:gridSpan w:val="2"/>
            <w:tcBorders/>
            <w:shd w:fill="auto" w:val="clear"/>
            <w:vAlign w:val="bottom"/>
          </w:tcPr>
          <w:p>
            <w:pPr>
              <w:pStyle w:val="TableContents"/>
              <w:spacing w:before="0" w:after="283"/>
              <w:jc w:val="center"/>
              <w:rPr>
                <w:b/>
              </w:rPr>
            </w:pPr>
            <w:r>
              <w:rPr>
                <w:b/>
              </w:rPr>
              <w:t>December 31,</w:t>
            </w:r>
          </w:p>
        </w:tc>
        <w:tc>
          <w:tcPr>
            <w:tcW w:w="124" w:type="dxa"/>
            <w:tcBorders/>
            <w:shd w:fill="auto" w:val="clear"/>
            <w:vAlign w:val="bottom"/>
          </w:tcPr>
          <w:p>
            <w:pPr>
              <w:pStyle w:val="TableContents"/>
              <w:spacing w:before="0" w:after="283"/>
              <w:rPr/>
            </w:pPr>
            <w:r>
              <w:rPr/>
              <w:t> </w:t>
            </w:r>
          </w:p>
        </w:tc>
      </w:tr>
      <w:tr>
        <w:trPr/>
        <w:tc>
          <w:tcPr>
            <w:tcW w:w="6180"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50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6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4" w:type="dxa"/>
            <w:tcBorders/>
            <w:shd w:fill="auto" w:val="clear"/>
            <w:vAlign w:val="bottom"/>
          </w:tcPr>
          <w:p>
            <w:pPr>
              <w:pStyle w:val="TableContents"/>
              <w:spacing w:before="0" w:after="283"/>
              <w:rPr/>
            </w:pPr>
            <w:r>
              <w:rPr/>
              <w:t> </w:t>
            </w:r>
          </w:p>
        </w:tc>
      </w:tr>
      <w:tr>
        <w:trPr/>
        <w:tc>
          <w:tcPr>
            <w:tcW w:w="6180"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3492" w:type="dxa"/>
            <w:gridSpan w:val="6"/>
            <w:tcBorders/>
            <w:shd w:fill="auto" w:val="clear"/>
            <w:vAlign w:val="bottom"/>
          </w:tcPr>
          <w:p>
            <w:pPr>
              <w:pStyle w:val="TableContents"/>
              <w:spacing w:before="0" w:after="283"/>
              <w:jc w:val="center"/>
              <w:rPr>
                <w:b/>
              </w:rPr>
            </w:pPr>
            <w:r>
              <w:rPr>
                <w:b/>
              </w:rPr>
              <w:t>(in thousands)</w:t>
            </w:r>
          </w:p>
        </w:tc>
        <w:tc>
          <w:tcPr>
            <w:tcW w:w="124" w:type="dxa"/>
            <w:tcBorders/>
            <w:shd w:fill="auto" w:val="clear"/>
            <w:vAlign w:val="bottom"/>
          </w:tcPr>
          <w:p>
            <w:pPr>
              <w:pStyle w:val="TableContents"/>
              <w:spacing w:before="0" w:after="283"/>
              <w:rPr/>
            </w:pPr>
            <w:r>
              <w:rPr/>
              <w:t> </w:t>
            </w:r>
          </w:p>
        </w:tc>
      </w:tr>
      <w:tr>
        <w:trPr/>
        <w:tc>
          <w:tcPr>
            <w:tcW w:w="6180" w:type="dxa"/>
            <w:tcBorders/>
            <w:shd w:fill="CCEEFF" w:val="clear"/>
            <w:vAlign w:val="bottom"/>
          </w:tcPr>
          <w:p>
            <w:pPr>
              <w:pStyle w:val="TableContents"/>
              <w:spacing w:before="0" w:after="0"/>
              <w:ind w:left="225" w:right="0" w:hanging="225"/>
              <w:rPr/>
            </w:pPr>
            <w:r>
              <w:rPr/>
              <w:t>Raw materials</w:t>
            </w:r>
          </w:p>
        </w:tc>
        <w:tc>
          <w:tcPr>
            <w:tcW w:w="40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1251" w:type="dxa"/>
            <w:tcBorders/>
            <w:shd w:fill="CCEEFF" w:val="clear"/>
            <w:vAlign w:val="bottom"/>
          </w:tcPr>
          <w:p>
            <w:pPr>
              <w:pStyle w:val="TableContents"/>
              <w:spacing w:before="0" w:after="283"/>
              <w:jc w:val="right"/>
              <w:rPr/>
            </w:pPr>
            <w:r>
              <w:rPr/>
              <w:t>24,401</w:t>
            </w:r>
          </w:p>
        </w:tc>
        <w:tc>
          <w:tcPr>
            <w:tcW w:w="116"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jc w:val="left"/>
              <w:rPr/>
            </w:pPr>
            <w:r>
              <w:rPr/>
              <w:t>$</w:t>
            </w:r>
          </w:p>
        </w:tc>
        <w:tc>
          <w:tcPr>
            <w:tcW w:w="1215" w:type="dxa"/>
            <w:tcBorders/>
            <w:shd w:fill="CCEEFF" w:val="clear"/>
            <w:vAlign w:val="bottom"/>
          </w:tcPr>
          <w:p>
            <w:pPr>
              <w:pStyle w:val="TableContents"/>
              <w:spacing w:before="0" w:after="283"/>
              <w:jc w:val="right"/>
              <w:rPr/>
            </w:pPr>
            <w:r>
              <w:rPr/>
              <w:t>23,271</w:t>
            </w:r>
          </w:p>
        </w:tc>
        <w:tc>
          <w:tcPr>
            <w:tcW w:w="124" w:type="dxa"/>
            <w:tcBorders/>
            <w:shd w:fill="CCEEFF" w:val="clear"/>
            <w:vAlign w:val="bottom"/>
          </w:tcPr>
          <w:p>
            <w:pPr>
              <w:pStyle w:val="TableContents"/>
              <w:spacing w:before="0" w:after="283"/>
              <w:rPr/>
            </w:pPr>
            <w:r>
              <w:rPr/>
              <w:t> </w:t>
            </w:r>
          </w:p>
        </w:tc>
      </w:tr>
      <w:tr>
        <w:trPr/>
        <w:tc>
          <w:tcPr>
            <w:tcW w:w="6180" w:type="dxa"/>
            <w:tcBorders/>
            <w:shd w:fill="auto" w:val="clear"/>
            <w:vAlign w:val="bottom"/>
          </w:tcPr>
          <w:p>
            <w:pPr>
              <w:pStyle w:val="TableContents"/>
              <w:spacing w:before="0" w:after="0"/>
              <w:ind w:left="225" w:right="0" w:hanging="225"/>
              <w:rPr/>
            </w:pPr>
            <w:r>
              <w:rPr/>
              <w:t>Work in process</w:t>
            </w:r>
          </w:p>
        </w:tc>
        <w:tc>
          <w:tcPr>
            <w:tcW w:w="40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51" w:type="dxa"/>
            <w:tcBorders/>
            <w:shd w:fill="auto" w:val="clear"/>
            <w:vAlign w:val="bottom"/>
          </w:tcPr>
          <w:p>
            <w:pPr>
              <w:pStyle w:val="TableContents"/>
              <w:spacing w:before="0" w:after="283"/>
              <w:jc w:val="right"/>
              <w:rPr/>
            </w:pPr>
            <w:r>
              <w:rPr/>
              <w:t>14,901</w:t>
            </w:r>
          </w:p>
        </w:tc>
        <w:tc>
          <w:tcPr>
            <w:tcW w:w="11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215" w:type="dxa"/>
            <w:tcBorders/>
            <w:shd w:fill="auto" w:val="clear"/>
            <w:vAlign w:val="bottom"/>
          </w:tcPr>
          <w:p>
            <w:pPr>
              <w:pStyle w:val="TableContents"/>
              <w:spacing w:before="0" w:after="283"/>
              <w:jc w:val="right"/>
              <w:rPr/>
            </w:pPr>
            <w:r>
              <w:rPr/>
              <w:t>14,582</w:t>
            </w:r>
          </w:p>
        </w:tc>
        <w:tc>
          <w:tcPr>
            <w:tcW w:w="124" w:type="dxa"/>
            <w:tcBorders/>
            <w:shd w:fill="auto" w:val="clear"/>
            <w:vAlign w:val="bottom"/>
          </w:tcPr>
          <w:p>
            <w:pPr>
              <w:pStyle w:val="TableContents"/>
              <w:spacing w:before="0" w:after="283"/>
              <w:rPr/>
            </w:pPr>
            <w:r>
              <w:rPr/>
              <w:t> </w:t>
            </w:r>
          </w:p>
        </w:tc>
      </w:tr>
      <w:tr>
        <w:trPr/>
        <w:tc>
          <w:tcPr>
            <w:tcW w:w="6180"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15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14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6180" w:type="dxa"/>
            <w:tcBorders/>
            <w:shd w:fill="CCEEFF" w:val="clear"/>
            <w:vAlign w:val="bottom"/>
          </w:tcPr>
          <w:p>
            <w:pPr>
              <w:pStyle w:val="TableContents"/>
              <w:spacing w:before="0" w:after="0"/>
              <w:ind w:left="225" w:right="0" w:hanging="225"/>
              <w:rPr/>
            </w:pPr>
            <w:r>
              <w:rPr/>
              <w:t>Inventories</w:t>
            </w:r>
          </w:p>
        </w:tc>
        <w:tc>
          <w:tcPr>
            <w:tcW w:w="40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1251" w:type="dxa"/>
            <w:tcBorders/>
            <w:shd w:fill="CCEEFF" w:val="clear"/>
            <w:vAlign w:val="bottom"/>
          </w:tcPr>
          <w:p>
            <w:pPr>
              <w:pStyle w:val="TableContents"/>
              <w:spacing w:before="0" w:after="283"/>
              <w:jc w:val="right"/>
              <w:rPr/>
            </w:pPr>
            <w:r>
              <w:rPr/>
              <w:t>39,302</w:t>
            </w:r>
          </w:p>
        </w:tc>
        <w:tc>
          <w:tcPr>
            <w:tcW w:w="116"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jc w:val="left"/>
              <w:rPr/>
            </w:pPr>
            <w:r>
              <w:rPr/>
              <w:t>$</w:t>
            </w:r>
          </w:p>
        </w:tc>
        <w:tc>
          <w:tcPr>
            <w:tcW w:w="1215" w:type="dxa"/>
            <w:tcBorders/>
            <w:shd w:fill="CCEEFF" w:val="clear"/>
            <w:vAlign w:val="bottom"/>
          </w:tcPr>
          <w:p>
            <w:pPr>
              <w:pStyle w:val="TableContents"/>
              <w:spacing w:before="0" w:after="283"/>
              <w:jc w:val="right"/>
              <w:rPr/>
            </w:pPr>
            <w:r>
              <w:rPr/>
              <w:t>37,853</w:t>
            </w:r>
          </w:p>
        </w:tc>
        <w:tc>
          <w:tcPr>
            <w:tcW w:w="124" w:type="dxa"/>
            <w:tcBorders/>
            <w:shd w:fill="CCEEFF" w:val="clear"/>
            <w:vAlign w:val="bottom"/>
          </w:tcPr>
          <w:p>
            <w:pPr>
              <w:pStyle w:val="TableContents"/>
              <w:spacing w:before="0" w:after="283"/>
              <w:rPr/>
            </w:pPr>
            <w:r>
              <w:rPr/>
              <w:t> </w:t>
            </w:r>
          </w:p>
        </w:tc>
      </w:tr>
      <w:tr>
        <w:trPr/>
        <w:tc>
          <w:tcPr>
            <w:tcW w:w="6180"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15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14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6. Property and Equipment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Property and equipment consisted of the following: </w:t>
      </w:r>
    </w:p>
    <w:tbl>
      <w:tblPr>
        <w:tblW w:w="5000" w:type="pct"/>
        <w:jc w:val="center"/>
        <w:tblInd w:w="0" w:type="dxa"/>
        <w:tblCellMar>
          <w:top w:w="0" w:type="dxa"/>
          <w:left w:w="0" w:type="dxa"/>
          <w:bottom w:w="0" w:type="dxa"/>
          <w:right w:w="0" w:type="dxa"/>
        </w:tblCellMar>
      </w:tblPr>
      <w:tblGrid>
        <w:gridCol w:w="6195"/>
        <w:gridCol w:w="397"/>
        <w:gridCol w:w="217"/>
        <w:gridCol w:w="1272"/>
        <w:gridCol w:w="139"/>
        <w:gridCol w:w="397"/>
        <w:gridCol w:w="211"/>
        <w:gridCol w:w="1234"/>
        <w:gridCol w:w="143"/>
      </w:tblGrid>
      <w:tr>
        <w:trPr/>
        <w:tc>
          <w:tcPr>
            <w:tcW w:w="619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7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23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19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489" w:type="dxa"/>
            <w:gridSpan w:val="2"/>
            <w:tcBorders/>
            <w:shd w:fill="auto" w:val="clear"/>
            <w:vAlign w:val="bottom"/>
          </w:tcPr>
          <w:p>
            <w:pPr>
              <w:pStyle w:val="TableContents"/>
              <w:spacing w:before="0" w:after="283"/>
              <w:jc w:val="center"/>
              <w:rPr>
                <w:b/>
              </w:rPr>
            </w:pPr>
            <w:r>
              <w:rPr>
                <w:b/>
              </w:rPr>
              <w:t>September 30,</w:t>
            </w:r>
          </w:p>
        </w:tc>
        <w:tc>
          <w:tcPr>
            <w:tcW w:w="139"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445" w:type="dxa"/>
            <w:gridSpan w:val="2"/>
            <w:tcBorders/>
            <w:shd w:fill="auto" w:val="clear"/>
            <w:vAlign w:val="bottom"/>
          </w:tcPr>
          <w:p>
            <w:pPr>
              <w:pStyle w:val="TableContents"/>
              <w:spacing w:before="0" w:after="283"/>
              <w:jc w:val="center"/>
              <w:rPr>
                <w:b/>
              </w:rPr>
            </w:pPr>
            <w:r>
              <w:rPr>
                <w:b/>
              </w:rPr>
              <w:t>December 31,</w:t>
            </w:r>
          </w:p>
        </w:tc>
        <w:tc>
          <w:tcPr>
            <w:tcW w:w="143" w:type="dxa"/>
            <w:tcBorders/>
            <w:shd w:fill="auto" w:val="clear"/>
            <w:vAlign w:val="bottom"/>
          </w:tcPr>
          <w:p>
            <w:pPr>
              <w:pStyle w:val="TableContents"/>
              <w:spacing w:before="0" w:after="283"/>
              <w:rPr/>
            </w:pPr>
            <w:r>
              <w:rPr/>
              <w:t> </w:t>
            </w:r>
          </w:p>
        </w:tc>
      </w:tr>
      <w:tr>
        <w:trPr/>
        <w:tc>
          <w:tcPr>
            <w:tcW w:w="619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4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39"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44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r>
      <w:tr>
        <w:trPr/>
        <w:tc>
          <w:tcPr>
            <w:tcW w:w="619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3470" w:type="dxa"/>
            <w:gridSpan w:val="6"/>
            <w:tcBorders/>
            <w:shd w:fill="auto" w:val="clear"/>
            <w:vAlign w:val="bottom"/>
          </w:tcPr>
          <w:p>
            <w:pPr>
              <w:pStyle w:val="TableContents"/>
              <w:spacing w:before="0" w:after="283"/>
              <w:jc w:val="center"/>
              <w:rPr>
                <w:b/>
              </w:rPr>
            </w:pPr>
            <w:r>
              <w:rPr>
                <w:b/>
              </w:rPr>
              <w:t>(in thousands)</w:t>
            </w:r>
          </w:p>
        </w:tc>
        <w:tc>
          <w:tcPr>
            <w:tcW w:w="143" w:type="dxa"/>
            <w:tcBorders/>
            <w:shd w:fill="auto" w:val="clear"/>
            <w:vAlign w:val="bottom"/>
          </w:tcPr>
          <w:p>
            <w:pPr>
              <w:pStyle w:val="TableContents"/>
              <w:spacing w:before="0" w:after="283"/>
              <w:rPr/>
            </w:pPr>
            <w:r>
              <w:rPr/>
              <w:t> </w:t>
            </w:r>
          </w:p>
        </w:tc>
      </w:tr>
      <w:tr>
        <w:trPr/>
        <w:tc>
          <w:tcPr>
            <w:tcW w:w="6195" w:type="dxa"/>
            <w:tcBorders/>
            <w:shd w:fill="CCEEFF" w:val="clear"/>
            <w:vAlign w:val="bottom"/>
          </w:tcPr>
          <w:p>
            <w:pPr>
              <w:pStyle w:val="TableContents"/>
              <w:spacing w:before="0" w:after="0"/>
              <w:ind w:left="225" w:right="0" w:hanging="225"/>
              <w:rPr/>
            </w:pPr>
            <w:r>
              <w:rPr/>
              <w:t>Land</w:t>
            </w:r>
          </w:p>
        </w:tc>
        <w:tc>
          <w:tcPr>
            <w:tcW w:w="3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w:t>
            </w:r>
          </w:p>
        </w:tc>
        <w:tc>
          <w:tcPr>
            <w:tcW w:w="1272" w:type="dxa"/>
            <w:tcBorders/>
            <w:shd w:fill="CCEEFF" w:val="clear"/>
            <w:vAlign w:val="bottom"/>
          </w:tcPr>
          <w:p>
            <w:pPr>
              <w:pStyle w:val="TableContents"/>
              <w:spacing w:before="0" w:after="283"/>
              <w:jc w:val="right"/>
              <w:rPr/>
            </w:pPr>
            <w:r>
              <w:rPr/>
              <w:t>25,151</w:t>
            </w:r>
          </w:p>
        </w:tc>
        <w:tc>
          <w:tcPr>
            <w:tcW w:w="139"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jc w:val="left"/>
              <w:rPr/>
            </w:pPr>
            <w:r>
              <w:rPr/>
              <w:t>$</w:t>
            </w:r>
          </w:p>
        </w:tc>
        <w:tc>
          <w:tcPr>
            <w:tcW w:w="1234" w:type="dxa"/>
            <w:tcBorders/>
            <w:shd w:fill="CCEEFF" w:val="clear"/>
            <w:vAlign w:val="bottom"/>
          </w:tcPr>
          <w:p>
            <w:pPr>
              <w:pStyle w:val="TableContents"/>
              <w:spacing w:before="0" w:after="283"/>
              <w:jc w:val="right"/>
              <w:rPr/>
            </w:pPr>
            <w:r>
              <w:rPr/>
              <w:t>24,426</w:t>
            </w:r>
          </w:p>
        </w:tc>
        <w:tc>
          <w:tcPr>
            <w:tcW w:w="143" w:type="dxa"/>
            <w:tcBorders/>
            <w:shd w:fill="CCEEFF" w:val="clear"/>
            <w:vAlign w:val="bottom"/>
          </w:tcPr>
          <w:p>
            <w:pPr>
              <w:pStyle w:val="TableContents"/>
              <w:spacing w:before="0" w:after="283"/>
              <w:rPr/>
            </w:pPr>
            <w:r>
              <w:rPr/>
              <w:t> </w:t>
            </w:r>
          </w:p>
        </w:tc>
      </w:tr>
      <w:tr>
        <w:trPr/>
        <w:tc>
          <w:tcPr>
            <w:tcW w:w="6195" w:type="dxa"/>
            <w:tcBorders/>
            <w:shd w:fill="auto" w:val="clear"/>
            <w:vAlign w:val="bottom"/>
          </w:tcPr>
          <w:p>
            <w:pPr>
              <w:pStyle w:val="TableContents"/>
              <w:spacing w:before="0" w:after="0"/>
              <w:ind w:left="225" w:right="0" w:hanging="225"/>
              <w:rPr/>
            </w:pPr>
            <w:r>
              <w:rPr/>
              <w:t>Buildings and leasehold improvements</w:t>
            </w:r>
          </w:p>
        </w:tc>
        <w:tc>
          <w:tcPr>
            <w:tcW w:w="3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72" w:type="dxa"/>
            <w:tcBorders/>
            <w:shd w:fill="auto" w:val="clear"/>
            <w:vAlign w:val="bottom"/>
          </w:tcPr>
          <w:p>
            <w:pPr>
              <w:pStyle w:val="TableContents"/>
              <w:spacing w:before="0" w:after="283"/>
              <w:jc w:val="right"/>
              <w:rPr/>
            </w:pPr>
            <w:r>
              <w:rPr/>
              <w:t>82,812</w:t>
            </w:r>
          </w:p>
        </w:tc>
        <w:tc>
          <w:tcPr>
            <w:tcW w:w="139"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234" w:type="dxa"/>
            <w:tcBorders/>
            <w:shd w:fill="auto" w:val="clear"/>
            <w:vAlign w:val="bottom"/>
          </w:tcPr>
          <w:p>
            <w:pPr>
              <w:pStyle w:val="TableContents"/>
              <w:spacing w:before="0" w:after="283"/>
              <w:jc w:val="right"/>
              <w:rPr/>
            </w:pPr>
            <w:r>
              <w:rPr/>
              <w:t>80,947</w:t>
            </w:r>
          </w:p>
        </w:tc>
        <w:tc>
          <w:tcPr>
            <w:tcW w:w="143" w:type="dxa"/>
            <w:tcBorders/>
            <w:shd w:fill="auto" w:val="clear"/>
            <w:vAlign w:val="bottom"/>
          </w:tcPr>
          <w:p>
            <w:pPr>
              <w:pStyle w:val="TableContents"/>
              <w:spacing w:before="0" w:after="283"/>
              <w:rPr/>
            </w:pPr>
            <w:r>
              <w:rPr/>
              <w:t> </w:t>
            </w:r>
          </w:p>
        </w:tc>
      </w:tr>
      <w:tr>
        <w:trPr/>
        <w:tc>
          <w:tcPr>
            <w:tcW w:w="6195" w:type="dxa"/>
            <w:tcBorders/>
            <w:shd w:fill="CCEEFF" w:val="clear"/>
            <w:vAlign w:val="bottom"/>
          </w:tcPr>
          <w:p>
            <w:pPr>
              <w:pStyle w:val="TableContents"/>
              <w:spacing w:before="0" w:after="0"/>
              <w:ind w:left="225" w:right="0" w:hanging="225"/>
              <w:rPr/>
            </w:pPr>
            <w:r>
              <w:rPr/>
              <w:t>Equipment and other</w:t>
            </w:r>
          </w:p>
        </w:tc>
        <w:tc>
          <w:tcPr>
            <w:tcW w:w="3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272" w:type="dxa"/>
            <w:tcBorders/>
            <w:shd w:fill="CCEEFF" w:val="clear"/>
            <w:vAlign w:val="bottom"/>
          </w:tcPr>
          <w:p>
            <w:pPr>
              <w:pStyle w:val="TableContents"/>
              <w:spacing w:before="0" w:after="283"/>
              <w:jc w:val="right"/>
              <w:rPr/>
            </w:pPr>
            <w:r>
              <w:rPr/>
              <w:t>231,131</w:t>
            </w:r>
          </w:p>
        </w:tc>
        <w:tc>
          <w:tcPr>
            <w:tcW w:w="139"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1234" w:type="dxa"/>
            <w:tcBorders/>
            <w:shd w:fill="CCEEFF" w:val="clear"/>
            <w:vAlign w:val="bottom"/>
          </w:tcPr>
          <w:p>
            <w:pPr>
              <w:pStyle w:val="TableContents"/>
              <w:spacing w:before="0" w:after="283"/>
              <w:jc w:val="right"/>
              <w:rPr/>
            </w:pPr>
            <w:r>
              <w:rPr/>
              <w:t>237,369</w:t>
            </w:r>
          </w:p>
        </w:tc>
        <w:tc>
          <w:tcPr>
            <w:tcW w:w="143" w:type="dxa"/>
            <w:tcBorders/>
            <w:shd w:fill="CCEEFF" w:val="clear"/>
            <w:vAlign w:val="bottom"/>
          </w:tcPr>
          <w:p>
            <w:pPr>
              <w:pStyle w:val="TableContents"/>
              <w:spacing w:before="0" w:after="283"/>
              <w:rPr/>
            </w:pPr>
            <w:r>
              <w:rPr/>
              <w:t> </w:t>
            </w:r>
          </w:p>
        </w:tc>
      </w:tr>
      <w:tr>
        <w:trPr/>
        <w:tc>
          <w:tcPr>
            <w:tcW w:w="6195" w:type="dxa"/>
            <w:tcBorders/>
            <w:shd w:fill="auto" w:val="clear"/>
            <w:vAlign w:val="center"/>
          </w:tcPr>
          <w:p>
            <w:pPr>
              <w:pStyle w:val="TableContents"/>
              <w:spacing w:before="0" w:after="0"/>
              <w:ind w:left="225" w:right="0" w:hanging="225"/>
              <w:rPr/>
            </w:pPr>
            <w:r>
              <w:rPr/>
              <w:t> </w:t>
            </w:r>
          </w:p>
        </w:tc>
        <w:tc>
          <w:tcPr>
            <w:tcW w:w="397" w:type="dxa"/>
            <w:tcBorders/>
            <w:shd w:fill="auto" w:val="clear"/>
            <w:vAlign w:val="center"/>
          </w:tcPr>
          <w:p>
            <w:pPr>
              <w:pStyle w:val="TableContents"/>
              <w:spacing w:before="0" w:after="283"/>
              <w:rPr/>
            </w:pPr>
            <w:r>
              <w:rPr/>
              <w:t> </w:t>
            </w:r>
          </w:p>
        </w:tc>
        <w:tc>
          <w:tcPr>
            <w:tcW w:w="14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195" w:type="dxa"/>
            <w:tcBorders/>
            <w:shd w:fill="auto" w:val="clear"/>
            <w:vAlign w:val="bottom"/>
          </w:tcPr>
          <w:p>
            <w:pPr>
              <w:pStyle w:val="TableContents"/>
              <w:spacing w:before="0" w:after="0"/>
              <w:ind w:left="225" w:right="0" w:hanging="225"/>
              <w:rPr/>
            </w:pPr>
            <w:r>
              <w:rPr/>
              <w:t> </w:t>
            </w:r>
          </w:p>
        </w:tc>
        <w:tc>
          <w:tcPr>
            <w:tcW w:w="3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72" w:type="dxa"/>
            <w:tcBorders/>
            <w:shd w:fill="auto" w:val="clear"/>
            <w:vAlign w:val="bottom"/>
          </w:tcPr>
          <w:p>
            <w:pPr>
              <w:pStyle w:val="TableContents"/>
              <w:spacing w:before="0" w:after="283"/>
              <w:jc w:val="right"/>
              <w:rPr/>
            </w:pPr>
            <w:r>
              <w:rPr/>
              <w:t>339,094</w:t>
            </w:r>
          </w:p>
        </w:tc>
        <w:tc>
          <w:tcPr>
            <w:tcW w:w="139"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234" w:type="dxa"/>
            <w:tcBorders/>
            <w:shd w:fill="auto" w:val="clear"/>
            <w:vAlign w:val="bottom"/>
          </w:tcPr>
          <w:p>
            <w:pPr>
              <w:pStyle w:val="TableContents"/>
              <w:spacing w:before="0" w:after="283"/>
              <w:jc w:val="right"/>
              <w:rPr/>
            </w:pPr>
            <w:r>
              <w:rPr/>
              <w:t>342,742</w:t>
            </w:r>
          </w:p>
        </w:tc>
        <w:tc>
          <w:tcPr>
            <w:tcW w:w="143" w:type="dxa"/>
            <w:tcBorders/>
            <w:shd w:fill="auto" w:val="clear"/>
            <w:vAlign w:val="bottom"/>
          </w:tcPr>
          <w:p>
            <w:pPr>
              <w:pStyle w:val="TableContents"/>
              <w:spacing w:before="0" w:after="283"/>
              <w:rPr/>
            </w:pPr>
            <w:r>
              <w:rPr/>
              <w:t> </w:t>
            </w:r>
          </w:p>
        </w:tc>
      </w:tr>
      <w:tr>
        <w:trPr/>
        <w:tc>
          <w:tcPr>
            <w:tcW w:w="6195" w:type="dxa"/>
            <w:tcBorders/>
            <w:shd w:fill="CCEEFF" w:val="clear"/>
            <w:vAlign w:val="bottom"/>
          </w:tcPr>
          <w:p>
            <w:pPr>
              <w:pStyle w:val="TableContents"/>
              <w:spacing w:before="0" w:after="0"/>
              <w:ind w:left="225" w:right="0" w:hanging="225"/>
              <w:rPr/>
            </w:pPr>
            <w:r>
              <w:rPr/>
              <w:t>Accumulated depreciation</w:t>
            </w:r>
          </w:p>
        </w:tc>
        <w:tc>
          <w:tcPr>
            <w:tcW w:w="3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 </w:t>
            </w:r>
          </w:p>
        </w:tc>
        <w:tc>
          <w:tcPr>
            <w:tcW w:w="1272" w:type="dxa"/>
            <w:tcBorders/>
            <w:shd w:fill="CCEEFF" w:val="clear"/>
            <w:vAlign w:val="bottom"/>
          </w:tcPr>
          <w:p>
            <w:pPr>
              <w:pStyle w:val="TableContents"/>
              <w:spacing w:before="0" w:after="283"/>
              <w:jc w:val="right"/>
              <w:rPr/>
            </w:pPr>
            <w:r>
              <w:rPr/>
              <w:t>(204,289</w:t>
            </w:r>
          </w:p>
        </w:tc>
        <w:tc>
          <w:tcPr>
            <w:tcW w:w="139" w:type="dxa"/>
            <w:tcBorders/>
            <w:shd w:fill="CCEEFF" w:val="clear"/>
            <w:vAlign w:val="bottom"/>
          </w:tcPr>
          <w:p>
            <w:pPr>
              <w:pStyle w:val="TableContents"/>
              <w:spacing w:before="0" w:after="283"/>
              <w:rPr/>
            </w:pPr>
            <w:r>
              <w:rPr/>
              <w:t>)</w:t>
            </w:r>
          </w:p>
        </w:tc>
        <w:tc>
          <w:tcPr>
            <w:tcW w:w="397"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jc w:val="left"/>
              <w:rPr/>
            </w:pPr>
            <w:r>
              <w:rPr/>
              <w:t> </w:t>
            </w:r>
          </w:p>
        </w:tc>
        <w:tc>
          <w:tcPr>
            <w:tcW w:w="1234" w:type="dxa"/>
            <w:tcBorders/>
            <w:shd w:fill="CCEEFF" w:val="clear"/>
            <w:vAlign w:val="bottom"/>
          </w:tcPr>
          <w:p>
            <w:pPr>
              <w:pStyle w:val="TableContents"/>
              <w:spacing w:before="0" w:after="283"/>
              <w:jc w:val="right"/>
              <w:rPr/>
            </w:pPr>
            <w:r>
              <w:rPr/>
              <w:t>(199,704</w:t>
            </w:r>
          </w:p>
        </w:tc>
        <w:tc>
          <w:tcPr>
            <w:tcW w:w="143" w:type="dxa"/>
            <w:tcBorders/>
            <w:shd w:fill="CCEEFF" w:val="clear"/>
            <w:vAlign w:val="bottom"/>
          </w:tcPr>
          <w:p>
            <w:pPr>
              <w:pStyle w:val="TableContents"/>
              <w:spacing w:before="0" w:after="283"/>
              <w:rPr/>
            </w:pPr>
            <w:r>
              <w:rPr/>
              <w:t>)</w:t>
            </w:r>
          </w:p>
        </w:tc>
      </w:tr>
      <w:tr>
        <w:trPr/>
        <w:tc>
          <w:tcPr>
            <w:tcW w:w="6195" w:type="dxa"/>
            <w:tcBorders/>
            <w:shd w:fill="auto" w:val="clear"/>
            <w:vAlign w:val="center"/>
          </w:tcPr>
          <w:p>
            <w:pPr>
              <w:pStyle w:val="TableContents"/>
              <w:spacing w:before="0" w:after="0"/>
              <w:ind w:left="225" w:right="0" w:hanging="225"/>
              <w:rPr/>
            </w:pPr>
            <w:r>
              <w:rPr/>
              <w:t> </w:t>
            </w:r>
          </w:p>
        </w:tc>
        <w:tc>
          <w:tcPr>
            <w:tcW w:w="397" w:type="dxa"/>
            <w:tcBorders/>
            <w:shd w:fill="auto" w:val="clear"/>
            <w:vAlign w:val="center"/>
          </w:tcPr>
          <w:p>
            <w:pPr>
              <w:pStyle w:val="TableContents"/>
              <w:spacing w:before="0" w:after="283"/>
              <w:rPr/>
            </w:pPr>
            <w:r>
              <w:rPr/>
              <w:t> </w:t>
            </w:r>
          </w:p>
        </w:tc>
        <w:tc>
          <w:tcPr>
            <w:tcW w:w="14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195" w:type="dxa"/>
            <w:tcBorders/>
            <w:shd w:fill="auto" w:val="clear"/>
            <w:vAlign w:val="bottom"/>
          </w:tcPr>
          <w:p>
            <w:pPr>
              <w:pStyle w:val="TableContents"/>
              <w:spacing w:before="0" w:after="0"/>
              <w:ind w:left="225" w:right="0" w:hanging="225"/>
              <w:rPr/>
            </w:pPr>
            <w:r>
              <w:rPr/>
              <w:t>Property and equipment, net</w:t>
            </w:r>
          </w:p>
        </w:tc>
        <w:tc>
          <w:tcPr>
            <w:tcW w:w="3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w:t>
            </w:r>
          </w:p>
        </w:tc>
        <w:tc>
          <w:tcPr>
            <w:tcW w:w="1272" w:type="dxa"/>
            <w:tcBorders/>
            <w:shd w:fill="auto" w:val="clear"/>
            <w:vAlign w:val="bottom"/>
          </w:tcPr>
          <w:p>
            <w:pPr>
              <w:pStyle w:val="TableContents"/>
              <w:spacing w:before="0" w:after="283"/>
              <w:jc w:val="right"/>
              <w:rPr/>
            </w:pPr>
            <w:r>
              <w:rPr/>
              <w:t>134,805</w:t>
            </w:r>
          </w:p>
        </w:tc>
        <w:tc>
          <w:tcPr>
            <w:tcW w:w="139"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jc w:val="left"/>
              <w:rPr/>
            </w:pPr>
            <w:r>
              <w:rPr/>
              <w:t>$</w:t>
            </w:r>
          </w:p>
        </w:tc>
        <w:tc>
          <w:tcPr>
            <w:tcW w:w="1234" w:type="dxa"/>
            <w:tcBorders/>
            <w:shd w:fill="auto" w:val="clear"/>
            <w:vAlign w:val="bottom"/>
          </w:tcPr>
          <w:p>
            <w:pPr>
              <w:pStyle w:val="TableContents"/>
              <w:spacing w:before="0" w:after="283"/>
              <w:jc w:val="right"/>
              <w:rPr/>
            </w:pPr>
            <w:r>
              <w:rPr/>
              <w:t>143,038</w:t>
            </w:r>
          </w:p>
        </w:tc>
        <w:tc>
          <w:tcPr>
            <w:tcW w:w="143" w:type="dxa"/>
            <w:tcBorders/>
            <w:shd w:fill="auto" w:val="clear"/>
            <w:vAlign w:val="bottom"/>
          </w:tcPr>
          <w:p>
            <w:pPr>
              <w:pStyle w:val="TableContents"/>
              <w:spacing w:before="0" w:after="283"/>
              <w:rPr/>
            </w:pPr>
            <w:r>
              <w:rPr/>
              <w:t> </w:t>
            </w:r>
          </w:p>
        </w:tc>
      </w:tr>
      <w:tr>
        <w:trPr/>
        <w:tc>
          <w:tcPr>
            <w:tcW w:w="6195" w:type="dxa"/>
            <w:tcBorders/>
            <w:shd w:fill="auto" w:val="clear"/>
            <w:vAlign w:val="center"/>
          </w:tcPr>
          <w:p>
            <w:pPr>
              <w:pStyle w:val="TableContents"/>
              <w:spacing w:before="0" w:after="0"/>
              <w:ind w:left="225" w:right="0" w:hanging="225"/>
              <w:rPr/>
            </w:pPr>
            <w:r>
              <w:rPr/>
              <w:t> </w:t>
            </w:r>
          </w:p>
        </w:tc>
        <w:tc>
          <w:tcPr>
            <w:tcW w:w="397" w:type="dxa"/>
            <w:tcBorders/>
            <w:shd w:fill="auto" w:val="clear"/>
            <w:vAlign w:val="center"/>
          </w:tcPr>
          <w:p>
            <w:pPr>
              <w:pStyle w:val="TableContents"/>
              <w:spacing w:before="0" w:after="283"/>
              <w:rPr/>
            </w:pPr>
            <w:r>
              <w:rPr/>
              <w:t> </w:t>
            </w:r>
          </w:p>
        </w:tc>
        <w:tc>
          <w:tcPr>
            <w:tcW w:w="14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14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Depreciation expense for the three months ended September 30, 2006 and 2005 was $5.0 million and $5.5 million, respectively, and for the nine months ended September 30, 2006 and 2005 was $14.8 million and $16.8 million, respectively.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7. Goodwill and Other Intangible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carrying amount of goodwill for the nine months ended September 30, 2006 were as follows: </w:t>
      </w:r>
    </w:p>
    <w:tbl>
      <w:tblPr>
        <w:tblW w:w="5000" w:type="pct"/>
        <w:jc w:val="center"/>
        <w:tblInd w:w="0" w:type="dxa"/>
        <w:tblCellMar>
          <w:top w:w="0" w:type="dxa"/>
          <w:left w:w="0" w:type="dxa"/>
          <w:bottom w:w="0" w:type="dxa"/>
          <w:right w:w="0" w:type="dxa"/>
        </w:tblCellMar>
      </w:tblPr>
      <w:tblGrid>
        <w:gridCol w:w="5084"/>
        <w:gridCol w:w="374"/>
        <w:gridCol w:w="169"/>
        <w:gridCol w:w="923"/>
        <w:gridCol w:w="110"/>
        <w:gridCol w:w="374"/>
        <w:gridCol w:w="249"/>
        <w:gridCol w:w="1229"/>
        <w:gridCol w:w="110"/>
        <w:gridCol w:w="374"/>
        <w:gridCol w:w="169"/>
        <w:gridCol w:w="923"/>
        <w:gridCol w:w="117"/>
      </w:tblGrid>
      <w:tr>
        <w:trPr/>
        <w:tc>
          <w:tcPr>
            <w:tcW w:w="5084"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2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r>
      <w:tr>
        <w:trPr/>
        <w:tc>
          <w:tcPr>
            <w:tcW w:w="5084"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478" w:type="dxa"/>
            <w:gridSpan w:val="2"/>
            <w:tcBorders/>
            <w:shd w:fill="auto" w:val="clear"/>
            <w:vAlign w:val="bottom"/>
          </w:tcPr>
          <w:p>
            <w:pPr>
              <w:pStyle w:val="TableContents"/>
              <w:spacing w:before="0" w:after="283"/>
              <w:jc w:val="center"/>
              <w:rPr>
                <w:b/>
              </w:rPr>
            </w:pPr>
            <w:r>
              <w:rPr>
                <w:b/>
              </w:rPr>
              <w:t>Travel and</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092" w:type="dxa"/>
            <w:gridSpan w:val="2"/>
            <w:tcBorders/>
            <w:shd w:fill="auto" w:val="clear"/>
            <w:vAlign w:val="bottom"/>
          </w:tcPr>
          <w:p>
            <w:pPr>
              <w:pStyle w:val="TableContents"/>
              <w:spacing w:before="0" w:after="283"/>
              <w:jc w:val="center"/>
              <w:rPr/>
            </w:pPr>
            <w:r>
              <w:rPr/>
              <w:t> </w:t>
            </w:r>
          </w:p>
        </w:tc>
        <w:tc>
          <w:tcPr>
            <w:tcW w:w="117" w:type="dxa"/>
            <w:tcBorders/>
            <w:shd w:fill="auto" w:val="clear"/>
            <w:vAlign w:val="bottom"/>
          </w:tcPr>
          <w:p>
            <w:pPr>
              <w:pStyle w:val="TableContents"/>
              <w:spacing w:before="0" w:after="283"/>
              <w:rPr/>
            </w:pPr>
            <w:r>
              <w:rPr/>
              <w:t> </w:t>
            </w:r>
          </w:p>
        </w:tc>
      </w:tr>
      <w:tr>
        <w:trPr/>
        <w:tc>
          <w:tcPr>
            <w:tcW w:w="5084"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09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GES</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47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Recreation</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09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17" w:type="dxa"/>
            <w:tcBorders/>
            <w:shd w:fill="auto" w:val="clear"/>
            <w:vAlign w:val="bottom"/>
          </w:tcPr>
          <w:p>
            <w:pPr>
              <w:pStyle w:val="TableContents"/>
              <w:spacing w:before="0" w:after="283"/>
              <w:rPr/>
            </w:pPr>
            <w:r>
              <w:rPr/>
              <w:t> </w:t>
            </w:r>
          </w:p>
        </w:tc>
      </w:tr>
      <w:tr>
        <w:trPr/>
        <w:tc>
          <w:tcPr>
            <w:tcW w:w="5084"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478" w:type="dxa"/>
            <w:gridSpan w:val="2"/>
            <w:tcBorders/>
            <w:shd w:fill="auto" w:val="clear"/>
            <w:vAlign w:val="bottom"/>
          </w:tcPr>
          <w:p>
            <w:pPr>
              <w:pStyle w:val="TableContents"/>
              <w:spacing w:before="0" w:after="283"/>
              <w:jc w:val="center"/>
              <w:rPr>
                <w:b/>
              </w:rPr>
            </w:pPr>
            <w:r>
              <w:rPr>
                <w:b/>
              </w:rPr>
              <w:t>(in thousands)</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2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r>
      <w:tr>
        <w:trPr/>
        <w:tc>
          <w:tcPr>
            <w:tcW w:w="5084" w:type="dxa"/>
            <w:tcBorders/>
            <w:shd w:fill="CCEEFF" w:val="clear"/>
            <w:vAlign w:val="bottom"/>
          </w:tcPr>
          <w:p>
            <w:pPr>
              <w:pStyle w:val="TableContents"/>
              <w:spacing w:before="0" w:after="0"/>
              <w:ind w:left="225" w:right="0" w:hanging="225"/>
              <w:rPr/>
            </w:pPr>
            <w:r>
              <w:rPr/>
              <w:t>Balance at January 1, 2006</w:t>
            </w:r>
          </w:p>
        </w:tc>
        <w:tc>
          <w:tcPr>
            <w:tcW w:w="374"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923" w:type="dxa"/>
            <w:tcBorders/>
            <w:shd w:fill="CCEEFF" w:val="clear"/>
            <w:vAlign w:val="bottom"/>
          </w:tcPr>
          <w:p>
            <w:pPr>
              <w:pStyle w:val="TableContents"/>
              <w:spacing w:before="0" w:after="283"/>
              <w:jc w:val="right"/>
              <w:rPr/>
            </w:pPr>
            <w:r>
              <w:rPr/>
              <w:t>149,526</w:t>
            </w:r>
          </w:p>
        </w:tc>
        <w:tc>
          <w:tcPr>
            <w:tcW w:w="11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1229" w:type="dxa"/>
            <w:tcBorders/>
            <w:shd w:fill="CCEEFF" w:val="clear"/>
            <w:vAlign w:val="bottom"/>
          </w:tcPr>
          <w:p>
            <w:pPr>
              <w:pStyle w:val="TableContents"/>
              <w:spacing w:before="0" w:after="283"/>
              <w:jc w:val="right"/>
              <w:rPr/>
            </w:pPr>
            <w:r>
              <w:rPr/>
              <w:t>34,784</w:t>
            </w:r>
          </w:p>
        </w:tc>
        <w:tc>
          <w:tcPr>
            <w:tcW w:w="11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923" w:type="dxa"/>
            <w:tcBorders/>
            <w:shd w:fill="CCEEFF" w:val="clear"/>
            <w:vAlign w:val="bottom"/>
          </w:tcPr>
          <w:p>
            <w:pPr>
              <w:pStyle w:val="TableContents"/>
              <w:spacing w:before="0" w:after="283"/>
              <w:jc w:val="right"/>
              <w:rPr/>
            </w:pPr>
            <w:r>
              <w:rPr/>
              <w:t>184,310</w:t>
            </w:r>
          </w:p>
        </w:tc>
        <w:tc>
          <w:tcPr>
            <w:tcW w:w="117" w:type="dxa"/>
            <w:tcBorders/>
            <w:shd w:fill="CCEEFF" w:val="clear"/>
            <w:vAlign w:val="bottom"/>
          </w:tcPr>
          <w:p>
            <w:pPr>
              <w:pStyle w:val="TableContents"/>
              <w:spacing w:before="0" w:after="283"/>
              <w:rPr/>
            </w:pPr>
            <w:r>
              <w:rPr/>
              <w:t> </w:t>
            </w:r>
          </w:p>
        </w:tc>
      </w:tr>
      <w:tr>
        <w:trPr/>
        <w:tc>
          <w:tcPr>
            <w:tcW w:w="5084" w:type="dxa"/>
            <w:tcBorders/>
            <w:shd w:fill="auto" w:val="clear"/>
            <w:vAlign w:val="bottom"/>
          </w:tcPr>
          <w:p>
            <w:pPr>
              <w:pStyle w:val="TableContents"/>
              <w:spacing w:before="0" w:after="0"/>
              <w:ind w:left="225" w:right="0" w:hanging="225"/>
              <w:rPr/>
            </w:pPr>
            <w:r>
              <w:rPr/>
              <w:t>Foreign currency translation adjustments</w:t>
            </w:r>
          </w:p>
        </w:tc>
        <w:tc>
          <w:tcPr>
            <w:tcW w:w="37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23" w:type="dxa"/>
            <w:tcBorders/>
            <w:shd w:fill="auto" w:val="clear"/>
            <w:vAlign w:val="bottom"/>
          </w:tcPr>
          <w:p>
            <w:pPr>
              <w:pStyle w:val="TableContents"/>
              <w:spacing w:before="0" w:after="283"/>
              <w:jc w:val="right"/>
              <w:rPr/>
            </w:pPr>
            <w:r>
              <w:rPr/>
              <w:t>537</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jc w:val="right"/>
              <w:rPr/>
            </w:pPr>
            <w:r>
              <w:rPr/>
              <w:t>1,688</w:t>
            </w:r>
          </w:p>
        </w:tc>
        <w:tc>
          <w:tcPr>
            <w:tcW w:w="11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23" w:type="dxa"/>
            <w:tcBorders/>
            <w:shd w:fill="auto" w:val="clear"/>
            <w:vAlign w:val="bottom"/>
          </w:tcPr>
          <w:p>
            <w:pPr>
              <w:pStyle w:val="TableContents"/>
              <w:spacing w:before="0" w:after="283"/>
              <w:jc w:val="right"/>
              <w:rPr/>
            </w:pPr>
            <w:r>
              <w:rPr/>
              <w:t>2,225</w:t>
            </w:r>
          </w:p>
        </w:tc>
        <w:tc>
          <w:tcPr>
            <w:tcW w:w="117" w:type="dxa"/>
            <w:tcBorders/>
            <w:shd w:fill="auto" w:val="clear"/>
            <w:vAlign w:val="bottom"/>
          </w:tcPr>
          <w:p>
            <w:pPr>
              <w:pStyle w:val="TableContents"/>
              <w:spacing w:before="0" w:after="283"/>
              <w:rPr/>
            </w:pPr>
            <w:r>
              <w:rPr/>
              <w:t> </w:t>
            </w:r>
          </w:p>
        </w:tc>
      </w:tr>
      <w:tr>
        <w:trPr/>
        <w:tc>
          <w:tcPr>
            <w:tcW w:w="5084" w:type="dxa"/>
            <w:tcBorders/>
            <w:shd w:fill="auto" w:val="clear"/>
            <w:vAlign w:val="center"/>
          </w:tcPr>
          <w:p>
            <w:pPr>
              <w:pStyle w:val="TableContents"/>
              <w:spacing w:before="0" w:after="0"/>
              <w:ind w:left="225" w:right="0" w:hanging="225"/>
              <w:rPr/>
            </w:pPr>
            <w:r>
              <w:rPr/>
              <w:t> </w:t>
            </w:r>
          </w:p>
        </w:tc>
        <w:tc>
          <w:tcPr>
            <w:tcW w:w="374" w:type="dxa"/>
            <w:tcBorders/>
            <w:shd w:fill="auto" w:val="clear"/>
            <w:vAlign w:val="center"/>
          </w:tcPr>
          <w:p>
            <w:pPr>
              <w:pStyle w:val="TableContents"/>
              <w:spacing w:before="0" w:after="283"/>
              <w:rPr/>
            </w:pPr>
            <w:r>
              <w:rPr/>
              <w:t> </w:t>
            </w:r>
          </w:p>
        </w:tc>
        <w:tc>
          <w:tcPr>
            <w:tcW w:w="10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14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10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r>
      <w:tr>
        <w:trPr/>
        <w:tc>
          <w:tcPr>
            <w:tcW w:w="5084" w:type="dxa"/>
            <w:tcBorders/>
            <w:shd w:fill="CCEEFF" w:val="clear"/>
            <w:vAlign w:val="bottom"/>
          </w:tcPr>
          <w:p>
            <w:pPr>
              <w:pStyle w:val="TableContents"/>
              <w:spacing w:before="0" w:after="0"/>
              <w:ind w:left="225" w:right="0" w:hanging="225"/>
              <w:rPr/>
            </w:pPr>
            <w:r>
              <w:rPr/>
              <w:t>Balance at September 30, 2006</w:t>
            </w:r>
          </w:p>
        </w:tc>
        <w:tc>
          <w:tcPr>
            <w:tcW w:w="374"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923" w:type="dxa"/>
            <w:tcBorders/>
            <w:shd w:fill="CCEEFF" w:val="clear"/>
            <w:vAlign w:val="bottom"/>
          </w:tcPr>
          <w:p>
            <w:pPr>
              <w:pStyle w:val="TableContents"/>
              <w:spacing w:before="0" w:after="283"/>
              <w:jc w:val="right"/>
              <w:rPr/>
            </w:pPr>
            <w:r>
              <w:rPr/>
              <w:t>150,063</w:t>
            </w:r>
          </w:p>
        </w:tc>
        <w:tc>
          <w:tcPr>
            <w:tcW w:w="11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1229" w:type="dxa"/>
            <w:tcBorders/>
            <w:shd w:fill="CCEEFF" w:val="clear"/>
            <w:vAlign w:val="bottom"/>
          </w:tcPr>
          <w:p>
            <w:pPr>
              <w:pStyle w:val="TableContents"/>
              <w:spacing w:before="0" w:after="283"/>
              <w:jc w:val="right"/>
              <w:rPr/>
            </w:pPr>
            <w:r>
              <w:rPr/>
              <w:t>36,472</w:t>
            </w:r>
          </w:p>
        </w:tc>
        <w:tc>
          <w:tcPr>
            <w:tcW w:w="11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923" w:type="dxa"/>
            <w:tcBorders/>
            <w:shd w:fill="CCEEFF" w:val="clear"/>
            <w:vAlign w:val="bottom"/>
          </w:tcPr>
          <w:p>
            <w:pPr>
              <w:pStyle w:val="TableContents"/>
              <w:spacing w:before="0" w:after="283"/>
              <w:jc w:val="right"/>
              <w:rPr/>
            </w:pPr>
            <w:r>
              <w:rPr/>
              <w:t>186,535</w:t>
            </w:r>
          </w:p>
        </w:tc>
        <w:tc>
          <w:tcPr>
            <w:tcW w:w="117" w:type="dxa"/>
            <w:tcBorders/>
            <w:shd w:fill="CCEEFF" w:val="clear"/>
            <w:vAlign w:val="bottom"/>
          </w:tcPr>
          <w:p>
            <w:pPr>
              <w:pStyle w:val="TableContents"/>
              <w:spacing w:before="0" w:after="283"/>
              <w:rPr/>
            </w:pPr>
            <w:r>
              <w:rPr/>
              <w:t> </w:t>
            </w:r>
          </w:p>
        </w:tc>
      </w:tr>
      <w:tr>
        <w:trPr/>
        <w:tc>
          <w:tcPr>
            <w:tcW w:w="5084" w:type="dxa"/>
            <w:tcBorders/>
            <w:shd w:fill="auto" w:val="clear"/>
            <w:vAlign w:val="center"/>
          </w:tcPr>
          <w:p>
            <w:pPr>
              <w:pStyle w:val="TableContents"/>
              <w:spacing w:before="0" w:after="0"/>
              <w:ind w:left="225" w:right="0" w:hanging="225"/>
              <w:rPr/>
            </w:pPr>
            <w:r>
              <w:rPr/>
              <w:t> </w:t>
            </w:r>
          </w:p>
        </w:tc>
        <w:tc>
          <w:tcPr>
            <w:tcW w:w="374" w:type="dxa"/>
            <w:tcBorders/>
            <w:shd w:fill="auto" w:val="clear"/>
            <w:vAlign w:val="center"/>
          </w:tcPr>
          <w:p>
            <w:pPr>
              <w:pStyle w:val="TableContents"/>
              <w:spacing w:before="0" w:after="283"/>
              <w:rPr/>
            </w:pPr>
            <w:r>
              <w:rPr/>
              <w:t> </w:t>
            </w:r>
          </w:p>
        </w:tc>
        <w:tc>
          <w:tcPr>
            <w:tcW w:w="10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14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10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 summary of other intangible assets as of September 30, 2006 is presented below: </w:t>
      </w:r>
    </w:p>
    <w:tbl>
      <w:tblPr>
        <w:tblW w:w="5000" w:type="pct"/>
        <w:jc w:val="center"/>
        <w:tblInd w:w="0" w:type="dxa"/>
        <w:tblCellMar>
          <w:top w:w="0" w:type="dxa"/>
          <w:left w:w="0" w:type="dxa"/>
          <w:bottom w:w="0" w:type="dxa"/>
          <w:right w:w="0" w:type="dxa"/>
        </w:tblCellMar>
      </w:tblPr>
      <w:tblGrid>
        <w:gridCol w:w="4209"/>
        <w:gridCol w:w="311"/>
        <w:gridCol w:w="325"/>
        <w:gridCol w:w="1354"/>
        <w:gridCol w:w="103"/>
        <w:gridCol w:w="311"/>
        <w:gridCol w:w="343"/>
        <w:gridCol w:w="1209"/>
        <w:gridCol w:w="132"/>
        <w:gridCol w:w="311"/>
        <w:gridCol w:w="287"/>
        <w:gridCol w:w="1201"/>
        <w:gridCol w:w="109"/>
      </w:tblGrid>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shd w:fill="auto" w:val="clear"/>
            <w:vAlign w:val="bottom"/>
          </w:tcPr>
          <w:p>
            <w:pPr>
              <w:pStyle w:val="TableContents"/>
              <w:spacing w:before="0" w:after="283"/>
              <w:jc w:val="center"/>
              <w:rPr>
                <w:b/>
              </w:rPr>
            </w:pPr>
            <w:r>
              <w:rPr>
                <w:b/>
              </w:rPr>
              <w:t>Gross Carrying</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Accumulated</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shd w:fill="auto" w:val="clear"/>
            <w:vAlign w:val="bottom"/>
          </w:tcPr>
          <w:p>
            <w:pPr>
              <w:pStyle w:val="TableContents"/>
              <w:spacing w:before="0" w:after="283"/>
              <w:jc w:val="center"/>
              <w:rPr>
                <w:b/>
              </w:rPr>
            </w:pPr>
            <w:r>
              <w:rPr>
                <w:b/>
              </w:rPr>
              <w:t>Net Carrying</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(in thousands)</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Customer lists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jc w:val="left"/>
              <w:rPr/>
            </w:pPr>
            <w:r>
              <w:rPr/>
              <w:t>$</w:t>
            </w:r>
          </w:p>
        </w:tc>
        <w:tc>
          <w:tcPr>
            <w:tcW w:w="1354" w:type="dxa"/>
            <w:tcBorders/>
            <w:shd w:fill="auto" w:val="clear"/>
            <w:vAlign w:val="bottom"/>
          </w:tcPr>
          <w:p>
            <w:pPr>
              <w:pStyle w:val="TableContents"/>
              <w:spacing w:before="0" w:after="283"/>
              <w:jc w:val="right"/>
              <w:rPr/>
            </w:pPr>
            <w:r>
              <w:rPr/>
              <w:t>940</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w:t>
            </w:r>
          </w:p>
        </w:tc>
        <w:tc>
          <w:tcPr>
            <w:tcW w:w="1209" w:type="dxa"/>
            <w:tcBorders/>
            <w:shd w:fill="auto" w:val="clear"/>
            <w:vAlign w:val="bottom"/>
          </w:tcPr>
          <w:p>
            <w:pPr>
              <w:pStyle w:val="TableContents"/>
              <w:spacing w:before="0" w:after="283"/>
              <w:jc w:val="right"/>
              <w:rPr/>
            </w:pPr>
            <w:r>
              <w:rPr/>
              <w:t>(454</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201" w:type="dxa"/>
            <w:tcBorders/>
            <w:shd w:fill="auto" w:val="clear"/>
            <w:vAlign w:val="bottom"/>
          </w:tcPr>
          <w:p>
            <w:pPr>
              <w:pStyle w:val="TableContents"/>
              <w:spacing w:before="0" w:after="283"/>
              <w:jc w:val="right"/>
              <w:rPr/>
            </w:pPr>
            <w:r>
              <w:rPr/>
              <w:t>486</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Other</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614</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(192</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422</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1,554</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(646</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908</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Unamortized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Trademarks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4,590</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4,590</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Pension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573</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573</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5,163</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5,163</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Total</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left"/>
              <w:rPr/>
            </w:pPr>
            <w:r>
              <w:rPr/>
              <w:t>$</w:t>
            </w:r>
          </w:p>
        </w:tc>
        <w:tc>
          <w:tcPr>
            <w:tcW w:w="1354" w:type="dxa"/>
            <w:tcBorders/>
            <w:shd w:fill="CCEEFF" w:val="clear"/>
            <w:vAlign w:val="bottom"/>
          </w:tcPr>
          <w:p>
            <w:pPr>
              <w:pStyle w:val="TableContents"/>
              <w:spacing w:before="0" w:after="283"/>
              <w:jc w:val="right"/>
              <w:rPr/>
            </w:pPr>
            <w:r>
              <w:rPr/>
              <w:t>6,717</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(646</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1201" w:type="dxa"/>
            <w:tcBorders/>
            <w:shd w:fill="CCEEFF" w:val="clear"/>
            <w:vAlign w:val="bottom"/>
          </w:tcPr>
          <w:p>
            <w:pPr>
              <w:pStyle w:val="TableContents"/>
              <w:spacing w:before="0" w:after="283"/>
              <w:jc w:val="right"/>
              <w:rPr/>
            </w:pPr>
            <w:r>
              <w:rPr/>
              <w:t>6,071</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 summary of other intangible assets as of December 31, 2005 is presented below: </w:t>
      </w:r>
    </w:p>
    <w:tbl>
      <w:tblPr>
        <w:tblW w:w="5000" w:type="pct"/>
        <w:jc w:val="center"/>
        <w:tblInd w:w="0" w:type="dxa"/>
        <w:tblCellMar>
          <w:top w:w="0" w:type="dxa"/>
          <w:left w:w="0" w:type="dxa"/>
          <w:bottom w:w="0" w:type="dxa"/>
          <w:right w:w="0" w:type="dxa"/>
        </w:tblCellMar>
      </w:tblPr>
      <w:tblGrid>
        <w:gridCol w:w="4209"/>
        <w:gridCol w:w="311"/>
        <w:gridCol w:w="325"/>
        <w:gridCol w:w="1354"/>
        <w:gridCol w:w="103"/>
        <w:gridCol w:w="311"/>
        <w:gridCol w:w="343"/>
        <w:gridCol w:w="1209"/>
        <w:gridCol w:w="132"/>
        <w:gridCol w:w="311"/>
        <w:gridCol w:w="287"/>
        <w:gridCol w:w="1201"/>
        <w:gridCol w:w="109"/>
      </w:tblGrid>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shd w:fill="auto" w:val="clear"/>
            <w:vAlign w:val="bottom"/>
          </w:tcPr>
          <w:p>
            <w:pPr>
              <w:pStyle w:val="TableContents"/>
              <w:spacing w:before="0" w:after="283"/>
              <w:jc w:val="center"/>
              <w:rPr>
                <w:b/>
              </w:rPr>
            </w:pPr>
            <w:r>
              <w:rPr>
                <w:b/>
              </w:rPr>
              <w:t>Gross Carrying</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Accumulated</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shd w:fill="auto" w:val="clear"/>
            <w:vAlign w:val="bottom"/>
          </w:tcPr>
          <w:p>
            <w:pPr>
              <w:pStyle w:val="TableContents"/>
              <w:spacing w:before="0" w:after="283"/>
              <w:jc w:val="center"/>
              <w:rPr>
                <w:b/>
              </w:rPr>
            </w:pPr>
            <w:r>
              <w:rPr>
                <w:b/>
              </w:rPr>
              <w:t>Net Carrying</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(in thousands)</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Customer lists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jc w:val="left"/>
              <w:rPr/>
            </w:pPr>
            <w:r>
              <w:rPr/>
              <w:t>$</w:t>
            </w:r>
          </w:p>
        </w:tc>
        <w:tc>
          <w:tcPr>
            <w:tcW w:w="1354" w:type="dxa"/>
            <w:tcBorders/>
            <w:shd w:fill="auto" w:val="clear"/>
            <w:vAlign w:val="bottom"/>
          </w:tcPr>
          <w:p>
            <w:pPr>
              <w:pStyle w:val="TableContents"/>
              <w:spacing w:before="0" w:after="283"/>
              <w:jc w:val="right"/>
              <w:rPr/>
            </w:pPr>
            <w:r>
              <w:rPr/>
              <w:t>904</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w:t>
            </w:r>
          </w:p>
        </w:tc>
        <w:tc>
          <w:tcPr>
            <w:tcW w:w="1209" w:type="dxa"/>
            <w:tcBorders/>
            <w:shd w:fill="auto" w:val="clear"/>
            <w:vAlign w:val="bottom"/>
          </w:tcPr>
          <w:p>
            <w:pPr>
              <w:pStyle w:val="TableContents"/>
              <w:spacing w:before="0" w:after="283"/>
              <w:jc w:val="right"/>
              <w:rPr/>
            </w:pPr>
            <w:r>
              <w:rPr/>
              <w:t>(301</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201" w:type="dxa"/>
            <w:tcBorders/>
            <w:shd w:fill="auto" w:val="clear"/>
            <w:vAlign w:val="bottom"/>
          </w:tcPr>
          <w:p>
            <w:pPr>
              <w:pStyle w:val="TableContents"/>
              <w:spacing w:before="0" w:after="283"/>
              <w:jc w:val="right"/>
              <w:rPr/>
            </w:pPr>
            <w:r>
              <w:rPr/>
              <w:t>603</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Other</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590</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(118</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472</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1,494</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(419</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1,075</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Unamortized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Trademarks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4,590</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4,590</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Pension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573</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573</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5,163</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5,163</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Total</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left"/>
              <w:rPr/>
            </w:pPr>
            <w:r>
              <w:rPr/>
              <w:t>$</w:t>
            </w:r>
          </w:p>
        </w:tc>
        <w:tc>
          <w:tcPr>
            <w:tcW w:w="1354" w:type="dxa"/>
            <w:tcBorders/>
            <w:shd w:fill="CCEEFF" w:val="clear"/>
            <w:vAlign w:val="bottom"/>
          </w:tcPr>
          <w:p>
            <w:pPr>
              <w:pStyle w:val="TableContents"/>
              <w:spacing w:before="0" w:after="283"/>
              <w:jc w:val="right"/>
              <w:rPr/>
            </w:pPr>
            <w:r>
              <w:rPr/>
              <w:t>6,657</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(419</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1201" w:type="dxa"/>
            <w:tcBorders/>
            <w:shd w:fill="CCEEFF" w:val="clear"/>
            <w:vAlign w:val="bottom"/>
          </w:tcPr>
          <w:p>
            <w:pPr>
              <w:pStyle w:val="TableContents"/>
              <w:spacing w:before="0" w:after="283"/>
              <w:jc w:val="right"/>
              <w:rPr/>
            </w:pPr>
            <w:r>
              <w:rPr/>
              <w:t>6,238</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Intangible asset amortization expense for the three months ended September 30, 2006 and 2005 was $69,000 and $65,000, respectively, and $207,000 and $182,000 for the nine months ended September 30, 2006 and 2005, respectively. The estimated weighted-average amortization period of amortized intangible assets as of September 30, 2006 was approximately 2.0 years. Estimated amortization expense related to amortized intangible assets for the remainder of 2006 and succeeding years is expected to be $65,000 (2006), $309,000 (2007), $356,000 (2008) and $178,000 (2009).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8. Accrued Liabilities and Other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Other current liabilities consisted of the following: </w:t>
      </w:r>
    </w:p>
    <w:tbl>
      <w:tblPr>
        <w:tblW w:w="5000" w:type="pct"/>
        <w:jc w:val="center"/>
        <w:tblInd w:w="0" w:type="dxa"/>
        <w:tblCellMar>
          <w:top w:w="0" w:type="dxa"/>
          <w:left w:w="0" w:type="dxa"/>
          <w:bottom w:w="0" w:type="dxa"/>
          <w:right w:w="0" w:type="dxa"/>
        </w:tblCellMar>
      </w:tblPr>
      <w:tblGrid>
        <w:gridCol w:w="6248"/>
        <w:gridCol w:w="399"/>
        <w:gridCol w:w="228"/>
        <w:gridCol w:w="1257"/>
        <w:gridCol w:w="114"/>
        <w:gridCol w:w="399"/>
        <w:gridCol w:w="221"/>
        <w:gridCol w:w="1220"/>
        <w:gridCol w:w="119"/>
      </w:tblGrid>
      <w:tr>
        <w:trPr/>
        <w:tc>
          <w:tcPr>
            <w:tcW w:w="6248"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57"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248"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485" w:type="dxa"/>
            <w:gridSpan w:val="2"/>
            <w:tcBorders/>
            <w:shd w:fill="auto" w:val="clear"/>
            <w:vAlign w:val="bottom"/>
          </w:tcPr>
          <w:p>
            <w:pPr>
              <w:pStyle w:val="TableContents"/>
              <w:spacing w:before="0" w:after="283"/>
              <w:jc w:val="center"/>
              <w:rPr>
                <w:b/>
              </w:rPr>
            </w:pPr>
            <w:r>
              <w:rPr>
                <w:b/>
              </w:rPr>
              <w:t>September 30,</w:t>
            </w:r>
          </w:p>
        </w:tc>
        <w:tc>
          <w:tcPr>
            <w:tcW w:w="114"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441" w:type="dxa"/>
            <w:gridSpan w:val="2"/>
            <w:tcBorders/>
            <w:shd w:fill="auto" w:val="clear"/>
            <w:vAlign w:val="bottom"/>
          </w:tcPr>
          <w:p>
            <w:pPr>
              <w:pStyle w:val="TableContents"/>
              <w:spacing w:before="0" w:after="283"/>
              <w:jc w:val="center"/>
              <w:rPr>
                <w:b/>
              </w:rPr>
            </w:pPr>
            <w:r>
              <w:rPr>
                <w:b/>
              </w:rPr>
              <w:t>December 31,</w:t>
            </w:r>
          </w:p>
        </w:tc>
        <w:tc>
          <w:tcPr>
            <w:tcW w:w="119" w:type="dxa"/>
            <w:tcBorders/>
            <w:shd w:fill="auto" w:val="clear"/>
            <w:vAlign w:val="bottom"/>
          </w:tcPr>
          <w:p>
            <w:pPr>
              <w:pStyle w:val="TableContents"/>
              <w:spacing w:before="0" w:after="283"/>
              <w:rPr/>
            </w:pPr>
            <w:r>
              <w:rPr/>
              <w:t> </w:t>
            </w:r>
          </w:p>
        </w:tc>
      </w:tr>
      <w:tr>
        <w:trPr/>
        <w:tc>
          <w:tcPr>
            <w:tcW w:w="6248"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48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4"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44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19" w:type="dxa"/>
            <w:tcBorders/>
            <w:shd w:fill="auto" w:val="clear"/>
            <w:vAlign w:val="bottom"/>
          </w:tcPr>
          <w:p>
            <w:pPr>
              <w:pStyle w:val="TableContents"/>
              <w:spacing w:before="0" w:after="283"/>
              <w:rPr/>
            </w:pPr>
            <w:r>
              <w:rPr/>
              <w:t> </w:t>
            </w:r>
          </w:p>
        </w:tc>
      </w:tr>
      <w:tr>
        <w:trPr/>
        <w:tc>
          <w:tcPr>
            <w:tcW w:w="6248"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3439" w:type="dxa"/>
            <w:gridSpan w:val="6"/>
            <w:tcBorders/>
            <w:shd w:fill="auto" w:val="clear"/>
            <w:vAlign w:val="bottom"/>
          </w:tcPr>
          <w:p>
            <w:pPr>
              <w:pStyle w:val="TableContents"/>
              <w:spacing w:before="0" w:after="283"/>
              <w:jc w:val="center"/>
              <w:rPr>
                <w:b/>
              </w:rPr>
            </w:pPr>
            <w:r>
              <w:rPr>
                <w:b/>
              </w:rPr>
              <w:t>(in thousands)</w:t>
            </w:r>
          </w:p>
        </w:tc>
        <w:tc>
          <w:tcPr>
            <w:tcW w:w="119" w:type="dxa"/>
            <w:tcBorders/>
            <w:shd w:fill="auto" w:val="clear"/>
            <w:vAlign w:val="bottom"/>
          </w:tcPr>
          <w:p>
            <w:pPr>
              <w:pStyle w:val="TableContents"/>
              <w:spacing w:before="0" w:after="283"/>
              <w:rPr/>
            </w:pPr>
            <w:r>
              <w:rPr/>
              <w:t> </w:t>
            </w:r>
          </w:p>
        </w:tc>
      </w:tr>
      <w:tr>
        <w:trPr/>
        <w:tc>
          <w:tcPr>
            <w:tcW w:w="6248" w:type="dxa"/>
            <w:tcBorders/>
            <w:shd w:fill="CCEEFF" w:val="clear"/>
            <w:vAlign w:val="bottom"/>
          </w:tcPr>
          <w:p>
            <w:pPr>
              <w:pStyle w:val="TableContents"/>
              <w:spacing w:before="0" w:after="0"/>
              <w:ind w:left="225" w:right="0" w:hanging="225"/>
              <w:rPr/>
            </w:pPr>
            <w:r>
              <w:rPr/>
              <w:t>Customer deposits</w:t>
            </w:r>
          </w:p>
        </w:tc>
        <w:tc>
          <w:tcPr>
            <w:tcW w:w="39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1257" w:type="dxa"/>
            <w:tcBorders/>
            <w:shd w:fill="CCEEFF" w:val="clear"/>
            <w:vAlign w:val="bottom"/>
          </w:tcPr>
          <w:p>
            <w:pPr>
              <w:pStyle w:val="TableContents"/>
              <w:spacing w:before="0" w:after="283"/>
              <w:jc w:val="right"/>
              <w:rPr/>
            </w:pPr>
            <w:r>
              <w:rPr/>
              <w:t>27,507</w:t>
            </w:r>
          </w:p>
        </w:tc>
        <w:tc>
          <w:tcPr>
            <w:tcW w:w="114"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w:t>
            </w:r>
          </w:p>
        </w:tc>
        <w:tc>
          <w:tcPr>
            <w:tcW w:w="1220" w:type="dxa"/>
            <w:tcBorders/>
            <w:shd w:fill="CCEEFF" w:val="clear"/>
            <w:vAlign w:val="bottom"/>
          </w:tcPr>
          <w:p>
            <w:pPr>
              <w:pStyle w:val="TableContents"/>
              <w:spacing w:before="0" w:after="283"/>
              <w:jc w:val="right"/>
              <w:rPr/>
            </w:pPr>
            <w:r>
              <w:rPr/>
              <w:t>33,527</w:t>
            </w:r>
          </w:p>
        </w:tc>
        <w:tc>
          <w:tcPr>
            <w:tcW w:w="119" w:type="dxa"/>
            <w:tcBorders/>
            <w:shd w:fill="CCEEFF" w:val="clear"/>
            <w:vAlign w:val="bottom"/>
          </w:tcPr>
          <w:p>
            <w:pPr>
              <w:pStyle w:val="TableContents"/>
              <w:spacing w:before="0" w:after="283"/>
              <w:rPr/>
            </w:pPr>
            <w:r>
              <w:rPr/>
              <w:t> </w:t>
            </w:r>
          </w:p>
        </w:tc>
      </w:tr>
      <w:tr>
        <w:trPr/>
        <w:tc>
          <w:tcPr>
            <w:tcW w:w="6248" w:type="dxa"/>
            <w:tcBorders/>
            <w:shd w:fill="auto" w:val="clear"/>
            <w:vAlign w:val="bottom"/>
          </w:tcPr>
          <w:p>
            <w:pPr>
              <w:pStyle w:val="TableContents"/>
              <w:spacing w:before="0" w:after="0"/>
              <w:ind w:left="225" w:right="0" w:hanging="225"/>
              <w:rPr/>
            </w:pPr>
            <w:r>
              <w:rPr/>
              <w:t>Accrued income taxes</w:t>
            </w:r>
          </w:p>
        </w:tc>
        <w:tc>
          <w:tcPr>
            <w:tcW w:w="39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57" w:type="dxa"/>
            <w:tcBorders/>
            <w:shd w:fill="auto" w:val="clear"/>
            <w:vAlign w:val="bottom"/>
          </w:tcPr>
          <w:p>
            <w:pPr>
              <w:pStyle w:val="TableContents"/>
              <w:spacing w:before="0" w:after="283"/>
              <w:jc w:val="right"/>
              <w:rPr/>
            </w:pPr>
            <w:r>
              <w:rPr/>
              <w:t>25,351</w:t>
            </w:r>
          </w:p>
        </w:tc>
        <w:tc>
          <w:tcPr>
            <w:tcW w:w="114"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37,973</w:t>
            </w:r>
          </w:p>
        </w:tc>
        <w:tc>
          <w:tcPr>
            <w:tcW w:w="119" w:type="dxa"/>
            <w:tcBorders/>
            <w:shd w:fill="auto" w:val="clear"/>
            <w:vAlign w:val="bottom"/>
          </w:tcPr>
          <w:p>
            <w:pPr>
              <w:pStyle w:val="TableContents"/>
              <w:spacing w:before="0" w:after="283"/>
              <w:rPr/>
            </w:pPr>
            <w:r>
              <w:rPr/>
              <w:t> </w:t>
            </w:r>
          </w:p>
        </w:tc>
      </w:tr>
      <w:tr>
        <w:trPr/>
        <w:tc>
          <w:tcPr>
            <w:tcW w:w="6248" w:type="dxa"/>
            <w:tcBorders/>
            <w:shd w:fill="CCEEFF" w:val="clear"/>
            <w:vAlign w:val="bottom"/>
          </w:tcPr>
          <w:p>
            <w:pPr>
              <w:pStyle w:val="TableContents"/>
              <w:spacing w:before="0" w:after="0"/>
              <w:ind w:left="225" w:right="0" w:hanging="225"/>
              <w:rPr/>
            </w:pPr>
            <w:r>
              <w:rPr/>
              <w:t>Accrued compensation</w:t>
            </w:r>
          </w:p>
        </w:tc>
        <w:tc>
          <w:tcPr>
            <w:tcW w:w="39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pPr>
            <w:r>
              <w:rPr/>
              <w:t>20,982</w:t>
            </w:r>
          </w:p>
        </w:tc>
        <w:tc>
          <w:tcPr>
            <w:tcW w:w="114"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17,545</w:t>
            </w:r>
          </w:p>
        </w:tc>
        <w:tc>
          <w:tcPr>
            <w:tcW w:w="119" w:type="dxa"/>
            <w:tcBorders/>
            <w:shd w:fill="CCEEFF" w:val="clear"/>
            <w:vAlign w:val="bottom"/>
          </w:tcPr>
          <w:p>
            <w:pPr>
              <w:pStyle w:val="TableContents"/>
              <w:spacing w:before="0" w:after="283"/>
              <w:rPr/>
            </w:pPr>
            <w:r>
              <w:rPr/>
              <w:t> </w:t>
            </w:r>
          </w:p>
        </w:tc>
      </w:tr>
      <w:tr>
        <w:trPr/>
        <w:tc>
          <w:tcPr>
            <w:tcW w:w="6248" w:type="dxa"/>
            <w:tcBorders/>
            <w:shd w:fill="auto" w:val="clear"/>
            <w:vAlign w:val="bottom"/>
          </w:tcPr>
          <w:p>
            <w:pPr>
              <w:pStyle w:val="TableContents"/>
              <w:spacing w:before="0" w:after="0"/>
              <w:ind w:left="225" w:right="0" w:hanging="225"/>
              <w:rPr/>
            </w:pPr>
            <w:r>
              <w:rPr/>
              <w:t>Self-insured liability accrual</w:t>
            </w:r>
          </w:p>
        </w:tc>
        <w:tc>
          <w:tcPr>
            <w:tcW w:w="39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57" w:type="dxa"/>
            <w:tcBorders/>
            <w:shd w:fill="auto" w:val="clear"/>
            <w:vAlign w:val="bottom"/>
          </w:tcPr>
          <w:p>
            <w:pPr>
              <w:pStyle w:val="TableContents"/>
              <w:spacing w:before="0" w:after="283"/>
              <w:jc w:val="right"/>
              <w:rPr/>
            </w:pPr>
            <w:r>
              <w:rPr/>
              <w:t>7,851</w:t>
            </w:r>
          </w:p>
        </w:tc>
        <w:tc>
          <w:tcPr>
            <w:tcW w:w="114"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8,045</w:t>
            </w:r>
          </w:p>
        </w:tc>
        <w:tc>
          <w:tcPr>
            <w:tcW w:w="119" w:type="dxa"/>
            <w:tcBorders/>
            <w:shd w:fill="auto" w:val="clear"/>
            <w:vAlign w:val="bottom"/>
          </w:tcPr>
          <w:p>
            <w:pPr>
              <w:pStyle w:val="TableContents"/>
              <w:spacing w:before="0" w:after="283"/>
              <w:rPr/>
            </w:pPr>
            <w:r>
              <w:rPr/>
              <w:t> </w:t>
            </w:r>
          </w:p>
        </w:tc>
      </w:tr>
      <w:tr>
        <w:trPr/>
        <w:tc>
          <w:tcPr>
            <w:tcW w:w="6248" w:type="dxa"/>
            <w:tcBorders/>
            <w:shd w:fill="CCEEFF" w:val="clear"/>
            <w:vAlign w:val="bottom"/>
          </w:tcPr>
          <w:p>
            <w:pPr>
              <w:pStyle w:val="TableContents"/>
              <w:spacing w:before="0" w:after="0"/>
              <w:ind w:left="225" w:right="0" w:hanging="225"/>
              <w:rPr/>
            </w:pPr>
            <w:r>
              <w:rPr/>
              <w:t>Accrued restructuring</w:t>
            </w:r>
          </w:p>
        </w:tc>
        <w:tc>
          <w:tcPr>
            <w:tcW w:w="39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pPr>
            <w:r>
              <w:rPr/>
              <w:t>1,634</w:t>
            </w:r>
          </w:p>
        </w:tc>
        <w:tc>
          <w:tcPr>
            <w:tcW w:w="114"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1,735</w:t>
            </w:r>
          </w:p>
        </w:tc>
        <w:tc>
          <w:tcPr>
            <w:tcW w:w="119" w:type="dxa"/>
            <w:tcBorders/>
            <w:shd w:fill="CCEEFF" w:val="clear"/>
            <w:vAlign w:val="bottom"/>
          </w:tcPr>
          <w:p>
            <w:pPr>
              <w:pStyle w:val="TableContents"/>
              <w:spacing w:before="0" w:after="283"/>
              <w:rPr/>
            </w:pPr>
            <w:r>
              <w:rPr/>
              <w:t> </w:t>
            </w:r>
          </w:p>
        </w:tc>
      </w:tr>
      <w:tr>
        <w:trPr/>
        <w:tc>
          <w:tcPr>
            <w:tcW w:w="6248" w:type="dxa"/>
            <w:tcBorders/>
            <w:shd w:fill="auto" w:val="clear"/>
            <w:vAlign w:val="bottom"/>
          </w:tcPr>
          <w:p>
            <w:pPr>
              <w:pStyle w:val="TableContents"/>
              <w:spacing w:before="0" w:after="0"/>
              <w:ind w:left="225" w:right="0" w:hanging="225"/>
              <w:rPr/>
            </w:pPr>
            <w:r>
              <w:rPr/>
              <w:t>Accrued dividends</w:t>
            </w:r>
          </w:p>
        </w:tc>
        <w:tc>
          <w:tcPr>
            <w:tcW w:w="39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57" w:type="dxa"/>
            <w:tcBorders/>
            <w:shd w:fill="auto" w:val="clear"/>
            <w:vAlign w:val="bottom"/>
          </w:tcPr>
          <w:p>
            <w:pPr>
              <w:pStyle w:val="TableContents"/>
              <w:spacing w:before="0" w:after="283"/>
              <w:jc w:val="right"/>
              <w:rPr/>
            </w:pPr>
            <w:r>
              <w:rPr/>
              <w:t>981</w:t>
            </w:r>
          </w:p>
        </w:tc>
        <w:tc>
          <w:tcPr>
            <w:tcW w:w="114"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1,044</w:t>
            </w:r>
          </w:p>
        </w:tc>
        <w:tc>
          <w:tcPr>
            <w:tcW w:w="119" w:type="dxa"/>
            <w:tcBorders/>
            <w:shd w:fill="auto" w:val="clear"/>
            <w:vAlign w:val="bottom"/>
          </w:tcPr>
          <w:p>
            <w:pPr>
              <w:pStyle w:val="TableContents"/>
              <w:spacing w:before="0" w:after="283"/>
              <w:rPr/>
            </w:pPr>
            <w:r>
              <w:rPr/>
              <w:t> </w:t>
            </w:r>
          </w:p>
        </w:tc>
      </w:tr>
      <w:tr>
        <w:trPr/>
        <w:tc>
          <w:tcPr>
            <w:tcW w:w="6248" w:type="dxa"/>
            <w:tcBorders/>
            <w:shd w:fill="CCEEFF" w:val="clear"/>
            <w:vAlign w:val="bottom"/>
          </w:tcPr>
          <w:p>
            <w:pPr>
              <w:pStyle w:val="TableContents"/>
              <w:spacing w:before="0" w:after="0"/>
              <w:ind w:left="225" w:right="0" w:hanging="225"/>
              <w:rPr/>
            </w:pPr>
            <w:r>
              <w:rPr/>
              <w:t>Product warranty liabilities associated with a previously sold manufacturing operation</w:t>
            </w:r>
          </w:p>
        </w:tc>
        <w:tc>
          <w:tcPr>
            <w:tcW w:w="39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pPr>
            <w:r>
              <w:rPr/>
              <w:t></w:t>
            </w:r>
          </w:p>
        </w:tc>
        <w:tc>
          <w:tcPr>
            <w:tcW w:w="114"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11,827</w:t>
            </w:r>
          </w:p>
        </w:tc>
        <w:tc>
          <w:tcPr>
            <w:tcW w:w="119" w:type="dxa"/>
            <w:tcBorders/>
            <w:shd w:fill="CCEEFF" w:val="clear"/>
            <w:vAlign w:val="bottom"/>
          </w:tcPr>
          <w:p>
            <w:pPr>
              <w:pStyle w:val="TableContents"/>
              <w:spacing w:before="0" w:after="283"/>
              <w:rPr/>
            </w:pPr>
            <w:r>
              <w:rPr/>
              <w:t> </w:t>
            </w:r>
          </w:p>
        </w:tc>
      </w:tr>
      <w:tr>
        <w:trPr/>
        <w:tc>
          <w:tcPr>
            <w:tcW w:w="6248" w:type="dxa"/>
            <w:tcBorders/>
            <w:shd w:fill="auto" w:val="clear"/>
            <w:vAlign w:val="bottom"/>
          </w:tcPr>
          <w:p>
            <w:pPr>
              <w:pStyle w:val="TableContents"/>
              <w:spacing w:before="0" w:after="0"/>
              <w:ind w:left="225" w:right="0" w:hanging="225"/>
              <w:rPr/>
            </w:pPr>
            <w:r>
              <w:rPr/>
              <w:t>Other</w:t>
            </w:r>
          </w:p>
        </w:tc>
        <w:tc>
          <w:tcPr>
            <w:tcW w:w="39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57" w:type="dxa"/>
            <w:tcBorders/>
            <w:shd w:fill="auto" w:val="clear"/>
            <w:vAlign w:val="bottom"/>
          </w:tcPr>
          <w:p>
            <w:pPr>
              <w:pStyle w:val="TableContents"/>
              <w:spacing w:before="0" w:after="283"/>
              <w:jc w:val="right"/>
              <w:rPr/>
            </w:pPr>
            <w:r>
              <w:rPr/>
              <w:t>20,090</w:t>
            </w:r>
          </w:p>
        </w:tc>
        <w:tc>
          <w:tcPr>
            <w:tcW w:w="114"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19,802</w:t>
            </w:r>
          </w:p>
        </w:tc>
        <w:tc>
          <w:tcPr>
            <w:tcW w:w="119" w:type="dxa"/>
            <w:tcBorders/>
            <w:shd w:fill="auto" w:val="clear"/>
            <w:vAlign w:val="bottom"/>
          </w:tcPr>
          <w:p>
            <w:pPr>
              <w:pStyle w:val="TableContents"/>
              <w:spacing w:before="0" w:after="283"/>
              <w:rPr/>
            </w:pPr>
            <w:r>
              <w:rPr/>
              <w:t> </w:t>
            </w:r>
          </w:p>
        </w:tc>
      </w:tr>
      <w:tr>
        <w:trPr/>
        <w:tc>
          <w:tcPr>
            <w:tcW w:w="6248" w:type="dxa"/>
            <w:tcBorders/>
            <w:shd w:fill="auto" w:val="clear"/>
            <w:vAlign w:val="center"/>
          </w:tcPr>
          <w:p>
            <w:pPr>
              <w:pStyle w:val="TableContents"/>
              <w:spacing w:before="0" w:after="0"/>
              <w:ind w:left="225" w:right="0" w:hanging="225"/>
              <w:rPr/>
            </w:pPr>
            <w:r>
              <w:rPr/>
              <w:t> </w:t>
            </w:r>
          </w:p>
        </w:tc>
        <w:tc>
          <w:tcPr>
            <w:tcW w:w="399" w:type="dxa"/>
            <w:tcBorders/>
            <w:shd w:fill="auto" w:val="clear"/>
            <w:vAlign w:val="center"/>
          </w:tcPr>
          <w:p>
            <w:pPr>
              <w:pStyle w:val="TableContents"/>
              <w:spacing w:before="0" w:after="283"/>
              <w:rPr/>
            </w:pPr>
            <w:r>
              <w:rPr/>
              <w:t> </w:t>
            </w:r>
          </w:p>
        </w:tc>
        <w:tc>
          <w:tcPr>
            <w:tcW w:w="14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4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248" w:type="dxa"/>
            <w:tcBorders/>
            <w:shd w:fill="CCEEFF" w:val="clear"/>
            <w:vAlign w:val="bottom"/>
          </w:tcPr>
          <w:p>
            <w:pPr>
              <w:pStyle w:val="TableContents"/>
              <w:spacing w:before="0" w:after="0"/>
              <w:ind w:left="225" w:right="0" w:hanging="225"/>
              <w:rPr/>
            </w:pPr>
            <w:r>
              <w:rPr/>
              <w:t>Total other current liabilities</w:t>
            </w:r>
          </w:p>
        </w:tc>
        <w:tc>
          <w:tcPr>
            <w:tcW w:w="39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1257" w:type="dxa"/>
            <w:tcBorders/>
            <w:shd w:fill="CCEEFF" w:val="clear"/>
            <w:vAlign w:val="bottom"/>
          </w:tcPr>
          <w:p>
            <w:pPr>
              <w:pStyle w:val="TableContents"/>
              <w:spacing w:before="0" w:after="283"/>
              <w:jc w:val="right"/>
              <w:rPr/>
            </w:pPr>
            <w:r>
              <w:rPr/>
              <w:t>104,396</w:t>
            </w:r>
          </w:p>
        </w:tc>
        <w:tc>
          <w:tcPr>
            <w:tcW w:w="114"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w:t>
            </w:r>
          </w:p>
        </w:tc>
        <w:tc>
          <w:tcPr>
            <w:tcW w:w="1220" w:type="dxa"/>
            <w:tcBorders/>
            <w:shd w:fill="CCEEFF" w:val="clear"/>
            <w:vAlign w:val="bottom"/>
          </w:tcPr>
          <w:p>
            <w:pPr>
              <w:pStyle w:val="TableContents"/>
              <w:spacing w:before="0" w:after="283"/>
              <w:jc w:val="right"/>
              <w:rPr/>
            </w:pPr>
            <w:r>
              <w:rPr/>
              <w:t>131,498</w:t>
            </w:r>
          </w:p>
        </w:tc>
        <w:tc>
          <w:tcPr>
            <w:tcW w:w="119" w:type="dxa"/>
            <w:tcBorders/>
            <w:shd w:fill="CCEEFF" w:val="clear"/>
            <w:vAlign w:val="bottom"/>
          </w:tcPr>
          <w:p>
            <w:pPr>
              <w:pStyle w:val="TableContents"/>
              <w:spacing w:before="0" w:after="283"/>
              <w:rPr/>
            </w:pPr>
            <w:r>
              <w:rPr/>
              <w:t> </w:t>
            </w:r>
          </w:p>
        </w:tc>
      </w:tr>
      <w:tr>
        <w:trPr/>
        <w:tc>
          <w:tcPr>
            <w:tcW w:w="6248" w:type="dxa"/>
            <w:tcBorders/>
            <w:shd w:fill="auto" w:val="clear"/>
            <w:vAlign w:val="center"/>
          </w:tcPr>
          <w:p>
            <w:pPr>
              <w:pStyle w:val="TableContents"/>
              <w:spacing w:before="0" w:after="0"/>
              <w:ind w:left="225" w:right="0" w:hanging="225"/>
              <w:rPr/>
            </w:pPr>
            <w:r>
              <w:rPr/>
              <w:t> </w:t>
            </w:r>
          </w:p>
        </w:tc>
        <w:tc>
          <w:tcPr>
            <w:tcW w:w="399" w:type="dxa"/>
            <w:tcBorders/>
            <w:shd w:fill="auto" w:val="clear"/>
            <w:vAlign w:val="center"/>
          </w:tcPr>
          <w:p>
            <w:pPr>
              <w:pStyle w:val="TableContents"/>
              <w:spacing w:before="0" w:after="283"/>
              <w:rPr/>
            </w:pPr>
            <w:r>
              <w:rPr/>
              <w:t> </w:t>
            </w:r>
          </w:p>
        </w:tc>
        <w:tc>
          <w:tcPr>
            <w:tcW w:w="14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4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a discussion of accrued income taxes and liabilities associated with previously sold operations, see Notes 11 and 14,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Page 11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Other deferred items and insurance liabilities consisted of the following: </w:t>
      </w:r>
    </w:p>
    <w:tbl>
      <w:tblPr>
        <w:tblW w:w="5000" w:type="pct"/>
        <w:jc w:val="center"/>
        <w:tblInd w:w="0" w:type="dxa"/>
        <w:tblCellMar>
          <w:top w:w="0" w:type="dxa"/>
          <w:left w:w="0" w:type="dxa"/>
          <w:bottom w:w="0" w:type="dxa"/>
          <w:right w:w="0" w:type="dxa"/>
        </w:tblCellMar>
      </w:tblPr>
      <w:tblGrid>
        <w:gridCol w:w="6217"/>
        <w:gridCol w:w="405"/>
        <w:gridCol w:w="252"/>
        <w:gridCol w:w="1240"/>
        <w:gridCol w:w="115"/>
        <w:gridCol w:w="405"/>
        <w:gridCol w:w="245"/>
        <w:gridCol w:w="1205"/>
        <w:gridCol w:w="121"/>
      </w:tblGrid>
      <w:tr>
        <w:trPr/>
        <w:tc>
          <w:tcPr>
            <w:tcW w:w="621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621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492" w:type="dxa"/>
            <w:gridSpan w:val="2"/>
            <w:tcBorders/>
            <w:shd w:fill="auto" w:val="clear"/>
            <w:vAlign w:val="bottom"/>
          </w:tcPr>
          <w:p>
            <w:pPr>
              <w:pStyle w:val="TableContents"/>
              <w:spacing w:before="0" w:after="283"/>
              <w:jc w:val="center"/>
              <w:rPr>
                <w:b/>
              </w:rPr>
            </w:pPr>
            <w:r>
              <w:rPr>
                <w:b/>
              </w:rPr>
              <w:t>September 30,</w:t>
            </w:r>
          </w:p>
        </w:tc>
        <w:tc>
          <w:tcPr>
            <w:tcW w:w="115"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450" w:type="dxa"/>
            <w:gridSpan w:val="2"/>
            <w:tcBorders/>
            <w:shd w:fill="auto" w:val="clear"/>
            <w:vAlign w:val="bottom"/>
          </w:tcPr>
          <w:p>
            <w:pPr>
              <w:pStyle w:val="TableContents"/>
              <w:spacing w:before="0" w:after="283"/>
              <w:jc w:val="center"/>
              <w:rPr>
                <w:b/>
              </w:rPr>
            </w:pPr>
            <w:r>
              <w:rPr>
                <w:b/>
              </w:rPr>
              <w:t>December 31,</w:t>
            </w:r>
          </w:p>
        </w:tc>
        <w:tc>
          <w:tcPr>
            <w:tcW w:w="121" w:type="dxa"/>
            <w:tcBorders/>
            <w:shd w:fill="auto" w:val="clear"/>
            <w:vAlign w:val="bottom"/>
          </w:tcPr>
          <w:p>
            <w:pPr>
              <w:pStyle w:val="TableContents"/>
              <w:spacing w:before="0" w:after="283"/>
              <w:rPr/>
            </w:pPr>
            <w:r>
              <w:rPr/>
              <w:t> </w:t>
            </w:r>
          </w:p>
        </w:tc>
      </w:tr>
      <w:tr>
        <w:trPr/>
        <w:tc>
          <w:tcPr>
            <w:tcW w:w="621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49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5"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4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1" w:type="dxa"/>
            <w:tcBorders/>
            <w:shd w:fill="auto" w:val="clear"/>
            <w:vAlign w:val="bottom"/>
          </w:tcPr>
          <w:p>
            <w:pPr>
              <w:pStyle w:val="TableContents"/>
              <w:spacing w:before="0" w:after="283"/>
              <w:rPr/>
            </w:pPr>
            <w:r>
              <w:rPr/>
              <w:t> </w:t>
            </w:r>
          </w:p>
        </w:tc>
      </w:tr>
      <w:tr>
        <w:trPr/>
        <w:tc>
          <w:tcPr>
            <w:tcW w:w="621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3462" w:type="dxa"/>
            <w:gridSpan w:val="6"/>
            <w:tcBorders/>
            <w:shd w:fill="auto" w:val="clear"/>
            <w:vAlign w:val="bottom"/>
          </w:tcPr>
          <w:p>
            <w:pPr>
              <w:pStyle w:val="TableContents"/>
              <w:spacing w:before="0" w:after="283"/>
              <w:jc w:val="center"/>
              <w:rPr>
                <w:b/>
              </w:rPr>
            </w:pPr>
            <w:r>
              <w:rPr>
                <w:b/>
              </w:rPr>
              <w:t>(in thousands)</w:t>
            </w:r>
          </w:p>
        </w:tc>
        <w:tc>
          <w:tcPr>
            <w:tcW w:w="121" w:type="dxa"/>
            <w:tcBorders/>
            <w:shd w:fill="auto" w:val="clear"/>
            <w:vAlign w:val="bottom"/>
          </w:tcPr>
          <w:p>
            <w:pPr>
              <w:pStyle w:val="TableContents"/>
              <w:spacing w:before="0" w:after="283"/>
              <w:rPr/>
            </w:pPr>
            <w:r>
              <w:rPr/>
              <w:t> </w:t>
            </w:r>
          </w:p>
        </w:tc>
      </w:tr>
      <w:tr>
        <w:trPr/>
        <w:tc>
          <w:tcPr>
            <w:tcW w:w="6217" w:type="dxa"/>
            <w:tcBorders/>
            <w:shd w:fill="CCEEFF" w:val="clear"/>
            <w:vAlign w:val="bottom"/>
          </w:tcPr>
          <w:p>
            <w:pPr>
              <w:pStyle w:val="TableContents"/>
              <w:spacing w:before="0" w:after="0"/>
              <w:ind w:left="225" w:right="0" w:hanging="225"/>
              <w:rPr/>
            </w:pPr>
            <w:r>
              <w:rPr/>
              <w:t>Self-insured liability accrual</w:t>
            </w:r>
          </w:p>
        </w:tc>
        <w:tc>
          <w:tcPr>
            <w:tcW w:w="40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jc w:val="left"/>
              <w:rPr/>
            </w:pPr>
            <w:r>
              <w:rPr/>
              <w:t>$</w:t>
            </w:r>
          </w:p>
        </w:tc>
        <w:tc>
          <w:tcPr>
            <w:tcW w:w="1240" w:type="dxa"/>
            <w:tcBorders/>
            <w:shd w:fill="CCEEFF" w:val="clear"/>
            <w:vAlign w:val="bottom"/>
          </w:tcPr>
          <w:p>
            <w:pPr>
              <w:pStyle w:val="TableContents"/>
              <w:spacing w:before="0" w:after="283"/>
              <w:jc w:val="right"/>
              <w:rPr/>
            </w:pPr>
            <w:r>
              <w:rPr/>
              <w:t>24,932</w:t>
            </w:r>
          </w:p>
        </w:tc>
        <w:tc>
          <w:tcPr>
            <w:tcW w:w="115"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left"/>
              <w:rPr/>
            </w:pPr>
            <w:r>
              <w:rPr/>
              <w:t>$</w:t>
            </w:r>
          </w:p>
        </w:tc>
        <w:tc>
          <w:tcPr>
            <w:tcW w:w="1205" w:type="dxa"/>
            <w:tcBorders/>
            <w:shd w:fill="CCEEFF" w:val="clear"/>
            <w:vAlign w:val="bottom"/>
          </w:tcPr>
          <w:p>
            <w:pPr>
              <w:pStyle w:val="TableContents"/>
              <w:spacing w:before="0" w:after="283"/>
              <w:jc w:val="right"/>
              <w:rPr/>
            </w:pPr>
            <w:r>
              <w:rPr/>
              <w:t>25,882</w:t>
            </w:r>
          </w:p>
        </w:tc>
        <w:tc>
          <w:tcPr>
            <w:tcW w:w="121" w:type="dxa"/>
            <w:tcBorders/>
            <w:shd w:fill="CCEEFF" w:val="clear"/>
            <w:vAlign w:val="bottom"/>
          </w:tcPr>
          <w:p>
            <w:pPr>
              <w:pStyle w:val="TableContents"/>
              <w:spacing w:before="0" w:after="283"/>
              <w:rPr/>
            </w:pPr>
            <w:r>
              <w:rPr/>
              <w:t> </w:t>
            </w:r>
          </w:p>
        </w:tc>
      </w:tr>
      <w:tr>
        <w:trPr/>
        <w:tc>
          <w:tcPr>
            <w:tcW w:w="6217" w:type="dxa"/>
            <w:tcBorders/>
            <w:shd w:fill="auto" w:val="clear"/>
            <w:vAlign w:val="bottom"/>
          </w:tcPr>
          <w:p>
            <w:pPr>
              <w:pStyle w:val="TableContents"/>
              <w:spacing w:before="0" w:after="0"/>
              <w:ind w:left="225" w:right="0" w:hanging="225"/>
              <w:rPr/>
            </w:pPr>
            <w:r>
              <w:rPr/>
              <w:t>Liabilities associated with previously sold operations</w:t>
            </w:r>
          </w:p>
        </w:tc>
        <w:tc>
          <w:tcPr>
            <w:tcW w:w="40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12,720</w:t>
            </w:r>
          </w:p>
        </w:tc>
        <w:tc>
          <w:tcPr>
            <w:tcW w:w="115"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jc w:val="right"/>
              <w:rPr/>
            </w:pPr>
            <w:r>
              <w:rPr/>
              <w:t>14,081</w:t>
            </w:r>
          </w:p>
        </w:tc>
        <w:tc>
          <w:tcPr>
            <w:tcW w:w="121" w:type="dxa"/>
            <w:tcBorders/>
            <w:shd w:fill="auto" w:val="clear"/>
            <w:vAlign w:val="bottom"/>
          </w:tcPr>
          <w:p>
            <w:pPr>
              <w:pStyle w:val="TableContents"/>
              <w:spacing w:before="0" w:after="283"/>
              <w:rPr/>
            </w:pPr>
            <w:r>
              <w:rPr/>
              <w:t> </w:t>
            </w:r>
          </w:p>
        </w:tc>
      </w:tr>
      <w:tr>
        <w:trPr/>
        <w:tc>
          <w:tcPr>
            <w:tcW w:w="6217" w:type="dxa"/>
            <w:tcBorders/>
            <w:shd w:fill="CCEEFF" w:val="clear"/>
            <w:vAlign w:val="bottom"/>
          </w:tcPr>
          <w:p>
            <w:pPr>
              <w:pStyle w:val="TableContents"/>
              <w:spacing w:before="0" w:after="0"/>
              <w:ind w:left="225" w:right="0" w:hanging="225"/>
              <w:rPr/>
            </w:pPr>
            <w:r>
              <w:rPr/>
              <w:t>Accrued restructuring</w:t>
            </w:r>
          </w:p>
        </w:tc>
        <w:tc>
          <w:tcPr>
            <w:tcW w:w="40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pPr>
            <w:r>
              <w:rPr/>
              <w:t>7,188</w:t>
            </w:r>
          </w:p>
        </w:tc>
        <w:tc>
          <w:tcPr>
            <w:tcW w:w="115"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1205" w:type="dxa"/>
            <w:tcBorders/>
            <w:shd w:fill="CCEEFF" w:val="clear"/>
            <w:vAlign w:val="bottom"/>
          </w:tcPr>
          <w:p>
            <w:pPr>
              <w:pStyle w:val="TableContents"/>
              <w:spacing w:before="0" w:after="283"/>
              <w:jc w:val="right"/>
              <w:rPr/>
            </w:pPr>
            <w:r>
              <w:rPr/>
              <w:t>8,825</w:t>
            </w:r>
          </w:p>
        </w:tc>
        <w:tc>
          <w:tcPr>
            <w:tcW w:w="121" w:type="dxa"/>
            <w:tcBorders/>
            <w:shd w:fill="CCEEFF" w:val="clear"/>
            <w:vAlign w:val="bottom"/>
          </w:tcPr>
          <w:p>
            <w:pPr>
              <w:pStyle w:val="TableContents"/>
              <w:spacing w:before="0" w:after="283"/>
              <w:rPr/>
            </w:pPr>
            <w:r>
              <w:rPr/>
              <w:t> </w:t>
            </w:r>
          </w:p>
        </w:tc>
      </w:tr>
      <w:tr>
        <w:trPr/>
        <w:tc>
          <w:tcPr>
            <w:tcW w:w="6217" w:type="dxa"/>
            <w:tcBorders/>
            <w:shd w:fill="auto" w:val="clear"/>
            <w:vAlign w:val="bottom"/>
          </w:tcPr>
          <w:p>
            <w:pPr>
              <w:pStyle w:val="TableContents"/>
              <w:spacing w:before="0" w:after="0"/>
              <w:ind w:left="225" w:right="0" w:hanging="225"/>
              <w:rPr/>
            </w:pPr>
            <w:r>
              <w:rPr/>
              <w:t>Foreign deferred tax liability</w:t>
            </w:r>
          </w:p>
        </w:tc>
        <w:tc>
          <w:tcPr>
            <w:tcW w:w="40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5,781</w:t>
            </w:r>
          </w:p>
        </w:tc>
        <w:tc>
          <w:tcPr>
            <w:tcW w:w="115"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jc w:val="right"/>
              <w:rPr/>
            </w:pPr>
            <w:r>
              <w:rPr/>
              <w:t>5,468</w:t>
            </w:r>
          </w:p>
        </w:tc>
        <w:tc>
          <w:tcPr>
            <w:tcW w:w="121" w:type="dxa"/>
            <w:tcBorders/>
            <w:shd w:fill="auto" w:val="clear"/>
            <w:vAlign w:val="bottom"/>
          </w:tcPr>
          <w:p>
            <w:pPr>
              <w:pStyle w:val="TableContents"/>
              <w:spacing w:before="0" w:after="283"/>
              <w:rPr/>
            </w:pPr>
            <w:r>
              <w:rPr/>
              <w:t> </w:t>
            </w:r>
          </w:p>
        </w:tc>
      </w:tr>
      <w:tr>
        <w:trPr/>
        <w:tc>
          <w:tcPr>
            <w:tcW w:w="6217" w:type="dxa"/>
            <w:tcBorders/>
            <w:shd w:fill="CCEEFF" w:val="clear"/>
            <w:vAlign w:val="bottom"/>
          </w:tcPr>
          <w:p>
            <w:pPr>
              <w:pStyle w:val="TableContents"/>
              <w:spacing w:before="0" w:after="0"/>
              <w:ind w:left="225" w:right="0" w:hanging="225"/>
              <w:rPr/>
            </w:pPr>
            <w:r>
              <w:rPr/>
              <w:t>Deferred gain on sale of property</w:t>
            </w:r>
          </w:p>
        </w:tc>
        <w:tc>
          <w:tcPr>
            <w:tcW w:w="40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pPr>
            <w:r>
              <w:rPr/>
              <w:t>3,785</w:t>
            </w:r>
          </w:p>
        </w:tc>
        <w:tc>
          <w:tcPr>
            <w:tcW w:w="115"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1205" w:type="dxa"/>
            <w:tcBorders/>
            <w:shd w:fill="CCEEFF" w:val="clear"/>
            <w:vAlign w:val="bottom"/>
          </w:tcPr>
          <w:p>
            <w:pPr>
              <w:pStyle w:val="TableContents"/>
              <w:spacing w:before="0" w:after="283"/>
              <w:jc w:val="right"/>
              <w:rPr/>
            </w:pPr>
            <w:r>
              <w:rPr/>
              <w:t>4,510</w:t>
            </w:r>
          </w:p>
        </w:tc>
        <w:tc>
          <w:tcPr>
            <w:tcW w:w="121" w:type="dxa"/>
            <w:tcBorders/>
            <w:shd w:fill="CCEEFF" w:val="clear"/>
            <w:vAlign w:val="bottom"/>
          </w:tcPr>
          <w:p>
            <w:pPr>
              <w:pStyle w:val="TableContents"/>
              <w:spacing w:before="0" w:after="283"/>
              <w:rPr/>
            </w:pPr>
            <w:r>
              <w:rPr/>
              <w:t> </w:t>
            </w:r>
          </w:p>
        </w:tc>
      </w:tr>
      <w:tr>
        <w:trPr/>
        <w:tc>
          <w:tcPr>
            <w:tcW w:w="6217" w:type="dxa"/>
            <w:tcBorders/>
            <w:shd w:fill="auto" w:val="clear"/>
            <w:vAlign w:val="bottom"/>
          </w:tcPr>
          <w:p>
            <w:pPr>
              <w:pStyle w:val="TableContents"/>
              <w:spacing w:before="0" w:after="0"/>
              <w:ind w:left="225" w:right="0" w:hanging="225"/>
              <w:rPr/>
            </w:pPr>
            <w:r>
              <w:rPr/>
              <w:t>Other</w:t>
            </w:r>
          </w:p>
        </w:tc>
        <w:tc>
          <w:tcPr>
            <w:tcW w:w="40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15,134</w:t>
            </w:r>
          </w:p>
        </w:tc>
        <w:tc>
          <w:tcPr>
            <w:tcW w:w="115"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jc w:val="right"/>
              <w:rPr/>
            </w:pPr>
            <w:r>
              <w:rPr/>
              <w:t>12,823</w:t>
            </w:r>
          </w:p>
        </w:tc>
        <w:tc>
          <w:tcPr>
            <w:tcW w:w="121" w:type="dxa"/>
            <w:tcBorders/>
            <w:shd w:fill="auto" w:val="clear"/>
            <w:vAlign w:val="bottom"/>
          </w:tcPr>
          <w:p>
            <w:pPr>
              <w:pStyle w:val="TableContents"/>
              <w:spacing w:before="0" w:after="283"/>
              <w:rPr/>
            </w:pPr>
            <w:r>
              <w:rPr/>
              <w:t> </w:t>
            </w:r>
          </w:p>
        </w:tc>
      </w:tr>
      <w:tr>
        <w:trPr/>
        <w:tc>
          <w:tcPr>
            <w:tcW w:w="6217"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4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4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6217" w:type="dxa"/>
            <w:tcBorders/>
            <w:shd w:fill="CCEEFF" w:val="clear"/>
            <w:vAlign w:val="bottom"/>
          </w:tcPr>
          <w:p>
            <w:pPr>
              <w:pStyle w:val="TableContents"/>
              <w:spacing w:before="0" w:after="0"/>
              <w:ind w:left="225" w:right="0" w:hanging="225"/>
              <w:rPr/>
            </w:pPr>
            <w:r>
              <w:rPr/>
              <w:t>Total other deferred items and insurance liabilities</w:t>
            </w:r>
          </w:p>
        </w:tc>
        <w:tc>
          <w:tcPr>
            <w:tcW w:w="40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jc w:val="left"/>
              <w:rPr/>
            </w:pPr>
            <w:r>
              <w:rPr/>
              <w:t>$</w:t>
            </w:r>
          </w:p>
        </w:tc>
        <w:tc>
          <w:tcPr>
            <w:tcW w:w="1240" w:type="dxa"/>
            <w:tcBorders/>
            <w:shd w:fill="CCEEFF" w:val="clear"/>
            <w:vAlign w:val="bottom"/>
          </w:tcPr>
          <w:p>
            <w:pPr>
              <w:pStyle w:val="TableContents"/>
              <w:spacing w:before="0" w:after="283"/>
              <w:jc w:val="right"/>
              <w:rPr/>
            </w:pPr>
            <w:r>
              <w:rPr/>
              <w:t>69,540</w:t>
            </w:r>
          </w:p>
        </w:tc>
        <w:tc>
          <w:tcPr>
            <w:tcW w:w="115"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left"/>
              <w:rPr/>
            </w:pPr>
            <w:r>
              <w:rPr/>
              <w:t>$</w:t>
            </w:r>
          </w:p>
        </w:tc>
        <w:tc>
          <w:tcPr>
            <w:tcW w:w="1205" w:type="dxa"/>
            <w:tcBorders/>
            <w:shd w:fill="CCEEFF" w:val="clear"/>
            <w:vAlign w:val="bottom"/>
          </w:tcPr>
          <w:p>
            <w:pPr>
              <w:pStyle w:val="TableContents"/>
              <w:spacing w:before="0" w:after="283"/>
              <w:jc w:val="right"/>
              <w:rPr/>
            </w:pPr>
            <w:r>
              <w:rPr/>
              <w:t>71,589</w:t>
            </w:r>
          </w:p>
        </w:tc>
        <w:tc>
          <w:tcPr>
            <w:tcW w:w="121" w:type="dxa"/>
            <w:tcBorders/>
            <w:shd w:fill="CCEEFF" w:val="clear"/>
            <w:vAlign w:val="bottom"/>
          </w:tcPr>
          <w:p>
            <w:pPr>
              <w:pStyle w:val="TableContents"/>
              <w:spacing w:before="0" w:after="283"/>
              <w:rPr/>
            </w:pPr>
            <w:r>
              <w:rPr/>
              <w:t> </w:t>
            </w:r>
          </w:p>
        </w:tc>
      </w:tr>
      <w:tr>
        <w:trPr/>
        <w:tc>
          <w:tcPr>
            <w:tcW w:w="6217"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4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4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9. Debt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of September 30, 2006, Viads total debt of $15.3 million consisted of $4.9 million of capital lease obligations and a $10.4 million borrowing under the Companys secured revolving credit agreement (the Credit Facility) which was amended June 15, 2006. The Credit Facility amends and restates the Companys previous $150 million credit agreement dated June 30, 2004 and provides for a $150 million revolving line of credit, which may be increased up to an additional $75 million under certain circumstances. The term of the Credit Facility is five years (expiring on June 15, 2011) and borrowings are to be used for general corporate purposes (including permitted acquisitions) and to support up to $75 million of letters of credit. The lenders have a first perfected security interest in all of the personal property of Viad and GES, including 65 percent of the capital stock of top-tier foreign subsidiaries. </w:t>
      </w:r>
    </w:p>
    <w:p>
      <w:pPr>
        <w:pStyle w:val="TextBody"/>
        <w:spacing w:before="120" w:after="283"/>
        <w:jc w:val="left"/>
        <w:rPr/>
      </w:pPr>
      <w:r>
        <w:rPr/>
        <w:t>     </w:t>
      </w:r>
      <w:r>
        <w:rPr>
          <w:rFonts w:ascii="Times New Roman;Times;serif" w:hAnsi="Times New Roman;Times;serif"/>
          <w:sz w:val="17"/>
        </w:rPr>
        <w:t xml:space="preserve">Borrowings under the Credit Facility (of which GES is a guarantor) are indexed to the prime rate or the London Interbank Offering Rate, plus appropriate spreads tied to Viads leverage ratio. Commitment fees and letters of credit fees are also tied to Viads leverage ratio. Financial covenants include a minimum consolidated net worth requirement of not less than $344.6 million plus 50 percent of positive quarterly net income earned in each fiscal quarter beginning with the quarter ended September 30, 2006, a fixed-charge coverage ratio of not less than 1.25 to 1 and a leverage ratio of not greater than 2.75 to 1. Significant other covenants include limitations on: investments, common stock dividends, stock repurchases, additional indebtedness, sales/leases of assets, acquisitions, consolidations or mergers and liens on property. As of September 30, 2006, Viad was in compliance with all covenants. </w:t>
      </w:r>
    </w:p>
    <w:p>
      <w:pPr>
        <w:pStyle w:val="TextBody"/>
        <w:spacing w:before="120" w:after="283"/>
        <w:jc w:val="left"/>
        <w:rPr/>
      </w:pPr>
      <w:r>
        <w:rPr/>
        <w:t>     </w:t>
      </w:r>
      <w:r>
        <w:rPr>
          <w:rFonts w:ascii="Times New Roman;Times;serif" w:hAnsi="Times New Roman;Times;serif"/>
          <w:sz w:val="17"/>
        </w:rPr>
        <w:t xml:space="preserve">In May 2006, Viad repaid its 10.5 percent subordinated debentures outstanding of $1.3 million pursuant to their scheduled maturity.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10. Income Per Share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reconciliation of the numerators and denominators of diluted and basic per share computations for income from continuing operations is as follows: </w:t>
      </w:r>
    </w:p>
    <w:tbl>
      <w:tblPr>
        <w:tblW w:w="5000" w:type="pct"/>
        <w:jc w:val="center"/>
        <w:tblInd w:w="0" w:type="dxa"/>
        <w:tblCellMar>
          <w:top w:w="0" w:type="dxa"/>
          <w:left w:w="0" w:type="dxa"/>
          <w:bottom w:w="0" w:type="dxa"/>
          <w:right w:w="0" w:type="dxa"/>
        </w:tblCellMar>
      </w:tblPr>
      <w:tblGrid>
        <w:gridCol w:w="3011"/>
        <w:gridCol w:w="249"/>
        <w:gridCol w:w="186"/>
        <w:gridCol w:w="912"/>
        <w:gridCol w:w="102"/>
        <w:gridCol w:w="260"/>
        <w:gridCol w:w="310"/>
        <w:gridCol w:w="1522"/>
        <w:gridCol w:w="135"/>
        <w:gridCol w:w="293"/>
        <w:gridCol w:w="292"/>
        <w:gridCol w:w="1435"/>
        <w:gridCol w:w="97"/>
        <w:gridCol w:w="254"/>
        <w:gridCol w:w="176"/>
        <w:gridCol w:w="870"/>
        <w:gridCol w:w="101"/>
      </w:tblGrid>
      <w:tr>
        <w:trPr/>
        <w:tc>
          <w:tcPr>
            <w:tcW w:w="3011"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12"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22"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35"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3011"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3292" w:type="dxa"/>
            <w:gridSpan w:val="6"/>
            <w:tcBorders/>
            <w:shd w:fill="auto" w:val="clear"/>
            <w:vAlign w:val="bottom"/>
          </w:tcPr>
          <w:p>
            <w:pPr>
              <w:pStyle w:val="TableContents"/>
              <w:spacing w:before="0" w:after="283"/>
              <w:jc w:val="center"/>
              <w:rPr>
                <w:b/>
              </w:rPr>
            </w:pPr>
            <w:r>
              <w:rPr>
                <w:b/>
              </w:rPr>
              <w:t>Three months ended</w:t>
            </w:r>
          </w:p>
        </w:tc>
        <w:tc>
          <w:tcPr>
            <w:tcW w:w="13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3124" w:type="dxa"/>
            <w:gridSpan w:val="6"/>
            <w:tcBorders/>
            <w:shd w:fill="auto" w:val="clear"/>
            <w:vAlign w:val="bottom"/>
          </w:tcPr>
          <w:p>
            <w:pPr>
              <w:pStyle w:val="TableContents"/>
              <w:spacing w:before="0" w:after="283"/>
              <w:jc w:val="center"/>
              <w:rPr>
                <w:b/>
              </w:rPr>
            </w:pPr>
            <w:r>
              <w:rPr>
                <w:b/>
              </w:rPr>
              <w:t>Nine months ended</w:t>
            </w:r>
          </w:p>
        </w:tc>
        <w:tc>
          <w:tcPr>
            <w:tcW w:w="101" w:type="dxa"/>
            <w:tcBorders/>
            <w:shd w:fill="auto" w:val="clear"/>
            <w:vAlign w:val="bottom"/>
          </w:tcPr>
          <w:p>
            <w:pPr>
              <w:pStyle w:val="TableContents"/>
              <w:spacing w:before="0" w:after="283"/>
              <w:rPr/>
            </w:pPr>
            <w:r>
              <w:rPr/>
              <w:t> </w:t>
            </w:r>
          </w:p>
        </w:tc>
      </w:tr>
      <w:tr>
        <w:trPr/>
        <w:tc>
          <w:tcPr>
            <w:tcW w:w="3011"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3292"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w:t>
            </w:r>
          </w:p>
        </w:tc>
        <w:tc>
          <w:tcPr>
            <w:tcW w:w="13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3124"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w:t>
            </w:r>
          </w:p>
        </w:tc>
        <w:tc>
          <w:tcPr>
            <w:tcW w:w="101" w:type="dxa"/>
            <w:tcBorders/>
            <w:shd w:fill="auto" w:val="clear"/>
            <w:vAlign w:val="bottom"/>
          </w:tcPr>
          <w:p>
            <w:pPr>
              <w:pStyle w:val="TableContents"/>
              <w:spacing w:before="0" w:after="283"/>
              <w:rPr/>
            </w:pPr>
            <w:r>
              <w:rPr/>
              <w:t> </w:t>
            </w:r>
          </w:p>
        </w:tc>
      </w:tr>
      <w:tr>
        <w:trPr/>
        <w:tc>
          <w:tcPr>
            <w:tcW w:w="3011"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09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83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72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9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04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01" w:type="dxa"/>
            <w:tcBorders/>
            <w:shd w:fill="auto" w:val="clear"/>
            <w:vAlign w:val="bottom"/>
          </w:tcPr>
          <w:p>
            <w:pPr>
              <w:pStyle w:val="TableContents"/>
              <w:spacing w:before="0" w:after="283"/>
              <w:rPr/>
            </w:pPr>
            <w:r>
              <w:rPr/>
              <w:t> </w:t>
            </w:r>
          </w:p>
        </w:tc>
      </w:tr>
      <w:tr>
        <w:trPr/>
        <w:tc>
          <w:tcPr>
            <w:tcW w:w="3011"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12"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987" w:type="dxa"/>
            <w:gridSpan w:val="6"/>
            <w:tcBorders/>
            <w:shd w:fill="auto" w:val="clear"/>
            <w:vAlign w:val="bottom"/>
          </w:tcPr>
          <w:p>
            <w:pPr>
              <w:pStyle w:val="TableContents"/>
              <w:spacing w:before="0" w:after="283"/>
              <w:jc w:val="center"/>
              <w:rPr>
                <w:b/>
              </w:rPr>
            </w:pPr>
            <w:r>
              <w:rPr>
                <w:b/>
              </w:rPr>
              <w:t>(in thousands, except per share data)</w:t>
            </w:r>
          </w:p>
        </w:tc>
        <w:tc>
          <w:tcPr>
            <w:tcW w:w="9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3011" w:type="dxa"/>
            <w:tcBorders/>
            <w:shd w:fill="CCEEFF" w:val="clear"/>
            <w:vAlign w:val="bottom"/>
          </w:tcPr>
          <w:p>
            <w:pPr>
              <w:pStyle w:val="TableContents"/>
              <w:spacing w:before="0" w:after="0"/>
              <w:ind w:left="225" w:right="0" w:hanging="225"/>
              <w:rPr/>
            </w:pPr>
            <w:r>
              <w:rPr/>
              <w:t>Income from continuing operations</w:t>
            </w:r>
          </w:p>
        </w:tc>
        <w:tc>
          <w:tcPr>
            <w:tcW w:w="24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jc w:val="left"/>
              <w:rPr/>
            </w:pPr>
            <w:r>
              <w:rPr/>
              <w:t>$</w:t>
            </w:r>
          </w:p>
        </w:tc>
        <w:tc>
          <w:tcPr>
            <w:tcW w:w="912" w:type="dxa"/>
            <w:tcBorders/>
            <w:shd w:fill="CCEEFF" w:val="clear"/>
            <w:vAlign w:val="bottom"/>
          </w:tcPr>
          <w:p>
            <w:pPr>
              <w:pStyle w:val="TableContents"/>
              <w:spacing w:before="0" w:after="283"/>
              <w:jc w:val="right"/>
              <w:rPr/>
            </w:pPr>
            <w:r>
              <w:rPr/>
              <w:t>22,023</w:t>
            </w:r>
          </w:p>
        </w:tc>
        <w:tc>
          <w:tcPr>
            <w:tcW w:w="10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jc w:val="left"/>
              <w:rPr/>
            </w:pPr>
            <w:r>
              <w:rPr/>
              <w:t>$</w:t>
            </w:r>
          </w:p>
        </w:tc>
        <w:tc>
          <w:tcPr>
            <w:tcW w:w="1522" w:type="dxa"/>
            <w:tcBorders/>
            <w:shd w:fill="CCEEFF" w:val="clear"/>
            <w:vAlign w:val="bottom"/>
          </w:tcPr>
          <w:p>
            <w:pPr>
              <w:pStyle w:val="TableContents"/>
              <w:spacing w:before="0" w:after="283"/>
              <w:jc w:val="right"/>
              <w:rPr/>
            </w:pPr>
            <w:r>
              <w:rPr/>
              <w:t>9,371</w:t>
            </w:r>
          </w:p>
        </w:tc>
        <w:tc>
          <w:tcPr>
            <w:tcW w:w="135"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w:t>
            </w:r>
          </w:p>
        </w:tc>
        <w:tc>
          <w:tcPr>
            <w:tcW w:w="1435" w:type="dxa"/>
            <w:tcBorders/>
            <w:shd w:fill="CCEEFF" w:val="clear"/>
            <w:vAlign w:val="bottom"/>
          </w:tcPr>
          <w:p>
            <w:pPr>
              <w:pStyle w:val="TableContents"/>
              <w:spacing w:before="0" w:after="283"/>
              <w:jc w:val="right"/>
              <w:rPr/>
            </w:pPr>
            <w:r>
              <w:rPr/>
              <w:t>54,363</w:t>
            </w:r>
          </w:p>
        </w:tc>
        <w:tc>
          <w:tcPr>
            <w:tcW w:w="9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870" w:type="dxa"/>
            <w:tcBorders/>
            <w:shd w:fill="CCEEFF" w:val="clear"/>
            <w:vAlign w:val="bottom"/>
          </w:tcPr>
          <w:p>
            <w:pPr>
              <w:pStyle w:val="TableContents"/>
              <w:spacing w:before="0" w:after="283"/>
              <w:jc w:val="right"/>
              <w:rPr/>
            </w:pPr>
            <w:r>
              <w:rPr/>
              <w:t>32,882</w:t>
            </w:r>
          </w:p>
        </w:tc>
        <w:tc>
          <w:tcPr>
            <w:tcW w:w="101" w:type="dxa"/>
            <w:tcBorders/>
            <w:shd w:fill="CCEEFF" w:val="clear"/>
            <w:vAlign w:val="bottom"/>
          </w:tcPr>
          <w:p>
            <w:pPr>
              <w:pStyle w:val="TableContents"/>
              <w:spacing w:before="0" w:after="283"/>
              <w:rPr/>
            </w:pPr>
            <w:r>
              <w:rPr/>
              <w:t> </w:t>
            </w:r>
          </w:p>
        </w:tc>
      </w:tr>
      <w:tr>
        <w:trPr/>
        <w:tc>
          <w:tcPr>
            <w:tcW w:w="3011" w:type="dxa"/>
            <w:tcBorders/>
            <w:shd w:fill="auto" w:val="clear"/>
            <w:vAlign w:val="center"/>
          </w:tcPr>
          <w:p>
            <w:pPr>
              <w:pStyle w:val="TableContents"/>
              <w:spacing w:before="0" w:after="0"/>
              <w:ind w:left="225" w:right="0" w:hanging="225"/>
              <w:rPr/>
            </w:pPr>
            <w:r>
              <w:rPr/>
              <w:t> </w:t>
            </w:r>
          </w:p>
        </w:tc>
        <w:tc>
          <w:tcPr>
            <w:tcW w:w="249" w:type="dxa"/>
            <w:tcBorders/>
            <w:shd w:fill="auto" w:val="clear"/>
            <w:vAlign w:val="center"/>
          </w:tcPr>
          <w:p>
            <w:pPr>
              <w:pStyle w:val="TableContents"/>
              <w:spacing w:before="0" w:after="283"/>
              <w:rPr/>
            </w:pPr>
            <w:r>
              <w:rPr/>
              <w:t> </w:t>
            </w:r>
          </w:p>
        </w:tc>
        <w:tc>
          <w:tcPr>
            <w:tcW w:w="10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18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7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0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3011" w:type="dxa"/>
            <w:tcBorders/>
            <w:shd w:fill="auto" w:val="clear"/>
            <w:vAlign w:val="bottom"/>
          </w:tcPr>
          <w:p>
            <w:pPr>
              <w:pStyle w:val="TableContents"/>
              <w:spacing w:before="0" w:after="0"/>
              <w:ind w:left="225" w:right="0" w:hanging="225"/>
              <w:rPr/>
            </w:pPr>
            <w:r>
              <w:rPr/>
              <w:t>Average outstanding common shares</w:t>
            </w:r>
          </w:p>
        </w:tc>
        <w:tc>
          <w:tcPr>
            <w:tcW w:w="24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12" w:type="dxa"/>
            <w:tcBorders/>
            <w:shd w:fill="auto" w:val="clear"/>
            <w:vAlign w:val="bottom"/>
          </w:tcPr>
          <w:p>
            <w:pPr>
              <w:pStyle w:val="TableContents"/>
              <w:spacing w:before="0" w:after="283"/>
              <w:jc w:val="right"/>
              <w:rPr/>
            </w:pPr>
            <w:r>
              <w:rPr/>
              <w:t>21,121</w:t>
            </w:r>
          </w:p>
        </w:tc>
        <w:tc>
          <w:tcPr>
            <w:tcW w:w="1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22" w:type="dxa"/>
            <w:tcBorders/>
            <w:shd w:fill="auto" w:val="clear"/>
            <w:vAlign w:val="bottom"/>
          </w:tcPr>
          <w:p>
            <w:pPr>
              <w:pStyle w:val="TableContents"/>
              <w:spacing w:before="0" w:after="283"/>
              <w:jc w:val="right"/>
              <w:rPr/>
            </w:pPr>
            <w:r>
              <w:rPr/>
              <w:t>22,135</w:t>
            </w:r>
          </w:p>
        </w:tc>
        <w:tc>
          <w:tcPr>
            <w:tcW w:w="13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35" w:type="dxa"/>
            <w:tcBorders/>
            <w:shd w:fill="auto" w:val="clear"/>
            <w:vAlign w:val="bottom"/>
          </w:tcPr>
          <w:p>
            <w:pPr>
              <w:pStyle w:val="TableContents"/>
              <w:spacing w:before="0" w:after="283"/>
              <w:jc w:val="right"/>
              <w:rPr/>
            </w:pPr>
            <w:r>
              <w:rPr/>
              <w:t>21,456</w:t>
            </w:r>
          </w:p>
        </w:tc>
        <w:tc>
          <w:tcPr>
            <w:tcW w:w="9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jc w:val="right"/>
              <w:rPr/>
            </w:pPr>
            <w:r>
              <w:rPr/>
              <w:t>22,028</w:t>
            </w:r>
          </w:p>
        </w:tc>
        <w:tc>
          <w:tcPr>
            <w:tcW w:w="101" w:type="dxa"/>
            <w:tcBorders/>
            <w:shd w:fill="auto" w:val="clear"/>
            <w:vAlign w:val="bottom"/>
          </w:tcPr>
          <w:p>
            <w:pPr>
              <w:pStyle w:val="TableContents"/>
              <w:spacing w:before="0" w:after="283"/>
              <w:rPr/>
            </w:pPr>
            <w:r>
              <w:rPr/>
              <w:t> </w:t>
            </w:r>
          </w:p>
        </w:tc>
      </w:tr>
      <w:tr>
        <w:trPr/>
        <w:tc>
          <w:tcPr>
            <w:tcW w:w="3011" w:type="dxa"/>
            <w:tcBorders/>
            <w:shd w:fill="CCEEFF" w:val="clear"/>
            <w:vAlign w:val="bottom"/>
          </w:tcPr>
          <w:p>
            <w:pPr>
              <w:pStyle w:val="TableContents"/>
              <w:spacing w:before="0" w:after="0"/>
              <w:ind w:left="225" w:right="0" w:hanging="225"/>
              <w:rPr/>
            </w:pPr>
            <w:r>
              <w:rPr/>
              <w:t>Additional dilutive shares related to share-based compensation</w:t>
            </w:r>
          </w:p>
        </w:tc>
        <w:tc>
          <w:tcPr>
            <w:tcW w:w="24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12" w:type="dxa"/>
            <w:tcBorders/>
            <w:shd w:fill="CCEEFF" w:val="clear"/>
            <w:vAlign w:val="bottom"/>
          </w:tcPr>
          <w:p>
            <w:pPr>
              <w:pStyle w:val="TableContents"/>
              <w:spacing w:before="0" w:after="283"/>
              <w:jc w:val="right"/>
              <w:rPr/>
            </w:pPr>
            <w:r>
              <w:rPr/>
              <w:t>303</w:t>
            </w:r>
          </w:p>
        </w:tc>
        <w:tc>
          <w:tcPr>
            <w:tcW w:w="10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22" w:type="dxa"/>
            <w:tcBorders/>
            <w:shd w:fill="CCEEFF" w:val="clear"/>
            <w:vAlign w:val="bottom"/>
          </w:tcPr>
          <w:p>
            <w:pPr>
              <w:pStyle w:val="TableContents"/>
              <w:spacing w:before="0" w:after="283"/>
              <w:jc w:val="right"/>
              <w:rPr/>
            </w:pPr>
            <w:r>
              <w:rPr/>
              <w:t>210</w:t>
            </w:r>
          </w:p>
        </w:tc>
        <w:tc>
          <w:tcPr>
            <w:tcW w:w="135"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435" w:type="dxa"/>
            <w:tcBorders/>
            <w:shd w:fill="CCEEFF" w:val="clear"/>
            <w:vAlign w:val="bottom"/>
          </w:tcPr>
          <w:p>
            <w:pPr>
              <w:pStyle w:val="TableContents"/>
              <w:spacing w:before="0" w:after="283"/>
              <w:jc w:val="right"/>
              <w:rPr/>
            </w:pPr>
            <w:r>
              <w:rPr/>
              <w:t>394</w:t>
            </w:r>
          </w:p>
        </w:tc>
        <w:tc>
          <w:tcPr>
            <w:tcW w:w="9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pPr>
            <w:r>
              <w:rPr/>
              <w:t>183</w:t>
            </w:r>
          </w:p>
        </w:tc>
        <w:tc>
          <w:tcPr>
            <w:tcW w:w="101" w:type="dxa"/>
            <w:tcBorders/>
            <w:shd w:fill="CCEEFF" w:val="clear"/>
            <w:vAlign w:val="bottom"/>
          </w:tcPr>
          <w:p>
            <w:pPr>
              <w:pStyle w:val="TableContents"/>
              <w:spacing w:before="0" w:after="283"/>
              <w:rPr/>
            </w:pPr>
            <w:r>
              <w:rPr/>
              <w:t> </w:t>
            </w:r>
          </w:p>
        </w:tc>
      </w:tr>
      <w:tr>
        <w:trPr/>
        <w:tc>
          <w:tcPr>
            <w:tcW w:w="3011" w:type="dxa"/>
            <w:tcBorders/>
            <w:shd w:fill="auto" w:val="clear"/>
            <w:vAlign w:val="center"/>
          </w:tcPr>
          <w:p>
            <w:pPr>
              <w:pStyle w:val="TableContents"/>
              <w:spacing w:before="0" w:after="0"/>
              <w:ind w:left="225" w:right="0" w:hanging="225"/>
              <w:rPr/>
            </w:pPr>
            <w:r>
              <w:rPr/>
              <w:t> </w:t>
            </w:r>
          </w:p>
        </w:tc>
        <w:tc>
          <w:tcPr>
            <w:tcW w:w="249" w:type="dxa"/>
            <w:tcBorders/>
            <w:shd w:fill="auto" w:val="clear"/>
            <w:vAlign w:val="center"/>
          </w:tcPr>
          <w:p>
            <w:pPr>
              <w:pStyle w:val="TableContents"/>
              <w:spacing w:before="0" w:after="283"/>
              <w:rPr/>
            </w:pPr>
            <w:r>
              <w:rPr/>
              <w:t> </w:t>
            </w:r>
          </w:p>
        </w:tc>
        <w:tc>
          <w:tcPr>
            <w:tcW w:w="10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18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7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0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3011" w:type="dxa"/>
            <w:tcBorders/>
            <w:shd w:fill="auto" w:val="clear"/>
            <w:vAlign w:val="bottom"/>
          </w:tcPr>
          <w:p>
            <w:pPr>
              <w:pStyle w:val="TableContents"/>
              <w:spacing w:before="0" w:after="0"/>
              <w:ind w:left="225" w:right="0" w:hanging="225"/>
              <w:rPr/>
            </w:pPr>
            <w:r>
              <w:rPr/>
              <w:t>Average outstanding and potentially dilutive common shares</w:t>
            </w:r>
          </w:p>
        </w:tc>
        <w:tc>
          <w:tcPr>
            <w:tcW w:w="24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12" w:type="dxa"/>
            <w:tcBorders/>
            <w:shd w:fill="auto" w:val="clear"/>
            <w:vAlign w:val="bottom"/>
          </w:tcPr>
          <w:p>
            <w:pPr>
              <w:pStyle w:val="TableContents"/>
              <w:spacing w:before="0" w:after="283"/>
              <w:jc w:val="right"/>
              <w:rPr/>
            </w:pPr>
            <w:r>
              <w:rPr/>
              <w:t>21,424</w:t>
            </w:r>
          </w:p>
        </w:tc>
        <w:tc>
          <w:tcPr>
            <w:tcW w:w="1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22" w:type="dxa"/>
            <w:tcBorders/>
            <w:shd w:fill="auto" w:val="clear"/>
            <w:vAlign w:val="bottom"/>
          </w:tcPr>
          <w:p>
            <w:pPr>
              <w:pStyle w:val="TableContents"/>
              <w:spacing w:before="0" w:after="283"/>
              <w:jc w:val="right"/>
              <w:rPr/>
            </w:pPr>
            <w:r>
              <w:rPr/>
              <w:t>22,345</w:t>
            </w:r>
          </w:p>
        </w:tc>
        <w:tc>
          <w:tcPr>
            <w:tcW w:w="13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35" w:type="dxa"/>
            <w:tcBorders/>
            <w:shd w:fill="auto" w:val="clear"/>
            <w:vAlign w:val="bottom"/>
          </w:tcPr>
          <w:p>
            <w:pPr>
              <w:pStyle w:val="TableContents"/>
              <w:spacing w:before="0" w:after="283"/>
              <w:jc w:val="right"/>
              <w:rPr/>
            </w:pPr>
            <w:r>
              <w:rPr/>
              <w:t>21,850</w:t>
            </w:r>
          </w:p>
        </w:tc>
        <w:tc>
          <w:tcPr>
            <w:tcW w:w="9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jc w:val="right"/>
              <w:rPr/>
            </w:pPr>
            <w:r>
              <w:rPr/>
              <w:t>22,211</w:t>
            </w:r>
          </w:p>
        </w:tc>
        <w:tc>
          <w:tcPr>
            <w:tcW w:w="101" w:type="dxa"/>
            <w:tcBorders/>
            <w:shd w:fill="auto" w:val="clear"/>
            <w:vAlign w:val="bottom"/>
          </w:tcPr>
          <w:p>
            <w:pPr>
              <w:pStyle w:val="TableContents"/>
              <w:spacing w:before="0" w:after="283"/>
              <w:rPr/>
            </w:pPr>
            <w:r>
              <w:rPr/>
              <w:t> </w:t>
            </w:r>
          </w:p>
        </w:tc>
      </w:tr>
      <w:tr>
        <w:trPr/>
        <w:tc>
          <w:tcPr>
            <w:tcW w:w="3011" w:type="dxa"/>
            <w:tcBorders/>
            <w:shd w:fill="auto" w:val="clear"/>
            <w:vAlign w:val="center"/>
          </w:tcPr>
          <w:p>
            <w:pPr>
              <w:pStyle w:val="TableContents"/>
              <w:spacing w:before="0" w:after="0"/>
              <w:ind w:left="225" w:right="0" w:hanging="225"/>
              <w:rPr/>
            </w:pPr>
            <w:r>
              <w:rPr/>
              <w:t> </w:t>
            </w:r>
          </w:p>
        </w:tc>
        <w:tc>
          <w:tcPr>
            <w:tcW w:w="249" w:type="dxa"/>
            <w:tcBorders/>
            <w:shd w:fill="auto" w:val="clear"/>
            <w:vAlign w:val="center"/>
          </w:tcPr>
          <w:p>
            <w:pPr>
              <w:pStyle w:val="TableContents"/>
              <w:spacing w:before="0" w:after="283"/>
              <w:rPr/>
            </w:pPr>
            <w:r>
              <w:rPr/>
              <w:t> </w:t>
            </w:r>
          </w:p>
        </w:tc>
        <w:tc>
          <w:tcPr>
            <w:tcW w:w="10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18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7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0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3011" w:type="dxa"/>
            <w:tcBorders/>
            <w:shd w:fill="CCEEFF" w:val="clear"/>
            <w:vAlign w:val="bottom"/>
          </w:tcPr>
          <w:p>
            <w:pPr>
              <w:pStyle w:val="TableContents"/>
              <w:spacing w:before="0" w:after="0"/>
              <w:ind w:left="225" w:right="0" w:hanging="225"/>
              <w:rPr/>
            </w:pPr>
            <w:r>
              <w:rPr/>
              <w:t>Diluted income per share from continuing operations</w:t>
            </w:r>
          </w:p>
        </w:tc>
        <w:tc>
          <w:tcPr>
            <w:tcW w:w="24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jc w:val="left"/>
              <w:rPr/>
            </w:pPr>
            <w:r>
              <w:rPr/>
              <w:t>$</w:t>
            </w:r>
          </w:p>
        </w:tc>
        <w:tc>
          <w:tcPr>
            <w:tcW w:w="912" w:type="dxa"/>
            <w:tcBorders/>
            <w:shd w:fill="CCEEFF" w:val="clear"/>
            <w:vAlign w:val="bottom"/>
          </w:tcPr>
          <w:p>
            <w:pPr>
              <w:pStyle w:val="TableContents"/>
              <w:spacing w:before="0" w:after="283"/>
              <w:jc w:val="right"/>
              <w:rPr/>
            </w:pPr>
            <w:r>
              <w:rPr/>
              <w:t>1.03</w:t>
            </w:r>
          </w:p>
        </w:tc>
        <w:tc>
          <w:tcPr>
            <w:tcW w:w="10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jc w:val="left"/>
              <w:rPr/>
            </w:pPr>
            <w:r>
              <w:rPr/>
              <w:t>$</w:t>
            </w:r>
          </w:p>
        </w:tc>
        <w:tc>
          <w:tcPr>
            <w:tcW w:w="1522" w:type="dxa"/>
            <w:tcBorders/>
            <w:shd w:fill="CCEEFF" w:val="clear"/>
            <w:vAlign w:val="bottom"/>
          </w:tcPr>
          <w:p>
            <w:pPr>
              <w:pStyle w:val="TableContents"/>
              <w:spacing w:before="0" w:after="283"/>
              <w:jc w:val="right"/>
              <w:rPr/>
            </w:pPr>
            <w:r>
              <w:rPr/>
              <w:t>0.42</w:t>
            </w:r>
          </w:p>
        </w:tc>
        <w:tc>
          <w:tcPr>
            <w:tcW w:w="135"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w:t>
            </w:r>
          </w:p>
        </w:tc>
        <w:tc>
          <w:tcPr>
            <w:tcW w:w="1435" w:type="dxa"/>
            <w:tcBorders/>
            <w:shd w:fill="CCEEFF" w:val="clear"/>
            <w:vAlign w:val="bottom"/>
          </w:tcPr>
          <w:p>
            <w:pPr>
              <w:pStyle w:val="TableContents"/>
              <w:spacing w:before="0" w:after="283"/>
              <w:jc w:val="right"/>
              <w:rPr/>
            </w:pPr>
            <w:r>
              <w:rPr/>
              <w:t>2.49</w:t>
            </w:r>
          </w:p>
        </w:tc>
        <w:tc>
          <w:tcPr>
            <w:tcW w:w="9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870" w:type="dxa"/>
            <w:tcBorders/>
            <w:shd w:fill="CCEEFF" w:val="clear"/>
            <w:vAlign w:val="bottom"/>
          </w:tcPr>
          <w:p>
            <w:pPr>
              <w:pStyle w:val="TableContents"/>
              <w:spacing w:before="0" w:after="283"/>
              <w:jc w:val="right"/>
              <w:rPr/>
            </w:pPr>
            <w:r>
              <w:rPr/>
              <w:t>1.48</w:t>
            </w:r>
          </w:p>
        </w:tc>
        <w:tc>
          <w:tcPr>
            <w:tcW w:w="101" w:type="dxa"/>
            <w:tcBorders/>
            <w:shd w:fill="CCEEFF" w:val="clear"/>
            <w:vAlign w:val="bottom"/>
          </w:tcPr>
          <w:p>
            <w:pPr>
              <w:pStyle w:val="TableContents"/>
              <w:spacing w:before="0" w:after="283"/>
              <w:rPr/>
            </w:pPr>
            <w:r>
              <w:rPr/>
              <w:t> </w:t>
            </w:r>
          </w:p>
        </w:tc>
      </w:tr>
      <w:tr>
        <w:trPr/>
        <w:tc>
          <w:tcPr>
            <w:tcW w:w="3011" w:type="dxa"/>
            <w:tcBorders/>
            <w:shd w:fill="auto" w:val="clear"/>
            <w:vAlign w:val="center"/>
          </w:tcPr>
          <w:p>
            <w:pPr>
              <w:pStyle w:val="TableContents"/>
              <w:spacing w:before="0" w:after="0"/>
              <w:ind w:left="225" w:right="0" w:hanging="225"/>
              <w:rPr/>
            </w:pPr>
            <w:r>
              <w:rPr/>
              <w:t> </w:t>
            </w:r>
          </w:p>
        </w:tc>
        <w:tc>
          <w:tcPr>
            <w:tcW w:w="249" w:type="dxa"/>
            <w:tcBorders/>
            <w:shd w:fill="auto" w:val="clear"/>
            <w:vAlign w:val="center"/>
          </w:tcPr>
          <w:p>
            <w:pPr>
              <w:pStyle w:val="TableContents"/>
              <w:spacing w:before="0" w:after="283"/>
              <w:rPr/>
            </w:pPr>
            <w:r>
              <w:rPr/>
              <w:t> </w:t>
            </w:r>
          </w:p>
        </w:tc>
        <w:tc>
          <w:tcPr>
            <w:tcW w:w="10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18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7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0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3011" w:type="dxa"/>
            <w:tcBorders/>
            <w:shd w:fill="auto" w:val="clear"/>
            <w:vAlign w:val="bottom"/>
          </w:tcPr>
          <w:p>
            <w:pPr>
              <w:pStyle w:val="TableContents"/>
              <w:spacing w:before="0" w:after="0"/>
              <w:ind w:left="225" w:right="0" w:hanging="225"/>
              <w:rPr/>
            </w:pPr>
            <w:r>
              <w:rPr/>
              <w:t>Basic income per share from continuing operations</w:t>
            </w:r>
          </w:p>
        </w:tc>
        <w:tc>
          <w:tcPr>
            <w:tcW w:w="24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jc w:val="left"/>
              <w:rPr/>
            </w:pPr>
            <w:r>
              <w:rPr/>
              <w:t>$</w:t>
            </w:r>
          </w:p>
        </w:tc>
        <w:tc>
          <w:tcPr>
            <w:tcW w:w="912" w:type="dxa"/>
            <w:tcBorders/>
            <w:shd w:fill="auto" w:val="clear"/>
            <w:vAlign w:val="bottom"/>
          </w:tcPr>
          <w:p>
            <w:pPr>
              <w:pStyle w:val="TableContents"/>
              <w:spacing w:before="0" w:after="283"/>
              <w:jc w:val="right"/>
              <w:rPr/>
            </w:pPr>
            <w:r>
              <w:rPr/>
              <w:t>1.04</w:t>
            </w:r>
          </w:p>
        </w:tc>
        <w:tc>
          <w:tcPr>
            <w:tcW w:w="1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jc w:val="left"/>
              <w:rPr/>
            </w:pPr>
            <w:r>
              <w:rPr/>
              <w:t>$</w:t>
            </w:r>
          </w:p>
        </w:tc>
        <w:tc>
          <w:tcPr>
            <w:tcW w:w="1522" w:type="dxa"/>
            <w:tcBorders/>
            <w:shd w:fill="auto" w:val="clear"/>
            <w:vAlign w:val="bottom"/>
          </w:tcPr>
          <w:p>
            <w:pPr>
              <w:pStyle w:val="TableContents"/>
              <w:spacing w:before="0" w:after="283"/>
              <w:jc w:val="right"/>
              <w:rPr/>
            </w:pPr>
            <w:r>
              <w:rPr/>
              <w:t>0.42</w:t>
            </w:r>
          </w:p>
        </w:tc>
        <w:tc>
          <w:tcPr>
            <w:tcW w:w="13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jc w:val="left"/>
              <w:rPr/>
            </w:pPr>
            <w:r>
              <w:rPr/>
              <w:t>$</w:t>
            </w:r>
          </w:p>
        </w:tc>
        <w:tc>
          <w:tcPr>
            <w:tcW w:w="1435" w:type="dxa"/>
            <w:tcBorders/>
            <w:shd w:fill="auto" w:val="clear"/>
            <w:vAlign w:val="bottom"/>
          </w:tcPr>
          <w:p>
            <w:pPr>
              <w:pStyle w:val="TableContents"/>
              <w:spacing w:before="0" w:after="283"/>
              <w:jc w:val="right"/>
              <w:rPr/>
            </w:pPr>
            <w:r>
              <w:rPr/>
              <w:t>2.54</w:t>
            </w:r>
          </w:p>
        </w:tc>
        <w:tc>
          <w:tcPr>
            <w:tcW w:w="9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870" w:type="dxa"/>
            <w:tcBorders/>
            <w:shd w:fill="auto" w:val="clear"/>
            <w:vAlign w:val="bottom"/>
          </w:tcPr>
          <w:p>
            <w:pPr>
              <w:pStyle w:val="TableContents"/>
              <w:spacing w:before="0" w:after="283"/>
              <w:jc w:val="right"/>
              <w:rPr/>
            </w:pPr>
            <w:r>
              <w:rPr/>
              <w:t>1.50</w:t>
            </w:r>
          </w:p>
        </w:tc>
        <w:tc>
          <w:tcPr>
            <w:tcW w:w="101" w:type="dxa"/>
            <w:tcBorders/>
            <w:shd w:fill="auto" w:val="clear"/>
            <w:vAlign w:val="bottom"/>
          </w:tcPr>
          <w:p>
            <w:pPr>
              <w:pStyle w:val="TableContents"/>
              <w:spacing w:before="0" w:after="283"/>
              <w:rPr/>
            </w:pPr>
            <w:r>
              <w:rPr/>
              <w:t> </w:t>
            </w:r>
          </w:p>
        </w:tc>
      </w:tr>
      <w:tr>
        <w:trPr/>
        <w:tc>
          <w:tcPr>
            <w:tcW w:w="3011" w:type="dxa"/>
            <w:tcBorders/>
            <w:shd w:fill="auto" w:val="clear"/>
            <w:vAlign w:val="center"/>
          </w:tcPr>
          <w:p>
            <w:pPr>
              <w:pStyle w:val="TableContents"/>
              <w:spacing w:before="0" w:after="0"/>
              <w:ind w:left="225" w:right="0" w:hanging="225"/>
              <w:rPr/>
            </w:pPr>
            <w:r>
              <w:rPr/>
              <w:t> </w:t>
            </w:r>
          </w:p>
        </w:tc>
        <w:tc>
          <w:tcPr>
            <w:tcW w:w="249" w:type="dxa"/>
            <w:tcBorders/>
            <w:shd w:fill="auto" w:val="clear"/>
            <w:vAlign w:val="center"/>
          </w:tcPr>
          <w:p>
            <w:pPr>
              <w:pStyle w:val="TableContents"/>
              <w:spacing w:before="0" w:after="283"/>
              <w:rPr/>
            </w:pPr>
            <w:r>
              <w:rPr/>
              <w:t> </w:t>
            </w:r>
          </w:p>
        </w:tc>
        <w:tc>
          <w:tcPr>
            <w:tcW w:w="10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18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7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0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Options to purchase 104,000 shares of common stock were outstanding during the nine months ended September 30, 2005 but were not included in the computation of diluted income per share because the effect would be anti-dilutive. No options were anti-dilutive during the nine months ended September 30, 2006, and therefore, no options were excluded from the computation of diluted income per share.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11. 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reconciliation of income tax expense and the amount that would be computed using statutory federal income tax rates for the nine months ended September 30 is as follows: </w:t>
      </w:r>
    </w:p>
    <w:tbl>
      <w:tblPr>
        <w:tblW w:w="5000" w:type="pct"/>
        <w:jc w:val="center"/>
        <w:tblInd w:w="0" w:type="dxa"/>
        <w:tblCellMar>
          <w:top w:w="0" w:type="dxa"/>
          <w:left w:w="0" w:type="dxa"/>
          <w:bottom w:w="0" w:type="dxa"/>
          <w:right w:w="0" w:type="dxa"/>
        </w:tblCellMar>
      </w:tblPr>
      <w:tblGrid>
        <w:gridCol w:w="4104"/>
        <w:gridCol w:w="374"/>
        <w:gridCol w:w="174"/>
        <w:gridCol w:w="914"/>
        <w:gridCol w:w="139"/>
        <w:gridCol w:w="374"/>
        <w:gridCol w:w="112"/>
        <w:gridCol w:w="727"/>
        <w:gridCol w:w="290"/>
        <w:gridCol w:w="374"/>
        <w:gridCol w:w="174"/>
        <w:gridCol w:w="854"/>
        <w:gridCol w:w="139"/>
        <w:gridCol w:w="374"/>
        <w:gridCol w:w="112"/>
        <w:gridCol w:w="669"/>
        <w:gridCol w:w="301"/>
      </w:tblGrid>
      <w:tr>
        <w:trPr/>
        <w:tc>
          <w:tcPr>
            <w:tcW w:w="4104"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r>
      <w:tr>
        <w:trPr/>
        <w:tc>
          <w:tcPr>
            <w:tcW w:w="4104"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244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9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2322"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01" w:type="dxa"/>
            <w:tcBorders/>
            <w:shd w:fill="auto" w:val="clear"/>
            <w:vAlign w:val="bottom"/>
          </w:tcPr>
          <w:p>
            <w:pPr>
              <w:pStyle w:val="TableContents"/>
              <w:spacing w:before="0" w:after="283"/>
              <w:rPr/>
            </w:pPr>
            <w:r>
              <w:rPr/>
              <w:t> </w:t>
            </w:r>
          </w:p>
        </w:tc>
      </w:tr>
      <w:tr>
        <w:trPr/>
        <w:tc>
          <w:tcPr>
            <w:tcW w:w="4104"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2531" w:type="dxa"/>
            <w:gridSpan w:val="6"/>
            <w:tcBorders/>
            <w:shd w:fill="auto" w:val="clear"/>
            <w:vAlign w:val="bottom"/>
          </w:tcPr>
          <w:p>
            <w:pPr>
              <w:pStyle w:val="TableContents"/>
              <w:spacing w:before="0" w:after="283"/>
              <w:jc w:val="center"/>
              <w:rPr>
                <w:b/>
              </w:rPr>
            </w:pPr>
            <w:r>
              <w:rPr>
                <w:b/>
              </w:rPr>
              <w:t>(in thousands)</w:t>
            </w:r>
          </w:p>
        </w:tc>
        <w:tc>
          <w:tcPr>
            <w:tcW w:w="139"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r>
      <w:tr>
        <w:trPr/>
        <w:tc>
          <w:tcPr>
            <w:tcW w:w="4104" w:type="dxa"/>
            <w:tcBorders/>
            <w:shd w:fill="CCEEFF" w:val="clear"/>
            <w:vAlign w:val="bottom"/>
          </w:tcPr>
          <w:p>
            <w:pPr>
              <w:pStyle w:val="TableContents"/>
              <w:spacing w:before="0" w:after="0"/>
              <w:ind w:left="225" w:right="0" w:hanging="225"/>
              <w:rPr/>
            </w:pPr>
            <w:r>
              <w:rPr/>
              <w:t>Computed income tax expense at statutory federal income tax rate of 35%</w:t>
            </w:r>
          </w:p>
        </w:tc>
        <w:tc>
          <w:tcPr>
            <w:tcW w:w="37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914" w:type="dxa"/>
            <w:tcBorders/>
            <w:shd w:fill="CCEEFF" w:val="clear"/>
            <w:vAlign w:val="bottom"/>
          </w:tcPr>
          <w:p>
            <w:pPr>
              <w:pStyle w:val="TableContents"/>
              <w:spacing w:before="0" w:after="283"/>
              <w:jc w:val="right"/>
              <w:rPr/>
            </w:pPr>
            <w:r>
              <w:rPr/>
              <w:t>24,762</w:t>
            </w:r>
          </w:p>
        </w:tc>
        <w:tc>
          <w:tcPr>
            <w:tcW w:w="139"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727" w:type="dxa"/>
            <w:tcBorders/>
            <w:shd w:fill="CCEEFF" w:val="clear"/>
            <w:vAlign w:val="bottom"/>
          </w:tcPr>
          <w:p>
            <w:pPr>
              <w:pStyle w:val="TableContents"/>
              <w:spacing w:before="0" w:after="283"/>
              <w:jc w:val="right"/>
              <w:rPr/>
            </w:pPr>
            <w:r>
              <w:rPr/>
              <w:t>35.0</w:t>
            </w:r>
          </w:p>
        </w:tc>
        <w:tc>
          <w:tcPr>
            <w:tcW w:w="290" w:type="dxa"/>
            <w:tcBorders/>
            <w:shd w:fill="CCEEFF" w:val="clear"/>
            <w:vAlign w:val="bottom"/>
          </w:tcPr>
          <w:p>
            <w:pPr>
              <w:pStyle w:val="TableContents"/>
              <w:spacing w:before="0" w:after="283"/>
              <w:rPr/>
            </w:pPr>
            <w:r>
              <w:rPr/>
              <w:t>%</w:t>
            </w:r>
          </w:p>
        </w:tc>
        <w:tc>
          <w:tcPr>
            <w:tcW w:w="37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18,222</w:t>
            </w:r>
          </w:p>
        </w:tc>
        <w:tc>
          <w:tcPr>
            <w:tcW w:w="139"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669" w:type="dxa"/>
            <w:tcBorders/>
            <w:shd w:fill="CCEEFF" w:val="clear"/>
            <w:vAlign w:val="bottom"/>
          </w:tcPr>
          <w:p>
            <w:pPr>
              <w:pStyle w:val="TableContents"/>
              <w:spacing w:before="0" w:after="283"/>
              <w:jc w:val="right"/>
              <w:rPr/>
            </w:pPr>
            <w:r>
              <w:rPr/>
              <w:t>35.0</w:t>
            </w:r>
          </w:p>
        </w:tc>
        <w:tc>
          <w:tcPr>
            <w:tcW w:w="301" w:type="dxa"/>
            <w:tcBorders/>
            <w:shd w:fill="CCEEFF" w:val="clear"/>
            <w:vAlign w:val="bottom"/>
          </w:tcPr>
          <w:p>
            <w:pPr>
              <w:pStyle w:val="TableContents"/>
              <w:spacing w:before="0" w:after="283"/>
              <w:rPr/>
            </w:pPr>
            <w:r>
              <w:rPr/>
              <w:t>%</w:t>
            </w:r>
          </w:p>
        </w:tc>
      </w:tr>
      <w:tr>
        <w:trPr/>
        <w:tc>
          <w:tcPr>
            <w:tcW w:w="4104" w:type="dxa"/>
            <w:tcBorders/>
            <w:shd w:fill="auto" w:val="clear"/>
            <w:vAlign w:val="bottom"/>
          </w:tcPr>
          <w:p>
            <w:pPr>
              <w:pStyle w:val="TableContents"/>
              <w:spacing w:before="0" w:after="0"/>
              <w:ind w:left="225" w:right="0" w:hanging="225"/>
              <w:rPr/>
            </w:pPr>
            <w:r>
              <w:rPr/>
              <w:t>State income taxes, net of federal benefit</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pPr>
            <w:r>
              <w:rPr/>
              <w:t>2,632</w:t>
            </w:r>
          </w:p>
        </w:tc>
        <w:tc>
          <w:tcPr>
            <w:tcW w:w="139"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727" w:type="dxa"/>
            <w:tcBorders/>
            <w:shd w:fill="auto" w:val="clear"/>
            <w:vAlign w:val="bottom"/>
          </w:tcPr>
          <w:p>
            <w:pPr>
              <w:pStyle w:val="TableContents"/>
              <w:spacing w:before="0" w:after="283"/>
              <w:jc w:val="right"/>
              <w:rPr/>
            </w:pPr>
            <w:r>
              <w:rPr/>
              <w:t>3.7</w:t>
            </w:r>
          </w:p>
        </w:tc>
        <w:tc>
          <w:tcPr>
            <w:tcW w:w="290"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2,792</w:t>
            </w:r>
          </w:p>
        </w:tc>
        <w:tc>
          <w:tcPr>
            <w:tcW w:w="139"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669" w:type="dxa"/>
            <w:tcBorders/>
            <w:shd w:fill="auto" w:val="clear"/>
            <w:vAlign w:val="bottom"/>
          </w:tcPr>
          <w:p>
            <w:pPr>
              <w:pStyle w:val="TableContents"/>
              <w:spacing w:before="0" w:after="283"/>
              <w:jc w:val="right"/>
              <w:rPr/>
            </w:pPr>
            <w:r>
              <w:rPr/>
              <w:t>5.4</w:t>
            </w:r>
          </w:p>
        </w:tc>
        <w:tc>
          <w:tcPr>
            <w:tcW w:w="301" w:type="dxa"/>
            <w:tcBorders/>
            <w:shd w:fill="auto" w:val="clear"/>
            <w:vAlign w:val="bottom"/>
          </w:tcPr>
          <w:p>
            <w:pPr>
              <w:pStyle w:val="TableContents"/>
              <w:spacing w:before="0" w:after="283"/>
              <w:rPr/>
            </w:pPr>
            <w:r>
              <w:rPr/>
              <w:t>%</w:t>
            </w:r>
          </w:p>
        </w:tc>
      </w:tr>
      <w:tr>
        <w:trPr/>
        <w:tc>
          <w:tcPr>
            <w:tcW w:w="4104" w:type="dxa"/>
            <w:tcBorders/>
            <w:shd w:fill="CCEEFF" w:val="clear"/>
            <w:vAlign w:val="bottom"/>
          </w:tcPr>
          <w:p>
            <w:pPr>
              <w:pStyle w:val="TableContents"/>
              <w:spacing w:before="0" w:after="0"/>
              <w:ind w:left="225" w:right="0" w:hanging="225"/>
              <w:rPr/>
            </w:pPr>
            <w:r>
              <w:rPr/>
              <w:t>Tax settlements and refunds</w:t>
            </w:r>
          </w:p>
        </w:tc>
        <w:tc>
          <w:tcPr>
            <w:tcW w:w="37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 </w:t>
            </w:r>
          </w:p>
        </w:tc>
        <w:tc>
          <w:tcPr>
            <w:tcW w:w="914" w:type="dxa"/>
            <w:tcBorders/>
            <w:shd w:fill="CCEEFF" w:val="clear"/>
            <w:vAlign w:val="bottom"/>
          </w:tcPr>
          <w:p>
            <w:pPr>
              <w:pStyle w:val="TableContents"/>
              <w:spacing w:before="0" w:after="283"/>
              <w:jc w:val="right"/>
              <w:rPr/>
            </w:pPr>
            <w:r>
              <w:rPr/>
              <w:t>(10,000</w:t>
            </w:r>
          </w:p>
        </w:tc>
        <w:tc>
          <w:tcPr>
            <w:tcW w:w="139" w:type="dxa"/>
            <w:tcBorders/>
            <w:shd w:fill="CCEEFF" w:val="clear"/>
            <w:vAlign w:val="bottom"/>
          </w:tcPr>
          <w:p>
            <w:pPr>
              <w:pStyle w:val="TableContents"/>
              <w:spacing w:before="0" w:after="283"/>
              <w:rPr/>
            </w:pPr>
            <w:r>
              <w:rPr/>
              <w:t>)</w:t>
            </w:r>
          </w:p>
        </w:tc>
        <w:tc>
          <w:tcPr>
            <w:tcW w:w="37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727" w:type="dxa"/>
            <w:tcBorders/>
            <w:shd w:fill="CCEEFF" w:val="clear"/>
            <w:vAlign w:val="bottom"/>
          </w:tcPr>
          <w:p>
            <w:pPr>
              <w:pStyle w:val="TableContents"/>
              <w:spacing w:before="0" w:after="283"/>
              <w:jc w:val="right"/>
              <w:rPr/>
            </w:pPr>
            <w:r>
              <w:rPr/>
              <w:t>(14.1</w:t>
            </w:r>
          </w:p>
        </w:tc>
        <w:tc>
          <w:tcPr>
            <w:tcW w:w="290" w:type="dxa"/>
            <w:tcBorders/>
            <w:shd w:fill="CCEEFF" w:val="clear"/>
            <w:vAlign w:val="bottom"/>
          </w:tcPr>
          <w:p>
            <w:pPr>
              <w:pStyle w:val="TableContents"/>
              <w:spacing w:before="0" w:after="283"/>
              <w:rPr/>
            </w:pPr>
            <w:r>
              <w:rPr/>
              <w:t>%)</w:t>
            </w:r>
          </w:p>
        </w:tc>
        <w:tc>
          <w:tcPr>
            <w:tcW w:w="37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 </w:t>
            </w:r>
          </w:p>
        </w:tc>
        <w:tc>
          <w:tcPr>
            <w:tcW w:w="854" w:type="dxa"/>
            <w:tcBorders/>
            <w:shd w:fill="CCEEFF" w:val="clear"/>
            <w:vAlign w:val="bottom"/>
          </w:tcPr>
          <w:p>
            <w:pPr>
              <w:pStyle w:val="TableContents"/>
              <w:spacing w:before="0" w:after="283"/>
              <w:jc w:val="right"/>
              <w:rPr/>
            </w:pPr>
            <w:r>
              <w:rPr/>
              <w:t>(2,030</w:t>
            </w:r>
          </w:p>
        </w:tc>
        <w:tc>
          <w:tcPr>
            <w:tcW w:w="139" w:type="dxa"/>
            <w:tcBorders/>
            <w:shd w:fill="CCEEFF" w:val="clear"/>
            <w:vAlign w:val="bottom"/>
          </w:tcPr>
          <w:p>
            <w:pPr>
              <w:pStyle w:val="TableContents"/>
              <w:spacing w:before="0" w:after="283"/>
              <w:rPr/>
            </w:pPr>
            <w:r>
              <w:rPr/>
              <w:t>)</w:t>
            </w:r>
          </w:p>
        </w:tc>
        <w:tc>
          <w:tcPr>
            <w:tcW w:w="37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669" w:type="dxa"/>
            <w:tcBorders/>
            <w:shd w:fill="CCEEFF" w:val="clear"/>
            <w:vAlign w:val="bottom"/>
          </w:tcPr>
          <w:p>
            <w:pPr>
              <w:pStyle w:val="TableContents"/>
              <w:spacing w:before="0" w:after="283"/>
              <w:jc w:val="right"/>
              <w:rPr/>
            </w:pPr>
            <w:r>
              <w:rPr/>
              <w:t>(3.9</w:t>
            </w:r>
          </w:p>
        </w:tc>
        <w:tc>
          <w:tcPr>
            <w:tcW w:w="301" w:type="dxa"/>
            <w:tcBorders/>
            <w:shd w:fill="CCEEFF" w:val="clear"/>
            <w:vAlign w:val="bottom"/>
          </w:tcPr>
          <w:p>
            <w:pPr>
              <w:pStyle w:val="TableContents"/>
              <w:spacing w:before="0" w:after="283"/>
              <w:rPr/>
            </w:pPr>
            <w:r>
              <w:rPr/>
              <w:t>%)</w:t>
            </w:r>
          </w:p>
        </w:tc>
      </w:tr>
      <w:tr>
        <w:trPr/>
        <w:tc>
          <w:tcPr>
            <w:tcW w:w="4104" w:type="dxa"/>
            <w:tcBorders/>
            <w:shd w:fill="auto" w:val="clear"/>
            <w:vAlign w:val="bottom"/>
          </w:tcPr>
          <w:p>
            <w:pPr>
              <w:pStyle w:val="TableContents"/>
              <w:spacing w:before="0" w:after="0"/>
              <w:ind w:left="225" w:right="0" w:hanging="225"/>
              <w:rPr/>
            </w:pPr>
            <w:r>
              <w:rPr/>
              <w:t>Other, net</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jc w:val="left"/>
              <w:rPr/>
            </w:pPr>
            <w:r>
              <w:rPr/>
              <w:t> </w:t>
            </w:r>
          </w:p>
        </w:tc>
        <w:tc>
          <w:tcPr>
            <w:tcW w:w="914" w:type="dxa"/>
            <w:tcBorders/>
            <w:shd w:fill="auto" w:val="clear"/>
            <w:vAlign w:val="bottom"/>
          </w:tcPr>
          <w:p>
            <w:pPr>
              <w:pStyle w:val="TableContents"/>
              <w:spacing w:before="0" w:after="283"/>
              <w:jc w:val="right"/>
              <w:rPr/>
            </w:pPr>
            <w:r>
              <w:rPr/>
              <w:t>(1,134</w:t>
            </w:r>
          </w:p>
        </w:tc>
        <w:tc>
          <w:tcPr>
            <w:tcW w:w="139"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727" w:type="dxa"/>
            <w:tcBorders/>
            <w:shd w:fill="auto" w:val="clear"/>
            <w:vAlign w:val="bottom"/>
          </w:tcPr>
          <w:p>
            <w:pPr>
              <w:pStyle w:val="TableContents"/>
              <w:spacing w:before="0" w:after="283"/>
              <w:jc w:val="right"/>
              <w:rPr/>
            </w:pPr>
            <w:r>
              <w:rPr/>
              <w:t>(1.6</w:t>
            </w:r>
          </w:p>
        </w:tc>
        <w:tc>
          <w:tcPr>
            <w:tcW w:w="290"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jc w:val="left"/>
              <w:rPr/>
            </w:pPr>
            <w:r>
              <w:rPr/>
              <w:t> </w:t>
            </w:r>
          </w:p>
        </w:tc>
        <w:tc>
          <w:tcPr>
            <w:tcW w:w="854" w:type="dxa"/>
            <w:tcBorders/>
            <w:shd w:fill="auto" w:val="clear"/>
            <w:vAlign w:val="bottom"/>
          </w:tcPr>
          <w:p>
            <w:pPr>
              <w:pStyle w:val="TableContents"/>
              <w:spacing w:before="0" w:after="283"/>
              <w:jc w:val="right"/>
              <w:rPr/>
            </w:pPr>
            <w:r>
              <w:rPr/>
              <w:t>(10</w:t>
            </w:r>
          </w:p>
        </w:tc>
        <w:tc>
          <w:tcPr>
            <w:tcW w:w="139"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669" w:type="dxa"/>
            <w:tcBorders/>
            <w:shd w:fill="auto" w:val="clear"/>
            <w:vAlign w:val="bottom"/>
          </w:tcPr>
          <w:p>
            <w:pPr>
              <w:pStyle w:val="TableContents"/>
              <w:spacing w:before="0" w:after="283"/>
              <w:jc w:val="right"/>
              <w:rPr/>
            </w:pPr>
            <w:r>
              <w:rPr/>
              <w:t>(0.1</w:t>
            </w:r>
          </w:p>
        </w:tc>
        <w:tc>
          <w:tcPr>
            <w:tcW w:w="301" w:type="dxa"/>
            <w:tcBorders/>
            <w:shd w:fill="auto" w:val="clear"/>
            <w:vAlign w:val="bottom"/>
          </w:tcPr>
          <w:p>
            <w:pPr>
              <w:pStyle w:val="TableContents"/>
              <w:spacing w:before="0" w:after="283"/>
              <w:rPr/>
            </w:pPr>
            <w:r>
              <w:rPr/>
              <w:t>%)</w:t>
            </w:r>
          </w:p>
        </w:tc>
      </w:tr>
      <w:tr>
        <w:trPr/>
        <w:tc>
          <w:tcPr>
            <w:tcW w:w="4104"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2730"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c>
          <w:tcPr>
            <w:tcW w:w="374" w:type="dxa"/>
            <w:tcBorders/>
            <w:shd w:fill="auto" w:val="clear"/>
            <w:vAlign w:val="center"/>
          </w:tcPr>
          <w:p>
            <w:pPr>
              <w:pStyle w:val="TableContents"/>
              <w:spacing w:before="0" w:after="283"/>
              <w:rPr/>
            </w:pPr>
            <w:r>
              <w:rPr/>
              <w:t> </w:t>
            </w:r>
          </w:p>
        </w:tc>
        <w:tc>
          <w:tcPr>
            <w:tcW w:w="2623"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4104" w:type="dxa"/>
            <w:tcBorders/>
            <w:shd w:fill="CCEEFF" w:val="clear"/>
            <w:vAlign w:val="bottom"/>
          </w:tcPr>
          <w:p>
            <w:pPr>
              <w:pStyle w:val="TableContents"/>
              <w:spacing w:before="0" w:after="0"/>
              <w:ind w:left="225" w:right="0" w:hanging="225"/>
              <w:rPr/>
            </w:pPr>
            <w:r>
              <w:rPr/>
              <w:t> </w:t>
            </w:r>
          </w:p>
        </w:tc>
        <w:tc>
          <w:tcPr>
            <w:tcW w:w="37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pPr>
            <w:r>
              <w:rPr/>
              <w:t>16,260</w:t>
            </w:r>
          </w:p>
        </w:tc>
        <w:tc>
          <w:tcPr>
            <w:tcW w:w="139"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727" w:type="dxa"/>
            <w:tcBorders/>
            <w:shd w:fill="CCEEFF" w:val="clear"/>
            <w:vAlign w:val="bottom"/>
          </w:tcPr>
          <w:p>
            <w:pPr>
              <w:pStyle w:val="TableContents"/>
              <w:spacing w:before="0" w:after="283"/>
              <w:jc w:val="right"/>
              <w:rPr/>
            </w:pPr>
            <w:r>
              <w:rPr/>
              <w:t>23.0</w:t>
            </w:r>
          </w:p>
        </w:tc>
        <w:tc>
          <w:tcPr>
            <w:tcW w:w="290" w:type="dxa"/>
            <w:tcBorders/>
            <w:shd w:fill="CCEEFF" w:val="clear"/>
            <w:vAlign w:val="bottom"/>
          </w:tcPr>
          <w:p>
            <w:pPr>
              <w:pStyle w:val="TableContents"/>
              <w:spacing w:before="0" w:after="283"/>
              <w:rPr/>
            </w:pPr>
            <w:r>
              <w:rPr/>
              <w:t>%</w:t>
            </w:r>
          </w:p>
        </w:tc>
        <w:tc>
          <w:tcPr>
            <w:tcW w:w="37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18,974</w:t>
            </w:r>
          </w:p>
        </w:tc>
        <w:tc>
          <w:tcPr>
            <w:tcW w:w="139"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669" w:type="dxa"/>
            <w:tcBorders/>
            <w:shd w:fill="CCEEFF" w:val="clear"/>
            <w:vAlign w:val="bottom"/>
          </w:tcPr>
          <w:p>
            <w:pPr>
              <w:pStyle w:val="TableContents"/>
              <w:spacing w:before="0" w:after="283"/>
              <w:jc w:val="right"/>
              <w:rPr/>
            </w:pPr>
            <w:r>
              <w:rPr/>
              <w:t>36.4</w:t>
            </w:r>
          </w:p>
        </w:tc>
        <w:tc>
          <w:tcPr>
            <w:tcW w:w="301" w:type="dxa"/>
            <w:tcBorders/>
            <w:shd w:fill="CCEEFF" w:val="clear"/>
            <w:vAlign w:val="bottom"/>
          </w:tcPr>
          <w:p>
            <w:pPr>
              <w:pStyle w:val="TableContents"/>
              <w:spacing w:before="0" w:after="283"/>
              <w:rPr/>
            </w:pPr>
            <w:r>
              <w:rPr/>
              <w:t>%</w:t>
            </w:r>
          </w:p>
        </w:tc>
      </w:tr>
      <w:tr>
        <w:trPr/>
        <w:tc>
          <w:tcPr>
            <w:tcW w:w="4104" w:type="dxa"/>
            <w:tcBorders/>
            <w:shd w:fill="auto" w:val="clear"/>
            <w:vAlign w:val="bottom"/>
          </w:tcPr>
          <w:p>
            <w:pPr>
              <w:pStyle w:val="TableContents"/>
              <w:spacing w:before="0" w:after="0"/>
              <w:ind w:left="225" w:right="0" w:hanging="225"/>
              <w:rPr/>
            </w:pPr>
            <w:r>
              <w:rPr/>
              <w:t>Adjustment to estimated annual effective rate (1)</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pPr>
            <w:r>
              <w:rPr/>
              <w:t>125</w:t>
            </w:r>
          </w:p>
        </w:tc>
        <w:tc>
          <w:tcPr>
            <w:tcW w:w="139"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727" w:type="dxa"/>
            <w:tcBorders/>
            <w:shd w:fill="auto" w:val="clear"/>
            <w:vAlign w:val="bottom"/>
          </w:tcPr>
          <w:p>
            <w:pPr>
              <w:pStyle w:val="TableContents"/>
              <w:spacing w:before="0" w:after="283"/>
              <w:jc w:val="right"/>
              <w:rPr/>
            </w:pPr>
            <w:r>
              <w:rPr/>
              <w:t>0.2</w:t>
            </w:r>
          </w:p>
        </w:tc>
        <w:tc>
          <w:tcPr>
            <w:tcW w:w="290"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207</w:t>
            </w:r>
          </w:p>
        </w:tc>
        <w:tc>
          <w:tcPr>
            <w:tcW w:w="139"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669" w:type="dxa"/>
            <w:tcBorders/>
            <w:shd w:fill="auto" w:val="clear"/>
            <w:vAlign w:val="bottom"/>
          </w:tcPr>
          <w:p>
            <w:pPr>
              <w:pStyle w:val="TableContents"/>
              <w:spacing w:before="0" w:after="283"/>
              <w:jc w:val="right"/>
              <w:rPr/>
            </w:pPr>
            <w:r>
              <w:rPr/>
              <w:t>0.4</w:t>
            </w:r>
          </w:p>
        </w:tc>
        <w:tc>
          <w:tcPr>
            <w:tcW w:w="301" w:type="dxa"/>
            <w:tcBorders/>
            <w:shd w:fill="auto" w:val="clear"/>
            <w:vAlign w:val="bottom"/>
          </w:tcPr>
          <w:p>
            <w:pPr>
              <w:pStyle w:val="TableContents"/>
              <w:spacing w:before="0" w:after="283"/>
              <w:rPr/>
            </w:pPr>
            <w:r>
              <w:rPr/>
              <w:t>%</w:t>
            </w:r>
          </w:p>
        </w:tc>
      </w:tr>
      <w:tr>
        <w:trPr/>
        <w:tc>
          <w:tcPr>
            <w:tcW w:w="4104"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2730"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c>
          <w:tcPr>
            <w:tcW w:w="374" w:type="dxa"/>
            <w:tcBorders/>
            <w:shd w:fill="auto" w:val="clear"/>
            <w:vAlign w:val="center"/>
          </w:tcPr>
          <w:p>
            <w:pPr>
              <w:pStyle w:val="TableContents"/>
              <w:spacing w:before="0" w:after="283"/>
              <w:rPr/>
            </w:pPr>
            <w:r>
              <w:rPr/>
              <w:t> </w:t>
            </w:r>
          </w:p>
        </w:tc>
        <w:tc>
          <w:tcPr>
            <w:tcW w:w="2623"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4104" w:type="dxa"/>
            <w:tcBorders/>
            <w:shd w:fill="CCEEFF" w:val="clear"/>
            <w:vAlign w:val="bottom"/>
          </w:tcPr>
          <w:p>
            <w:pPr>
              <w:pStyle w:val="TableContents"/>
              <w:spacing w:before="0" w:after="0"/>
              <w:ind w:left="225" w:right="0" w:hanging="225"/>
              <w:rPr/>
            </w:pPr>
            <w:r>
              <w:rPr/>
              <w:t>Income tax expense</w:t>
            </w:r>
          </w:p>
        </w:tc>
        <w:tc>
          <w:tcPr>
            <w:tcW w:w="37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914" w:type="dxa"/>
            <w:tcBorders/>
            <w:shd w:fill="CCEEFF" w:val="clear"/>
            <w:vAlign w:val="bottom"/>
          </w:tcPr>
          <w:p>
            <w:pPr>
              <w:pStyle w:val="TableContents"/>
              <w:spacing w:before="0" w:after="283"/>
              <w:jc w:val="right"/>
              <w:rPr/>
            </w:pPr>
            <w:r>
              <w:rPr/>
              <w:t>16,385</w:t>
            </w:r>
          </w:p>
        </w:tc>
        <w:tc>
          <w:tcPr>
            <w:tcW w:w="139"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727" w:type="dxa"/>
            <w:tcBorders/>
            <w:shd w:fill="CCEEFF" w:val="clear"/>
            <w:vAlign w:val="bottom"/>
          </w:tcPr>
          <w:p>
            <w:pPr>
              <w:pStyle w:val="TableContents"/>
              <w:spacing w:before="0" w:after="283"/>
              <w:jc w:val="right"/>
              <w:rPr/>
            </w:pPr>
            <w:r>
              <w:rPr/>
              <w:t>23.2</w:t>
            </w:r>
          </w:p>
        </w:tc>
        <w:tc>
          <w:tcPr>
            <w:tcW w:w="290" w:type="dxa"/>
            <w:tcBorders/>
            <w:shd w:fill="CCEEFF" w:val="clear"/>
            <w:vAlign w:val="bottom"/>
          </w:tcPr>
          <w:p>
            <w:pPr>
              <w:pStyle w:val="TableContents"/>
              <w:spacing w:before="0" w:after="283"/>
              <w:rPr/>
            </w:pPr>
            <w:r>
              <w:rPr/>
              <w:t>%</w:t>
            </w:r>
          </w:p>
        </w:tc>
        <w:tc>
          <w:tcPr>
            <w:tcW w:w="37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19,181</w:t>
            </w:r>
          </w:p>
        </w:tc>
        <w:tc>
          <w:tcPr>
            <w:tcW w:w="139"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669" w:type="dxa"/>
            <w:tcBorders/>
            <w:shd w:fill="CCEEFF" w:val="clear"/>
            <w:vAlign w:val="bottom"/>
          </w:tcPr>
          <w:p>
            <w:pPr>
              <w:pStyle w:val="TableContents"/>
              <w:spacing w:before="0" w:after="283"/>
              <w:jc w:val="right"/>
              <w:rPr/>
            </w:pPr>
            <w:r>
              <w:rPr/>
              <w:t>36.8</w:t>
            </w:r>
          </w:p>
        </w:tc>
        <w:tc>
          <w:tcPr>
            <w:tcW w:w="301" w:type="dxa"/>
            <w:tcBorders/>
            <w:shd w:fill="CCEEFF" w:val="clear"/>
            <w:vAlign w:val="bottom"/>
          </w:tcPr>
          <w:p>
            <w:pPr>
              <w:pStyle w:val="TableContents"/>
              <w:spacing w:before="0" w:after="283"/>
              <w:rPr/>
            </w:pPr>
            <w:r>
              <w:rPr/>
              <w:t>%</w:t>
            </w:r>
          </w:p>
        </w:tc>
      </w:tr>
      <w:tr>
        <w:trPr/>
        <w:tc>
          <w:tcPr>
            <w:tcW w:w="4104"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2730" w:type="dxa"/>
            <w:gridSpan w:val="7"/>
            <w:tcBorders>
              <w:top w:val="double" w:sz="6" w:space="0" w:color="000000"/>
            </w:tcBorders>
            <w:shd w:fill="auto" w:val="clear"/>
            <w:tcMar>
              <w:top w:w="28" w:type="dxa"/>
            </w:tcMar>
            <w:vAlign w:val="center"/>
          </w:tcPr>
          <w:p>
            <w:pPr>
              <w:pStyle w:val="TableContents"/>
              <w:spacing w:before="0" w:after="283"/>
              <w:jc w:val="left"/>
              <w:rPr/>
            </w:pPr>
            <w:r>
              <w:rPr/>
              <w:t> </w:t>
            </w:r>
          </w:p>
        </w:tc>
        <w:tc>
          <w:tcPr>
            <w:tcW w:w="374" w:type="dxa"/>
            <w:tcBorders/>
            <w:shd w:fill="auto" w:val="clear"/>
            <w:vAlign w:val="center"/>
          </w:tcPr>
          <w:p>
            <w:pPr>
              <w:pStyle w:val="TableContents"/>
              <w:spacing w:before="0" w:after="283"/>
              <w:rPr/>
            </w:pPr>
            <w:r>
              <w:rPr/>
              <w:t> </w:t>
            </w:r>
          </w:p>
        </w:tc>
        <w:tc>
          <w:tcPr>
            <w:tcW w:w="2623" w:type="dxa"/>
            <w:gridSpan w:val="7"/>
            <w:tcBorders>
              <w:top w:val="double" w:sz="6" w:space="0" w:color="000000"/>
            </w:tcBorders>
            <w:shd w:fill="auto" w:val="clear"/>
            <w:tcMar>
              <w:top w:w="28" w:type="dxa"/>
            </w:tcMar>
            <w:vAlign w:val="center"/>
          </w:tcPr>
          <w:p>
            <w:pPr>
              <w:pStyle w:val="TableContents"/>
              <w:spacing w:before="0" w:after="283"/>
              <w:jc w:val="left"/>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84"/>
        <w:gridCol w:w="2295"/>
        <w:gridCol w:w="1026"/>
      </w:tblGrid>
      <w:tr>
        <w:trPr/>
        <w:tc>
          <w:tcPr>
            <w:tcW w:w="6884" w:type="dxa"/>
            <w:tcBorders/>
            <w:shd w:fill="auto" w:val="clear"/>
            <w:vAlign w:val="center"/>
          </w:tcPr>
          <w:p>
            <w:pPr>
              <w:pStyle w:val="TableContents"/>
              <w:spacing w:before="0" w:after="283"/>
              <w:rPr>
                <w:sz w:val="4"/>
                <w:szCs w:val="4"/>
              </w:rPr>
            </w:pPr>
            <w:r>
              <w:rPr>
                <w:sz w:val="4"/>
                <w:szCs w:val="4"/>
              </w:rPr>
            </w:r>
          </w:p>
        </w:tc>
        <w:tc>
          <w:tcPr>
            <w:tcW w:w="2295" w:type="dxa"/>
            <w:tcBorders/>
            <w:shd w:fill="auto" w:val="clear"/>
            <w:vAlign w:val="center"/>
          </w:tcPr>
          <w:p>
            <w:pPr>
              <w:pStyle w:val="TableContents"/>
              <w:spacing w:before="0" w:after="283"/>
              <w:rPr>
                <w:sz w:val="4"/>
                <w:szCs w:val="4"/>
              </w:rPr>
            </w:pPr>
            <w:r>
              <w:rPr>
                <w:sz w:val="4"/>
                <w:szCs w:val="4"/>
              </w:rPr>
            </w:r>
          </w:p>
        </w:tc>
        <w:tc>
          <w:tcPr>
            <w:tcW w:w="1026" w:type="dxa"/>
            <w:tcBorders/>
            <w:shd w:fill="auto" w:val="clear"/>
            <w:vAlign w:val="center"/>
          </w:tcPr>
          <w:p>
            <w:pPr>
              <w:pStyle w:val="TableContents"/>
              <w:spacing w:before="0" w:after="283"/>
              <w:rPr>
                <w:sz w:val="4"/>
                <w:szCs w:val="4"/>
              </w:rPr>
            </w:pPr>
            <w:r>
              <w:rPr>
                <w:sz w:val="4"/>
                <w:szCs w:val="4"/>
              </w:rPr>
            </w:r>
          </w:p>
        </w:tc>
      </w:tr>
      <w:tr>
        <w:trPr/>
        <w:tc>
          <w:tcPr>
            <w:tcW w:w="6884" w:type="dxa"/>
            <w:tcBorders/>
            <w:shd w:fill="auto" w:val="clear"/>
          </w:tcPr>
          <w:p>
            <w:pPr>
              <w:pStyle w:val="TableContents"/>
              <w:spacing w:before="0" w:after="283"/>
              <w:jc w:val="left"/>
              <w:rPr/>
            </w:pPr>
            <w:r>
              <w:rPr/>
              <w:t>(1)</w:t>
            </w:r>
          </w:p>
        </w:tc>
        <w:tc>
          <w:tcPr>
            <w:tcW w:w="2295" w:type="dxa"/>
            <w:tcBorders/>
            <w:shd w:fill="auto" w:val="clear"/>
          </w:tcPr>
          <w:p>
            <w:pPr>
              <w:pStyle w:val="TableContents"/>
              <w:spacing w:before="0" w:after="283"/>
              <w:rPr/>
            </w:pPr>
            <w:r>
              <w:rPr/>
              <w:t> </w:t>
            </w:r>
          </w:p>
        </w:tc>
        <w:tc>
          <w:tcPr>
            <w:tcW w:w="1026" w:type="dxa"/>
            <w:tcBorders/>
            <w:shd w:fill="auto" w:val="clear"/>
          </w:tcPr>
          <w:p>
            <w:pPr>
              <w:pStyle w:val="TableContents"/>
              <w:spacing w:before="0" w:after="283"/>
              <w:rPr/>
            </w:pPr>
            <w:r>
              <w:rPr/>
              <w:t>APB Opinion No. 28, Interim Financial Reporting, requires that income taxes be recorded based on the estimated effective tax rate expected to be applicable for the entire fiscal year.</w:t>
            </w:r>
          </w:p>
        </w:tc>
      </w:tr>
    </w:tbl>
    <w:p>
      <w:pPr>
        <w:pStyle w:val="TextBody"/>
        <w:spacing w:before="120" w:after="283"/>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has recorded accrued liabilities associated with specific U.S. federal, state, local and foreign tax audit exposures expected to arise in connection with such audits. As of September 30, 2006 and December 31, 2005, Viad had $15.9 million and $36.0 million, respectively, accrued for these exposures, which includes accrued interest. If amounts accrued are less than amounts ultimately assessed by the taxing authorities, Viad would record additional income tax expense in the period in which the assessment is determined. To the extent that the Company has favorable settlements or determines that reserves are no longer needed, such liabilities would be reversed as a reduction of income tax expense (net of federal tax effects, if applicable), or in some cases through discontinued operations, in the period such determination is made. Viads policy is to retain amounts accrued for tax audit exposures until final resolution or settlement with the appropriate taxing authority. Based on tax audits in process and other factors, management currently estimates that tax issues of approximately $6.0 million (exclusive of any federal tax effects) could potentially be resolved or settled during the remainder of 2006 resulting in a decrease of accrued income taxes. To the extent these tax resolutions or settlements occur, they would result in cash payments and/or the reversal of accrued income taxes, which may include amounts related to previously discontinued operations. During the three and nine months ended September 30, 2006, Viad recorded favorable state and foreign tax settlements and refunds in continuing operations of $5.8 million and $10.0 million, respectively. These settlements resulted in a decrease to income tax expense. See Note 19 for a discussion of tax matters related to discontinued operations. </w:t>
      </w:r>
    </w:p>
    <w:p>
      <w:pPr>
        <w:pStyle w:val="TextBody"/>
        <w:spacing w:before="120" w:after="283"/>
        <w:jc w:val="left"/>
        <w:rPr/>
      </w:pPr>
      <w:r>
        <w:rPr/>
        <w:t>     </w:t>
      </w:r>
      <w:r>
        <w:rPr>
          <w:rFonts w:ascii="Times New Roman;Times;serif" w:hAnsi="Times New Roman;Times;serif"/>
          <w:sz w:val="17"/>
        </w:rPr>
        <w:t xml:space="preserve">In addition to the specific tax audit exposures for which Viad has recorded loss liabilities, there are other known tax audit exposures which have been identified in recent and ongoing tax audits for which Viad has not recorded contingent liabilities as potential losses related to those specific issues are not deemed probable. To the extent that the facts and circumstances related to these known tax audit exposures indicate that an unfavorable outcome is probable and can be reasonably estimated, Viad would record accrued liabilities and additional income tax expense in the period for which that assessment is determined. For the specific issues for which Viad can reasonably estimate a range of possible loss, the aggregate decrease to net income could range from $500,000 to $2.0 million. </w:t>
      </w:r>
    </w:p>
    <w:p>
      <w:pPr>
        <w:pStyle w:val="TextBody"/>
        <w:jc w:val="center"/>
        <w:rPr>
          <w:rFonts w:ascii="Times New Roman;Times;serif" w:hAnsi="Times New Roman;Times;serif"/>
          <w:sz w:val="17"/>
        </w:rPr>
      </w:pPr>
      <w:r>
        <w:rPr>
          <w:rFonts w:ascii="Times New Roman;Times;serif" w:hAnsi="Times New Roman;Times;serif"/>
          <w:sz w:val="17"/>
        </w:rPr>
        <w:t xml:space="preserve">Page 13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12. Pension and Other Postretirement Benefit Plans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net periodic costs for defined benefit pension plans and other postretirement benefit plans for the three months ended September 30 included the following components: </w:t>
      </w:r>
    </w:p>
    <w:tbl>
      <w:tblPr>
        <w:tblW w:w="5000" w:type="pct"/>
        <w:jc w:val="center"/>
        <w:tblInd w:w="0" w:type="dxa"/>
        <w:tblCellMar>
          <w:top w:w="0" w:type="dxa"/>
          <w:left w:w="0" w:type="dxa"/>
          <w:bottom w:w="0" w:type="dxa"/>
          <w:right w:w="0" w:type="dxa"/>
        </w:tblCellMar>
      </w:tblPr>
      <w:tblGrid>
        <w:gridCol w:w="3942"/>
        <w:gridCol w:w="348"/>
        <w:gridCol w:w="194"/>
        <w:gridCol w:w="738"/>
        <w:gridCol w:w="151"/>
        <w:gridCol w:w="359"/>
        <w:gridCol w:w="194"/>
        <w:gridCol w:w="739"/>
        <w:gridCol w:w="133"/>
        <w:gridCol w:w="348"/>
        <w:gridCol w:w="249"/>
        <w:gridCol w:w="921"/>
        <w:gridCol w:w="189"/>
        <w:gridCol w:w="383"/>
        <w:gridCol w:w="250"/>
        <w:gridCol w:w="924"/>
        <w:gridCol w:w="143"/>
      </w:tblGrid>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shd w:fill="auto" w:val="clear"/>
            <w:vAlign w:val="bottom"/>
          </w:tcPr>
          <w:p>
            <w:pPr>
              <w:pStyle w:val="TableContents"/>
              <w:spacing w:before="0" w:after="283"/>
              <w:jc w:val="center"/>
              <w:rPr>
                <w:b/>
              </w:rPr>
            </w:pPr>
            <w:r>
              <w:rPr>
                <w:b/>
              </w:rPr>
              <w:t>Other</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37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Pension Benefits</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Postretirement Benefits</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93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9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17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1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2584" w:type="dxa"/>
            <w:gridSpan w:val="6"/>
            <w:tcBorders/>
            <w:shd w:fill="auto" w:val="clear"/>
            <w:vAlign w:val="bottom"/>
          </w:tcPr>
          <w:p>
            <w:pPr>
              <w:pStyle w:val="TableContents"/>
              <w:spacing w:before="0" w:after="283"/>
              <w:jc w:val="center"/>
              <w:rPr>
                <w:b/>
              </w:rPr>
            </w:pPr>
            <w:r>
              <w:rPr>
                <w:b/>
              </w:rPr>
              <w:t>(in thousands)</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Service cost</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8" w:type="dxa"/>
            <w:tcBorders/>
            <w:shd w:fill="CCEEFF" w:val="clear"/>
            <w:vAlign w:val="bottom"/>
          </w:tcPr>
          <w:p>
            <w:pPr>
              <w:pStyle w:val="TableContents"/>
              <w:spacing w:before="0" w:after="283"/>
              <w:jc w:val="right"/>
              <w:rPr/>
            </w:pPr>
            <w:r>
              <w:rPr/>
              <w:t>44</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9" w:type="dxa"/>
            <w:tcBorders/>
            <w:shd w:fill="CCEEFF" w:val="clear"/>
            <w:vAlign w:val="bottom"/>
          </w:tcPr>
          <w:p>
            <w:pPr>
              <w:pStyle w:val="TableContents"/>
              <w:spacing w:before="0" w:after="283"/>
              <w:jc w:val="right"/>
              <w:rPr/>
            </w:pPr>
            <w:r>
              <w:rPr/>
              <w:t>30</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17</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924" w:type="dxa"/>
            <w:tcBorders/>
            <w:shd w:fill="CCEEFF" w:val="clear"/>
            <w:vAlign w:val="bottom"/>
          </w:tcPr>
          <w:p>
            <w:pPr>
              <w:pStyle w:val="TableContents"/>
              <w:spacing w:before="0" w:after="283"/>
              <w:jc w:val="right"/>
              <w:rPr/>
            </w:pPr>
            <w:r>
              <w:rPr/>
              <w:t>17</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Interest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285</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281</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252</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jc w:val="right"/>
              <w:rPr/>
            </w:pPr>
            <w:r>
              <w:rPr/>
              <w:t>234</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Expected return on plan assets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8" w:type="dxa"/>
            <w:tcBorders/>
            <w:shd w:fill="CCEEFF" w:val="clear"/>
            <w:vAlign w:val="bottom"/>
          </w:tcPr>
          <w:p>
            <w:pPr>
              <w:pStyle w:val="TableContents"/>
              <w:spacing w:before="0" w:after="283"/>
              <w:jc w:val="right"/>
              <w:rPr/>
            </w:pPr>
            <w:r>
              <w:rPr/>
              <w:t>(199</w:t>
            </w:r>
          </w:p>
        </w:tc>
        <w:tc>
          <w:tcPr>
            <w:tcW w:w="151"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9" w:type="dxa"/>
            <w:tcBorders/>
            <w:shd w:fill="CCEEFF" w:val="clear"/>
            <w:vAlign w:val="bottom"/>
          </w:tcPr>
          <w:p>
            <w:pPr>
              <w:pStyle w:val="TableContents"/>
              <w:spacing w:before="0" w:after="283"/>
              <w:jc w:val="right"/>
              <w:rPr/>
            </w:pPr>
            <w:r>
              <w:rPr/>
              <w:t>(202</w:t>
            </w:r>
          </w:p>
        </w:tc>
        <w:tc>
          <w:tcPr>
            <w:tcW w:w="133"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 </w:t>
            </w:r>
          </w:p>
        </w:tc>
        <w:tc>
          <w:tcPr>
            <w:tcW w:w="921" w:type="dxa"/>
            <w:tcBorders/>
            <w:shd w:fill="CCEEFF" w:val="clear"/>
            <w:vAlign w:val="bottom"/>
          </w:tcPr>
          <w:p>
            <w:pPr>
              <w:pStyle w:val="TableContents"/>
              <w:spacing w:before="0" w:after="283"/>
              <w:jc w:val="right"/>
              <w:rPr/>
            </w:pPr>
            <w:r>
              <w:rPr/>
              <w:t>(70</w:t>
            </w:r>
          </w:p>
        </w:tc>
        <w:tc>
          <w:tcPr>
            <w:tcW w:w="189" w:type="dxa"/>
            <w:tcBorders/>
            <w:shd w:fill="CCEEFF" w:val="clear"/>
            <w:vAlign w:val="bottom"/>
          </w:tcPr>
          <w:p>
            <w:pPr>
              <w:pStyle w:val="TableContents"/>
              <w:spacing w:before="0" w:after="283"/>
              <w:rPr/>
            </w:pPr>
            <w:r>
              <w:rPr/>
              <w:t>)</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924" w:type="dxa"/>
            <w:tcBorders/>
            <w:shd w:fill="CCEEFF" w:val="clear"/>
            <w:vAlign w:val="bottom"/>
          </w:tcPr>
          <w:p>
            <w:pPr>
              <w:pStyle w:val="TableContents"/>
              <w:spacing w:before="0" w:after="283"/>
              <w:jc w:val="right"/>
              <w:rPr/>
            </w:pPr>
            <w:r>
              <w:rPr/>
              <w:t>(83</w:t>
            </w:r>
          </w:p>
        </w:tc>
        <w:tc>
          <w:tcPr>
            <w:tcW w:w="143" w:type="dxa"/>
            <w:tcBorders/>
            <w:shd w:fill="CCEEFF" w:val="clear"/>
            <w:vAlign w:val="bottom"/>
          </w:tcPr>
          <w:p>
            <w:pPr>
              <w:pStyle w:val="TableContents"/>
              <w:spacing w:before="0" w:after="283"/>
              <w:rPr/>
            </w:pPr>
            <w:r>
              <w:rPr/>
              <w:t>)</w:t>
            </w:r>
          </w:p>
        </w:tc>
      </w:tr>
      <w:tr>
        <w:trPr/>
        <w:tc>
          <w:tcPr>
            <w:tcW w:w="3942" w:type="dxa"/>
            <w:tcBorders/>
            <w:shd w:fill="auto" w:val="clear"/>
            <w:vAlign w:val="bottom"/>
          </w:tcPr>
          <w:p>
            <w:pPr>
              <w:pStyle w:val="TableContents"/>
              <w:spacing w:before="0" w:after="0"/>
              <w:ind w:left="225" w:right="0" w:hanging="225"/>
              <w:rPr/>
            </w:pPr>
            <w:r>
              <w:rPr/>
              <w:t>Amortization of prior service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52</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52</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 </w:t>
            </w:r>
          </w:p>
        </w:tc>
        <w:tc>
          <w:tcPr>
            <w:tcW w:w="921" w:type="dxa"/>
            <w:tcBorders/>
            <w:shd w:fill="auto" w:val="clear"/>
            <w:vAlign w:val="bottom"/>
          </w:tcPr>
          <w:p>
            <w:pPr>
              <w:pStyle w:val="TableContents"/>
              <w:spacing w:before="0" w:after="283"/>
              <w:jc w:val="right"/>
              <w:rPr/>
            </w:pPr>
            <w:r>
              <w:rPr/>
              <w:t>(291</w:t>
            </w:r>
          </w:p>
        </w:tc>
        <w:tc>
          <w:tcPr>
            <w:tcW w:w="189"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924" w:type="dxa"/>
            <w:tcBorders/>
            <w:shd w:fill="auto" w:val="clear"/>
            <w:vAlign w:val="bottom"/>
          </w:tcPr>
          <w:p>
            <w:pPr>
              <w:pStyle w:val="TableContents"/>
              <w:spacing w:before="0" w:after="283"/>
              <w:jc w:val="right"/>
              <w:rPr/>
            </w:pPr>
            <w:r>
              <w:rPr/>
              <w:t>(325</w:t>
            </w:r>
          </w:p>
        </w:tc>
        <w:tc>
          <w:tcPr>
            <w:tcW w:w="143" w:type="dxa"/>
            <w:tcBorders/>
            <w:shd w:fill="auto" w:val="clear"/>
            <w:vAlign w:val="bottom"/>
          </w:tcPr>
          <w:p>
            <w:pPr>
              <w:pStyle w:val="TableContents"/>
              <w:spacing w:before="0" w:after="283"/>
              <w:rPr/>
            </w:pPr>
            <w:r>
              <w:rPr/>
              <w:t>)</w:t>
            </w:r>
          </w:p>
        </w:tc>
      </w:tr>
      <w:tr>
        <w:trPr/>
        <w:tc>
          <w:tcPr>
            <w:tcW w:w="3942" w:type="dxa"/>
            <w:tcBorders/>
            <w:shd w:fill="CCEEFF" w:val="clear"/>
            <w:vAlign w:val="bottom"/>
          </w:tcPr>
          <w:p>
            <w:pPr>
              <w:pStyle w:val="TableContents"/>
              <w:spacing w:before="0" w:after="0"/>
              <w:ind w:left="225" w:right="0" w:hanging="225"/>
              <w:rPr/>
            </w:pPr>
            <w:r>
              <w:rPr/>
              <w:t>Recognized net actuarial loss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pPr>
            <w:r>
              <w:rPr/>
              <w:t>114</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pPr>
            <w:r>
              <w:rPr/>
              <w:t>115</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924"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Net periodic benefit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8" w:type="dxa"/>
            <w:tcBorders/>
            <w:shd w:fill="auto" w:val="clear"/>
            <w:vAlign w:val="bottom"/>
          </w:tcPr>
          <w:p>
            <w:pPr>
              <w:pStyle w:val="TableContents"/>
              <w:spacing w:before="0" w:after="283"/>
              <w:jc w:val="right"/>
              <w:rPr/>
            </w:pPr>
            <w:r>
              <w:rPr/>
              <w:t>296</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9" w:type="dxa"/>
            <w:tcBorders/>
            <w:shd w:fill="auto" w:val="clear"/>
            <w:vAlign w:val="bottom"/>
          </w:tcPr>
          <w:p>
            <w:pPr>
              <w:pStyle w:val="TableContents"/>
              <w:spacing w:before="0" w:after="283"/>
              <w:jc w:val="right"/>
              <w:rPr/>
            </w:pPr>
            <w:r>
              <w:rPr/>
              <w:t>276</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921" w:type="dxa"/>
            <w:tcBorders/>
            <w:shd w:fill="auto" w:val="clear"/>
            <w:vAlign w:val="bottom"/>
          </w:tcPr>
          <w:p>
            <w:pPr>
              <w:pStyle w:val="TableContents"/>
              <w:spacing w:before="0" w:after="283"/>
              <w:jc w:val="right"/>
              <w:rPr/>
            </w:pPr>
            <w:r>
              <w:rPr/>
              <w:t>(92</w:t>
            </w:r>
          </w:p>
        </w:tc>
        <w:tc>
          <w:tcPr>
            <w:tcW w:w="189"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924" w:type="dxa"/>
            <w:tcBorders/>
            <w:shd w:fill="auto" w:val="clear"/>
            <w:vAlign w:val="bottom"/>
          </w:tcPr>
          <w:p>
            <w:pPr>
              <w:pStyle w:val="TableContents"/>
              <w:spacing w:before="0" w:after="283"/>
              <w:jc w:val="right"/>
              <w:rPr/>
            </w:pPr>
            <w:r>
              <w:rPr/>
              <w:t>(157</w:t>
            </w:r>
          </w:p>
        </w:tc>
        <w:tc>
          <w:tcPr>
            <w:tcW w:w="143" w:type="dxa"/>
            <w:tcBorders/>
            <w:shd w:fill="auto" w:val="clear"/>
            <w:vAlign w:val="bottom"/>
          </w:tcPr>
          <w:p>
            <w:pPr>
              <w:pStyle w:val="TableContents"/>
              <w:spacing w:before="0" w:after="283"/>
              <w:rPr/>
            </w:pPr>
            <w:r>
              <w:rPr/>
              <w:t>)</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the nine months ended September 30, the net periodic costs for defined benefit pension plans and other postretirement benefit plans included the following components: </w:t>
      </w:r>
    </w:p>
    <w:tbl>
      <w:tblPr>
        <w:tblW w:w="5000" w:type="pct"/>
        <w:jc w:val="center"/>
        <w:tblInd w:w="0" w:type="dxa"/>
        <w:tblCellMar>
          <w:top w:w="0" w:type="dxa"/>
          <w:left w:w="0" w:type="dxa"/>
          <w:bottom w:w="0" w:type="dxa"/>
          <w:right w:w="0" w:type="dxa"/>
        </w:tblCellMar>
      </w:tblPr>
      <w:tblGrid>
        <w:gridCol w:w="3942"/>
        <w:gridCol w:w="348"/>
        <w:gridCol w:w="194"/>
        <w:gridCol w:w="738"/>
        <w:gridCol w:w="151"/>
        <w:gridCol w:w="359"/>
        <w:gridCol w:w="194"/>
        <w:gridCol w:w="739"/>
        <w:gridCol w:w="133"/>
        <w:gridCol w:w="348"/>
        <w:gridCol w:w="249"/>
        <w:gridCol w:w="921"/>
        <w:gridCol w:w="189"/>
        <w:gridCol w:w="383"/>
        <w:gridCol w:w="250"/>
        <w:gridCol w:w="924"/>
        <w:gridCol w:w="143"/>
      </w:tblGrid>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shd w:fill="auto" w:val="clear"/>
            <w:vAlign w:val="bottom"/>
          </w:tcPr>
          <w:p>
            <w:pPr>
              <w:pStyle w:val="TableContents"/>
              <w:spacing w:before="0" w:after="283"/>
              <w:jc w:val="center"/>
              <w:rPr>
                <w:b/>
              </w:rPr>
            </w:pPr>
            <w:r>
              <w:rPr>
                <w:b/>
              </w:rPr>
              <w:t>Other</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37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Pension Benefits</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Postretirement Benefits</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93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9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17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1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2584" w:type="dxa"/>
            <w:gridSpan w:val="6"/>
            <w:tcBorders/>
            <w:shd w:fill="auto" w:val="clear"/>
            <w:vAlign w:val="bottom"/>
          </w:tcPr>
          <w:p>
            <w:pPr>
              <w:pStyle w:val="TableContents"/>
              <w:spacing w:before="0" w:after="283"/>
              <w:jc w:val="center"/>
              <w:rPr>
                <w:b/>
              </w:rPr>
            </w:pPr>
            <w:r>
              <w:rPr>
                <w:b/>
              </w:rPr>
              <w:t>(in thousands)</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Service cost</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8" w:type="dxa"/>
            <w:tcBorders/>
            <w:shd w:fill="CCEEFF" w:val="clear"/>
            <w:vAlign w:val="bottom"/>
          </w:tcPr>
          <w:p>
            <w:pPr>
              <w:pStyle w:val="TableContents"/>
              <w:spacing w:before="0" w:after="283"/>
              <w:jc w:val="right"/>
              <w:rPr/>
            </w:pPr>
            <w:r>
              <w:rPr/>
              <w:t>148</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9" w:type="dxa"/>
            <w:tcBorders/>
            <w:shd w:fill="CCEEFF" w:val="clear"/>
            <w:vAlign w:val="bottom"/>
          </w:tcPr>
          <w:p>
            <w:pPr>
              <w:pStyle w:val="TableContents"/>
              <w:spacing w:before="0" w:after="283"/>
              <w:jc w:val="right"/>
              <w:rPr/>
            </w:pPr>
            <w:r>
              <w:rPr/>
              <w:t>148</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59</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924" w:type="dxa"/>
            <w:tcBorders/>
            <w:shd w:fill="CCEEFF" w:val="clear"/>
            <w:vAlign w:val="bottom"/>
          </w:tcPr>
          <w:p>
            <w:pPr>
              <w:pStyle w:val="TableContents"/>
              <w:spacing w:before="0" w:after="283"/>
              <w:jc w:val="right"/>
              <w:rPr/>
            </w:pPr>
            <w:r>
              <w:rPr/>
              <w:t>57</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Interest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845</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849</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896</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jc w:val="right"/>
              <w:rPr/>
            </w:pPr>
            <w:r>
              <w:rPr/>
              <w:t>950</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Expected return on plan assets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8" w:type="dxa"/>
            <w:tcBorders/>
            <w:shd w:fill="CCEEFF" w:val="clear"/>
            <w:vAlign w:val="bottom"/>
          </w:tcPr>
          <w:p>
            <w:pPr>
              <w:pStyle w:val="TableContents"/>
              <w:spacing w:before="0" w:after="283"/>
              <w:jc w:val="right"/>
              <w:rPr/>
            </w:pPr>
            <w:r>
              <w:rPr/>
              <w:t>(597</w:t>
            </w:r>
          </w:p>
        </w:tc>
        <w:tc>
          <w:tcPr>
            <w:tcW w:w="151"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9" w:type="dxa"/>
            <w:tcBorders/>
            <w:shd w:fill="CCEEFF" w:val="clear"/>
            <w:vAlign w:val="bottom"/>
          </w:tcPr>
          <w:p>
            <w:pPr>
              <w:pStyle w:val="TableContents"/>
              <w:spacing w:before="0" w:after="283"/>
              <w:jc w:val="right"/>
              <w:rPr/>
            </w:pPr>
            <w:r>
              <w:rPr/>
              <w:t>(636</w:t>
            </w:r>
          </w:p>
        </w:tc>
        <w:tc>
          <w:tcPr>
            <w:tcW w:w="133"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 </w:t>
            </w:r>
          </w:p>
        </w:tc>
        <w:tc>
          <w:tcPr>
            <w:tcW w:w="921" w:type="dxa"/>
            <w:tcBorders/>
            <w:shd w:fill="CCEEFF" w:val="clear"/>
            <w:vAlign w:val="bottom"/>
          </w:tcPr>
          <w:p>
            <w:pPr>
              <w:pStyle w:val="TableContents"/>
              <w:spacing w:before="0" w:after="283"/>
              <w:jc w:val="right"/>
              <w:rPr/>
            </w:pPr>
            <w:r>
              <w:rPr/>
              <w:t>(212</w:t>
            </w:r>
          </w:p>
        </w:tc>
        <w:tc>
          <w:tcPr>
            <w:tcW w:w="189" w:type="dxa"/>
            <w:tcBorders/>
            <w:shd w:fill="CCEEFF" w:val="clear"/>
            <w:vAlign w:val="bottom"/>
          </w:tcPr>
          <w:p>
            <w:pPr>
              <w:pStyle w:val="TableContents"/>
              <w:spacing w:before="0" w:after="283"/>
              <w:rPr/>
            </w:pPr>
            <w:r>
              <w:rPr/>
              <w:t>)</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924" w:type="dxa"/>
            <w:tcBorders/>
            <w:shd w:fill="CCEEFF" w:val="clear"/>
            <w:vAlign w:val="bottom"/>
          </w:tcPr>
          <w:p>
            <w:pPr>
              <w:pStyle w:val="TableContents"/>
              <w:spacing w:before="0" w:after="283"/>
              <w:jc w:val="right"/>
              <w:rPr/>
            </w:pPr>
            <w:r>
              <w:rPr/>
              <w:t>(233</w:t>
            </w:r>
          </w:p>
        </w:tc>
        <w:tc>
          <w:tcPr>
            <w:tcW w:w="143" w:type="dxa"/>
            <w:tcBorders/>
            <w:shd w:fill="CCEEFF" w:val="clear"/>
            <w:vAlign w:val="bottom"/>
          </w:tcPr>
          <w:p>
            <w:pPr>
              <w:pStyle w:val="TableContents"/>
              <w:spacing w:before="0" w:after="283"/>
              <w:rPr/>
            </w:pPr>
            <w:r>
              <w:rPr/>
              <w:t>)</w:t>
            </w:r>
          </w:p>
        </w:tc>
      </w:tr>
      <w:tr>
        <w:trPr/>
        <w:tc>
          <w:tcPr>
            <w:tcW w:w="3942" w:type="dxa"/>
            <w:tcBorders/>
            <w:shd w:fill="auto" w:val="clear"/>
            <w:vAlign w:val="bottom"/>
          </w:tcPr>
          <w:p>
            <w:pPr>
              <w:pStyle w:val="TableContents"/>
              <w:spacing w:before="0" w:after="0"/>
              <w:ind w:left="225" w:right="0" w:hanging="225"/>
              <w:rPr/>
            </w:pPr>
            <w:r>
              <w:rPr/>
              <w:t>Amortization of prior service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156</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156</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 </w:t>
            </w:r>
          </w:p>
        </w:tc>
        <w:tc>
          <w:tcPr>
            <w:tcW w:w="921" w:type="dxa"/>
            <w:tcBorders/>
            <w:shd w:fill="auto" w:val="clear"/>
            <w:vAlign w:val="bottom"/>
          </w:tcPr>
          <w:p>
            <w:pPr>
              <w:pStyle w:val="TableContents"/>
              <w:spacing w:before="0" w:after="283"/>
              <w:jc w:val="right"/>
              <w:rPr/>
            </w:pPr>
            <w:r>
              <w:rPr/>
              <w:t>(871</w:t>
            </w:r>
          </w:p>
        </w:tc>
        <w:tc>
          <w:tcPr>
            <w:tcW w:w="189"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924" w:type="dxa"/>
            <w:tcBorders/>
            <w:shd w:fill="auto" w:val="clear"/>
            <w:vAlign w:val="bottom"/>
          </w:tcPr>
          <w:p>
            <w:pPr>
              <w:pStyle w:val="TableContents"/>
              <w:spacing w:before="0" w:after="283"/>
              <w:jc w:val="right"/>
              <w:rPr/>
            </w:pPr>
            <w:r>
              <w:rPr/>
              <w:t>(859</w:t>
            </w:r>
          </w:p>
        </w:tc>
        <w:tc>
          <w:tcPr>
            <w:tcW w:w="143" w:type="dxa"/>
            <w:tcBorders/>
            <w:shd w:fill="auto" w:val="clear"/>
            <w:vAlign w:val="bottom"/>
          </w:tcPr>
          <w:p>
            <w:pPr>
              <w:pStyle w:val="TableContents"/>
              <w:spacing w:before="0" w:after="283"/>
              <w:rPr/>
            </w:pPr>
            <w:r>
              <w:rPr/>
              <w:t>)</w:t>
            </w:r>
          </w:p>
        </w:tc>
      </w:tr>
      <w:tr>
        <w:trPr/>
        <w:tc>
          <w:tcPr>
            <w:tcW w:w="3942" w:type="dxa"/>
            <w:tcBorders/>
            <w:shd w:fill="CCEEFF" w:val="clear"/>
            <w:vAlign w:val="bottom"/>
          </w:tcPr>
          <w:p>
            <w:pPr>
              <w:pStyle w:val="TableContents"/>
              <w:spacing w:before="0" w:after="0"/>
              <w:ind w:left="225" w:right="0" w:hanging="225"/>
              <w:rPr/>
            </w:pPr>
            <w:r>
              <w:rPr/>
              <w:t>Recognized net actuarial loss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pPr>
            <w:r>
              <w:rPr/>
              <w:t>355</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pPr>
            <w:r>
              <w:rPr/>
              <w:t>313</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291</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924" w:type="dxa"/>
            <w:tcBorders/>
            <w:shd w:fill="CCEEFF" w:val="clear"/>
            <w:vAlign w:val="bottom"/>
          </w:tcPr>
          <w:p>
            <w:pPr>
              <w:pStyle w:val="TableContents"/>
              <w:spacing w:before="0" w:after="283"/>
              <w:jc w:val="right"/>
              <w:rPr/>
            </w:pPr>
            <w:r>
              <w:rPr/>
              <w:t>346</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Net periodic benefit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8" w:type="dxa"/>
            <w:tcBorders/>
            <w:shd w:fill="auto" w:val="clear"/>
            <w:vAlign w:val="bottom"/>
          </w:tcPr>
          <w:p>
            <w:pPr>
              <w:pStyle w:val="TableContents"/>
              <w:spacing w:before="0" w:after="283"/>
              <w:jc w:val="right"/>
              <w:rPr/>
            </w:pPr>
            <w:r>
              <w:rPr/>
              <w:t>907</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9" w:type="dxa"/>
            <w:tcBorders/>
            <w:shd w:fill="auto" w:val="clear"/>
            <w:vAlign w:val="bottom"/>
          </w:tcPr>
          <w:p>
            <w:pPr>
              <w:pStyle w:val="TableContents"/>
              <w:spacing w:before="0" w:after="283"/>
              <w:jc w:val="right"/>
              <w:rPr/>
            </w:pPr>
            <w:r>
              <w:rPr/>
              <w:t>830</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921" w:type="dxa"/>
            <w:tcBorders/>
            <w:shd w:fill="auto" w:val="clear"/>
            <w:vAlign w:val="bottom"/>
          </w:tcPr>
          <w:p>
            <w:pPr>
              <w:pStyle w:val="TableContents"/>
              <w:spacing w:before="0" w:after="283"/>
              <w:jc w:val="right"/>
              <w:rPr/>
            </w:pPr>
            <w:r>
              <w:rPr/>
              <w:t>163</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924" w:type="dxa"/>
            <w:tcBorders/>
            <w:shd w:fill="auto" w:val="clear"/>
            <w:vAlign w:val="bottom"/>
          </w:tcPr>
          <w:p>
            <w:pPr>
              <w:pStyle w:val="TableContents"/>
              <w:spacing w:before="0" w:after="283"/>
              <w:jc w:val="right"/>
              <w:rPr/>
            </w:pPr>
            <w:r>
              <w:rPr/>
              <w:t>261</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Viad expects to contribute approximately $550,000 to its unfunded pension plans and approximately $600,000 to its other postretirement benefit plans in 2006. Viad is not required to contribute to its funded pension plans in 2006. As of September 30, 2006, Viad has contributed $412,000 to its unfunded pension plans and $425,000 to its other postretirement benefit plans.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13. Restructuring Charges and Recoveries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2004, Viad recorded restructuring charges of $853,000 primarily related to planned employee reductions as a result of the spin-off of MoneyGram (see Note 15). All amounts related to this reserve had been paid as of March 31, 2005 and thus, during the three months ended March 31, 2005, the remaining liability of $43,000 was reversed. Viad recorded an additional charge of $850,000 in 2004 as a result of the consolidation of certain leased office space at its corporate headquarters. Viad revised this estimated future obligation during the three months ended September 30, 2006 and 2005 and recorded additional charges of $355,000 and $358,000, respectively. As of September 30, 2006, $1.3 million of the liability remained of which $246,000 was included in the consolidated balance sheets under the caption Other current liabilities and $1.0 million under the caption Other deferred items and insurance liabilities. </w:t>
      </w:r>
    </w:p>
    <w:p>
      <w:pPr>
        <w:pStyle w:val="TextBody"/>
        <w:spacing w:before="120" w:after="283"/>
        <w:jc w:val="left"/>
        <w:rPr/>
      </w:pPr>
      <w:r>
        <w:rPr/>
        <w:t>     </w:t>
      </w:r>
      <w:r>
        <w:rPr>
          <w:rFonts w:ascii="Times New Roman;Times;serif" w:hAnsi="Times New Roman;Times;serif"/>
          <w:sz w:val="17"/>
        </w:rPr>
        <w:t xml:space="preserve">In 2002, Viad approved a restructuring plan related to Exhibitgroup and recorded a charge totaling $20.5 million. The charge consisted of costs associated with the closure and consolidation of certain facilities, severance and other employee benefits and included a provision for the write-down (net of estimated proceeds) of certain inventories and fixed assets, facility closure and lease termination costs (less estimated sublease income) and other exit costs. During the nine months ended September 30, 2006, $24,000 of the reserve was reversed. As of September 30, 2006, there was a remaining liability of $1.3 million (comprised solely of future lease payment obligations), of which $265,000 and $1.1 million were included in the consolidated balance sheets under the captions Other current liabilities and Other deferred items and insurance liabilities, respectively. Payments will continue to be made over the remaining terms of the lease agreements. </w:t>
      </w:r>
    </w:p>
    <w:p>
      <w:pPr>
        <w:pStyle w:val="TextBody"/>
        <w:jc w:val="center"/>
        <w:rPr>
          <w:rFonts w:ascii="Times New Roman;Times;serif" w:hAnsi="Times New Roman;Times;serif"/>
          <w:sz w:val="17"/>
        </w:rPr>
      </w:pPr>
      <w:r>
        <w:rPr>
          <w:rFonts w:ascii="Times New Roman;Times;serif" w:hAnsi="Times New Roman;Times;serif"/>
          <w:sz w:val="17"/>
        </w:rPr>
        <w:t xml:space="preserve">Page 14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In 2001, Viad approved a plan of restructuring and recorded a charge totaling $65.1 million of which $13.6 million related to GES, $47.9 million related to Exhibitgroup and $3.6 million related to corporate activities. The restructuring charge was associated with the closure and consolidation of certain facilities, severance and other employee benefits. During the nine months ended September 30, 2006, $546,000 of the reserve was reversed. As of September 30, 2006, a liability remained of $7.5 million (comprised solely of future lease payment obligations), of which $1.4 million and $6.1 million were included in the consolidated balance sheets under the captions Other current liabilities and Other deferred items and insurance liabilities, respectively. Payments will continue to be made over the remaining terms of the lease agreements. </w:t>
      </w:r>
    </w:p>
    <w:p>
      <w:pPr>
        <w:pStyle w:val="TextBody"/>
        <w:spacing w:before="120" w:after="283"/>
        <w:jc w:val="left"/>
        <w:rPr/>
      </w:pPr>
      <w:r>
        <w:rPr/>
        <w:t>     </w:t>
      </w:r>
      <w:r>
        <w:rPr>
          <w:rFonts w:ascii="Times New Roman;Times;serif" w:hAnsi="Times New Roman;Times;serif"/>
          <w:sz w:val="17"/>
        </w:rPr>
        <w:t xml:space="preserve">A summary of the changes in the 2002 and 2001 restructuring charge liability balances as of September 30, 2006 is as follows: </w:t>
      </w:r>
    </w:p>
    <w:tbl>
      <w:tblPr>
        <w:tblW w:w="5000" w:type="pct"/>
        <w:jc w:val="center"/>
        <w:tblInd w:w="0" w:type="dxa"/>
        <w:tblCellMar>
          <w:top w:w="0" w:type="dxa"/>
          <w:left w:w="0" w:type="dxa"/>
          <w:bottom w:w="0" w:type="dxa"/>
          <w:right w:w="0" w:type="dxa"/>
        </w:tblCellMar>
      </w:tblPr>
      <w:tblGrid>
        <w:gridCol w:w="4717"/>
        <w:gridCol w:w="344"/>
        <w:gridCol w:w="290"/>
        <w:gridCol w:w="1221"/>
        <w:gridCol w:w="135"/>
        <w:gridCol w:w="344"/>
        <w:gridCol w:w="292"/>
        <w:gridCol w:w="1231"/>
        <w:gridCol w:w="135"/>
        <w:gridCol w:w="344"/>
        <w:gridCol w:w="171"/>
        <w:gridCol w:w="840"/>
        <w:gridCol w:w="141"/>
      </w:tblGrid>
      <w:tr>
        <w:trPr/>
        <w:tc>
          <w:tcPr>
            <w:tcW w:w="471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84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r>
      <w:tr>
        <w:trPr/>
        <w:tc>
          <w:tcPr>
            <w:tcW w:w="471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511" w:type="dxa"/>
            <w:gridSpan w:val="2"/>
            <w:tcBorders/>
            <w:shd w:fill="auto" w:val="clear"/>
            <w:vAlign w:val="bottom"/>
          </w:tcPr>
          <w:p>
            <w:pPr>
              <w:pStyle w:val="TableContents"/>
              <w:spacing w:before="0" w:after="283"/>
              <w:jc w:val="center"/>
              <w:rPr>
                <w:b/>
              </w:rPr>
            </w:pPr>
            <w:r>
              <w:rPr>
                <w:b/>
              </w:rPr>
              <w:t>2002</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523" w:type="dxa"/>
            <w:gridSpan w:val="2"/>
            <w:tcBorders/>
            <w:shd w:fill="auto" w:val="clear"/>
            <w:vAlign w:val="bottom"/>
          </w:tcPr>
          <w:p>
            <w:pPr>
              <w:pStyle w:val="TableContents"/>
              <w:spacing w:before="0" w:after="283"/>
              <w:jc w:val="center"/>
              <w:rPr>
                <w:b/>
              </w:rPr>
            </w:pPr>
            <w:r>
              <w:rPr>
                <w:b/>
              </w:rPr>
              <w:t>2001</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011" w:type="dxa"/>
            <w:gridSpan w:val="2"/>
            <w:tcBorders/>
            <w:shd w:fill="auto" w:val="clear"/>
            <w:vAlign w:val="bottom"/>
          </w:tcPr>
          <w:p>
            <w:pPr>
              <w:pStyle w:val="TableContents"/>
              <w:spacing w:before="0" w:after="283"/>
              <w:jc w:val="center"/>
              <w:rPr/>
            </w:pPr>
            <w:r>
              <w:rPr/>
              <w:t> </w:t>
            </w:r>
          </w:p>
        </w:tc>
        <w:tc>
          <w:tcPr>
            <w:tcW w:w="141" w:type="dxa"/>
            <w:tcBorders/>
            <w:shd w:fill="auto" w:val="clear"/>
            <w:vAlign w:val="bottom"/>
          </w:tcPr>
          <w:p>
            <w:pPr>
              <w:pStyle w:val="TableContents"/>
              <w:spacing w:before="0" w:after="283"/>
              <w:rPr/>
            </w:pPr>
            <w:r>
              <w:rPr/>
              <w:t> </w:t>
            </w:r>
          </w:p>
        </w:tc>
      </w:tr>
      <w:tr>
        <w:trPr/>
        <w:tc>
          <w:tcPr>
            <w:tcW w:w="471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51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Restructuring</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5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Restructuring</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01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41" w:type="dxa"/>
            <w:tcBorders/>
            <w:shd w:fill="auto" w:val="clear"/>
            <w:vAlign w:val="bottom"/>
          </w:tcPr>
          <w:p>
            <w:pPr>
              <w:pStyle w:val="TableContents"/>
              <w:spacing w:before="0" w:after="283"/>
              <w:rPr/>
            </w:pPr>
            <w:r>
              <w:rPr/>
              <w:t> </w:t>
            </w:r>
          </w:p>
        </w:tc>
      </w:tr>
      <w:tr>
        <w:trPr/>
        <w:tc>
          <w:tcPr>
            <w:tcW w:w="471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523" w:type="dxa"/>
            <w:gridSpan w:val="2"/>
            <w:tcBorders/>
            <w:shd w:fill="auto" w:val="clear"/>
            <w:vAlign w:val="bottom"/>
          </w:tcPr>
          <w:p>
            <w:pPr>
              <w:pStyle w:val="TableContents"/>
              <w:spacing w:before="0" w:after="283"/>
              <w:jc w:val="center"/>
              <w:rPr>
                <w:b/>
              </w:rPr>
            </w:pPr>
            <w:r>
              <w:rPr>
                <w:b/>
              </w:rPr>
              <w:t>(in thousands)</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84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r>
      <w:tr>
        <w:trPr/>
        <w:tc>
          <w:tcPr>
            <w:tcW w:w="4717" w:type="dxa"/>
            <w:tcBorders/>
            <w:shd w:fill="CCEEFF" w:val="clear"/>
            <w:vAlign w:val="bottom"/>
          </w:tcPr>
          <w:p>
            <w:pPr>
              <w:pStyle w:val="TableContents"/>
              <w:spacing w:before="0" w:after="0"/>
              <w:ind w:left="225" w:right="0" w:hanging="225"/>
              <w:rPr/>
            </w:pPr>
            <w:r>
              <w:rPr/>
              <w:t>Balance at January 1, 2006</w:t>
            </w:r>
          </w:p>
        </w:tc>
        <w:tc>
          <w:tcPr>
            <w:tcW w:w="34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1,574</w:t>
            </w:r>
          </w:p>
        </w:tc>
        <w:tc>
          <w:tcPr>
            <w:tcW w:w="135"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w:t>
            </w:r>
          </w:p>
        </w:tc>
        <w:tc>
          <w:tcPr>
            <w:tcW w:w="1231" w:type="dxa"/>
            <w:tcBorders/>
            <w:shd w:fill="CCEEFF" w:val="clear"/>
            <w:vAlign w:val="bottom"/>
          </w:tcPr>
          <w:p>
            <w:pPr>
              <w:pStyle w:val="TableContents"/>
              <w:spacing w:before="0" w:after="283"/>
              <w:jc w:val="right"/>
              <w:rPr/>
            </w:pPr>
            <w:r>
              <w:rPr/>
              <w:t>8,986</w:t>
            </w:r>
          </w:p>
        </w:tc>
        <w:tc>
          <w:tcPr>
            <w:tcW w:w="135"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840" w:type="dxa"/>
            <w:tcBorders/>
            <w:shd w:fill="CCEEFF" w:val="clear"/>
            <w:vAlign w:val="bottom"/>
          </w:tcPr>
          <w:p>
            <w:pPr>
              <w:pStyle w:val="TableContents"/>
              <w:spacing w:before="0" w:after="283"/>
              <w:jc w:val="right"/>
              <w:rPr/>
            </w:pPr>
            <w:r>
              <w:rPr/>
              <w:t>10,560</w:t>
            </w:r>
          </w:p>
        </w:tc>
        <w:tc>
          <w:tcPr>
            <w:tcW w:w="141" w:type="dxa"/>
            <w:tcBorders/>
            <w:shd w:fill="CCEEFF" w:val="clear"/>
            <w:vAlign w:val="bottom"/>
          </w:tcPr>
          <w:p>
            <w:pPr>
              <w:pStyle w:val="TableContents"/>
              <w:spacing w:before="0" w:after="283"/>
              <w:rPr/>
            </w:pPr>
            <w:r>
              <w:rPr/>
              <w:t> </w:t>
            </w:r>
          </w:p>
        </w:tc>
      </w:tr>
      <w:tr>
        <w:trPr/>
        <w:tc>
          <w:tcPr>
            <w:tcW w:w="4717" w:type="dxa"/>
            <w:tcBorders/>
            <w:shd w:fill="auto" w:val="clear"/>
            <w:vAlign w:val="bottom"/>
          </w:tcPr>
          <w:p>
            <w:pPr>
              <w:pStyle w:val="TableContents"/>
              <w:spacing w:before="0" w:after="0"/>
              <w:ind w:left="225" w:right="0" w:hanging="225"/>
              <w:rPr/>
            </w:pPr>
            <w:r>
              <w:rPr/>
              <w:t>Cash payments</w:t>
            </w:r>
          </w:p>
        </w:tc>
        <w:tc>
          <w:tcPr>
            <w:tcW w:w="34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left"/>
              <w:rPr/>
            </w:pPr>
            <w:r>
              <w:rPr/>
              <w:t> </w:t>
            </w:r>
          </w:p>
        </w:tc>
        <w:tc>
          <w:tcPr>
            <w:tcW w:w="1221" w:type="dxa"/>
            <w:tcBorders/>
            <w:shd w:fill="auto" w:val="clear"/>
            <w:vAlign w:val="bottom"/>
          </w:tcPr>
          <w:p>
            <w:pPr>
              <w:pStyle w:val="TableContents"/>
              <w:spacing w:before="0" w:after="283"/>
              <w:jc w:val="right"/>
              <w:rPr/>
            </w:pPr>
            <w:r>
              <w:rPr/>
              <w:t>(220</w:t>
            </w:r>
          </w:p>
        </w:tc>
        <w:tc>
          <w:tcPr>
            <w:tcW w:w="135" w:type="dxa"/>
            <w:tcBorders/>
            <w:shd w:fill="auto" w:val="clear"/>
            <w:vAlign w:val="bottom"/>
          </w:tcPr>
          <w:p>
            <w:pPr>
              <w:pStyle w:val="TableContents"/>
              <w:spacing w:before="0" w:after="283"/>
              <w:rPr/>
            </w:pPr>
            <w:r>
              <w:rPr/>
              <w:t>)</w:t>
            </w:r>
          </w:p>
        </w:tc>
        <w:tc>
          <w:tcPr>
            <w:tcW w:w="344"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jc w:val="left"/>
              <w:rPr/>
            </w:pPr>
            <w:r>
              <w:rPr/>
              <w:t> </w:t>
            </w:r>
          </w:p>
        </w:tc>
        <w:tc>
          <w:tcPr>
            <w:tcW w:w="1231" w:type="dxa"/>
            <w:tcBorders/>
            <w:shd w:fill="auto" w:val="clear"/>
            <w:vAlign w:val="bottom"/>
          </w:tcPr>
          <w:p>
            <w:pPr>
              <w:pStyle w:val="TableContents"/>
              <w:spacing w:before="0" w:after="283"/>
              <w:jc w:val="right"/>
              <w:rPr/>
            </w:pPr>
            <w:r>
              <w:rPr/>
              <w:t>(948</w:t>
            </w:r>
          </w:p>
        </w:tc>
        <w:tc>
          <w:tcPr>
            <w:tcW w:w="135" w:type="dxa"/>
            <w:tcBorders/>
            <w:shd w:fill="auto" w:val="clear"/>
            <w:vAlign w:val="bottom"/>
          </w:tcPr>
          <w:p>
            <w:pPr>
              <w:pStyle w:val="TableContents"/>
              <w:spacing w:before="0" w:after="283"/>
              <w:rPr/>
            </w:pPr>
            <w:r>
              <w:rPr/>
              <w:t>)</w:t>
            </w:r>
          </w:p>
        </w:tc>
        <w:tc>
          <w:tcPr>
            <w:tcW w:w="344"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 </w:t>
            </w:r>
          </w:p>
        </w:tc>
        <w:tc>
          <w:tcPr>
            <w:tcW w:w="840" w:type="dxa"/>
            <w:tcBorders/>
            <w:shd w:fill="auto" w:val="clear"/>
            <w:vAlign w:val="bottom"/>
          </w:tcPr>
          <w:p>
            <w:pPr>
              <w:pStyle w:val="TableContents"/>
              <w:spacing w:before="0" w:after="283"/>
              <w:jc w:val="right"/>
              <w:rPr/>
            </w:pPr>
            <w:r>
              <w:rPr/>
              <w:t>(1,168</w:t>
            </w:r>
          </w:p>
        </w:tc>
        <w:tc>
          <w:tcPr>
            <w:tcW w:w="141" w:type="dxa"/>
            <w:tcBorders/>
            <w:shd w:fill="auto" w:val="clear"/>
            <w:vAlign w:val="bottom"/>
          </w:tcPr>
          <w:p>
            <w:pPr>
              <w:pStyle w:val="TableContents"/>
              <w:spacing w:before="0" w:after="283"/>
              <w:rPr/>
            </w:pPr>
            <w:r>
              <w:rPr/>
              <w:t>)</w:t>
            </w:r>
          </w:p>
        </w:tc>
      </w:tr>
      <w:tr>
        <w:trPr/>
        <w:tc>
          <w:tcPr>
            <w:tcW w:w="4717" w:type="dxa"/>
            <w:tcBorders/>
            <w:shd w:fill="CCEEFF" w:val="clear"/>
            <w:vAlign w:val="bottom"/>
          </w:tcPr>
          <w:p>
            <w:pPr>
              <w:pStyle w:val="TableContents"/>
              <w:spacing w:before="0" w:after="0"/>
              <w:ind w:left="225" w:right="0" w:hanging="225"/>
              <w:rPr/>
            </w:pPr>
            <w:r>
              <w:rPr/>
              <w:t>Adjustment to liability</w:t>
            </w:r>
          </w:p>
        </w:tc>
        <w:tc>
          <w:tcPr>
            <w:tcW w:w="34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(24</w:t>
            </w:r>
          </w:p>
        </w:tc>
        <w:tc>
          <w:tcPr>
            <w:tcW w:w="135" w:type="dxa"/>
            <w:tcBorders/>
            <w:shd w:fill="CCEEFF" w:val="clear"/>
            <w:vAlign w:val="bottom"/>
          </w:tcPr>
          <w:p>
            <w:pPr>
              <w:pStyle w:val="TableContents"/>
              <w:spacing w:before="0" w:after="283"/>
              <w:rPr/>
            </w:pPr>
            <w:r>
              <w:rPr/>
              <w:t>)</w:t>
            </w:r>
          </w:p>
        </w:tc>
        <w:tc>
          <w:tcPr>
            <w:tcW w:w="344"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 </w:t>
            </w:r>
          </w:p>
        </w:tc>
        <w:tc>
          <w:tcPr>
            <w:tcW w:w="1231" w:type="dxa"/>
            <w:tcBorders/>
            <w:shd w:fill="CCEEFF" w:val="clear"/>
            <w:vAlign w:val="bottom"/>
          </w:tcPr>
          <w:p>
            <w:pPr>
              <w:pStyle w:val="TableContents"/>
              <w:spacing w:before="0" w:after="283"/>
              <w:jc w:val="right"/>
              <w:rPr/>
            </w:pPr>
            <w:r>
              <w:rPr/>
              <w:t>(546</w:t>
            </w:r>
          </w:p>
        </w:tc>
        <w:tc>
          <w:tcPr>
            <w:tcW w:w="135" w:type="dxa"/>
            <w:tcBorders/>
            <w:shd w:fill="CCEEFF" w:val="clear"/>
            <w:vAlign w:val="bottom"/>
          </w:tcPr>
          <w:p>
            <w:pPr>
              <w:pStyle w:val="TableContents"/>
              <w:spacing w:before="0" w:after="283"/>
              <w:rPr/>
            </w:pPr>
            <w:r>
              <w:rPr/>
              <w:t>)</w:t>
            </w:r>
          </w:p>
        </w:tc>
        <w:tc>
          <w:tcPr>
            <w:tcW w:w="344"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 </w:t>
            </w:r>
          </w:p>
        </w:tc>
        <w:tc>
          <w:tcPr>
            <w:tcW w:w="840" w:type="dxa"/>
            <w:tcBorders/>
            <w:shd w:fill="CCEEFF" w:val="clear"/>
            <w:vAlign w:val="bottom"/>
          </w:tcPr>
          <w:p>
            <w:pPr>
              <w:pStyle w:val="TableContents"/>
              <w:spacing w:before="0" w:after="283"/>
              <w:jc w:val="right"/>
              <w:rPr/>
            </w:pPr>
            <w:r>
              <w:rPr/>
              <w:t>(570</w:t>
            </w:r>
          </w:p>
        </w:tc>
        <w:tc>
          <w:tcPr>
            <w:tcW w:w="141" w:type="dxa"/>
            <w:tcBorders/>
            <w:shd w:fill="CCEEFF" w:val="clear"/>
            <w:vAlign w:val="bottom"/>
          </w:tcPr>
          <w:p>
            <w:pPr>
              <w:pStyle w:val="TableContents"/>
              <w:spacing w:before="0" w:after="283"/>
              <w:rPr/>
            </w:pPr>
            <w:r>
              <w:rPr/>
              <w:t>)</w:t>
            </w:r>
          </w:p>
        </w:tc>
      </w:tr>
      <w:tr>
        <w:trPr/>
        <w:tc>
          <w:tcPr>
            <w:tcW w:w="4717" w:type="dxa"/>
            <w:tcBorders/>
            <w:shd w:fill="auto" w:val="clear"/>
            <w:vAlign w:val="center"/>
          </w:tcPr>
          <w:p>
            <w:pPr>
              <w:pStyle w:val="TableContents"/>
              <w:spacing w:before="0" w:after="0"/>
              <w:ind w:left="225" w:right="0" w:hanging="225"/>
              <w:rPr/>
            </w:pPr>
            <w:r>
              <w:rPr/>
              <w:t> </w:t>
            </w:r>
          </w:p>
        </w:tc>
        <w:tc>
          <w:tcPr>
            <w:tcW w:w="344" w:type="dxa"/>
            <w:tcBorders/>
            <w:shd w:fill="auto" w:val="clear"/>
            <w:vAlign w:val="center"/>
          </w:tcPr>
          <w:p>
            <w:pPr>
              <w:pStyle w:val="TableContents"/>
              <w:spacing w:before="0" w:after="283"/>
              <w:rPr/>
            </w:pPr>
            <w:r>
              <w:rPr/>
              <w:t> </w:t>
            </w:r>
          </w:p>
        </w:tc>
        <w:tc>
          <w:tcPr>
            <w:tcW w:w="15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10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4717" w:type="dxa"/>
            <w:tcBorders/>
            <w:shd w:fill="auto" w:val="clear"/>
            <w:vAlign w:val="bottom"/>
          </w:tcPr>
          <w:p>
            <w:pPr>
              <w:pStyle w:val="TableContents"/>
              <w:spacing w:before="0" w:after="0"/>
              <w:ind w:left="225" w:right="0" w:hanging="225"/>
              <w:rPr/>
            </w:pPr>
            <w:r>
              <w:rPr/>
              <w:t>Balance at September 30, 2006</w:t>
            </w:r>
          </w:p>
        </w:tc>
        <w:tc>
          <w:tcPr>
            <w:tcW w:w="34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1,330</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jc w:val="left"/>
              <w:rPr/>
            </w:pPr>
            <w:r>
              <w:rPr/>
              <w:t>$</w:t>
            </w:r>
          </w:p>
        </w:tc>
        <w:tc>
          <w:tcPr>
            <w:tcW w:w="1231" w:type="dxa"/>
            <w:tcBorders/>
            <w:shd w:fill="auto" w:val="clear"/>
            <w:vAlign w:val="bottom"/>
          </w:tcPr>
          <w:p>
            <w:pPr>
              <w:pStyle w:val="TableContents"/>
              <w:spacing w:before="0" w:after="283"/>
              <w:jc w:val="right"/>
              <w:rPr/>
            </w:pPr>
            <w:r>
              <w:rPr/>
              <w:t>7,492</w:t>
            </w:r>
          </w:p>
        </w:tc>
        <w:tc>
          <w:tcPr>
            <w:tcW w:w="13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840" w:type="dxa"/>
            <w:tcBorders/>
            <w:shd w:fill="auto" w:val="clear"/>
            <w:vAlign w:val="bottom"/>
          </w:tcPr>
          <w:p>
            <w:pPr>
              <w:pStyle w:val="TableContents"/>
              <w:spacing w:before="0" w:after="283"/>
              <w:jc w:val="right"/>
              <w:rPr/>
            </w:pPr>
            <w:r>
              <w:rPr/>
              <w:t>8,822</w:t>
            </w:r>
          </w:p>
        </w:tc>
        <w:tc>
          <w:tcPr>
            <w:tcW w:w="141" w:type="dxa"/>
            <w:tcBorders/>
            <w:shd w:fill="auto" w:val="clear"/>
            <w:vAlign w:val="bottom"/>
          </w:tcPr>
          <w:p>
            <w:pPr>
              <w:pStyle w:val="TableContents"/>
              <w:spacing w:before="0" w:after="283"/>
              <w:rPr/>
            </w:pPr>
            <w:r>
              <w:rPr/>
              <w:t> </w:t>
            </w:r>
          </w:p>
        </w:tc>
      </w:tr>
      <w:tr>
        <w:trPr/>
        <w:tc>
          <w:tcPr>
            <w:tcW w:w="4717" w:type="dxa"/>
            <w:tcBorders/>
            <w:shd w:fill="auto" w:val="clear"/>
            <w:vAlign w:val="center"/>
          </w:tcPr>
          <w:p>
            <w:pPr>
              <w:pStyle w:val="TableContents"/>
              <w:spacing w:before="0" w:after="0"/>
              <w:ind w:left="225" w:right="0" w:hanging="225"/>
              <w:rPr/>
            </w:pPr>
            <w:r>
              <w:rPr/>
              <w:t> </w:t>
            </w:r>
          </w:p>
        </w:tc>
        <w:tc>
          <w:tcPr>
            <w:tcW w:w="344" w:type="dxa"/>
            <w:tcBorders/>
            <w:shd w:fill="auto" w:val="clear"/>
            <w:vAlign w:val="center"/>
          </w:tcPr>
          <w:p>
            <w:pPr>
              <w:pStyle w:val="TableContents"/>
              <w:spacing w:before="0" w:after="283"/>
              <w:rPr/>
            </w:pPr>
            <w:r>
              <w:rPr/>
              <w:t> </w:t>
            </w:r>
          </w:p>
        </w:tc>
        <w:tc>
          <w:tcPr>
            <w:tcW w:w="15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15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10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14. Litigation, Claims and Other Contingencies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and certain of its subsidiaries are plaintiffs or defendants to various actions, proceedings and legal matters including claims and counter-claims. Some of the foregoing involve, or may involve, compensatory, punitive or other damages. Litigation is subject to many uncertainties and it is possible that some of the legal actions, proceedings or claims could be decided against Viad. Although the amount of liability as of September 30, 2006, with respect to certain of these matters is not ascertainable, Viad believes that any resulting liability, after taking into consideration amounts already provided for, including insurance coverage, will not have a material impact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Included in Viads other current liabilities at December 31, 2005 were retained liabilities of $11.8 million relating to a previously sold manufacturing operation. In June 2006, Viad reversed these liabilities as a result of the expiration of product warranty liabilities and consequently recorded $7.4 million ($11.8 million pre-tax) in income from discontinued operations in the consolidated statements of operations. See Note 19. </w:t>
      </w:r>
    </w:p>
    <w:p>
      <w:pPr>
        <w:pStyle w:val="TextBody"/>
        <w:spacing w:before="120" w:after="283"/>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impact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As of September 30, 2006, Viad had certain obligations under guarantees to third parties on behalf of its subsidiaries. These guarantees are not subject to liability recognition in the consolidated financial statements and primarily relate to leased facilities and credit or loan arrangements with banks, entered into by Viads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as of September 30, 2006 would be $31.8 million, of which $31.3 million related to aggregate guarantees on leased facilities and equipment expiring through January 2015. As of September 30, 2006, the aggregate guarantees related to credit or lease arrangements with banks were $509,000 which expire concurrent with the credit or lease arrangement. There are no recourse provisions that would enable Viad to recover from third parties any payments made under the guarantees. Furthermore, there are no collateral or similar arrangements whereby Viad could recover payments. </w:t>
      </w:r>
    </w:p>
    <w:p>
      <w:pPr>
        <w:pStyle w:val="TextBody"/>
        <w:jc w:val="center"/>
        <w:rPr>
          <w:rFonts w:ascii="Times New Roman;Times;serif" w:hAnsi="Times New Roman;Times;serif"/>
          <w:sz w:val="17"/>
        </w:rPr>
      </w:pPr>
      <w:r>
        <w:rPr>
          <w:rFonts w:ascii="Times New Roman;Times;serif" w:hAnsi="Times New Roman;Times;serif"/>
          <w:sz w:val="17"/>
        </w:rPr>
        <w:t xml:space="preserve">Page 15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Viads Glacier Park, Inc. subsidiary (Glacier Park), an 80 percent owned subsidiary, operates the concession portion of its business under a 25-year concession contract with the U.S. National Park Service (the Park Service) for Glacier National Park and a 42-year lease with the Canadian Government for Waterton Lakes National Park. Glacier Parks lease with the Canadian Government expires in 2010, with Glacier Park having an option to renew for two additional terms of 42 years each. The concession contract with the Park Service expires in December 2007 as the Park Service exercised its right to extend the contract that was to expire on December 31, 2005 for a two-year period and, in its sole discretion, may extend Glacier Parks concession contract for up to one additional year. At the time the Park Service begins the request for proposal process for the Glacier National Park concession contracts, Glacier Park intends to submit a proposal. Contract terms of 10, 15 or 20 years are possible, with a contract of 15 years being the most likely. If Glacier Parks contract expires and a new concessionaire to be selected by the Park Service, Glacier Parks business would consist of the operations at Waterton Lakes National Park and East Glacier, Montana, which are not part of the Park Service concession contract. In such a circumstance, Glacier Park would be entitled to an amount equal to its possessory interest, which generally means the value of the structures acquired or constructed, fixtures installed and improvements made to the concession property at Glacier National Park during the term of the concessions contract, based on the reconstruction cost of a new unit of like kind, less physical depreciation, but not to exceed fair market value. Glacier Park approximated 21 percent of Travel and Recreation Services full year 2005 operating income.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15. Related Party Transactions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June 30, 2004, Viad separated its payment services business from its other businesses by means of a tax-free spin-off. To effect the separation, Travelers Express Company, Inc. became a subsidiary of MoneyGram International, Inc., a newly-formed, wholly-owned subsidiary of Viad, and Viad distributed all of the shares of MoneyGram common stock as a dividend on Viad common stock on the date of the spin-off. Certain members of Viads Board of Directors are also Directors of MoneyGram. </w:t>
      </w:r>
    </w:p>
    <w:p>
      <w:pPr>
        <w:pStyle w:val="TextBody"/>
        <w:spacing w:before="120" w:after="283"/>
        <w:jc w:val="left"/>
        <w:rPr/>
      </w:pPr>
      <w:r>
        <w:rPr/>
        <w:t>     </w:t>
      </w:r>
      <w:r>
        <w:rPr>
          <w:rFonts w:ascii="Times New Roman;Times;serif" w:hAnsi="Times New Roman;Times;serif"/>
          <w:sz w:val="17"/>
        </w:rPr>
        <w:t xml:space="preserve">As discussed in Note 4 above, in January 2005, Viad sold a 50 percent interest in its corporate aircraft to MoneyGram for $8.6 million in cash. No gain or loss was recorded in connection with the transaction. In accordance with the Joint Ownership Agreement entered into at the time of the transaction, Viad and MoneyGram shared the fixed costs of operating the aircraft and each paid the variable costs depending on the usage by each company. During the nine months ended September 30, 2006 and 2005, Viad received aggregate payments of $274,000 and $985,000, respectively, from MoneyGram representing operating cost reimbursements pursuant to the Joint Ownership Agreement. Operating costs reimbursed by MoneyGram were recorded as a reduction of expense under the caption Corporate activities and minority interest in the consolidated statements of operations. In January 2006, Viad sold its remaining 50 percent interest in its corporate aircraft and certain related equipment to MoneyGram for $10.0 million in cash, resulting in a gain of $1.7 million. In conjunction with this sale, the Joint Ownership Agreement was terminated. </w:t>
      </w:r>
    </w:p>
    <w:p>
      <w:pPr>
        <w:pStyle w:val="TextBody"/>
        <w:spacing w:before="120" w:after="283"/>
        <w:jc w:val="left"/>
        <w:rPr/>
      </w:pPr>
      <w:r>
        <w:rPr/>
        <w:t>     </w:t>
      </w:r>
      <w:r>
        <w:rPr>
          <w:rFonts w:ascii="Times New Roman;Times;serif" w:hAnsi="Times New Roman;Times;serif"/>
          <w:sz w:val="17"/>
        </w:rPr>
        <w:t xml:space="preserve">During the nine months ended September 30, 2006, Viad received a $280,000 payment from MoneyGram pursuant to the Tax Sharing Agreement dated June 30, 2004. Additionally, during the nine months ended September 30, 2006 and 2005, Viad received aggregate payments of $281,000 and $1.2 million, respectively, related to certain administrative services provided to MoneyGram pursuant to the Interim Services Agreement dated June 30, 2004. As of September 30, 2006 and December 31, 2005, Viad had amounts receivable from MoneyGram of $7,000 and $319,000, respectively, related to the above activity, which are included in the consolidated balance sheets under the caption Accounts receivable. </w:t>
      </w:r>
    </w:p>
    <w:p>
      <w:pPr>
        <w:pStyle w:val="TextBody"/>
        <w:jc w:val="center"/>
        <w:rPr>
          <w:rFonts w:ascii="Times New Roman;Times;serif" w:hAnsi="Times New Roman;Times;serif"/>
          <w:sz w:val="17"/>
        </w:rPr>
      </w:pPr>
      <w:r>
        <w:rPr>
          <w:rFonts w:ascii="Times New Roman;Times;serif" w:hAnsi="Times New Roman;Times;serif"/>
          <w:sz w:val="17"/>
        </w:rPr>
        <w:t xml:space="preserve">Page 16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16. Segment Information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measures profit and performance of its operations on the basis of segment operating income. Intersegment sales are eliminated in consolidation and intersegment transfers are not significant. Corporate activities include expenses not allocated to operations. Depreciation and amortization are the only significant non-cash items for the reportable segments. Disclosures regarding Viads reportable segments with reconciliations to consolidated totals are as follows: </w:t>
      </w:r>
    </w:p>
    <w:tbl>
      <w:tblPr>
        <w:tblW w:w="5000" w:type="pct"/>
        <w:jc w:val="center"/>
        <w:tblInd w:w="0" w:type="dxa"/>
        <w:tblCellMar>
          <w:top w:w="0" w:type="dxa"/>
          <w:left w:w="0" w:type="dxa"/>
          <w:bottom w:w="0" w:type="dxa"/>
          <w:right w:w="0" w:type="dxa"/>
        </w:tblCellMar>
      </w:tblPr>
      <w:tblGrid>
        <w:gridCol w:w="4251"/>
        <w:gridCol w:w="383"/>
        <w:gridCol w:w="154"/>
        <w:gridCol w:w="835"/>
        <w:gridCol w:w="126"/>
        <w:gridCol w:w="384"/>
        <w:gridCol w:w="154"/>
        <w:gridCol w:w="837"/>
        <w:gridCol w:w="124"/>
        <w:gridCol w:w="383"/>
        <w:gridCol w:w="151"/>
        <w:gridCol w:w="814"/>
        <w:gridCol w:w="124"/>
        <w:gridCol w:w="383"/>
        <w:gridCol w:w="151"/>
        <w:gridCol w:w="815"/>
        <w:gridCol w:w="136"/>
      </w:tblGrid>
      <w:tr>
        <w:trPr/>
        <w:tc>
          <w:tcPr>
            <w:tcW w:w="425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490" w:type="dxa"/>
            <w:gridSpan w:val="6"/>
            <w:tcBorders/>
            <w:shd w:fill="auto" w:val="clear"/>
            <w:vAlign w:val="bottom"/>
          </w:tcPr>
          <w:p>
            <w:pPr>
              <w:pStyle w:val="TableContents"/>
              <w:spacing w:before="0" w:after="283"/>
              <w:jc w:val="center"/>
              <w:rPr>
                <w:b/>
              </w:rPr>
            </w:pPr>
            <w:r>
              <w:rPr>
                <w:b/>
              </w:rPr>
              <w:t>Three months ended</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438" w:type="dxa"/>
            <w:gridSpan w:val="6"/>
            <w:tcBorders/>
            <w:shd w:fill="auto" w:val="clear"/>
            <w:vAlign w:val="bottom"/>
          </w:tcPr>
          <w:p>
            <w:pPr>
              <w:pStyle w:val="TableContents"/>
              <w:spacing w:before="0" w:after="283"/>
              <w:jc w:val="center"/>
              <w:rPr>
                <w:b/>
              </w:rPr>
            </w:pPr>
            <w:r>
              <w:rPr>
                <w:b/>
              </w:rPr>
              <w:t>Nine months ended</w:t>
            </w:r>
          </w:p>
        </w:tc>
        <w:tc>
          <w:tcPr>
            <w:tcW w:w="136" w:type="dxa"/>
            <w:tcBorders/>
            <w:shd w:fill="auto"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49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438"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w:t>
            </w:r>
          </w:p>
        </w:tc>
        <w:tc>
          <w:tcPr>
            <w:tcW w:w="136" w:type="dxa"/>
            <w:tcBorders/>
            <w:shd w:fill="auto"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9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99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96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6" w:type="dxa"/>
            <w:tcBorders/>
            <w:shd w:fill="auto"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463" w:type="dxa"/>
            <w:gridSpan w:val="6"/>
            <w:tcBorders/>
            <w:shd w:fill="auto" w:val="clear"/>
            <w:vAlign w:val="bottom"/>
          </w:tcPr>
          <w:p>
            <w:pPr>
              <w:pStyle w:val="TableContents"/>
              <w:spacing w:before="0" w:after="283"/>
              <w:jc w:val="center"/>
              <w:rPr>
                <w:b/>
              </w:rPr>
            </w:pPr>
            <w:r>
              <w:rPr>
                <w:b/>
              </w:rPr>
              <w:t>(in thousands)</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4251" w:type="dxa"/>
            <w:tcBorders/>
            <w:shd w:fill="CCEEFF" w:val="clear"/>
            <w:vAlign w:val="bottom"/>
          </w:tcPr>
          <w:p>
            <w:pPr>
              <w:pStyle w:val="TableContents"/>
              <w:spacing w:before="0" w:after="0"/>
              <w:ind w:left="225" w:right="0" w:hanging="225"/>
              <w:rPr/>
            </w:pPr>
            <w:r>
              <w:rPr/>
              <w:t>Revenues:</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0"/>
              <w:ind w:left="450" w:right="0" w:hanging="225"/>
              <w:rPr/>
            </w:pPr>
            <w:r>
              <w:rPr/>
              <w:t>GES</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35" w:type="dxa"/>
            <w:tcBorders/>
            <w:shd w:fill="auto" w:val="clear"/>
            <w:vAlign w:val="bottom"/>
          </w:tcPr>
          <w:p>
            <w:pPr>
              <w:pStyle w:val="TableContents"/>
              <w:spacing w:before="0" w:after="283"/>
              <w:jc w:val="right"/>
              <w:rPr/>
            </w:pPr>
            <w:r>
              <w:rPr/>
              <w:t>151,737</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119,591</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14" w:type="dxa"/>
            <w:tcBorders/>
            <w:shd w:fill="auto" w:val="clear"/>
            <w:vAlign w:val="bottom"/>
          </w:tcPr>
          <w:p>
            <w:pPr>
              <w:pStyle w:val="TableContents"/>
              <w:spacing w:before="0" w:after="283"/>
              <w:jc w:val="right"/>
              <w:rPr/>
            </w:pPr>
            <w:r>
              <w:rPr/>
              <w:t>515,200</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15" w:type="dxa"/>
            <w:tcBorders/>
            <w:shd w:fill="auto" w:val="clear"/>
            <w:vAlign w:val="bottom"/>
          </w:tcPr>
          <w:p>
            <w:pPr>
              <w:pStyle w:val="TableContents"/>
              <w:spacing w:before="0" w:after="283"/>
              <w:jc w:val="right"/>
              <w:rPr/>
            </w:pPr>
            <w:r>
              <w:rPr/>
              <w:t>468,361</w:t>
            </w:r>
          </w:p>
        </w:tc>
        <w:tc>
          <w:tcPr>
            <w:tcW w:w="136" w:type="dxa"/>
            <w:tcBorders/>
            <w:shd w:fill="auto" w:val="clear"/>
            <w:vAlign w:val="bottom"/>
          </w:tcPr>
          <w:p>
            <w:pPr>
              <w:pStyle w:val="TableContents"/>
              <w:spacing w:before="0" w:after="283"/>
              <w:rPr/>
            </w:pPr>
            <w:r>
              <w:rPr/>
              <w:t> </w:t>
            </w:r>
          </w:p>
        </w:tc>
      </w:tr>
      <w:tr>
        <w:trPr/>
        <w:tc>
          <w:tcPr>
            <w:tcW w:w="4251" w:type="dxa"/>
            <w:tcBorders/>
            <w:shd w:fill="CCEEFF" w:val="clear"/>
            <w:vAlign w:val="bottom"/>
          </w:tcPr>
          <w:p>
            <w:pPr>
              <w:pStyle w:val="TableContents"/>
              <w:spacing w:before="0" w:after="0"/>
              <w:ind w:left="450" w:right="0" w:hanging="225"/>
              <w:rPr/>
            </w:pPr>
            <w:r>
              <w:rPr/>
              <w:t>Exhibitgroup</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pPr>
            <w:r>
              <w:rPr/>
              <w:t>31,953</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27,279</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113,575</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132,228</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0"/>
              <w:ind w:left="450" w:right="0" w:hanging="225"/>
              <w:rPr/>
            </w:pPr>
            <w:r>
              <w:rPr/>
              <w:t>Travel and Recreation Services</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jc w:val="right"/>
              <w:rPr/>
            </w:pPr>
            <w:r>
              <w:rPr/>
              <w:t>46,858</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44,267</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72,952</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67,091</w:t>
            </w:r>
          </w:p>
        </w:tc>
        <w:tc>
          <w:tcPr>
            <w:tcW w:w="136" w:type="dxa"/>
            <w:tcBorders/>
            <w:shd w:fill="auto" w:val="clear"/>
            <w:vAlign w:val="bottom"/>
          </w:tcPr>
          <w:p>
            <w:pPr>
              <w:pStyle w:val="TableContents"/>
              <w:spacing w:before="0" w:after="283"/>
              <w:rPr/>
            </w:pPr>
            <w:r>
              <w:rPr/>
              <w:t> </w:t>
            </w:r>
          </w:p>
        </w:tc>
      </w:tr>
      <w:tr>
        <w:trPr/>
        <w:tc>
          <w:tcPr>
            <w:tcW w:w="4251"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9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4251" w:type="dxa"/>
            <w:tcBorders/>
            <w:shd w:fill="CCEEFF" w:val="clear"/>
            <w:vAlign w:val="bottom"/>
          </w:tcPr>
          <w:p>
            <w:pPr>
              <w:pStyle w:val="TableContents"/>
              <w:spacing w:before="0" w:after="0"/>
              <w:ind w:left="225" w:right="0" w:hanging="225"/>
              <w:rPr/>
            </w:pPr>
            <w:r>
              <w:rPr/>
              <w:t> </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35" w:type="dxa"/>
            <w:tcBorders/>
            <w:shd w:fill="CCEEFF" w:val="clear"/>
            <w:vAlign w:val="bottom"/>
          </w:tcPr>
          <w:p>
            <w:pPr>
              <w:pStyle w:val="TableContents"/>
              <w:spacing w:before="0" w:after="283"/>
              <w:jc w:val="right"/>
              <w:rPr/>
            </w:pPr>
            <w:r>
              <w:rPr/>
              <w:t>230,548</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191,137</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4" w:type="dxa"/>
            <w:tcBorders/>
            <w:shd w:fill="CCEEFF" w:val="clear"/>
            <w:vAlign w:val="bottom"/>
          </w:tcPr>
          <w:p>
            <w:pPr>
              <w:pStyle w:val="TableContents"/>
              <w:spacing w:before="0" w:after="283"/>
              <w:jc w:val="right"/>
              <w:rPr/>
            </w:pPr>
            <w:r>
              <w:rPr/>
              <w:t>701,727</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5" w:type="dxa"/>
            <w:tcBorders/>
            <w:shd w:fill="CCEEFF" w:val="clear"/>
            <w:vAlign w:val="bottom"/>
          </w:tcPr>
          <w:p>
            <w:pPr>
              <w:pStyle w:val="TableContents"/>
              <w:spacing w:before="0" w:after="283"/>
              <w:jc w:val="right"/>
              <w:rPr/>
            </w:pPr>
            <w:r>
              <w:rPr/>
              <w:t>667,680</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9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4251"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0"/>
              <w:ind w:left="225" w:right="0" w:hanging="225"/>
              <w:rPr/>
            </w:pPr>
            <w:r>
              <w:rPr/>
              <w:t>Segment operating income:</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4251" w:type="dxa"/>
            <w:tcBorders/>
            <w:shd w:fill="CCEEFF" w:val="clear"/>
            <w:vAlign w:val="bottom"/>
          </w:tcPr>
          <w:p>
            <w:pPr>
              <w:pStyle w:val="TableContents"/>
              <w:spacing w:before="0" w:after="0"/>
              <w:ind w:left="450" w:right="0" w:hanging="225"/>
              <w:rPr/>
            </w:pPr>
            <w:r>
              <w:rPr/>
              <w:t>GES</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35" w:type="dxa"/>
            <w:tcBorders/>
            <w:shd w:fill="CCEEFF" w:val="clear"/>
            <w:vAlign w:val="bottom"/>
          </w:tcPr>
          <w:p>
            <w:pPr>
              <w:pStyle w:val="TableContents"/>
              <w:spacing w:before="0" w:after="283"/>
              <w:jc w:val="right"/>
              <w:rPr/>
            </w:pPr>
            <w:r>
              <w:rPr/>
              <w:t>9,600</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1,545</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4" w:type="dxa"/>
            <w:tcBorders/>
            <w:shd w:fill="CCEEFF" w:val="clear"/>
            <w:vAlign w:val="bottom"/>
          </w:tcPr>
          <w:p>
            <w:pPr>
              <w:pStyle w:val="TableContents"/>
              <w:spacing w:before="0" w:after="283"/>
              <w:jc w:val="right"/>
              <w:rPr/>
            </w:pPr>
            <w:r>
              <w:rPr/>
              <w:t>50,373</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5" w:type="dxa"/>
            <w:tcBorders/>
            <w:shd w:fill="CCEEFF" w:val="clear"/>
            <w:vAlign w:val="bottom"/>
          </w:tcPr>
          <w:p>
            <w:pPr>
              <w:pStyle w:val="TableContents"/>
              <w:spacing w:before="0" w:after="283"/>
              <w:jc w:val="right"/>
              <w:rPr/>
            </w:pPr>
            <w:r>
              <w:rPr/>
              <w:t>44,441</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0"/>
              <w:ind w:left="450" w:right="0" w:hanging="225"/>
              <w:rPr/>
            </w:pPr>
            <w:r>
              <w:rPr/>
              <w:t>Exhibitgroup</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35" w:type="dxa"/>
            <w:tcBorders/>
            <w:shd w:fill="auto" w:val="clear"/>
            <w:vAlign w:val="bottom"/>
          </w:tcPr>
          <w:p>
            <w:pPr>
              <w:pStyle w:val="TableContents"/>
              <w:spacing w:before="0" w:after="283"/>
              <w:jc w:val="right"/>
              <w:rPr/>
            </w:pPr>
            <w:r>
              <w:rPr/>
              <w:t>(2,816</w:t>
            </w:r>
          </w:p>
        </w:tc>
        <w:tc>
          <w:tcPr>
            <w:tcW w:w="126"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37" w:type="dxa"/>
            <w:tcBorders/>
            <w:shd w:fill="auto" w:val="clear"/>
            <w:vAlign w:val="bottom"/>
          </w:tcPr>
          <w:p>
            <w:pPr>
              <w:pStyle w:val="TableContents"/>
              <w:spacing w:before="0" w:after="283"/>
              <w:jc w:val="right"/>
              <w:rPr/>
            </w:pPr>
            <w:r>
              <w:rPr/>
              <w:t>(4,236</w:t>
            </w:r>
          </w:p>
        </w:tc>
        <w:tc>
          <w:tcPr>
            <w:tcW w:w="124"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4" w:type="dxa"/>
            <w:tcBorders/>
            <w:shd w:fill="auto" w:val="clear"/>
            <w:vAlign w:val="bottom"/>
          </w:tcPr>
          <w:p>
            <w:pPr>
              <w:pStyle w:val="TableContents"/>
              <w:spacing w:before="0" w:after="283"/>
              <w:jc w:val="right"/>
              <w:rPr/>
            </w:pPr>
            <w:r>
              <w:rPr/>
              <w:t>(3,166</w:t>
            </w:r>
          </w:p>
        </w:tc>
        <w:tc>
          <w:tcPr>
            <w:tcW w:w="124"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5" w:type="dxa"/>
            <w:tcBorders/>
            <w:shd w:fill="auto" w:val="clear"/>
            <w:vAlign w:val="bottom"/>
          </w:tcPr>
          <w:p>
            <w:pPr>
              <w:pStyle w:val="TableContents"/>
              <w:spacing w:before="0" w:after="283"/>
              <w:jc w:val="right"/>
              <w:rPr/>
            </w:pPr>
            <w:r>
              <w:rPr/>
              <w:t>(4,079</w:t>
            </w:r>
          </w:p>
        </w:tc>
        <w:tc>
          <w:tcPr>
            <w:tcW w:w="136" w:type="dxa"/>
            <w:tcBorders/>
            <w:shd w:fill="auto" w:val="clear"/>
            <w:vAlign w:val="bottom"/>
          </w:tcPr>
          <w:p>
            <w:pPr>
              <w:pStyle w:val="TableContents"/>
              <w:spacing w:before="0" w:after="283"/>
              <w:rPr/>
            </w:pPr>
            <w:r>
              <w:rPr/>
              <w:t>)</w:t>
            </w:r>
          </w:p>
        </w:tc>
      </w:tr>
      <w:tr>
        <w:trPr/>
        <w:tc>
          <w:tcPr>
            <w:tcW w:w="4251" w:type="dxa"/>
            <w:tcBorders/>
            <w:shd w:fill="CCEEFF" w:val="clear"/>
            <w:vAlign w:val="bottom"/>
          </w:tcPr>
          <w:p>
            <w:pPr>
              <w:pStyle w:val="TableContents"/>
              <w:spacing w:before="0" w:after="0"/>
              <w:ind w:left="450" w:right="0" w:hanging="225"/>
              <w:rPr/>
            </w:pPr>
            <w:r>
              <w:rPr/>
              <w:t>Travel and Recreation Services</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pPr>
            <w:r>
              <w:rPr/>
              <w:t>20,845</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19,057</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23,931</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21,060</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9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4251"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jc w:val="right"/>
              <w:rPr/>
            </w:pPr>
            <w:r>
              <w:rPr/>
              <w:t>27,629</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16,366</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71,138</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61,422</w:t>
            </w:r>
          </w:p>
        </w:tc>
        <w:tc>
          <w:tcPr>
            <w:tcW w:w="136" w:type="dxa"/>
            <w:tcBorders/>
            <w:shd w:fill="auto" w:val="clear"/>
            <w:vAlign w:val="bottom"/>
          </w:tcPr>
          <w:p>
            <w:pPr>
              <w:pStyle w:val="TableContents"/>
              <w:spacing w:before="0" w:after="283"/>
              <w:rPr/>
            </w:pPr>
            <w:r>
              <w:rPr/>
              <w:t> </w:t>
            </w:r>
          </w:p>
        </w:tc>
      </w:tr>
      <w:tr>
        <w:trPr/>
        <w:tc>
          <w:tcPr>
            <w:tcW w:w="4251" w:type="dxa"/>
            <w:tcBorders/>
            <w:shd w:fill="CCEEFF" w:val="clear"/>
            <w:vAlign w:val="bottom"/>
          </w:tcPr>
          <w:p>
            <w:pPr>
              <w:pStyle w:val="TableContents"/>
              <w:spacing w:before="0" w:after="0"/>
              <w:ind w:left="225" w:right="0" w:hanging="225"/>
              <w:rPr/>
            </w:pPr>
            <w:r>
              <w:rPr/>
              <w:t>Corporate activities and minority interest</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835" w:type="dxa"/>
            <w:tcBorders/>
            <w:shd w:fill="CCEEFF" w:val="clear"/>
            <w:vAlign w:val="bottom"/>
          </w:tcPr>
          <w:p>
            <w:pPr>
              <w:pStyle w:val="TableContents"/>
              <w:spacing w:before="0" w:after="283"/>
              <w:jc w:val="right"/>
              <w:rPr/>
            </w:pPr>
            <w:r>
              <w:rPr/>
              <w:t>(4,243</w:t>
            </w:r>
          </w:p>
        </w:tc>
        <w:tc>
          <w:tcPr>
            <w:tcW w:w="126" w:type="dxa"/>
            <w:tcBorders/>
            <w:shd w:fill="CCEEFF" w:val="clear"/>
            <w:vAlign w:val="bottom"/>
          </w:tcPr>
          <w:p>
            <w:pPr>
              <w:pStyle w:val="TableContents"/>
              <w:spacing w:before="0" w:after="283"/>
              <w:rPr/>
            </w:pPr>
            <w:r>
              <w:rPr/>
              <w:t>)</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837" w:type="dxa"/>
            <w:tcBorders/>
            <w:shd w:fill="CCEEFF" w:val="clear"/>
            <w:vAlign w:val="bottom"/>
          </w:tcPr>
          <w:p>
            <w:pPr>
              <w:pStyle w:val="TableContents"/>
              <w:spacing w:before="0" w:after="283"/>
              <w:jc w:val="right"/>
              <w:rPr/>
            </w:pPr>
            <w:r>
              <w:rPr/>
              <w:t>(4,103</w:t>
            </w:r>
          </w:p>
        </w:tc>
        <w:tc>
          <w:tcPr>
            <w:tcW w:w="124" w:type="dxa"/>
            <w:tcBorders/>
            <w:shd w:fill="CCEEFF" w:val="clear"/>
            <w:vAlign w:val="bottom"/>
          </w:tcPr>
          <w:p>
            <w:pPr>
              <w:pStyle w:val="TableContents"/>
              <w:spacing w:before="0" w:after="283"/>
              <w:rPr/>
            </w:pPr>
            <w:r>
              <w:rPr/>
              <w:t>)</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4" w:type="dxa"/>
            <w:tcBorders/>
            <w:shd w:fill="CCEEFF" w:val="clear"/>
            <w:vAlign w:val="bottom"/>
          </w:tcPr>
          <w:p>
            <w:pPr>
              <w:pStyle w:val="TableContents"/>
              <w:spacing w:before="0" w:after="283"/>
              <w:jc w:val="right"/>
              <w:rPr/>
            </w:pPr>
            <w:r>
              <w:rPr/>
              <w:t>(9,295</w:t>
            </w:r>
          </w:p>
        </w:tc>
        <w:tc>
          <w:tcPr>
            <w:tcW w:w="124" w:type="dxa"/>
            <w:tcBorders/>
            <w:shd w:fill="CCEEFF" w:val="clear"/>
            <w:vAlign w:val="bottom"/>
          </w:tcPr>
          <w:p>
            <w:pPr>
              <w:pStyle w:val="TableContents"/>
              <w:spacing w:before="0" w:after="283"/>
              <w:rPr/>
            </w:pPr>
            <w:r>
              <w:rPr/>
              <w:t>)</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5" w:type="dxa"/>
            <w:tcBorders/>
            <w:shd w:fill="CCEEFF" w:val="clear"/>
            <w:vAlign w:val="bottom"/>
          </w:tcPr>
          <w:p>
            <w:pPr>
              <w:pStyle w:val="TableContents"/>
              <w:spacing w:before="0" w:after="283"/>
              <w:jc w:val="right"/>
              <w:rPr/>
            </w:pPr>
            <w:r>
              <w:rPr/>
              <w:t>(9,869</w:t>
            </w:r>
          </w:p>
        </w:tc>
        <w:tc>
          <w:tcPr>
            <w:tcW w:w="136" w:type="dxa"/>
            <w:tcBorders/>
            <w:shd w:fill="CCEEFF" w:val="clear"/>
            <w:vAlign w:val="bottom"/>
          </w:tcPr>
          <w:p>
            <w:pPr>
              <w:pStyle w:val="TableContents"/>
              <w:spacing w:before="0" w:after="283"/>
              <w:rPr/>
            </w:pPr>
            <w:r>
              <w:rPr/>
              <w:t>)</w:t>
            </w:r>
          </w:p>
        </w:tc>
      </w:tr>
      <w:tr>
        <w:trPr/>
        <w:tc>
          <w:tcPr>
            <w:tcW w:w="4251"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9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4251"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jc w:val="right"/>
              <w:rPr/>
            </w:pPr>
            <w:r>
              <w:rPr/>
              <w:t>23,386</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12,263</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61,843</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51,553</w:t>
            </w:r>
          </w:p>
        </w:tc>
        <w:tc>
          <w:tcPr>
            <w:tcW w:w="136" w:type="dxa"/>
            <w:tcBorders/>
            <w:shd w:fill="auto" w:val="clear"/>
            <w:vAlign w:val="bottom"/>
          </w:tcPr>
          <w:p>
            <w:pPr>
              <w:pStyle w:val="TableContents"/>
              <w:spacing w:before="0" w:after="283"/>
              <w:rPr/>
            </w:pPr>
            <w:r>
              <w:rPr/>
              <w:t> </w:t>
            </w:r>
          </w:p>
        </w:tc>
      </w:tr>
      <w:tr>
        <w:trPr/>
        <w:tc>
          <w:tcPr>
            <w:tcW w:w="4251" w:type="dxa"/>
            <w:tcBorders/>
            <w:shd w:fill="CCEEFF" w:val="clear"/>
            <w:vAlign w:val="bottom"/>
          </w:tcPr>
          <w:p>
            <w:pPr>
              <w:pStyle w:val="TableContents"/>
              <w:spacing w:before="0" w:after="0"/>
              <w:ind w:left="225" w:right="0" w:hanging="225"/>
              <w:rPr/>
            </w:pPr>
            <w:r>
              <w:rPr/>
              <w:t>Interest income</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pPr>
            <w:r>
              <w:rPr/>
              <w:t>2,058</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1,061</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5,791</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2,632</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0"/>
              <w:ind w:left="225" w:right="0" w:hanging="225"/>
              <w:rPr/>
            </w:pPr>
            <w:r>
              <w:rPr/>
              <w:t>Interest expense</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35" w:type="dxa"/>
            <w:tcBorders/>
            <w:shd w:fill="auto" w:val="clear"/>
            <w:vAlign w:val="bottom"/>
          </w:tcPr>
          <w:p>
            <w:pPr>
              <w:pStyle w:val="TableContents"/>
              <w:spacing w:before="0" w:after="283"/>
              <w:jc w:val="right"/>
              <w:rPr/>
            </w:pPr>
            <w:r>
              <w:rPr/>
              <w:t>(444</w:t>
            </w:r>
          </w:p>
        </w:tc>
        <w:tc>
          <w:tcPr>
            <w:tcW w:w="126"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37" w:type="dxa"/>
            <w:tcBorders/>
            <w:shd w:fill="auto" w:val="clear"/>
            <w:vAlign w:val="bottom"/>
          </w:tcPr>
          <w:p>
            <w:pPr>
              <w:pStyle w:val="TableContents"/>
              <w:spacing w:before="0" w:after="283"/>
              <w:jc w:val="right"/>
              <w:rPr/>
            </w:pPr>
            <w:r>
              <w:rPr/>
              <w:t>(713</w:t>
            </w:r>
          </w:p>
        </w:tc>
        <w:tc>
          <w:tcPr>
            <w:tcW w:w="124"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4" w:type="dxa"/>
            <w:tcBorders/>
            <w:shd w:fill="auto" w:val="clear"/>
            <w:vAlign w:val="bottom"/>
          </w:tcPr>
          <w:p>
            <w:pPr>
              <w:pStyle w:val="TableContents"/>
              <w:spacing w:before="0" w:after="283"/>
              <w:jc w:val="right"/>
              <w:rPr/>
            </w:pPr>
            <w:r>
              <w:rPr/>
              <w:t>(1,219</w:t>
            </w:r>
          </w:p>
        </w:tc>
        <w:tc>
          <w:tcPr>
            <w:tcW w:w="124"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5" w:type="dxa"/>
            <w:tcBorders/>
            <w:shd w:fill="auto" w:val="clear"/>
            <w:vAlign w:val="bottom"/>
          </w:tcPr>
          <w:p>
            <w:pPr>
              <w:pStyle w:val="TableContents"/>
              <w:spacing w:before="0" w:after="283"/>
              <w:jc w:val="right"/>
              <w:rPr/>
            </w:pPr>
            <w:r>
              <w:rPr/>
              <w:t>(1,872</w:t>
            </w:r>
          </w:p>
        </w:tc>
        <w:tc>
          <w:tcPr>
            <w:tcW w:w="136" w:type="dxa"/>
            <w:tcBorders/>
            <w:shd w:fill="auto" w:val="clear"/>
            <w:vAlign w:val="bottom"/>
          </w:tcPr>
          <w:p>
            <w:pPr>
              <w:pStyle w:val="TableContents"/>
              <w:spacing w:before="0" w:after="283"/>
              <w:rPr/>
            </w:pPr>
            <w:r>
              <w:rPr/>
              <w:t>)</w:t>
            </w:r>
          </w:p>
        </w:tc>
      </w:tr>
      <w:tr>
        <w:trPr/>
        <w:tc>
          <w:tcPr>
            <w:tcW w:w="4251" w:type="dxa"/>
            <w:tcBorders/>
            <w:shd w:fill="CCEEFF" w:val="clear"/>
            <w:vAlign w:val="bottom"/>
          </w:tcPr>
          <w:p>
            <w:pPr>
              <w:pStyle w:val="TableContents"/>
              <w:spacing w:before="0" w:after="0"/>
              <w:ind w:left="225" w:right="0" w:hanging="225"/>
              <w:rPr/>
            </w:pPr>
            <w:r>
              <w:rPr/>
              <w:t>Gains on sale of corporate assets</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pPr>
            <w:r>
              <w:rPr/>
              <w:t></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3,468</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0"/>
              <w:ind w:left="225" w:right="0" w:hanging="225"/>
              <w:rPr/>
            </w:pPr>
            <w:r>
              <w:rPr/>
              <w:t>Impairment recoveries (losses)</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35" w:type="dxa"/>
            <w:tcBorders/>
            <w:shd w:fill="auto" w:val="clear"/>
            <w:vAlign w:val="bottom"/>
          </w:tcPr>
          <w:p>
            <w:pPr>
              <w:pStyle w:val="TableContents"/>
              <w:spacing w:before="0" w:after="283"/>
              <w:jc w:val="right"/>
              <w:rPr/>
            </w:pPr>
            <w:r>
              <w:rPr/>
              <w:t>(193</w:t>
            </w:r>
          </w:p>
        </w:tc>
        <w:tc>
          <w:tcPr>
            <w:tcW w:w="126"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37" w:type="dxa"/>
            <w:tcBorders/>
            <w:shd w:fill="auto" w:val="clear"/>
            <w:vAlign w:val="bottom"/>
          </w:tcPr>
          <w:p>
            <w:pPr>
              <w:pStyle w:val="TableContents"/>
              <w:spacing w:before="0" w:after="283"/>
              <w:jc w:val="right"/>
              <w:rPr/>
            </w:pPr>
            <w:r>
              <w:rPr/>
              <w:t>(843</w:t>
            </w:r>
          </w:p>
        </w:tc>
        <w:tc>
          <w:tcPr>
            <w:tcW w:w="124"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650</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5" w:type="dxa"/>
            <w:tcBorders/>
            <w:shd w:fill="auto" w:val="clear"/>
            <w:vAlign w:val="bottom"/>
          </w:tcPr>
          <w:p>
            <w:pPr>
              <w:pStyle w:val="TableContents"/>
              <w:spacing w:before="0" w:after="283"/>
              <w:jc w:val="right"/>
              <w:rPr/>
            </w:pPr>
            <w:r>
              <w:rPr/>
              <w:t>(843</w:t>
            </w:r>
          </w:p>
        </w:tc>
        <w:tc>
          <w:tcPr>
            <w:tcW w:w="136" w:type="dxa"/>
            <w:tcBorders/>
            <w:shd w:fill="auto" w:val="clear"/>
            <w:vAlign w:val="bottom"/>
          </w:tcPr>
          <w:p>
            <w:pPr>
              <w:pStyle w:val="TableContents"/>
              <w:spacing w:before="0" w:after="283"/>
              <w:rPr/>
            </w:pPr>
            <w:r>
              <w:rPr/>
              <w:t>)</w:t>
            </w:r>
          </w:p>
        </w:tc>
      </w:tr>
      <w:tr>
        <w:trPr/>
        <w:tc>
          <w:tcPr>
            <w:tcW w:w="4251" w:type="dxa"/>
            <w:tcBorders/>
            <w:shd w:fill="CCEEFF" w:val="clear"/>
            <w:vAlign w:val="bottom"/>
          </w:tcPr>
          <w:p>
            <w:pPr>
              <w:pStyle w:val="TableContents"/>
              <w:spacing w:before="0" w:after="0"/>
              <w:ind w:left="225" w:right="0" w:hanging="225"/>
              <w:rPr/>
            </w:pPr>
            <w:r>
              <w:rPr/>
              <w:t>Restructuring recoveries (charges):</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0"/>
              <w:ind w:left="450" w:right="0" w:hanging="225"/>
              <w:rPr/>
            </w:pPr>
            <w:r>
              <w:rPr/>
              <w:t>GES</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370</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73</w:t>
            </w:r>
          </w:p>
        </w:tc>
        <w:tc>
          <w:tcPr>
            <w:tcW w:w="136" w:type="dxa"/>
            <w:tcBorders/>
            <w:shd w:fill="auto" w:val="clear"/>
            <w:vAlign w:val="bottom"/>
          </w:tcPr>
          <w:p>
            <w:pPr>
              <w:pStyle w:val="TableContents"/>
              <w:spacing w:before="0" w:after="283"/>
              <w:rPr/>
            </w:pPr>
            <w:r>
              <w:rPr/>
              <w:t> </w:t>
            </w:r>
          </w:p>
        </w:tc>
      </w:tr>
      <w:tr>
        <w:trPr/>
        <w:tc>
          <w:tcPr>
            <w:tcW w:w="4251" w:type="dxa"/>
            <w:tcBorders/>
            <w:shd w:fill="CCEEFF" w:val="clear"/>
            <w:vAlign w:val="bottom"/>
          </w:tcPr>
          <w:p>
            <w:pPr>
              <w:pStyle w:val="TableContents"/>
              <w:spacing w:before="0" w:after="0"/>
              <w:ind w:left="450" w:right="0" w:hanging="225"/>
              <w:rPr/>
            </w:pPr>
            <w:r>
              <w:rPr/>
              <w:t>Exhibitgroup</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pPr>
            <w:r>
              <w:rPr/>
              <w:t></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588</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200</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835</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bottom"/>
          </w:tcPr>
          <w:p>
            <w:pPr>
              <w:pStyle w:val="TableContents"/>
              <w:spacing w:before="0" w:after="0"/>
              <w:ind w:left="450" w:right="0" w:hanging="225"/>
              <w:rPr/>
            </w:pPr>
            <w:r>
              <w:rPr/>
              <w:t>Corporate</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35" w:type="dxa"/>
            <w:tcBorders/>
            <w:shd w:fill="auto" w:val="clear"/>
            <w:vAlign w:val="bottom"/>
          </w:tcPr>
          <w:p>
            <w:pPr>
              <w:pStyle w:val="TableContents"/>
              <w:spacing w:before="0" w:after="283"/>
              <w:jc w:val="right"/>
              <w:rPr/>
            </w:pPr>
            <w:r>
              <w:rPr/>
              <w:t>(355</w:t>
            </w:r>
          </w:p>
        </w:tc>
        <w:tc>
          <w:tcPr>
            <w:tcW w:w="126"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37" w:type="dxa"/>
            <w:tcBorders/>
            <w:shd w:fill="auto" w:val="clear"/>
            <w:vAlign w:val="bottom"/>
          </w:tcPr>
          <w:p>
            <w:pPr>
              <w:pStyle w:val="TableContents"/>
              <w:spacing w:before="0" w:after="283"/>
              <w:jc w:val="right"/>
              <w:rPr/>
            </w:pPr>
            <w:r>
              <w:rPr/>
              <w:t>(358</w:t>
            </w:r>
          </w:p>
        </w:tc>
        <w:tc>
          <w:tcPr>
            <w:tcW w:w="124"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4" w:type="dxa"/>
            <w:tcBorders/>
            <w:shd w:fill="auto" w:val="clear"/>
            <w:vAlign w:val="bottom"/>
          </w:tcPr>
          <w:p>
            <w:pPr>
              <w:pStyle w:val="TableContents"/>
              <w:spacing w:before="0" w:after="283"/>
              <w:jc w:val="right"/>
              <w:rPr/>
            </w:pPr>
            <w:r>
              <w:rPr/>
              <w:t>(355</w:t>
            </w:r>
          </w:p>
        </w:tc>
        <w:tc>
          <w:tcPr>
            <w:tcW w:w="124"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5" w:type="dxa"/>
            <w:tcBorders/>
            <w:shd w:fill="auto" w:val="clear"/>
            <w:vAlign w:val="bottom"/>
          </w:tcPr>
          <w:p>
            <w:pPr>
              <w:pStyle w:val="TableContents"/>
              <w:spacing w:before="0" w:after="283"/>
              <w:jc w:val="right"/>
              <w:rPr/>
            </w:pPr>
            <w:r>
              <w:rPr/>
              <w:t>(315</w:t>
            </w:r>
          </w:p>
        </w:tc>
        <w:tc>
          <w:tcPr>
            <w:tcW w:w="136" w:type="dxa"/>
            <w:tcBorders/>
            <w:shd w:fill="auto" w:val="clear"/>
            <w:vAlign w:val="bottom"/>
          </w:tcPr>
          <w:p>
            <w:pPr>
              <w:pStyle w:val="TableContents"/>
              <w:spacing w:before="0" w:after="283"/>
              <w:rPr/>
            </w:pPr>
            <w:r>
              <w:rPr/>
              <w:t>)</w:t>
            </w:r>
          </w:p>
        </w:tc>
      </w:tr>
      <w:tr>
        <w:trPr/>
        <w:tc>
          <w:tcPr>
            <w:tcW w:w="4251"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9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4251"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4251" w:type="dxa"/>
            <w:tcBorders/>
            <w:shd w:fill="CCEEFF" w:val="clear"/>
            <w:vAlign w:val="bottom"/>
          </w:tcPr>
          <w:p>
            <w:pPr>
              <w:pStyle w:val="TableContents"/>
              <w:spacing w:before="0" w:after="0"/>
              <w:ind w:left="225" w:right="0" w:hanging="225"/>
              <w:rPr/>
            </w:pPr>
            <w:r>
              <w:rPr/>
              <w:t>Income before income taxes</w:t>
            </w:r>
          </w:p>
        </w:tc>
        <w:tc>
          <w:tcPr>
            <w:tcW w:w="38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35" w:type="dxa"/>
            <w:tcBorders/>
            <w:shd w:fill="CCEEFF" w:val="clear"/>
            <w:vAlign w:val="bottom"/>
          </w:tcPr>
          <w:p>
            <w:pPr>
              <w:pStyle w:val="TableContents"/>
              <w:spacing w:before="0" w:after="283"/>
              <w:jc w:val="right"/>
              <w:rPr/>
            </w:pPr>
            <w:r>
              <w:rPr/>
              <w:t>24,452</w:t>
            </w:r>
          </w:p>
        </w:tc>
        <w:tc>
          <w:tcPr>
            <w:tcW w:w="126"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11,998</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4" w:type="dxa"/>
            <w:tcBorders/>
            <w:shd w:fill="CCEEFF" w:val="clear"/>
            <w:vAlign w:val="bottom"/>
          </w:tcPr>
          <w:p>
            <w:pPr>
              <w:pStyle w:val="TableContents"/>
              <w:spacing w:before="0" w:after="283"/>
              <w:jc w:val="right"/>
              <w:rPr/>
            </w:pPr>
            <w:r>
              <w:rPr/>
              <w:t>70,748</w:t>
            </w:r>
          </w:p>
        </w:tc>
        <w:tc>
          <w:tcPr>
            <w:tcW w:w="124"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5" w:type="dxa"/>
            <w:tcBorders/>
            <w:shd w:fill="CCEEFF" w:val="clear"/>
            <w:vAlign w:val="bottom"/>
          </w:tcPr>
          <w:p>
            <w:pPr>
              <w:pStyle w:val="TableContents"/>
              <w:spacing w:before="0" w:after="283"/>
              <w:jc w:val="right"/>
              <w:rPr/>
            </w:pPr>
            <w:r>
              <w:rPr/>
              <w:t>52,063</w:t>
            </w:r>
          </w:p>
        </w:tc>
        <w:tc>
          <w:tcPr>
            <w:tcW w:w="136" w:type="dxa"/>
            <w:tcBorders/>
            <w:shd w:fill="CCEEFF" w:val="clear"/>
            <w:vAlign w:val="bottom"/>
          </w:tcPr>
          <w:p>
            <w:pPr>
              <w:pStyle w:val="TableContents"/>
              <w:spacing w:before="0" w:after="283"/>
              <w:rPr/>
            </w:pPr>
            <w:r>
              <w:rPr/>
              <w:t> </w:t>
            </w:r>
          </w:p>
        </w:tc>
      </w:tr>
      <w:tr>
        <w:trPr/>
        <w:tc>
          <w:tcPr>
            <w:tcW w:w="4251"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9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6213"/>
        <w:gridCol w:w="402"/>
        <w:gridCol w:w="230"/>
        <w:gridCol w:w="1268"/>
        <w:gridCol w:w="115"/>
        <w:gridCol w:w="402"/>
        <w:gridCol w:w="223"/>
        <w:gridCol w:w="1232"/>
        <w:gridCol w:w="120"/>
      </w:tblGrid>
      <w:tr>
        <w:trPr/>
        <w:tc>
          <w:tcPr>
            <w:tcW w:w="6213"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2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3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6213"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498" w:type="dxa"/>
            <w:gridSpan w:val="2"/>
            <w:tcBorders/>
            <w:shd w:fill="auto" w:val="clear"/>
            <w:vAlign w:val="bottom"/>
          </w:tcPr>
          <w:p>
            <w:pPr>
              <w:pStyle w:val="TableContents"/>
              <w:spacing w:before="0" w:after="283"/>
              <w:jc w:val="center"/>
              <w:rPr>
                <w:b/>
              </w:rPr>
            </w:pPr>
            <w:r>
              <w:rPr>
                <w:b/>
              </w:rPr>
              <w:t>September 30,</w:t>
            </w:r>
          </w:p>
        </w:tc>
        <w:tc>
          <w:tcPr>
            <w:tcW w:w="115"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455" w:type="dxa"/>
            <w:gridSpan w:val="2"/>
            <w:tcBorders/>
            <w:shd w:fill="auto" w:val="clear"/>
            <w:vAlign w:val="bottom"/>
          </w:tcPr>
          <w:p>
            <w:pPr>
              <w:pStyle w:val="TableContents"/>
              <w:spacing w:before="0" w:after="283"/>
              <w:jc w:val="center"/>
              <w:rPr>
                <w:b/>
              </w:rPr>
            </w:pPr>
            <w:r>
              <w:rPr>
                <w:b/>
              </w:rPr>
              <w:t>December 31,</w:t>
            </w:r>
          </w:p>
        </w:tc>
        <w:tc>
          <w:tcPr>
            <w:tcW w:w="120" w:type="dxa"/>
            <w:tcBorders/>
            <w:shd w:fill="auto" w:val="clear"/>
            <w:vAlign w:val="bottom"/>
          </w:tcPr>
          <w:p>
            <w:pPr>
              <w:pStyle w:val="TableContents"/>
              <w:spacing w:before="0" w:after="283"/>
              <w:rPr/>
            </w:pPr>
            <w:r>
              <w:rPr/>
              <w:t> </w:t>
            </w:r>
          </w:p>
        </w:tc>
      </w:tr>
      <w:tr>
        <w:trPr/>
        <w:tc>
          <w:tcPr>
            <w:tcW w:w="6213"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49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5"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45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0" w:type="dxa"/>
            <w:tcBorders/>
            <w:shd w:fill="auto" w:val="clear"/>
            <w:vAlign w:val="bottom"/>
          </w:tcPr>
          <w:p>
            <w:pPr>
              <w:pStyle w:val="TableContents"/>
              <w:spacing w:before="0" w:after="283"/>
              <w:rPr/>
            </w:pPr>
            <w:r>
              <w:rPr/>
              <w:t> </w:t>
            </w:r>
          </w:p>
        </w:tc>
      </w:tr>
      <w:tr>
        <w:trPr/>
        <w:tc>
          <w:tcPr>
            <w:tcW w:w="6213"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470" w:type="dxa"/>
            <w:gridSpan w:val="6"/>
            <w:tcBorders/>
            <w:shd w:fill="auto" w:val="clear"/>
            <w:vAlign w:val="bottom"/>
          </w:tcPr>
          <w:p>
            <w:pPr>
              <w:pStyle w:val="TableContents"/>
              <w:spacing w:before="0" w:after="283"/>
              <w:jc w:val="center"/>
              <w:rPr>
                <w:b/>
              </w:rPr>
            </w:pPr>
            <w:r>
              <w:rPr>
                <w:b/>
              </w:rPr>
              <w:t>(in thousands)</w:t>
            </w:r>
          </w:p>
        </w:tc>
        <w:tc>
          <w:tcPr>
            <w:tcW w:w="120" w:type="dxa"/>
            <w:tcBorders/>
            <w:shd w:fill="auto" w:val="clear"/>
            <w:vAlign w:val="bottom"/>
          </w:tcPr>
          <w:p>
            <w:pPr>
              <w:pStyle w:val="TableContents"/>
              <w:spacing w:before="0" w:after="283"/>
              <w:rPr/>
            </w:pPr>
            <w:r>
              <w:rPr/>
              <w:t> </w:t>
            </w:r>
          </w:p>
        </w:tc>
      </w:tr>
      <w:tr>
        <w:trPr/>
        <w:tc>
          <w:tcPr>
            <w:tcW w:w="6213" w:type="dxa"/>
            <w:tcBorders/>
            <w:shd w:fill="CCEEFF" w:val="clear"/>
            <w:vAlign w:val="bottom"/>
          </w:tcPr>
          <w:p>
            <w:pPr>
              <w:pStyle w:val="TableContents"/>
              <w:spacing w:before="0" w:after="0"/>
              <w:ind w:left="225" w:right="0" w:hanging="225"/>
              <w:rPr/>
            </w:pPr>
            <w:r>
              <w:rPr/>
              <w:t>Assets:</w:t>
            </w:r>
          </w:p>
        </w:tc>
        <w:tc>
          <w:tcPr>
            <w:tcW w:w="40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12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32"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r>
      <w:tr>
        <w:trPr/>
        <w:tc>
          <w:tcPr>
            <w:tcW w:w="6213" w:type="dxa"/>
            <w:tcBorders/>
            <w:shd w:fill="auto" w:val="clear"/>
            <w:vAlign w:val="bottom"/>
          </w:tcPr>
          <w:p>
            <w:pPr>
              <w:pStyle w:val="TableContents"/>
              <w:spacing w:before="0" w:after="0"/>
              <w:ind w:left="450" w:right="0" w:hanging="225"/>
              <w:rPr/>
            </w:pPr>
            <w:r>
              <w:rPr/>
              <w:t>GES</w:t>
            </w:r>
          </w:p>
        </w:tc>
        <w:tc>
          <w:tcPr>
            <w:tcW w:w="40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left"/>
              <w:rPr/>
            </w:pPr>
            <w:r>
              <w:rPr/>
              <w:t>$</w:t>
            </w:r>
          </w:p>
        </w:tc>
        <w:tc>
          <w:tcPr>
            <w:tcW w:w="1268" w:type="dxa"/>
            <w:tcBorders/>
            <w:shd w:fill="auto" w:val="clear"/>
            <w:vAlign w:val="bottom"/>
          </w:tcPr>
          <w:p>
            <w:pPr>
              <w:pStyle w:val="TableContents"/>
              <w:spacing w:before="0" w:after="283"/>
              <w:jc w:val="right"/>
              <w:rPr/>
            </w:pPr>
            <w:r>
              <w:rPr/>
              <w:t>274,158</w:t>
            </w:r>
          </w:p>
        </w:tc>
        <w:tc>
          <w:tcPr>
            <w:tcW w:w="115"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w:t>
            </w:r>
          </w:p>
        </w:tc>
        <w:tc>
          <w:tcPr>
            <w:tcW w:w="1232" w:type="dxa"/>
            <w:tcBorders/>
            <w:shd w:fill="auto" w:val="clear"/>
            <w:vAlign w:val="bottom"/>
          </w:tcPr>
          <w:p>
            <w:pPr>
              <w:pStyle w:val="TableContents"/>
              <w:spacing w:before="0" w:after="283"/>
              <w:jc w:val="right"/>
              <w:rPr/>
            </w:pPr>
            <w:r>
              <w:rPr/>
              <w:t>260,046</w:t>
            </w:r>
          </w:p>
        </w:tc>
        <w:tc>
          <w:tcPr>
            <w:tcW w:w="120" w:type="dxa"/>
            <w:tcBorders/>
            <w:shd w:fill="auto" w:val="clear"/>
            <w:vAlign w:val="bottom"/>
          </w:tcPr>
          <w:p>
            <w:pPr>
              <w:pStyle w:val="TableContents"/>
              <w:spacing w:before="0" w:after="283"/>
              <w:rPr/>
            </w:pPr>
            <w:r>
              <w:rPr/>
              <w:t> </w:t>
            </w:r>
          </w:p>
        </w:tc>
      </w:tr>
      <w:tr>
        <w:trPr/>
        <w:tc>
          <w:tcPr>
            <w:tcW w:w="6213" w:type="dxa"/>
            <w:tcBorders/>
            <w:shd w:fill="CCEEFF" w:val="clear"/>
            <w:vAlign w:val="bottom"/>
          </w:tcPr>
          <w:p>
            <w:pPr>
              <w:pStyle w:val="TableContents"/>
              <w:spacing w:before="0" w:after="0"/>
              <w:ind w:left="450" w:right="0" w:hanging="225"/>
              <w:rPr/>
            </w:pPr>
            <w:r>
              <w:rPr/>
              <w:t>Exhibitgroup</w:t>
            </w:r>
          </w:p>
        </w:tc>
        <w:tc>
          <w:tcPr>
            <w:tcW w:w="40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1268" w:type="dxa"/>
            <w:tcBorders/>
            <w:shd w:fill="CCEEFF" w:val="clear"/>
            <w:vAlign w:val="bottom"/>
          </w:tcPr>
          <w:p>
            <w:pPr>
              <w:pStyle w:val="TableContents"/>
              <w:spacing w:before="0" w:after="283"/>
              <w:jc w:val="right"/>
              <w:rPr/>
            </w:pPr>
            <w:r>
              <w:rPr/>
              <w:t>76,106</w:t>
            </w:r>
          </w:p>
        </w:tc>
        <w:tc>
          <w:tcPr>
            <w:tcW w:w="115"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32" w:type="dxa"/>
            <w:tcBorders/>
            <w:shd w:fill="CCEEFF" w:val="clear"/>
            <w:vAlign w:val="bottom"/>
          </w:tcPr>
          <w:p>
            <w:pPr>
              <w:pStyle w:val="TableContents"/>
              <w:spacing w:before="0" w:after="283"/>
              <w:jc w:val="right"/>
              <w:rPr/>
            </w:pPr>
            <w:r>
              <w:rPr/>
              <w:t>89,323</w:t>
            </w:r>
          </w:p>
        </w:tc>
        <w:tc>
          <w:tcPr>
            <w:tcW w:w="120" w:type="dxa"/>
            <w:tcBorders/>
            <w:shd w:fill="CCEEFF" w:val="clear"/>
            <w:vAlign w:val="bottom"/>
          </w:tcPr>
          <w:p>
            <w:pPr>
              <w:pStyle w:val="TableContents"/>
              <w:spacing w:before="0" w:after="283"/>
              <w:rPr/>
            </w:pPr>
            <w:r>
              <w:rPr/>
              <w:t> </w:t>
            </w:r>
          </w:p>
        </w:tc>
      </w:tr>
      <w:tr>
        <w:trPr/>
        <w:tc>
          <w:tcPr>
            <w:tcW w:w="6213" w:type="dxa"/>
            <w:tcBorders/>
            <w:shd w:fill="auto" w:val="clear"/>
            <w:vAlign w:val="bottom"/>
          </w:tcPr>
          <w:p>
            <w:pPr>
              <w:pStyle w:val="TableContents"/>
              <w:spacing w:before="0" w:after="0"/>
              <w:ind w:left="450" w:right="0" w:hanging="225"/>
              <w:rPr/>
            </w:pPr>
            <w:r>
              <w:rPr/>
              <w:t>Travel and Recreation Services</w:t>
            </w:r>
          </w:p>
        </w:tc>
        <w:tc>
          <w:tcPr>
            <w:tcW w:w="40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268" w:type="dxa"/>
            <w:tcBorders/>
            <w:shd w:fill="auto" w:val="clear"/>
            <w:vAlign w:val="bottom"/>
          </w:tcPr>
          <w:p>
            <w:pPr>
              <w:pStyle w:val="TableContents"/>
              <w:spacing w:before="0" w:after="283"/>
              <w:jc w:val="right"/>
              <w:rPr/>
            </w:pPr>
            <w:r>
              <w:rPr/>
              <w:t>160,035</w:t>
            </w:r>
          </w:p>
        </w:tc>
        <w:tc>
          <w:tcPr>
            <w:tcW w:w="115"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32" w:type="dxa"/>
            <w:tcBorders/>
            <w:shd w:fill="auto" w:val="clear"/>
            <w:vAlign w:val="bottom"/>
          </w:tcPr>
          <w:p>
            <w:pPr>
              <w:pStyle w:val="TableContents"/>
              <w:spacing w:before="0" w:after="283"/>
              <w:jc w:val="right"/>
              <w:rPr/>
            </w:pPr>
            <w:r>
              <w:rPr/>
              <w:t>132,725</w:t>
            </w:r>
          </w:p>
        </w:tc>
        <w:tc>
          <w:tcPr>
            <w:tcW w:w="120" w:type="dxa"/>
            <w:tcBorders/>
            <w:shd w:fill="auto" w:val="clear"/>
            <w:vAlign w:val="bottom"/>
          </w:tcPr>
          <w:p>
            <w:pPr>
              <w:pStyle w:val="TableContents"/>
              <w:spacing w:before="0" w:after="283"/>
              <w:rPr/>
            </w:pPr>
            <w:r>
              <w:rPr/>
              <w:t> </w:t>
            </w:r>
          </w:p>
        </w:tc>
      </w:tr>
      <w:tr>
        <w:trPr/>
        <w:tc>
          <w:tcPr>
            <w:tcW w:w="6213" w:type="dxa"/>
            <w:tcBorders/>
            <w:shd w:fill="CCEEFF" w:val="clear"/>
            <w:vAlign w:val="bottom"/>
          </w:tcPr>
          <w:p>
            <w:pPr>
              <w:pStyle w:val="TableContents"/>
              <w:spacing w:before="0" w:after="0"/>
              <w:ind w:left="450" w:right="0" w:hanging="225"/>
              <w:rPr/>
            </w:pPr>
            <w:r>
              <w:rPr/>
              <w:t>Corporate and other</w:t>
            </w:r>
          </w:p>
        </w:tc>
        <w:tc>
          <w:tcPr>
            <w:tcW w:w="40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1268" w:type="dxa"/>
            <w:tcBorders/>
            <w:shd w:fill="CCEEFF" w:val="clear"/>
            <w:vAlign w:val="bottom"/>
          </w:tcPr>
          <w:p>
            <w:pPr>
              <w:pStyle w:val="TableContents"/>
              <w:spacing w:before="0" w:after="283"/>
              <w:jc w:val="right"/>
              <w:rPr/>
            </w:pPr>
            <w:r>
              <w:rPr/>
              <w:t>206,951</w:t>
            </w:r>
          </w:p>
        </w:tc>
        <w:tc>
          <w:tcPr>
            <w:tcW w:w="115"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32" w:type="dxa"/>
            <w:tcBorders/>
            <w:shd w:fill="CCEEFF" w:val="clear"/>
            <w:vAlign w:val="bottom"/>
          </w:tcPr>
          <w:p>
            <w:pPr>
              <w:pStyle w:val="TableContents"/>
              <w:spacing w:before="0" w:after="283"/>
              <w:jc w:val="right"/>
              <w:rPr/>
            </w:pPr>
            <w:r>
              <w:rPr/>
              <w:t>203,596</w:t>
            </w:r>
          </w:p>
        </w:tc>
        <w:tc>
          <w:tcPr>
            <w:tcW w:w="120" w:type="dxa"/>
            <w:tcBorders/>
            <w:shd w:fill="CCEEFF" w:val="clear"/>
            <w:vAlign w:val="bottom"/>
          </w:tcPr>
          <w:p>
            <w:pPr>
              <w:pStyle w:val="TableContents"/>
              <w:spacing w:before="0" w:after="283"/>
              <w:rPr/>
            </w:pPr>
            <w:r>
              <w:rPr/>
              <w:t> </w:t>
            </w:r>
          </w:p>
        </w:tc>
      </w:tr>
      <w:tr>
        <w:trPr/>
        <w:tc>
          <w:tcPr>
            <w:tcW w:w="6213" w:type="dxa"/>
            <w:tcBorders/>
            <w:shd w:fill="auto" w:val="clear"/>
            <w:vAlign w:val="center"/>
          </w:tcPr>
          <w:p>
            <w:pPr>
              <w:pStyle w:val="TableContents"/>
              <w:spacing w:before="0" w:after="0"/>
              <w:ind w:left="225" w:right="0" w:hanging="225"/>
              <w:rPr/>
            </w:pPr>
            <w:r>
              <w:rPr/>
              <w:t> </w:t>
            </w:r>
          </w:p>
        </w:tc>
        <w:tc>
          <w:tcPr>
            <w:tcW w:w="402" w:type="dxa"/>
            <w:tcBorders/>
            <w:shd w:fill="auto" w:val="clear"/>
            <w:vAlign w:val="center"/>
          </w:tcPr>
          <w:p>
            <w:pPr>
              <w:pStyle w:val="TableContents"/>
              <w:spacing w:before="0" w:after="283"/>
              <w:rPr/>
            </w:pPr>
            <w:r>
              <w:rPr/>
              <w:t> </w:t>
            </w:r>
          </w:p>
        </w:tc>
        <w:tc>
          <w:tcPr>
            <w:tcW w:w="14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4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213" w:type="dxa"/>
            <w:tcBorders/>
            <w:shd w:fill="auto" w:val="clear"/>
            <w:vAlign w:val="bottom"/>
          </w:tcPr>
          <w:p>
            <w:pPr>
              <w:pStyle w:val="TableContents"/>
              <w:spacing w:before="0" w:after="0"/>
              <w:ind w:left="225" w:right="0" w:hanging="225"/>
              <w:rPr/>
            </w:pPr>
            <w:r>
              <w:rPr/>
              <w:t> </w:t>
            </w:r>
          </w:p>
        </w:tc>
        <w:tc>
          <w:tcPr>
            <w:tcW w:w="40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left"/>
              <w:rPr/>
            </w:pPr>
            <w:r>
              <w:rPr/>
              <w:t>$</w:t>
            </w:r>
          </w:p>
        </w:tc>
        <w:tc>
          <w:tcPr>
            <w:tcW w:w="1268" w:type="dxa"/>
            <w:tcBorders/>
            <w:shd w:fill="auto" w:val="clear"/>
            <w:vAlign w:val="bottom"/>
          </w:tcPr>
          <w:p>
            <w:pPr>
              <w:pStyle w:val="TableContents"/>
              <w:spacing w:before="0" w:after="283"/>
              <w:jc w:val="right"/>
              <w:rPr/>
            </w:pPr>
            <w:r>
              <w:rPr/>
              <w:t>717,250</w:t>
            </w:r>
          </w:p>
        </w:tc>
        <w:tc>
          <w:tcPr>
            <w:tcW w:w="115"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w:t>
            </w:r>
          </w:p>
        </w:tc>
        <w:tc>
          <w:tcPr>
            <w:tcW w:w="1232" w:type="dxa"/>
            <w:tcBorders/>
            <w:shd w:fill="auto" w:val="clear"/>
            <w:vAlign w:val="bottom"/>
          </w:tcPr>
          <w:p>
            <w:pPr>
              <w:pStyle w:val="TableContents"/>
              <w:spacing w:before="0" w:after="283"/>
              <w:jc w:val="right"/>
              <w:rPr/>
            </w:pPr>
            <w:r>
              <w:rPr/>
              <w:t>685,690</w:t>
            </w:r>
          </w:p>
        </w:tc>
        <w:tc>
          <w:tcPr>
            <w:tcW w:w="120" w:type="dxa"/>
            <w:tcBorders/>
            <w:shd w:fill="auto" w:val="clear"/>
            <w:vAlign w:val="bottom"/>
          </w:tcPr>
          <w:p>
            <w:pPr>
              <w:pStyle w:val="TableContents"/>
              <w:spacing w:before="0" w:after="283"/>
              <w:rPr/>
            </w:pPr>
            <w:r>
              <w:rPr/>
              <w:t> </w:t>
            </w:r>
          </w:p>
        </w:tc>
      </w:tr>
      <w:tr>
        <w:trPr/>
        <w:tc>
          <w:tcPr>
            <w:tcW w:w="6213" w:type="dxa"/>
            <w:tcBorders/>
            <w:shd w:fill="auto" w:val="clear"/>
            <w:vAlign w:val="center"/>
          </w:tcPr>
          <w:p>
            <w:pPr>
              <w:pStyle w:val="TableContents"/>
              <w:spacing w:before="0" w:after="0"/>
              <w:ind w:left="225" w:right="0" w:hanging="225"/>
              <w:rPr/>
            </w:pPr>
            <w:r>
              <w:rPr/>
              <w:t> </w:t>
            </w:r>
          </w:p>
        </w:tc>
        <w:tc>
          <w:tcPr>
            <w:tcW w:w="402" w:type="dxa"/>
            <w:tcBorders/>
            <w:shd w:fill="auto" w:val="clear"/>
            <w:vAlign w:val="center"/>
          </w:tcPr>
          <w:p>
            <w:pPr>
              <w:pStyle w:val="TableContents"/>
              <w:spacing w:before="0" w:after="283"/>
              <w:rPr/>
            </w:pPr>
            <w:r>
              <w:rPr/>
              <w:t> </w:t>
            </w:r>
          </w:p>
        </w:tc>
        <w:tc>
          <w:tcPr>
            <w:tcW w:w="14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4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17. Impact of Recent Accounting Pronouncements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November 2004, the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SFAS No. 151 also requires that the allocation of fixed production overhead costs be based on the normal capacity of the production facility. SFAS No. 151 is effective for inventory costs incurred during fiscal years beginning after July 15, 2005. Accordingly, Viad adopted SFAS No. 151 on January 1, 2006. The adoption of SFAS No. 151 did not have a material impact on Viads financial position or results of operations. </w:t>
      </w:r>
    </w:p>
    <w:p>
      <w:pPr>
        <w:pStyle w:val="TextBody"/>
        <w:jc w:val="center"/>
        <w:rPr>
          <w:rFonts w:ascii="Times New Roman;Times;serif" w:hAnsi="Times New Roman;Times;serif"/>
          <w:sz w:val="17"/>
        </w:rPr>
      </w:pPr>
      <w:r>
        <w:rPr>
          <w:rFonts w:ascii="Times New Roman;Times;serif" w:hAnsi="Times New Roman;Times;serif"/>
          <w:sz w:val="17"/>
        </w:rPr>
        <w:t xml:space="preserve">Page 17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In May 2005, the FASB issued SFAS No. 154, Accounting Changes and Error Corrections, which replaces APB Opinion No. 20, Accounting Changes, and SFAS No. 3, Reporting Accounting Changes in Interim Financial Statements  An Amendment of APB Opinion No. 28. SFAS No. 154 provides guidance on the accounting for and reporting of accounting changes and error corrections. It establishes retrospective application, or the latest practicable date, as the required method for reporting a change in accounting principle (unless a different method is prescribed by the new standard) and the reporting of a correction of an error. SFAS No. 154 is effective for accounting changes and corrections of errors made in fiscal years beginning after December 15, 2005 and the Company adopted SFAS No. 154 on January 1, 2006. The adoption of SFAS No. 154 did not affect Viads financial position or results of operations. </w:t>
      </w:r>
    </w:p>
    <w:p>
      <w:pPr>
        <w:pStyle w:val="TextBody"/>
        <w:spacing w:before="120" w:after="283"/>
        <w:jc w:val="left"/>
        <w:rPr/>
      </w:pPr>
      <w:r>
        <w:rPr/>
        <w:t>     </w:t>
      </w:r>
      <w:r>
        <w:rPr>
          <w:rFonts w:ascii="Times New Roman;Times;serif" w:hAnsi="Times New Roman;Times;serif"/>
          <w:sz w:val="17"/>
        </w:rPr>
        <w:t xml:space="preserve">Viad adopted the provisions of SFAS No. 123(R) on January 1, 2006 using the modified prospective application method. Refer to Note 2 for a full discussion of the adoption of SFAS No. 123(R) and related disclosures. </w:t>
      </w:r>
    </w:p>
    <w:p>
      <w:pPr>
        <w:pStyle w:val="TextBody"/>
        <w:spacing w:before="120" w:after="283"/>
        <w:jc w:val="left"/>
        <w:rPr/>
      </w:pPr>
      <w:r>
        <w:rPr/>
        <w:t>     </w:t>
      </w:r>
      <w:r>
        <w:rPr>
          <w:rFonts w:ascii="Times New Roman;Times;serif" w:hAnsi="Times New Roman;Times;serif"/>
          <w:sz w:val="17"/>
        </w:rPr>
        <w:t xml:space="preserve">In June 2006, the FASB issued Interpretation No. 48, Accounting for Uncertainty in Income Taxes (FIN 48), an interpretation of SFAS No. 109, Accounting for Income Taxes. FIN 48 provides guidance on how to address uncertainty in accounting for income tax assets and liabilities and prescribes a recognition threshold and measurement attribute for the financial statement recognition and measurement of a tax position taken or expected to be taken in a tax return. FIN 48 also provides guidance on de-recognition, classification, interest and penalties, accounting in interim periods, disclosure and transition. Under FIN 48, the recognition of current and deferred income taxes is determined based on whether it is more-likely-than-not that a tax position will be sustained upon examination based on the technical merits of the position. A tax position that meets the more-likely-than-not recognition threshold is measured to determine the amount of benefit to recognize in the financial statements. The tax position is measured at the largest amount of benefit that is greater than 50 percent likely of being realized upon ultimate settlement. </w:t>
      </w:r>
    </w:p>
    <w:p>
      <w:pPr>
        <w:pStyle w:val="TextBody"/>
        <w:spacing w:before="120" w:after="283"/>
        <w:jc w:val="left"/>
        <w:rPr/>
      </w:pPr>
      <w:r>
        <w:rPr/>
        <w:t>     </w:t>
      </w:r>
      <w:r>
        <w:rPr>
          <w:rFonts w:ascii="Times New Roman;Times;serif" w:hAnsi="Times New Roman;Times;serif"/>
          <w:sz w:val="17"/>
        </w:rPr>
        <w:t xml:space="preserve">FIN 48 is effective for fiscal years beginning after December 15, 2006. Accordingly, Viad will adopt the provisions of FIN 48 on January 1, 2007. The Company is currently evaluating the potential impact of FIN 48 on Viads financial position and results of operations. Furthermore, the Company believes the adoption of FIN 48 could have a material impact on the amounts of current and deferred income tax assets and liabilities reported in Viads consolidated balance sheets. The cumulative effect of applying the provisions of FIN 48 will generally be reported as an adjustment to the opening balance of retained earnings in the fiscal year of adoption. </w:t>
      </w:r>
    </w:p>
    <w:p>
      <w:pPr>
        <w:pStyle w:val="TextBody"/>
        <w:spacing w:before="120" w:after="283"/>
        <w:jc w:val="left"/>
        <w:rPr/>
      </w:pPr>
      <w:r>
        <w:rPr/>
        <w:t>     </w:t>
      </w:r>
      <w:r>
        <w:rPr>
          <w:rFonts w:ascii="Times New Roman;Times;serif" w:hAnsi="Times New Roman;Times;serif"/>
          <w:sz w:val="17"/>
        </w:rPr>
        <w:t xml:space="preserve">In September 2006, the FASB issued SFAS No. 157, Fair Value Measurements. SFAS No. 157 defines fair value, establishes a framework for measuring fair value and expands disclosures about fair value measurements. SFAS No. 157 emphasizes that fair value is a market-based measurement and not an entity-specific measurement. Accordingly, fair value measurements should be determined based on the assumptions that market participants would use in pricing an asset or liability. SFAS No. 157 generally applies under other accounting pronouncements that require or permit fair value measurements, except for share-based payment transactions and other limited exceptions. SFAS No. 157 is effective for financial statements issued for fiscal years beginning after November 15, 2007, and interim periods within those fiscal years. Accordingly, Viad will adopt SFAS No. 157 on January 1, 2008. Viad has not yet determined if the adoption of SFAS No. 157 will have a material impact on its financial position or results of operations. </w:t>
      </w:r>
    </w:p>
    <w:p>
      <w:pPr>
        <w:pStyle w:val="TextBody"/>
        <w:spacing w:before="120" w:after="283"/>
        <w:jc w:val="left"/>
        <w:rPr/>
      </w:pPr>
      <w:r>
        <w:rPr/>
        <w:t>     </w:t>
      </w:r>
      <w:r>
        <w:rPr>
          <w:rFonts w:ascii="Times New Roman;Times;serif" w:hAnsi="Times New Roman;Times;serif"/>
          <w:sz w:val="17"/>
        </w:rPr>
        <w:t xml:space="preserve">In September 2006, the FASB also issued SFAS No. 158, Employers Accounting for Defined Benefit Pension and Other Postretirement Plansan amendment of FASB Statements No. 87, 88, 106, and 132(R). SFAS No. 158 requires employers to recognize the over or underfunded status of a defined benefit pension plan as an asset or liability in its statement of financial position and to recognize changes in that funded status in the year in which the changes occur through comprehensive income. SFAS No. 158 also requires employers to measure the funded status of a plan as of the date of its year end statement of financial position, with limited exceptions. The asset or liability to be recorded equals the difference between the fair value of the defined benefit plans assets and its benefit obligation. The recognition and disclosure provisions of SFAS No. 158 are effective in financial statements for years ending after December 15, 2006. Accordingly, Viad will adopt those provisions as of December 31, 2006. The requirement to measure plan assets and benefit obligations as of the date of the employers fiscal year end statement of financial position is effective for fiscal years ending after December 15, 2008. Viad currently utilizes a November 30 measurement date for its pension and other postretirement benefit plans. SFAS No. 158 will be applied on a prospective basis, however, had Viad applied the recognition provisions of SFAS No. 158 as of December 31, 2005, the Company would have recorded additional liabilities of $277,000 related to its defined benefit pension plans. In addition, Viad would have reduced its liabilities related to its other postretirement benefit plans by $810,000. </w:t>
      </w:r>
    </w:p>
    <w:p>
      <w:pPr>
        <w:pStyle w:val="TextBody"/>
        <w:jc w:val="center"/>
        <w:rPr>
          <w:rFonts w:ascii="Times New Roman;Times;serif" w:hAnsi="Times New Roman;Times;serif"/>
          <w:sz w:val="17"/>
        </w:rPr>
      </w:pPr>
      <w:r>
        <w:rPr>
          <w:rFonts w:ascii="Times New Roman;Times;serif" w:hAnsi="Times New Roman;Times;serif"/>
          <w:sz w:val="17"/>
        </w:rPr>
        <w:t xml:space="preserve">Page 18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In September 2006, the SEC issued Staff Accounting Bulletin No. 108, Considering the Effects of Prior Year Misstatements when Quantifying Misstatements in Current Year Financial Statements (SAB 108). SAB 108 states that companies should use both an income statement (rollover) approach and a balance sheet (iron curtain) approach when quantifying and evaluating the materiality of a misstatement. SAB 108 also provides guidance on correcting errors under the dual approach, including transition guidance for correcting errors existing in prior years. If prior year errors that had been previously considered immaterial (under a companys prior approach) are now considered material based on the dual approach, the restatement of prior period financial statements is not required. Under those circumstances, a company would record a one-time transitional cumulative effect adjustment which would be reflected in the carrying amounts of assets and liabilities as of the beginning of the fiscal year of adoption with the offsetting adjustment to the opening balance of retained earnings. SAB 108 is effective for annual financial statements covering the first fiscal year ending after November 15, 2006, and is therefore effective for Viad as of December 31, 2006. Viad does not anticipate that the adoption of SAB 108 will affect its financial position or results of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18. Common Stock Repurchases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February 2006 and again in July 2006, Viad announced its intent, under an authorization by its Board of Directors, to repurchase up to one million shares (for a total of two million shares) of the Companys common stock from time to time at prevailing prices in the open market. As of June 30, 2006, Viad had repurchased the entire one million shares under the first authorization for $31.8 million. As of September 30, 2006, Viad had repurchased 79,500 common shares for $2.6 million under the second authorization. Viad also has the authority to repurchase common stock for the purpose of replacing shares issued upon exercise of stock options and in connection with other stock compensation plans. The last repurchase by Viad under this program was May 2003.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19. Discontinued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June 2006, Viad recorded income from discontinued operations of $7.4 million ($11.8 million pre-tax) related to the reversal of certain current liabilities as a result of the expiration of product warranty liabilities associated with a previously sold manufacturing operation. In addition, Viad recorded income from discontinued operations of $1.5 million and $1.3 million for the three months ended September 30, 2006 and 2005, respectively, primarily related to tax matters associated with previously sold operations. For the nine months ended September 30, 2006 and 2005, the Company recorded income from discontinued operations of $3.6 million and $1.2 million, respectively, also related to tax matters associated with previously sold operations. </w:t>
      </w:r>
    </w:p>
    <w:p>
      <w:pPr>
        <w:pStyle w:val="TextBody"/>
        <w:jc w:val="center"/>
        <w:rPr>
          <w:rFonts w:ascii="Times New Roman;Times;serif" w:hAnsi="Times New Roman;Times;serif"/>
          <w:sz w:val="17"/>
        </w:rPr>
      </w:pPr>
      <w:r>
        <w:rPr>
          <w:rFonts w:ascii="Times New Roman;Times;serif" w:hAnsi="Times New Roman;Times;serif"/>
          <w:sz w:val="17"/>
        </w:rPr>
        <w:t xml:space="preserve">Page 19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5" w:name="002"/>
      <w:bookmarkEnd w:id="5"/>
      <w:r>
        <w:rPr>
          <w:rFonts w:ascii="Times New Roman;Times;serif" w:hAnsi="Times New Roman;Times;serif"/>
          <w:b/>
          <w:sz w:val="17"/>
        </w:rPr>
        <w:t>Item 2. Managements Discussion and Analysis of Financial Condition and Results of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should be read in conjunction with Viad Corps consolidated financial statements and related notes. This discussion contains forward-looking statements that involve risks and uncertainties. Viad Corps actual results could differ materially from those anticipated due to various factors discussed under Forward-Looking Statements and elsewhere in this quarterly report.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Corp (Viad or the Company) operates in three reportable business segments as follows: </w:t>
      </w:r>
    </w:p>
    <w:p>
      <w:pPr>
        <w:pStyle w:val="TextBody"/>
        <w:spacing w:before="120" w:after="283"/>
        <w:jc w:val="left"/>
        <w:rPr/>
      </w:pPr>
      <w:r>
        <w:rPr/>
        <w:t>     </w:t>
      </w:r>
      <w:r>
        <w:rPr>
          <w:rFonts w:ascii="Times New Roman;Times;serif" w:hAnsi="Times New Roman;Times;serif"/>
          <w:i/>
          <w:sz w:val="17"/>
        </w:rPr>
        <w:t xml:space="preserve">GES </w:t>
      </w:r>
      <w:r>
        <w:rPr>
          <w:rFonts w:ascii="Times New Roman;Times;serif" w:hAnsi="Times New Roman;Times;serif"/>
          <w:sz w:val="17"/>
        </w:rPr>
        <w:t xml:space="preserve"> GES Exposition Services, Inc. (GES) and its affiliates provide exhibition and event services throughout North America consisting of: show planning and production; floor plan design and layout; decorating, graphics and signage, and furniture, carpet and fixture procurement and rental. These services are provided to a variety of show organizers, including venues, trade associations and show management companies. GESs customer base also includes exhibitors for which GES provides exhibit design, construction, refurbishment, storage and rental services, including related show services such as logistics and transportation; material handling, electrical, plumbing, rigging and cleaning, and exhibit installation and dismantling. </w:t>
      </w:r>
    </w:p>
    <w:p>
      <w:pPr>
        <w:pStyle w:val="TextBody"/>
        <w:spacing w:before="120" w:after="283"/>
        <w:jc w:val="left"/>
        <w:rPr/>
      </w:pPr>
      <w:r>
        <w:rPr/>
        <w:t>     </w:t>
      </w:r>
      <w:r>
        <w:rPr>
          <w:rFonts w:ascii="Times New Roman;Times;serif" w:hAnsi="Times New Roman;Times;serif"/>
          <w:i/>
          <w:sz w:val="17"/>
        </w:rPr>
        <w:t xml:space="preserve">Exhibitgroup </w:t>
      </w:r>
      <w:r>
        <w:rPr>
          <w:rFonts w:ascii="Times New Roman;Times;serif" w:hAnsi="Times New Roman;Times;serif"/>
          <w:sz w:val="17"/>
        </w:rPr>
        <w:t xml:space="preserve"> Exhibitgroup/Giltspur (Exhibitgroup) and its affiliates specialize in the custom design, construction, installation and warehousing of convention and event exhibits and displays, primarily for corporate customers in North America, and to a lesser extent in Europe. Exhibitgroup offers exhibit design and construction and exhibit program management services for clients in varied industries that participate in exhibitions, corporate and specialty events, road shows and other face-to-face marketing. Exhibitgroup also refurbishes and leases exhibits, designs and builds kiosks and permanent displays, and provides exhibit transportation, installation, dismantling and warehousing services. </w:t>
      </w:r>
    </w:p>
    <w:p>
      <w:pPr>
        <w:pStyle w:val="TextBody"/>
        <w:spacing w:before="120" w:after="283"/>
        <w:jc w:val="left"/>
        <w:rPr/>
      </w:pPr>
      <w:r>
        <w:rPr/>
        <w:t>     </w:t>
      </w:r>
      <w:r>
        <w:rPr>
          <w:rFonts w:ascii="Times New Roman;Times;serif" w:hAnsi="Times New Roman;Times;serif"/>
          <w:i/>
          <w:sz w:val="17"/>
        </w:rPr>
        <w:t xml:space="preserve">Travel and Recreation Services </w:t>
      </w:r>
      <w:r>
        <w:rPr>
          <w:rFonts w:ascii="Times New Roman;Times;serif" w:hAnsi="Times New Roman;Times;serif"/>
          <w:sz w:val="17"/>
        </w:rPr>
        <w:t xml:space="preserve"> Brewster Transport Company Limited (Brewster) provides tourism services in the Canadian Rockies in Alberta and in other parts of Western Canada. Brewsters operations include the Banff Gondola, Columbia Icefield Ice Explorer Tours, motorcoach services, charter and package tours and other sightseeing services, hotel operations and travel agencies. Glacier Park, Inc. (Glacier Park) operates four historic lodges and three motor inns and provides food and beverage operations, retail operations and tour and transportation services in and around Glacier National Park in Montana and Waterton Lakes National Park in Alberta, Canada. Glacier Park is an 80 percent owned subsidiary of Viad. </w:t>
      </w:r>
    </w:p>
    <w:p>
      <w:pPr>
        <w:pStyle w:val="TextBody"/>
        <w:spacing w:before="120" w:after="283"/>
        <w:jc w:val="left"/>
        <w:rPr/>
      </w:pPr>
      <w:r>
        <w:rPr/>
        <w:t>     </w:t>
      </w:r>
      <w:r>
        <w:rPr>
          <w:rFonts w:ascii="Times New Roman;Times;serif" w:hAnsi="Times New Roman;Times;serif"/>
          <w:sz w:val="17"/>
        </w:rPr>
        <w:t xml:space="preserve">The following are financial highlights of the third quarter of 2006 as compared to the third quarter of 2005 that are presented in accordance with accounting principles generally accepted in the United States of America (GAAP): </w:t>
      </w:r>
    </w:p>
    <w:p>
      <w:pPr>
        <w:pStyle w:val="TextBody"/>
        <w:spacing w:before="120" w:after="283"/>
        <w:jc w:val="left"/>
        <w:rPr/>
      </w:pPr>
      <w:r>
        <w:rPr/>
        <w:t>     </w:t>
      </w:r>
      <w:r>
        <w:rPr>
          <w:rFonts w:ascii="Times New Roman;Times;serif" w:hAnsi="Times New Roman;Times;serif"/>
          <w:b/>
          <w:sz w:val="17"/>
        </w:rPr>
        <w:t>Viad Corp (Consolidated)</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208"/>
        <w:gridCol w:w="102"/>
        <w:gridCol w:w="9692"/>
      </w:tblGrid>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Total revenues of $230.5 million, a 20.6 percent increase from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Net income of $23.5 million versus $10.7 million in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Diluted income per share of $1.10 versus $0.48 in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Income from discontinued operations of $1.5 million primarily related to tax matters associated with previously sold operations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Cash and cash equivalents totaled $197.2 million as of September 30, 2006</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Debt was $15.3 million as of September 30, 2006</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Viad repurchased 79,500 shares of its common stock for $2.6 million</w:t>
            </w:r>
          </w:p>
        </w:tc>
      </w:tr>
    </w:tbl>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208"/>
        <w:gridCol w:w="102"/>
        <w:gridCol w:w="9692"/>
      </w:tblGrid>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Revenues of $151.7 million, an increase of 26.9 percent from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2" w:type="dxa"/>
            <w:tcBorders/>
            <w:shd w:fill="auto" w:val="clear"/>
          </w:tcPr>
          <w:p>
            <w:pPr>
              <w:pStyle w:val="TableContents"/>
              <w:spacing w:before="0" w:after="283"/>
              <w:rPr/>
            </w:pPr>
            <w:r>
              <w:rPr/>
              <w:t>Segment operating income of $9.6 million, up from $1.5 million in 2005</w:t>
            </w:r>
          </w:p>
        </w:tc>
      </w:tr>
    </w:tbl>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206"/>
        <w:gridCol w:w="102"/>
        <w:gridCol w:w="9694"/>
      </w:tblGrid>
      <w:tr>
        <w:trPr/>
        <w:tc>
          <w:tcPr>
            <w:tcW w:w="203"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4" w:type="dxa"/>
            <w:tcBorders/>
            <w:shd w:fill="auto" w:val="clear"/>
          </w:tcPr>
          <w:p>
            <w:pPr>
              <w:pStyle w:val="TableContents"/>
              <w:spacing w:before="0" w:after="283"/>
              <w:rPr/>
            </w:pPr>
            <w:r>
              <w:rPr/>
              <w:t>Revenues of $32.0 million, an increase of 17.1 percent from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4" w:type="dxa"/>
            <w:tcBorders/>
            <w:shd w:fill="auto" w:val="clear"/>
          </w:tcPr>
          <w:p>
            <w:pPr>
              <w:pStyle w:val="TableContents"/>
              <w:spacing w:before="0" w:after="283"/>
              <w:rPr/>
            </w:pPr>
            <w:r>
              <w:rPr/>
              <w:t>Segment operating loss of $2.8 million compared to a loss of $4.2 million in 2005</w:t>
            </w:r>
          </w:p>
        </w:tc>
      </w:tr>
    </w:tbl>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206"/>
        <w:gridCol w:w="102"/>
        <w:gridCol w:w="9694"/>
      </w:tblGrid>
      <w:tr>
        <w:trPr/>
        <w:tc>
          <w:tcPr>
            <w:tcW w:w="203"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4" w:type="dxa"/>
            <w:tcBorders/>
            <w:shd w:fill="auto" w:val="clear"/>
          </w:tcPr>
          <w:p>
            <w:pPr>
              <w:pStyle w:val="TableContents"/>
              <w:spacing w:before="0" w:after="283"/>
              <w:rPr/>
            </w:pPr>
            <w:r>
              <w:rPr/>
              <w:t>Revenues of $46.9 million, an increase of 5.9 percent from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694" w:type="dxa"/>
            <w:tcBorders/>
            <w:shd w:fill="auto" w:val="clear"/>
          </w:tcPr>
          <w:p>
            <w:pPr>
              <w:pStyle w:val="TableContents"/>
              <w:spacing w:before="0" w:after="283"/>
              <w:rPr/>
            </w:pPr>
            <w:r>
              <w:rPr/>
              <w:t>Segment operating income of $20.8 million, an increase of 9.4 percent from 2005</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20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Non-GAAP Measures: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includes a presentation of Adjusted EBITDA and Income before impairment losses and recoveries which are utilized by management to measure the profit and performance of Viads operations and to facilitate period to period comparisons. Adjusted EBITDA is defined by Viad as net income before interest expense, income taxes, depreciation and amortization, impairment losses and recoveries, changes in accounting principles and the effects of discontinued operations. Adjusted EBITDA is considered a useful operating metric as potential variations arising from taxes, depreciation, debt service costs, impairment losses and recoveries, changes in accounting principles and the effects of discontinued operations are eliminated, thus resulting in an additional measure considered to be indicative of Viads ongoing operations. Adjusted EBITDA is also used by management to assess Viads ability to service debt, fund capital expenditures and finance growth. Income before impairment losses and recoveries is defined by Viad as income from continuing operations before the after-tax effect of impairment losses and recoveries and is utilized by management to review operating results of the business without the effects of impairment losses or recoveries. The presentation of Adjusted EBITDA and Income before impairment losses and recoveries is supplemental to results presented under GAAP and may not be comparable to similarly titled measures used by other companies. These non-GAAP measures should be considered in addition to, but not a substitute for, other measures of financial performance and liquidity reported in accordance with GAAP. </w:t>
      </w:r>
    </w:p>
    <w:p>
      <w:pPr>
        <w:pStyle w:val="TextBody"/>
        <w:spacing w:before="120" w:after="283"/>
        <w:jc w:val="left"/>
        <w:rPr/>
      </w:pPr>
      <w:r>
        <w:rPr/>
        <w:t>     </w:t>
      </w:r>
      <w:r>
        <w:rPr>
          <w:rFonts w:ascii="Times New Roman;Times;serif" w:hAnsi="Times New Roman;Times;serif"/>
          <w:sz w:val="17"/>
        </w:rPr>
        <w:t xml:space="preserve">Management believes that the presentation of Adjusted EBITDA and Income before impairment losses and recoveries provides useful information to investors regarding Viads results of operations for trending, analyzing and benchmarking the performance and value of Viads business. Management uses Adjusted EBITDA and Income before impairment losses and recoveries primarily as performance measures and believes that the GAAP financial measures most directly comparable to these non-GAAP measures are net income and income from continuing operations, respectively. Although Adjusted EBITDA is used as a financial measure to assess the performance of the business, the use of Adjusted EBITDA is limited because it does not consider material costs, expenses and other items necessary to operate the business. These items include debt service costs, non-cash depreciation and amortization expense associated with long-lived assets, expenses related to U.S. federal, state, local and foreign income taxes, impairment losses or recoveries, and the effects of accounting changes and discontinued operations. Similarly, although Income before impairment losses and recoveries is used as a financial measure to assess the performance of the business, its use is limited because it does not consider impairment losses or recoveries. Because Adjusted EBITDA and Income before impairment losses and recoveries do not consider the above items, a user of Viads financial information should consider net income and income from continuing operations, respectively, as important measures of financial performance because they provide more complete measures of the Companys performance. </w:t>
      </w:r>
    </w:p>
    <w:p>
      <w:pPr>
        <w:pStyle w:val="TextBody"/>
        <w:spacing w:before="120" w:after="283"/>
        <w:jc w:val="left"/>
        <w:rPr/>
      </w:pPr>
      <w:r>
        <w:rPr/>
        <w:t>     </w:t>
      </w:r>
      <w:r>
        <w:rPr>
          <w:rFonts w:ascii="Times New Roman;Times;serif" w:hAnsi="Times New Roman;Times;serif"/>
          <w:sz w:val="17"/>
        </w:rPr>
        <w:t xml:space="preserve">A reconciliation of Adjusted EBITDA to net income is as follows: </w:t>
      </w:r>
    </w:p>
    <w:tbl>
      <w:tblPr>
        <w:tblW w:w="5000" w:type="pct"/>
        <w:jc w:val="center"/>
        <w:tblInd w:w="0" w:type="dxa"/>
        <w:tblCellMar>
          <w:top w:w="0" w:type="dxa"/>
          <w:left w:w="0" w:type="dxa"/>
          <w:bottom w:w="0" w:type="dxa"/>
          <w:right w:w="0" w:type="dxa"/>
        </w:tblCellMar>
      </w:tblPr>
      <w:tblGrid>
        <w:gridCol w:w="4248"/>
        <w:gridCol w:w="386"/>
        <w:gridCol w:w="166"/>
        <w:gridCol w:w="821"/>
        <w:gridCol w:w="135"/>
        <w:gridCol w:w="392"/>
        <w:gridCol w:w="166"/>
        <w:gridCol w:w="822"/>
        <w:gridCol w:w="125"/>
        <w:gridCol w:w="386"/>
        <w:gridCol w:w="153"/>
        <w:gridCol w:w="800"/>
        <w:gridCol w:w="126"/>
        <w:gridCol w:w="387"/>
        <w:gridCol w:w="153"/>
        <w:gridCol w:w="804"/>
        <w:gridCol w:w="135"/>
      </w:tblGrid>
      <w:tr>
        <w:trPr/>
        <w:tc>
          <w:tcPr>
            <w:tcW w:w="4248"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2502" w:type="dxa"/>
            <w:gridSpan w:val="6"/>
            <w:tcBorders/>
            <w:shd w:fill="auto" w:val="clear"/>
            <w:vAlign w:val="bottom"/>
          </w:tcPr>
          <w:p>
            <w:pPr>
              <w:pStyle w:val="TableContents"/>
              <w:spacing w:before="0" w:after="283"/>
              <w:jc w:val="center"/>
              <w:rPr>
                <w:b/>
              </w:rPr>
            </w:pPr>
            <w:r>
              <w:rPr>
                <w:b/>
              </w:rPr>
              <w:t>Three months ended</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2423" w:type="dxa"/>
            <w:gridSpan w:val="6"/>
            <w:tcBorders/>
            <w:shd w:fill="auto" w:val="clear"/>
            <w:vAlign w:val="bottom"/>
          </w:tcPr>
          <w:p>
            <w:pPr>
              <w:pStyle w:val="TableContents"/>
              <w:spacing w:before="0" w:after="283"/>
              <w:jc w:val="center"/>
              <w:rPr>
                <w:b/>
              </w:rPr>
            </w:pPr>
            <w:r>
              <w:rPr>
                <w:b/>
              </w:rPr>
              <w:t>Nine months ended</w:t>
            </w:r>
          </w:p>
        </w:tc>
        <w:tc>
          <w:tcPr>
            <w:tcW w:w="135" w:type="dxa"/>
            <w:tcBorders/>
            <w:shd w:fill="auto"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2502"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2423"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w:t>
            </w:r>
          </w:p>
        </w:tc>
        <w:tc>
          <w:tcPr>
            <w:tcW w:w="135" w:type="dxa"/>
            <w:tcBorders/>
            <w:shd w:fill="auto"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98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9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95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6"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95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5" w:type="dxa"/>
            <w:tcBorders/>
            <w:shd w:fill="auto"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452" w:type="dxa"/>
            <w:gridSpan w:val="6"/>
            <w:tcBorders/>
            <w:shd w:fill="auto" w:val="clear"/>
            <w:vAlign w:val="bottom"/>
          </w:tcPr>
          <w:p>
            <w:pPr>
              <w:pStyle w:val="TableContents"/>
              <w:spacing w:before="0" w:after="283"/>
              <w:jc w:val="center"/>
              <w:rPr>
                <w:b/>
              </w:rPr>
            </w:pPr>
            <w:r>
              <w:rPr>
                <w:b/>
              </w:rPr>
              <w:t>(in thousands)</w:t>
            </w:r>
          </w:p>
        </w:tc>
        <w:tc>
          <w:tcPr>
            <w:tcW w:w="126"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0"/>
              <w:ind w:left="225" w:right="0" w:hanging="225"/>
              <w:rPr/>
            </w:pPr>
            <w:r>
              <w:rPr/>
              <w:t>Adjusted EBITDA</w:t>
            </w:r>
          </w:p>
        </w:tc>
        <w:tc>
          <w:tcPr>
            <w:tcW w:w="38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30,108</w:t>
            </w:r>
          </w:p>
        </w:tc>
        <w:tc>
          <w:tcPr>
            <w:tcW w:w="13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2" w:type="dxa"/>
            <w:tcBorders/>
            <w:shd w:fill="CCEEFF" w:val="clear"/>
            <w:vAlign w:val="bottom"/>
          </w:tcPr>
          <w:p>
            <w:pPr>
              <w:pStyle w:val="TableContents"/>
              <w:spacing w:before="0" w:after="283"/>
              <w:jc w:val="right"/>
              <w:rPr/>
            </w:pPr>
            <w:r>
              <w:rPr/>
              <w:t>19,139</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86,361</w:t>
            </w:r>
          </w:p>
        </w:tc>
        <w:tc>
          <w:tcPr>
            <w:tcW w:w="126"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71,766</w:t>
            </w:r>
          </w:p>
        </w:tc>
        <w:tc>
          <w:tcPr>
            <w:tcW w:w="135" w:type="dxa"/>
            <w:tcBorders/>
            <w:shd w:fill="CCEE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0"/>
              <w:ind w:left="225" w:right="0" w:hanging="225"/>
              <w:rPr/>
            </w:pPr>
            <w:r>
              <w:rPr/>
              <w:t>Interest expense</w:t>
            </w:r>
          </w:p>
        </w:tc>
        <w:tc>
          <w:tcPr>
            <w:tcW w:w="38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821" w:type="dxa"/>
            <w:tcBorders/>
            <w:shd w:fill="auto" w:val="clear"/>
            <w:vAlign w:val="bottom"/>
          </w:tcPr>
          <w:p>
            <w:pPr>
              <w:pStyle w:val="TableContents"/>
              <w:spacing w:before="0" w:after="283"/>
              <w:jc w:val="right"/>
              <w:rPr/>
            </w:pPr>
            <w:r>
              <w:rPr/>
              <w:t>(444</w:t>
            </w:r>
          </w:p>
        </w:tc>
        <w:tc>
          <w:tcPr>
            <w:tcW w:w="135"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822" w:type="dxa"/>
            <w:tcBorders/>
            <w:shd w:fill="auto" w:val="clear"/>
            <w:vAlign w:val="bottom"/>
          </w:tcPr>
          <w:p>
            <w:pPr>
              <w:pStyle w:val="TableContents"/>
              <w:spacing w:before="0" w:after="283"/>
              <w:jc w:val="right"/>
              <w:rPr/>
            </w:pPr>
            <w:r>
              <w:rPr/>
              <w:t>(713</w:t>
            </w:r>
          </w:p>
        </w:tc>
        <w:tc>
          <w:tcPr>
            <w:tcW w:w="125" w:type="dxa"/>
            <w:tcBorders/>
            <w:shd w:fill="auto" w:val="clear"/>
            <w:vAlign w:val="bottom"/>
          </w:tcPr>
          <w:p>
            <w:pPr>
              <w:pStyle w:val="TableContents"/>
              <w:spacing w:before="0" w:after="283"/>
              <w:rPr/>
            </w:pPr>
            <w:r>
              <w:rPr/>
              <w:t>)</w:t>
            </w:r>
          </w:p>
        </w:tc>
        <w:tc>
          <w:tcPr>
            <w:tcW w:w="386"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(1,219</w:t>
            </w:r>
          </w:p>
        </w:tc>
        <w:tc>
          <w:tcPr>
            <w:tcW w:w="126" w:type="dxa"/>
            <w:tcBorders/>
            <w:shd w:fill="auto" w:val="clear"/>
            <w:vAlign w:val="bottom"/>
          </w:tcPr>
          <w:p>
            <w:pPr>
              <w:pStyle w:val="TableContents"/>
              <w:spacing w:before="0" w:after="283"/>
              <w:rPr/>
            </w:pPr>
            <w:r>
              <w:rPr/>
              <w:t>)</w:t>
            </w:r>
          </w:p>
        </w:tc>
        <w:tc>
          <w:tcPr>
            <w:tcW w:w="38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(1,872</w:t>
            </w:r>
          </w:p>
        </w:tc>
        <w:tc>
          <w:tcPr>
            <w:tcW w:w="135" w:type="dxa"/>
            <w:tcBorders/>
            <w:shd w:fill="auto" w:val="clear"/>
            <w:vAlign w:val="bottom"/>
          </w:tcPr>
          <w:p>
            <w:pPr>
              <w:pStyle w:val="TableContents"/>
              <w:spacing w:before="0" w:after="283"/>
              <w:rPr/>
            </w:pPr>
            <w:r>
              <w:rPr/>
              <w:t>)</w:t>
            </w:r>
          </w:p>
        </w:tc>
      </w:tr>
      <w:tr>
        <w:trPr/>
        <w:tc>
          <w:tcPr>
            <w:tcW w:w="4248" w:type="dxa"/>
            <w:tcBorders/>
            <w:shd w:fill="CCEEFF" w:val="clear"/>
            <w:vAlign w:val="bottom"/>
          </w:tcPr>
          <w:p>
            <w:pPr>
              <w:pStyle w:val="TableContents"/>
              <w:spacing w:before="0" w:after="0"/>
              <w:ind w:left="225" w:right="0" w:hanging="225"/>
              <w:rPr/>
            </w:pPr>
            <w:r>
              <w:rPr/>
              <w:t>Income tax expense</w:t>
            </w:r>
          </w:p>
        </w:tc>
        <w:tc>
          <w:tcPr>
            <w:tcW w:w="38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821" w:type="dxa"/>
            <w:tcBorders/>
            <w:shd w:fill="CCEEFF" w:val="clear"/>
            <w:vAlign w:val="bottom"/>
          </w:tcPr>
          <w:p>
            <w:pPr>
              <w:pStyle w:val="TableContents"/>
              <w:spacing w:before="0" w:after="283"/>
              <w:jc w:val="right"/>
              <w:rPr/>
            </w:pPr>
            <w:r>
              <w:rPr/>
              <w:t>(2,429</w:t>
            </w:r>
          </w:p>
        </w:tc>
        <w:tc>
          <w:tcPr>
            <w:tcW w:w="13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822" w:type="dxa"/>
            <w:tcBorders/>
            <w:shd w:fill="CCEEFF" w:val="clear"/>
            <w:vAlign w:val="bottom"/>
          </w:tcPr>
          <w:p>
            <w:pPr>
              <w:pStyle w:val="TableContents"/>
              <w:spacing w:before="0" w:after="283"/>
              <w:jc w:val="right"/>
              <w:rPr/>
            </w:pPr>
            <w:r>
              <w:rPr/>
              <w:t>(2,627</w:t>
            </w:r>
          </w:p>
        </w:tc>
        <w:tc>
          <w:tcPr>
            <w:tcW w:w="125" w:type="dxa"/>
            <w:tcBorders/>
            <w:shd w:fill="CCEEFF" w:val="clear"/>
            <w:vAlign w:val="bottom"/>
          </w:tcPr>
          <w:p>
            <w:pPr>
              <w:pStyle w:val="TableContents"/>
              <w:spacing w:before="0" w:after="283"/>
              <w:rPr/>
            </w:pPr>
            <w:r>
              <w:rPr/>
              <w:t>)</w:t>
            </w:r>
          </w:p>
        </w:tc>
        <w:tc>
          <w:tcPr>
            <w:tcW w:w="386"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(16,385</w:t>
            </w:r>
          </w:p>
        </w:tc>
        <w:tc>
          <w:tcPr>
            <w:tcW w:w="126" w:type="dxa"/>
            <w:tcBorders/>
            <w:shd w:fill="CCEEFF" w:val="clear"/>
            <w:vAlign w:val="bottom"/>
          </w:tcPr>
          <w:p>
            <w:pPr>
              <w:pStyle w:val="TableContents"/>
              <w:spacing w:before="0" w:after="283"/>
              <w:rPr/>
            </w:pPr>
            <w:r>
              <w:rPr/>
              <w:t>)</w:t>
            </w:r>
          </w:p>
        </w:tc>
        <w:tc>
          <w:tcPr>
            <w:tcW w:w="38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04" w:type="dxa"/>
            <w:tcBorders/>
            <w:shd w:fill="CCEEFF" w:val="clear"/>
            <w:vAlign w:val="bottom"/>
          </w:tcPr>
          <w:p>
            <w:pPr>
              <w:pStyle w:val="TableContents"/>
              <w:spacing w:before="0" w:after="283"/>
              <w:jc w:val="right"/>
              <w:rPr/>
            </w:pPr>
            <w:r>
              <w:rPr/>
              <w:t>(19,181</w:t>
            </w:r>
          </w:p>
        </w:tc>
        <w:tc>
          <w:tcPr>
            <w:tcW w:w="135" w:type="dxa"/>
            <w:tcBorders/>
            <w:shd w:fill="CCEEFF" w:val="clear"/>
            <w:vAlign w:val="bottom"/>
          </w:tcPr>
          <w:p>
            <w:pPr>
              <w:pStyle w:val="TableContents"/>
              <w:spacing w:before="0" w:after="283"/>
              <w:rPr/>
            </w:pPr>
            <w:r>
              <w:rPr/>
              <w:t>)</w:t>
            </w:r>
          </w:p>
        </w:tc>
      </w:tr>
      <w:tr>
        <w:trPr/>
        <w:tc>
          <w:tcPr>
            <w:tcW w:w="4248" w:type="dxa"/>
            <w:tcBorders/>
            <w:shd w:fill="auto" w:val="clear"/>
            <w:vAlign w:val="bottom"/>
          </w:tcPr>
          <w:p>
            <w:pPr>
              <w:pStyle w:val="TableContents"/>
              <w:spacing w:before="0" w:after="0"/>
              <w:ind w:left="225" w:right="0" w:hanging="225"/>
              <w:rPr/>
            </w:pPr>
            <w:r>
              <w:rPr/>
              <w:t>Depreciation and amortization</w:t>
            </w:r>
          </w:p>
        </w:tc>
        <w:tc>
          <w:tcPr>
            <w:tcW w:w="38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821" w:type="dxa"/>
            <w:tcBorders/>
            <w:shd w:fill="auto" w:val="clear"/>
            <w:vAlign w:val="bottom"/>
          </w:tcPr>
          <w:p>
            <w:pPr>
              <w:pStyle w:val="TableContents"/>
              <w:spacing w:before="0" w:after="283"/>
              <w:jc w:val="right"/>
              <w:rPr/>
            </w:pPr>
            <w:r>
              <w:rPr/>
              <w:t>(5,019</w:t>
            </w:r>
          </w:p>
        </w:tc>
        <w:tc>
          <w:tcPr>
            <w:tcW w:w="135"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822" w:type="dxa"/>
            <w:tcBorders/>
            <w:shd w:fill="auto" w:val="clear"/>
            <w:vAlign w:val="bottom"/>
          </w:tcPr>
          <w:p>
            <w:pPr>
              <w:pStyle w:val="TableContents"/>
              <w:spacing w:before="0" w:after="283"/>
              <w:jc w:val="right"/>
              <w:rPr/>
            </w:pPr>
            <w:r>
              <w:rPr/>
              <w:t>(5,585</w:t>
            </w:r>
          </w:p>
        </w:tc>
        <w:tc>
          <w:tcPr>
            <w:tcW w:w="125" w:type="dxa"/>
            <w:tcBorders/>
            <w:shd w:fill="auto" w:val="clear"/>
            <w:vAlign w:val="bottom"/>
          </w:tcPr>
          <w:p>
            <w:pPr>
              <w:pStyle w:val="TableContents"/>
              <w:spacing w:before="0" w:after="283"/>
              <w:rPr/>
            </w:pPr>
            <w:r>
              <w:rPr/>
              <w:t>)</w:t>
            </w:r>
          </w:p>
        </w:tc>
        <w:tc>
          <w:tcPr>
            <w:tcW w:w="386"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(15,044</w:t>
            </w:r>
          </w:p>
        </w:tc>
        <w:tc>
          <w:tcPr>
            <w:tcW w:w="126" w:type="dxa"/>
            <w:tcBorders/>
            <w:shd w:fill="auto" w:val="clear"/>
            <w:vAlign w:val="bottom"/>
          </w:tcPr>
          <w:p>
            <w:pPr>
              <w:pStyle w:val="TableContents"/>
              <w:spacing w:before="0" w:after="283"/>
              <w:rPr/>
            </w:pPr>
            <w:r>
              <w:rPr/>
              <w:t>)</w:t>
            </w:r>
          </w:p>
        </w:tc>
        <w:tc>
          <w:tcPr>
            <w:tcW w:w="38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(16,988</w:t>
            </w:r>
          </w:p>
        </w:tc>
        <w:tc>
          <w:tcPr>
            <w:tcW w:w="135" w:type="dxa"/>
            <w:tcBorders/>
            <w:shd w:fill="auto" w:val="clear"/>
            <w:vAlign w:val="bottom"/>
          </w:tcPr>
          <w:p>
            <w:pPr>
              <w:pStyle w:val="TableContents"/>
              <w:spacing w:before="0" w:after="283"/>
              <w:rPr/>
            </w:pPr>
            <w:r>
              <w:rPr/>
              <w:t>)</w:t>
            </w:r>
          </w:p>
        </w:tc>
      </w:tr>
      <w:tr>
        <w:trPr/>
        <w:tc>
          <w:tcPr>
            <w:tcW w:w="4248" w:type="dxa"/>
            <w:tcBorders/>
            <w:shd w:fill="CCEEFF" w:val="clear"/>
            <w:vAlign w:val="bottom"/>
          </w:tcPr>
          <w:p>
            <w:pPr>
              <w:pStyle w:val="TableContents"/>
              <w:spacing w:before="0" w:after="0"/>
              <w:ind w:left="225" w:right="0" w:hanging="225"/>
              <w:rPr/>
            </w:pPr>
            <w:r>
              <w:rPr/>
              <w:t>Impairment recoveries (losses)</w:t>
            </w:r>
          </w:p>
        </w:tc>
        <w:tc>
          <w:tcPr>
            <w:tcW w:w="38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821" w:type="dxa"/>
            <w:tcBorders/>
            <w:shd w:fill="CCEEFF" w:val="clear"/>
            <w:vAlign w:val="bottom"/>
          </w:tcPr>
          <w:p>
            <w:pPr>
              <w:pStyle w:val="TableContents"/>
              <w:spacing w:before="0" w:after="283"/>
              <w:jc w:val="right"/>
              <w:rPr/>
            </w:pPr>
            <w:r>
              <w:rPr/>
              <w:t>(193</w:t>
            </w:r>
          </w:p>
        </w:tc>
        <w:tc>
          <w:tcPr>
            <w:tcW w:w="13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822" w:type="dxa"/>
            <w:tcBorders/>
            <w:shd w:fill="CCEEFF" w:val="clear"/>
            <w:vAlign w:val="bottom"/>
          </w:tcPr>
          <w:p>
            <w:pPr>
              <w:pStyle w:val="TableContents"/>
              <w:spacing w:before="0" w:after="283"/>
              <w:jc w:val="right"/>
              <w:rPr/>
            </w:pPr>
            <w:r>
              <w:rPr/>
              <w:t>(843</w:t>
            </w:r>
          </w:p>
        </w:tc>
        <w:tc>
          <w:tcPr>
            <w:tcW w:w="125" w:type="dxa"/>
            <w:tcBorders/>
            <w:shd w:fill="CCEEFF" w:val="clear"/>
            <w:vAlign w:val="bottom"/>
          </w:tcPr>
          <w:p>
            <w:pPr>
              <w:pStyle w:val="TableContents"/>
              <w:spacing w:before="0" w:after="283"/>
              <w:rPr/>
            </w:pPr>
            <w:r>
              <w:rPr/>
              <w:t>)</w:t>
            </w:r>
          </w:p>
        </w:tc>
        <w:tc>
          <w:tcPr>
            <w:tcW w:w="386"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650</w:t>
            </w:r>
          </w:p>
        </w:tc>
        <w:tc>
          <w:tcPr>
            <w:tcW w:w="126"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04" w:type="dxa"/>
            <w:tcBorders/>
            <w:shd w:fill="CCEEFF" w:val="clear"/>
            <w:vAlign w:val="bottom"/>
          </w:tcPr>
          <w:p>
            <w:pPr>
              <w:pStyle w:val="TableContents"/>
              <w:spacing w:before="0" w:after="283"/>
              <w:jc w:val="right"/>
              <w:rPr/>
            </w:pPr>
            <w:r>
              <w:rPr/>
              <w:t>(843</w:t>
            </w:r>
          </w:p>
        </w:tc>
        <w:tc>
          <w:tcPr>
            <w:tcW w:w="135" w:type="dxa"/>
            <w:tcBorders/>
            <w:shd w:fill="CCEEFF" w:val="clear"/>
            <w:vAlign w:val="bottom"/>
          </w:tcPr>
          <w:p>
            <w:pPr>
              <w:pStyle w:val="TableContents"/>
              <w:spacing w:before="0" w:after="283"/>
              <w:rPr/>
            </w:pPr>
            <w:r>
              <w:rPr/>
              <w:t>)</w:t>
            </w:r>
          </w:p>
        </w:tc>
      </w:tr>
      <w:tr>
        <w:trPr/>
        <w:tc>
          <w:tcPr>
            <w:tcW w:w="4248" w:type="dxa"/>
            <w:tcBorders/>
            <w:shd w:fill="auto" w:val="clear"/>
            <w:vAlign w:val="bottom"/>
          </w:tcPr>
          <w:p>
            <w:pPr>
              <w:pStyle w:val="TableContents"/>
              <w:spacing w:before="0" w:after="0"/>
              <w:ind w:left="225" w:right="0" w:hanging="225"/>
              <w:rPr/>
            </w:pPr>
            <w:r>
              <w:rPr/>
              <w:t>Income from discontinued operations</w:t>
            </w:r>
          </w:p>
        </w:tc>
        <w:tc>
          <w:tcPr>
            <w:tcW w:w="38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1,496</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jc w:val="right"/>
              <w:rPr/>
            </w:pPr>
            <w:r>
              <w:rPr/>
              <w:t>1,328</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11,026</w:t>
            </w:r>
          </w:p>
        </w:tc>
        <w:tc>
          <w:tcPr>
            <w:tcW w:w="126"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1,160</w:t>
            </w:r>
          </w:p>
        </w:tc>
        <w:tc>
          <w:tcPr>
            <w:tcW w:w="135" w:type="dxa"/>
            <w:tcBorders/>
            <w:shd w:fill="auto" w:val="clear"/>
            <w:vAlign w:val="bottom"/>
          </w:tcPr>
          <w:p>
            <w:pPr>
              <w:pStyle w:val="TableContents"/>
              <w:spacing w:before="0" w:after="283"/>
              <w:rPr/>
            </w:pPr>
            <w:r>
              <w:rPr/>
              <w:t> </w:t>
            </w:r>
          </w:p>
        </w:tc>
      </w:tr>
      <w:tr>
        <w:trPr/>
        <w:tc>
          <w:tcPr>
            <w:tcW w:w="4248" w:type="dxa"/>
            <w:tcBorders/>
            <w:shd w:fill="auto" w:val="clear"/>
            <w:vAlign w:val="center"/>
          </w:tcPr>
          <w:p>
            <w:pPr>
              <w:pStyle w:val="TableContents"/>
              <w:spacing w:before="0" w:after="0"/>
              <w:ind w:left="225" w:right="0" w:hanging="225"/>
              <w:rPr/>
            </w:pPr>
            <w:r>
              <w:rPr/>
              <w:t> </w:t>
            </w:r>
          </w:p>
        </w:tc>
        <w:tc>
          <w:tcPr>
            <w:tcW w:w="386" w:type="dxa"/>
            <w:tcBorders/>
            <w:shd w:fill="auto" w:val="clear"/>
            <w:vAlign w:val="center"/>
          </w:tcPr>
          <w:p>
            <w:pPr>
              <w:pStyle w:val="TableContents"/>
              <w:spacing w:before="0" w:after="283"/>
              <w:rPr/>
            </w:pPr>
            <w:r>
              <w:rPr/>
              <w:t> </w:t>
            </w:r>
          </w:p>
        </w:tc>
        <w:tc>
          <w:tcPr>
            <w:tcW w:w="9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86" w:type="dxa"/>
            <w:tcBorders/>
            <w:shd w:fill="auto" w:val="clear"/>
            <w:vAlign w:val="center"/>
          </w:tcPr>
          <w:p>
            <w:pPr>
              <w:pStyle w:val="TableContents"/>
              <w:spacing w:before="0" w:after="283"/>
              <w:rPr/>
            </w:pPr>
            <w:r>
              <w:rPr/>
              <w:t> </w:t>
            </w:r>
          </w:p>
        </w:tc>
        <w:tc>
          <w:tcPr>
            <w:tcW w:w="9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87" w:type="dxa"/>
            <w:tcBorders/>
            <w:shd w:fill="auto" w:val="clear"/>
            <w:vAlign w:val="center"/>
          </w:tcPr>
          <w:p>
            <w:pPr>
              <w:pStyle w:val="TableContents"/>
              <w:spacing w:before="0" w:after="283"/>
              <w:rPr/>
            </w:pPr>
            <w:r>
              <w:rPr/>
              <w:t> </w:t>
            </w:r>
          </w:p>
        </w:tc>
        <w:tc>
          <w:tcPr>
            <w:tcW w:w="9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248" w:type="dxa"/>
            <w:tcBorders/>
            <w:shd w:fill="CCEEFF" w:val="clear"/>
            <w:vAlign w:val="bottom"/>
          </w:tcPr>
          <w:p>
            <w:pPr>
              <w:pStyle w:val="TableContents"/>
              <w:spacing w:before="0" w:after="0"/>
              <w:ind w:left="225" w:right="0" w:hanging="225"/>
              <w:rPr/>
            </w:pPr>
            <w:r>
              <w:rPr/>
              <w:t>Net income</w:t>
            </w:r>
          </w:p>
        </w:tc>
        <w:tc>
          <w:tcPr>
            <w:tcW w:w="38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23,519</w:t>
            </w:r>
          </w:p>
        </w:tc>
        <w:tc>
          <w:tcPr>
            <w:tcW w:w="13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2" w:type="dxa"/>
            <w:tcBorders/>
            <w:shd w:fill="CCEEFF" w:val="clear"/>
            <w:vAlign w:val="bottom"/>
          </w:tcPr>
          <w:p>
            <w:pPr>
              <w:pStyle w:val="TableContents"/>
              <w:spacing w:before="0" w:after="283"/>
              <w:jc w:val="right"/>
              <w:rPr/>
            </w:pPr>
            <w:r>
              <w:rPr/>
              <w:t>10,699</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65,389</w:t>
            </w:r>
          </w:p>
        </w:tc>
        <w:tc>
          <w:tcPr>
            <w:tcW w:w="126"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34,042</w:t>
            </w:r>
          </w:p>
        </w:tc>
        <w:tc>
          <w:tcPr>
            <w:tcW w:w="135" w:type="dxa"/>
            <w:tcBorders/>
            <w:shd w:fill="CCEEFF" w:val="clear"/>
            <w:vAlign w:val="bottom"/>
          </w:tcPr>
          <w:p>
            <w:pPr>
              <w:pStyle w:val="TableContents"/>
              <w:spacing w:before="0" w:after="283"/>
              <w:rPr/>
            </w:pPr>
            <w:r>
              <w:rPr/>
              <w:t> </w:t>
            </w:r>
          </w:p>
        </w:tc>
      </w:tr>
      <w:tr>
        <w:trPr/>
        <w:tc>
          <w:tcPr>
            <w:tcW w:w="4248" w:type="dxa"/>
            <w:tcBorders/>
            <w:shd w:fill="auto" w:val="clear"/>
            <w:vAlign w:val="center"/>
          </w:tcPr>
          <w:p>
            <w:pPr>
              <w:pStyle w:val="TableContents"/>
              <w:spacing w:before="0" w:after="0"/>
              <w:ind w:left="225" w:right="0" w:hanging="225"/>
              <w:rPr/>
            </w:pPr>
            <w:r>
              <w:rPr/>
              <w:t> </w:t>
            </w:r>
          </w:p>
        </w:tc>
        <w:tc>
          <w:tcPr>
            <w:tcW w:w="386" w:type="dxa"/>
            <w:tcBorders/>
            <w:shd w:fill="auto" w:val="clear"/>
            <w:vAlign w:val="center"/>
          </w:tcPr>
          <w:p>
            <w:pPr>
              <w:pStyle w:val="TableContents"/>
              <w:spacing w:before="0" w:after="283"/>
              <w:rPr/>
            </w:pPr>
            <w:r>
              <w:rPr/>
              <w:t> </w:t>
            </w:r>
          </w:p>
        </w:tc>
        <w:tc>
          <w:tcPr>
            <w:tcW w:w="9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86" w:type="dxa"/>
            <w:tcBorders/>
            <w:shd w:fill="auto" w:val="clear"/>
            <w:vAlign w:val="center"/>
          </w:tcPr>
          <w:p>
            <w:pPr>
              <w:pStyle w:val="TableContents"/>
              <w:spacing w:before="0" w:after="283"/>
              <w:rPr/>
            </w:pPr>
            <w:r>
              <w:rPr/>
              <w:t> </w:t>
            </w:r>
          </w:p>
        </w:tc>
        <w:tc>
          <w:tcPr>
            <w:tcW w:w="9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87" w:type="dxa"/>
            <w:tcBorders/>
            <w:shd w:fill="auto" w:val="clear"/>
            <w:vAlign w:val="center"/>
          </w:tcPr>
          <w:p>
            <w:pPr>
              <w:pStyle w:val="TableContents"/>
              <w:spacing w:before="0" w:after="283"/>
              <w:rPr/>
            </w:pPr>
            <w:r>
              <w:rPr/>
              <w:t> </w:t>
            </w:r>
          </w:p>
        </w:tc>
        <w:tc>
          <w:tcPr>
            <w:tcW w:w="9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increase in Adjusted EBITDA of $11.0 million for the third quarter of 2006 compared to the third quarter of 2005 was driven by higher segment operating income at all operating segments, most notably GES, and higher interest income. The increase in Adjusted EBITDA of $14.6 million for the nine months ended September 30, 2006 compared to 2005 was primarily due to higher segment operating income at GES and Travel and Recreation Services as well as the gain on sale of certain corporate assets and higher interest income. </w:t>
      </w:r>
    </w:p>
    <w:p>
      <w:pPr>
        <w:pStyle w:val="TextBody"/>
        <w:jc w:val="center"/>
        <w:rPr>
          <w:rFonts w:ascii="Times New Roman;Times;serif" w:hAnsi="Times New Roman;Times;serif"/>
          <w:sz w:val="17"/>
        </w:rPr>
      </w:pPr>
      <w:r>
        <w:rPr>
          <w:rFonts w:ascii="Times New Roman;Times;serif" w:hAnsi="Times New Roman;Times;serif"/>
          <w:sz w:val="17"/>
        </w:rPr>
        <w:t xml:space="preserve">Page 21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 reconciliation of Income before impairment losses and recoveries to income from continuing operations is as follows: </w:t>
      </w:r>
    </w:p>
    <w:tbl>
      <w:tblPr>
        <w:tblW w:w="5000" w:type="pct"/>
        <w:jc w:val="center"/>
        <w:tblInd w:w="0" w:type="dxa"/>
        <w:tblCellMar>
          <w:top w:w="0" w:type="dxa"/>
          <w:left w:w="0" w:type="dxa"/>
          <w:bottom w:w="0" w:type="dxa"/>
          <w:right w:w="0" w:type="dxa"/>
        </w:tblCellMar>
      </w:tblPr>
      <w:tblGrid>
        <w:gridCol w:w="4142"/>
        <w:gridCol w:w="383"/>
        <w:gridCol w:w="178"/>
        <w:gridCol w:w="879"/>
        <w:gridCol w:w="143"/>
        <w:gridCol w:w="392"/>
        <w:gridCol w:w="178"/>
        <w:gridCol w:w="787"/>
        <w:gridCol w:w="128"/>
        <w:gridCol w:w="383"/>
        <w:gridCol w:w="166"/>
        <w:gridCol w:w="821"/>
        <w:gridCol w:w="110"/>
        <w:gridCol w:w="386"/>
        <w:gridCol w:w="166"/>
        <w:gridCol w:w="824"/>
        <w:gridCol w:w="139"/>
      </w:tblGrid>
      <w:tr>
        <w:trPr/>
        <w:tc>
          <w:tcPr>
            <w:tcW w:w="4142"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4142"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57" w:type="dxa"/>
            <w:gridSpan w:val="6"/>
            <w:tcBorders/>
            <w:shd w:fill="auto" w:val="clear"/>
            <w:vAlign w:val="bottom"/>
          </w:tcPr>
          <w:p>
            <w:pPr>
              <w:pStyle w:val="TableContents"/>
              <w:spacing w:before="0" w:after="283"/>
              <w:jc w:val="center"/>
              <w:rPr>
                <w:b/>
              </w:rPr>
            </w:pPr>
            <w:r>
              <w:rPr>
                <w:b/>
              </w:rPr>
              <w:t>Three months ended</w:t>
            </w:r>
          </w:p>
        </w:tc>
        <w:tc>
          <w:tcPr>
            <w:tcW w:w="128"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473" w:type="dxa"/>
            <w:gridSpan w:val="6"/>
            <w:tcBorders/>
            <w:shd w:fill="auto" w:val="clear"/>
            <w:vAlign w:val="bottom"/>
          </w:tcPr>
          <w:p>
            <w:pPr>
              <w:pStyle w:val="TableContents"/>
              <w:spacing w:before="0" w:after="283"/>
              <w:jc w:val="center"/>
              <w:rPr>
                <w:b/>
              </w:rPr>
            </w:pPr>
            <w:r>
              <w:rPr>
                <w:b/>
              </w:rPr>
              <w:t>Nine months ended</w:t>
            </w:r>
          </w:p>
        </w:tc>
        <w:tc>
          <w:tcPr>
            <w:tcW w:w="139" w:type="dxa"/>
            <w:tcBorders/>
            <w:shd w:fill="auto" w:val="clear"/>
            <w:vAlign w:val="bottom"/>
          </w:tcPr>
          <w:p>
            <w:pPr>
              <w:pStyle w:val="TableContents"/>
              <w:spacing w:before="0" w:after="283"/>
              <w:rPr/>
            </w:pPr>
            <w:r>
              <w:rPr/>
              <w:t> </w:t>
            </w:r>
          </w:p>
        </w:tc>
      </w:tr>
      <w:tr>
        <w:trPr/>
        <w:tc>
          <w:tcPr>
            <w:tcW w:w="4142"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5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w:t>
            </w:r>
          </w:p>
        </w:tc>
        <w:tc>
          <w:tcPr>
            <w:tcW w:w="128"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473"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September 30,</w:t>
            </w:r>
          </w:p>
        </w:tc>
        <w:tc>
          <w:tcPr>
            <w:tcW w:w="139" w:type="dxa"/>
            <w:tcBorders/>
            <w:shd w:fill="auto" w:val="clear"/>
            <w:vAlign w:val="bottom"/>
          </w:tcPr>
          <w:p>
            <w:pPr>
              <w:pStyle w:val="TableContents"/>
              <w:spacing w:before="0" w:after="283"/>
              <w:rPr/>
            </w:pPr>
            <w:r>
              <w:rPr/>
              <w:t> </w:t>
            </w:r>
          </w:p>
        </w:tc>
      </w:tr>
      <w:tr>
        <w:trPr/>
        <w:tc>
          <w:tcPr>
            <w:tcW w:w="4142"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05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4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8"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98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0"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99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9" w:type="dxa"/>
            <w:tcBorders/>
            <w:shd w:fill="auto" w:val="clear"/>
            <w:vAlign w:val="bottom"/>
          </w:tcPr>
          <w:p>
            <w:pPr>
              <w:pStyle w:val="TableContents"/>
              <w:spacing w:before="0" w:after="283"/>
              <w:rPr/>
            </w:pPr>
            <w:r>
              <w:rPr/>
              <w:t> </w:t>
            </w:r>
          </w:p>
        </w:tc>
      </w:tr>
      <w:tr>
        <w:trPr/>
        <w:tc>
          <w:tcPr>
            <w:tcW w:w="4142"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463" w:type="dxa"/>
            <w:gridSpan w:val="6"/>
            <w:tcBorders/>
            <w:shd w:fill="auto" w:val="clear"/>
            <w:vAlign w:val="bottom"/>
          </w:tcPr>
          <w:p>
            <w:pPr>
              <w:pStyle w:val="TableContents"/>
              <w:spacing w:before="0" w:after="283"/>
              <w:jc w:val="center"/>
              <w:rPr>
                <w:b/>
              </w:rPr>
            </w:pPr>
            <w:r>
              <w:rPr>
                <w:b/>
              </w:rPr>
              <w:t>(in thousands)</w:t>
            </w:r>
          </w:p>
        </w:tc>
        <w:tc>
          <w:tcPr>
            <w:tcW w:w="110"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4142" w:type="dxa"/>
            <w:tcBorders/>
            <w:shd w:fill="CCEEFF" w:val="clear"/>
            <w:vAlign w:val="bottom"/>
          </w:tcPr>
          <w:p>
            <w:pPr>
              <w:pStyle w:val="TableContents"/>
              <w:spacing w:before="0" w:after="0"/>
              <w:ind w:left="225" w:right="0" w:hanging="225"/>
              <w:rPr/>
            </w:pPr>
            <w:r>
              <w:rPr/>
              <w:t>Income before impairment losses and recoveries</w:t>
            </w:r>
          </w:p>
        </w:tc>
        <w:tc>
          <w:tcPr>
            <w:tcW w:w="383"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22,155</w:t>
            </w:r>
          </w:p>
        </w:tc>
        <w:tc>
          <w:tcPr>
            <w:tcW w:w="143"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787" w:type="dxa"/>
            <w:tcBorders/>
            <w:shd w:fill="CCEEFF" w:val="clear"/>
            <w:vAlign w:val="bottom"/>
          </w:tcPr>
          <w:p>
            <w:pPr>
              <w:pStyle w:val="TableContents"/>
              <w:spacing w:before="0" w:after="283"/>
              <w:jc w:val="right"/>
              <w:rPr/>
            </w:pPr>
            <w:r>
              <w:rPr/>
              <w:t>9,879</w:t>
            </w:r>
          </w:p>
        </w:tc>
        <w:tc>
          <w:tcPr>
            <w:tcW w:w="128"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53,987</w:t>
            </w:r>
          </w:p>
        </w:tc>
        <w:tc>
          <w:tcPr>
            <w:tcW w:w="110"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33,390</w:t>
            </w:r>
          </w:p>
        </w:tc>
        <w:tc>
          <w:tcPr>
            <w:tcW w:w="139" w:type="dxa"/>
            <w:tcBorders/>
            <w:shd w:fill="CCEEFF" w:val="clear"/>
            <w:vAlign w:val="bottom"/>
          </w:tcPr>
          <w:p>
            <w:pPr>
              <w:pStyle w:val="TableContents"/>
              <w:spacing w:before="0" w:after="283"/>
              <w:rPr/>
            </w:pPr>
            <w:r>
              <w:rPr/>
              <w:t> </w:t>
            </w:r>
          </w:p>
        </w:tc>
      </w:tr>
      <w:tr>
        <w:trPr/>
        <w:tc>
          <w:tcPr>
            <w:tcW w:w="4142" w:type="dxa"/>
            <w:tcBorders/>
            <w:shd w:fill="auto" w:val="clear"/>
            <w:vAlign w:val="bottom"/>
          </w:tcPr>
          <w:p>
            <w:pPr>
              <w:pStyle w:val="TableContents"/>
              <w:spacing w:before="0" w:after="0"/>
              <w:ind w:left="225" w:right="0" w:hanging="225"/>
              <w:rPr/>
            </w:pPr>
            <w:r>
              <w:rPr/>
              <w:t>Impairment recoveries (losses), net of tax</w:t>
            </w:r>
          </w:p>
        </w:tc>
        <w:tc>
          <w:tcPr>
            <w:tcW w:w="38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879" w:type="dxa"/>
            <w:tcBorders/>
            <w:shd w:fill="auto" w:val="clear"/>
            <w:vAlign w:val="bottom"/>
          </w:tcPr>
          <w:p>
            <w:pPr>
              <w:pStyle w:val="TableContents"/>
              <w:spacing w:before="0" w:after="283"/>
              <w:jc w:val="right"/>
              <w:rPr/>
            </w:pPr>
            <w:r>
              <w:rPr/>
              <w:t>(132</w:t>
            </w:r>
          </w:p>
        </w:tc>
        <w:tc>
          <w:tcPr>
            <w:tcW w:w="143"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787" w:type="dxa"/>
            <w:tcBorders/>
            <w:shd w:fill="auto" w:val="clear"/>
            <w:vAlign w:val="bottom"/>
          </w:tcPr>
          <w:p>
            <w:pPr>
              <w:pStyle w:val="TableContents"/>
              <w:spacing w:before="0" w:after="283"/>
              <w:jc w:val="right"/>
              <w:rPr/>
            </w:pPr>
            <w:r>
              <w:rPr/>
              <w:t>(508</w:t>
            </w:r>
          </w:p>
        </w:tc>
        <w:tc>
          <w:tcPr>
            <w:tcW w:w="128"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376</w:t>
            </w:r>
          </w:p>
        </w:tc>
        <w:tc>
          <w:tcPr>
            <w:tcW w:w="110"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824" w:type="dxa"/>
            <w:tcBorders/>
            <w:shd w:fill="auto" w:val="clear"/>
            <w:vAlign w:val="bottom"/>
          </w:tcPr>
          <w:p>
            <w:pPr>
              <w:pStyle w:val="TableContents"/>
              <w:spacing w:before="0" w:after="283"/>
              <w:jc w:val="right"/>
              <w:rPr/>
            </w:pPr>
            <w:r>
              <w:rPr/>
              <w:t>(508</w:t>
            </w:r>
          </w:p>
        </w:tc>
        <w:tc>
          <w:tcPr>
            <w:tcW w:w="139" w:type="dxa"/>
            <w:tcBorders/>
            <w:shd w:fill="auto" w:val="clear"/>
            <w:vAlign w:val="bottom"/>
          </w:tcPr>
          <w:p>
            <w:pPr>
              <w:pStyle w:val="TableContents"/>
              <w:spacing w:before="0" w:after="283"/>
              <w:rPr/>
            </w:pPr>
            <w:r>
              <w:rPr/>
              <w:t>)</w:t>
            </w:r>
          </w:p>
        </w:tc>
      </w:tr>
      <w:tr>
        <w:trPr/>
        <w:tc>
          <w:tcPr>
            <w:tcW w:w="4142"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0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86" w:type="dxa"/>
            <w:tcBorders/>
            <w:shd w:fill="auto" w:val="clear"/>
            <w:vAlign w:val="center"/>
          </w:tcPr>
          <w:p>
            <w:pPr>
              <w:pStyle w:val="TableContents"/>
              <w:spacing w:before="0" w:after="283"/>
              <w:rPr/>
            </w:pPr>
            <w:r>
              <w:rPr/>
              <w:t> </w:t>
            </w:r>
          </w:p>
        </w:tc>
        <w:tc>
          <w:tcPr>
            <w:tcW w:w="9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4142" w:type="dxa"/>
            <w:tcBorders/>
            <w:shd w:fill="CCEEFF" w:val="clear"/>
            <w:vAlign w:val="bottom"/>
          </w:tcPr>
          <w:p>
            <w:pPr>
              <w:pStyle w:val="TableContents"/>
              <w:spacing w:before="0" w:after="0"/>
              <w:ind w:left="225" w:right="0" w:hanging="225"/>
              <w:rPr/>
            </w:pPr>
            <w:r>
              <w:rPr/>
              <w:t>Income from continuing operations</w:t>
            </w:r>
          </w:p>
        </w:tc>
        <w:tc>
          <w:tcPr>
            <w:tcW w:w="383"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22,023</w:t>
            </w:r>
          </w:p>
        </w:tc>
        <w:tc>
          <w:tcPr>
            <w:tcW w:w="143"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787" w:type="dxa"/>
            <w:tcBorders/>
            <w:shd w:fill="CCEEFF" w:val="clear"/>
            <w:vAlign w:val="bottom"/>
          </w:tcPr>
          <w:p>
            <w:pPr>
              <w:pStyle w:val="TableContents"/>
              <w:spacing w:before="0" w:after="283"/>
              <w:jc w:val="right"/>
              <w:rPr/>
            </w:pPr>
            <w:r>
              <w:rPr/>
              <w:t>9,371</w:t>
            </w:r>
          </w:p>
        </w:tc>
        <w:tc>
          <w:tcPr>
            <w:tcW w:w="128"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54,363</w:t>
            </w:r>
          </w:p>
        </w:tc>
        <w:tc>
          <w:tcPr>
            <w:tcW w:w="110"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32,882</w:t>
            </w:r>
          </w:p>
        </w:tc>
        <w:tc>
          <w:tcPr>
            <w:tcW w:w="139" w:type="dxa"/>
            <w:tcBorders/>
            <w:shd w:fill="CCEEFF" w:val="clear"/>
            <w:vAlign w:val="bottom"/>
          </w:tcPr>
          <w:p>
            <w:pPr>
              <w:pStyle w:val="TableContents"/>
              <w:spacing w:before="0" w:after="283"/>
              <w:rPr/>
            </w:pPr>
            <w:r>
              <w:rPr/>
              <w:t> </w:t>
            </w:r>
          </w:p>
        </w:tc>
      </w:tr>
      <w:tr>
        <w:trPr/>
        <w:tc>
          <w:tcPr>
            <w:tcW w:w="4142"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0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9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86"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See Results of Operations below for a discussion of fluctuations in Income before impairment losses and recoveries.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Results of Operations: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Comparison of Third Quarter of 2006 to the Third Quarter of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the third quarter of 2006, revenues increased 20.6 percent to $230.5 million from $191.1 million in the third quarter of 2005. The increase was primarily due to positive show rotation at GES and Exhibitgroup and continued same-show growth at GES. Income before income taxes was $24.5 million for the third quarter of 2006, compared to $12.0 million in the third quarter of 2005. Viads income from continuing operations for the third quarter of 2006 was $22.0 million, or $1.03 per diluted share, up from $9.4 million, or $0.42 per diluted share, in the third quarter of 2005. This improvement was largely the result of favorable tax settlements of $5.8 million, or $0.27 per diluted share, compared to $1.5 million, or $0.07 per diluted share, in 2005 and improved operating results from all operating segments. Income before impairment losses and recoveries in the third quarter of 2006 was $22.2 million, or $1.04 per diluted share, which excludes net impairment losses of $132,000 (after-tax), or $0.01 per diluted share. This compares to income before impairment losses and recoveries of $9.9 million, or $0.44 per diluted share, in the third quarter of 2005 and excludes impairment losses of $508,000 (after-tax), or $0.02 per diluted share. </w:t>
      </w:r>
    </w:p>
    <w:p>
      <w:pPr>
        <w:pStyle w:val="TextBody"/>
        <w:spacing w:before="120" w:after="283"/>
        <w:jc w:val="left"/>
        <w:rPr/>
      </w:pPr>
      <w:r>
        <w:rPr/>
        <w:t>     </w:t>
      </w:r>
      <w:r>
        <w:rPr>
          <w:rFonts w:ascii="Times New Roman;Times;serif" w:hAnsi="Times New Roman;Times;serif"/>
          <w:sz w:val="17"/>
        </w:rPr>
        <w:t xml:space="preserve">Net income for the third quarter of 2006 was $23.5 million, or $1.10 per diluted share, including income from discontinued operations of $1.5 million, or $0.07 per diluted share, primarily related to tax matters associated with previously sold operations. This compares to net income of $10.7 million, or $0.48 per diluted share, in the third quarter of 2005, which included income from discontinued operations of $1.3 million, or $0.06 per diluted share, related to tax matters associated with previously sold operations. </w:t>
      </w:r>
    </w:p>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Revenues for GES were $151.7 million for the third quarter of 2006, up 26.9 percent from $119.6 million in the third quarter of 2005. The increase resulted primarily from positive show rotation. Strong same-show growth and growth in exhibitor discretionary revenue driven by the Products and Services group also drove the increase in revenue. Segment operating income was $9.6 million in the third quarter of 2006, up from $1.5 million in the third quarter of 2005. The increase in operating income was primarily due to the growth in revenue. In the fourth quarter of 2006, Viad expects to receive approximately $1.8 million of insurance recoveries related to Hurricane Katrina. Of this amount, approximately $1.7 million relates to business interruption claims and will be recorded in GESs operating income when received. The remaining amounts will be included in the consolidated statements of operations under the caption Impairment losses (recoveries) when received. Certain claims related to Exhibitgroup also remain pending with Viads insurance carriers and the amounts of recoveries related to Exhibitgroup, if any, remain uncertain. </w:t>
      </w:r>
    </w:p>
    <w:p>
      <w:pPr>
        <w:pStyle w:val="TextBody"/>
        <w:spacing w:before="120" w:after="283"/>
        <w:jc w:val="left"/>
        <w:rPr/>
      </w:pPr>
      <w:r>
        <w:rPr/>
        <w:t>     </w:t>
      </w:r>
      <w:r>
        <w:rPr>
          <w:rFonts w:ascii="Times New Roman;Times;serif" w:hAnsi="Times New Roman;Times;serif"/>
          <w:sz w:val="17"/>
        </w:rPr>
        <w:t xml:space="preserve">In general, the exhibition and event industry is experiencing signs of modest growth in terms of square footage and number of exhibitors. Management believes that further improvements in the economy and corporate earnings could lead to increased show spending. The prospects for individual shows tend to be driven by the success of the industry related to those shows. GES has a diversified revenue base and is generally insulated from industry-specific trends. </w:t>
      </w:r>
    </w:p>
    <w:p>
      <w:pPr>
        <w:pStyle w:val="TextBody"/>
        <w:spacing w:before="120" w:after="283"/>
        <w:jc w:val="left"/>
        <w:rPr/>
      </w:pPr>
      <w:r>
        <w:rPr/>
        <w:t>     </w:t>
      </w:r>
      <w:r>
        <w:rPr>
          <w:rFonts w:ascii="Times New Roman;Times;serif" w:hAnsi="Times New Roman;Times;serif"/>
          <w:sz w:val="17"/>
        </w:rPr>
        <w:t xml:space="preserve">Material handling revenue, a key driver in the official services contractor business model, can be affected by the weight of exhibits and products that are brought onto the show floor. In prior years, GES experienced pressure on material handling margins due to a trend toward lighter-weight exhibits and fewer products. While this trend does not appear to have reversed, GES has experienced a stabilization of material handling revenue relative to 2005. Increases or decreases in the mix of material handling revenue could affect future operating margins. Management continues to emphasize cost containment, productivity improvements and revenue growth through greater market penetration into exhibitor discretionary spending. Management is also pursuing price increases, including a petroleum surcharge. </w:t>
      </w:r>
    </w:p>
    <w:p>
      <w:pPr>
        <w:pStyle w:val="TextBody"/>
        <w:spacing w:before="120" w:after="283"/>
        <w:jc w:val="left"/>
        <w:rPr/>
      </w:pPr>
      <w:r>
        <w:rPr/>
        <w:t>     </w:t>
      </w:r>
      <w:r>
        <w:rPr>
          <w:rFonts w:ascii="Times New Roman;Times;serif" w:hAnsi="Times New Roman;Times;serif"/>
          <w:sz w:val="17"/>
        </w:rPr>
        <w:t xml:space="preserve">GES and Exhibitgroup are subject to multiple collective bargaining agreements that affect labor costs, about one-third of which expire each year. Although labor relations between the companies and labor are currently stable, disruptions during future contract negotiations could occur, with the possibility of an adverse impact on the operating results of GES and/or Exhibitgroup. </w:t>
      </w:r>
    </w:p>
    <w:p>
      <w:pPr>
        <w:pStyle w:val="TextBody"/>
        <w:jc w:val="center"/>
        <w:rPr>
          <w:rFonts w:ascii="Times New Roman;Times;serif" w:hAnsi="Times New Roman;Times;serif"/>
          <w:sz w:val="17"/>
        </w:rPr>
      </w:pPr>
      <w:r>
        <w:rPr>
          <w:rFonts w:ascii="Times New Roman;Times;serif" w:hAnsi="Times New Roman;Times;serif"/>
          <w:sz w:val="17"/>
        </w:rPr>
        <w:t xml:space="preserve">Page 22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Revenues for Exhibitgroup were $32.0 million, up 17.1 percent in the third quarter of 2006 from $27.3 million in the third quarter of 2005. The increase in revenue was due to positive show rotation of a major European air show, which took place in the third quarter of 2006 but occurred in the second quarter of 2005. The effect of positive show rotation was somewhat offset by a decrease in domestic revenue. </w:t>
      </w:r>
    </w:p>
    <w:p>
      <w:pPr>
        <w:pStyle w:val="TextBody"/>
        <w:spacing w:before="120" w:after="283"/>
        <w:jc w:val="left"/>
        <w:rPr/>
      </w:pPr>
      <w:r>
        <w:rPr/>
        <w:t>     </w:t>
      </w:r>
      <w:r>
        <w:rPr>
          <w:rFonts w:ascii="Times New Roman;Times;serif" w:hAnsi="Times New Roman;Times;serif"/>
          <w:sz w:val="17"/>
        </w:rPr>
        <w:t xml:space="preserve">Segment operating loss was $2.8 million in the third quarter of 2006 compared to a loss of $4.2 million in the third quarter of 2005. Exhibitgroups operating results improved in the third quarter of 2006 due to positive show rotation as well as the continued reduction of fixed and other costs. </w:t>
      </w:r>
    </w:p>
    <w:p>
      <w:pPr>
        <w:pStyle w:val="TextBody"/>
        <w:spacing w:before="120" w:after="283"/>
        <w:jc w:val="left"/>
        <w:rPr/>
      </w:pPr>
      <w:r>
        <w:rPr/>
        <w:t>     </w:t>
      </w:r>
      <w:r>
        <w:rPr>
          <w:rFonts w:ascii="Times New Roman;Times;serif" w:hAnsi="Times New Roman;Times;serif"/>
          <w:sz w:val="17"/>
        </w:rPr>
        <w:t xml:space="preserve">In 2006, revenue at Exhibitgroup has been negatively impacted by the loss of revenue from certain clients who were not re-signed and from existing client spending in 2005 that did not recur in 2006. Exhibitgroup has not realized revenue growth from other clients that is sufficient to offset these negative factors and, as a result, management expects 2006 full year revenue to decline from 2005. Many large corporate clients continue to reuse or refurbish existing exhibits rather than placing orders for new construction. Visibility over revenues continues to be poor and a sustained increase in customer marketing spending on new exhibit construction has not materialized to date. Management is focused on profitable revenue growth, cost control and productivity enhancements in order to improve profitability. </w:t>
      </w:r>
    </w:p>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Revenues of the travel and recreation businesses were $46.9 million, an increase of 5.9 percent from $44.3 million in the third quarter of 2005. Segment operating income was $20.8 million for the third quarter of 2006, an increase of 9.4 percent from $19.1 million in 2005. Brewster saw growth in passenger volume at the Banff Gondola, an increase in revenue per passenger at the icefield and an increase in occupancy at the Mount Royal Hotel. In addition, Glacier Park saw strong occupancy at its inns and lodges and an increase in room revenue over the prior year. </w:t>
      </w:r>
    </w:p>
    <w:p>
      <w:pPr>
        <w:pStyle w:val="TextBody"/>
        <w:spacing w:before="120" w:after="283"/>
        <w:jc w:val="left"/>
        <w:rPr/>
      </w:pPr>
      <w:r>
        <w:rPr/>
        <w:t>     </w:t>
      </w:r>
      <w:r>
        <w:rPr>
          <w:rFonts w:ascii="Times New Roman;Times;serif" w:hAnsi="Times New Roman;Times;serif"/>
          <w:sz w:val="17"/>
        </w:rPr>
        <w:t xml:space="preserve">During 2005, approximately 75 percent of revenue and 84 percent of operating income generated in Viads Travel and Recreation Services segment was derived through its Canadian operations. These operations are largely dependent on foreign customer visitation, and accordingly, increases in the value of the Canadian dollar compared to other currencies could adversely affect customer volumes, and therefore, revenue and operating income in the Travel and Recreation Services segment. </w:t>
      </w:r>
    </w:p>
    <w:p>
      <w:pPr>
        <w:pStyle w:val="TextBody"/>
        <w:spacing w:before="120" w:after="283"/>
        <w:jc w:val="left"/>
        <w:rPr/>
      </w:pPr>
      <w:r>
        <w:rPr/>
        <w:t>     </w:t>
      </w:r>
      <w:r>
        <w:rPr>
          <w:rFonts w:ascii="Times New Roman;Times;serif" w:hAnsi="Times New Roman;Times;serif"/>
          <w:sz w:val="17"/>
        </w:rPr>
        <w:t xml:space="preserve">The operating results related to Viads Canadian subsidiaries were translated into U.S. dollars at weighted-average exchange rates of 0.89 and 0.83 for the third quarter of 2006 and 2005, respectively. Accordingly, Viads consolidated results of operations have been favorably impacted by the strengthening of the Canadian dollar relative to the U.S. dollar as it relates to the translation of its Canadian operations. Decreases in the exchange rates may adversely impact overall expected profitability and historical period to period comparisons when operating results are translated into U.S. dollars. </w:t>
      </w:r>
    </w:p>
    <w:p>
      <w:pPr>
        <w:pStyle w:val="TextBody"/>
        <w:spacing w:before="120" w:after="283"/>
        <w:jc w:val="left"/>
        <w:rPr/>
      </w:pPr>
      <w:r>
        <w:rPr/>
        <w:t>     </w:t>
      </w:r>
      <w:r>
        <w:rPr>
          <w:rFonts w:ascii="Times New Roman;Times;serif" w:hAnsi="Times New Roman;Times;serif"/>
          <w:sz w:val="17"/>
        </w:rPr>
        <w:t xml:space="preserve">Glacier Park operates the concession portion of its business under a 25-year concession contract with the U.S. National Park Service (the Park Service) for Glacier National Park and a 42-year lease with the Canadian Government for Waterton Lakes National Park. Glacier Parks lease with the Canadian Government expires in 2010, with Glacier Park having an option to renew for two additional terms of 42 years each. The concession contract with the Park Service expires in December 2007 as the Park Service exercised its right to extend the contract that was to expire on December 31, 2005 for a two-year period and, in its sole discretion, may extend Glacier Parks concession contract for up to one additional year. At the time the Park Service begins the request for proposal process for the Glacier National Park concession contracts, Glacier Park intends to submit a proposal. Contract terms of 10, 15 or 20 years are possible, with a contract of 15 years being the most likely. If Glacier Parks contract expires and a new concessionaire is selected by the Park Service, Glacier Parks business would consist of the operations at Waterton Lakes National Park and East Glacier, Montana, which are not part of the Park Service concession contract. In such a circumstance, Glacier Park would be entitled to an amount equal to its possessory interest, which generally means the value of the structures acquired or constructed, fixtures installed and improvements made to the concession property at Glacier National Park during the term of the concessions contract, based on the reconstruction cost of a new unit of like kind, less physical depreciation, but not to exceed fair market value. Glacier Park approximated 21 percent of Travel and Recreation Services full year 2005 operating income. </w:t>
      </w:r>
    </w:p>
    <w:p>
      <w:pPr>
        <w:pStyle w:val="TextBody"/>
        <w:spacing w:before="120" w:after="283"/>
        <w:jc w:val="left"/>
        <w:rPr/>
      </w:pPr>
      <w:r>
        <w:rPr/>
        <w:t>     </w:t>
      </w:r>
      <w:r>
        <w:rPr>
          <w:rFonts w:ascii="Times New Roman;Times;serif" w:hAnsi="Times New Roman;Times;serif"/>
          <w:b/>
          <w:sz w:val="17"/>
        </w:rPr>
        <w:t>Net Interest Income</w:t>
      </w:r>
      <w:r>
        <w:rPr>
          <w:rFonts w:ascii="Times New Roman;Times;serif" w:hAnsi="Times New Roman;Times;serif"/>
          <w:sz w:val="17"/>
        </w:rPr>
        <w:t xml:space="preserve">. Net interest income of $1.6 million in the third quarter of 2006 increased from $348,000 in the third quarter of 2005. The increase was primarily driven by higher interest rates and higher average cash balances. </w:t>
      </w:r>
    </w:p>
    <w:p>
      <w:pPr>
        <w:pStyle w:val="TextBody"/>
        <w:spacing w:before="120" w:after="283"/>
        <w:jc w:val="left"/>
        <w:rPr/>
      </w:pPr>
      <w:r>
        <w:rPr/>
        <w:t>     </w:t>
      </w:r>
      <w:r>
        <w:rPr>
          <w:rFonts w:ascii="Times New Roman;Times;serif" w:hAnsi="Times New Roman;Times;serif"/>
          <w:b/>
          <w:sz w:val="17"/>
        </w:rPr>
        <w:t>Income Taxes</w:t>
      </w:r>
      <w:r>
        <w:rPr>
          <w:rFonts w:ascii="Times New Roman;Times;serif" w:hAnsi="Times New Roman;Times;serif"/>
          <w:sz w:val="17"/>
        </w:rPr>
        <w:t xml:space="preserve">. The effective tax rate before impairment losses in the third quarter of 2006 was 10.1 percent compared to 23.1 percent for the third quarter of 2005. The lower rate in the third quarter of 2006 was primarily due to $5.8 million of favorable tax settlements in the third quarter of 2006 as compared to $1.5 million in the third quarter of 2005. </w:t>
      </w:r>
    </w:p>
    <w:p>
      <w:pPr>
        <w:pStyle w:val="TextBody"/>
        <w:jc w:val="center"/>
        <w:rPr>
          <w:rFonts w:ascii="Times New Roman;Times;serif" w:hAnsi="Times New Roman;Times;serif"/>
          <w:sz w:val="17"/>
        </w:rPr>
      </w:pPr>
      <w:r>
        <w:rPr>
          <w:rFonts w:ascii="Times New Roman;Times;serif" w:hAnsi="Times New Roman;Times;serif"/>
          <w:sz w:val="17"/>
        </w:rPr>
        <w:t xml:space="preserve">Page 23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Comparison of First Nine Months of 2006 to the First Nine Months of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Revenues for the first nine months of 2006 increased 5.1 percent to $701.7 million from $667.7 million in 2005. The increase was primarily driven by strong same-show growth and growth in exhibitor discretionary spending at GES, which was partially offset by the decline in revenue at Exhibitgroup. Income before income taxes was $70.7 million for the first nine months of 2006 compared with $52.1 million for the comparable period in 2005, up 35.9 percent. Income from continuing operations for the first nine months of 2006 was $54.4 million, or $2.49 per diluted share, up from $32.9 million, or $1.48 per diluted share, in the first nine months of 2005. This improvement was primarily driven by favorable tax settlements of $10.0 million, or $0.46 per diluted share, improved operating results, gains from the sale of certain corporate assets of $2.2 million after-tax, or $0.10 per diluted share, and higher interest income. Income before impairment losses and recoveries for the first nine months of 2006 was $54.0 million, or $2.47 per diluted share, which excludes net impairment recoveries of $376,000 (after-tax), or $0.02 per diluted share. Income before impairment losses and recoveries for the first nine months of 2005 was $33.4 million, or $1.50 per diluted share, which excludes impairment losses of $508,000 (after-tax), or $0.02 per diluted share. </w:t>
      </w:r>
    </w:p>
    <w:p>
      <w:pPr>
        <w:pStyle w:val="TextBody"/>
        <w:spacing w:before="120" w:after="283"/>
        <w:jc w:val="left"/>
        <w:rPr/>
      </w:pPr>
      <w:r>
        <w:rPr/>
        <w:t>     </w:t>
      </w:r>
      <w:r>
        <w:rPr>
          <w:rFonts w:ascii="Times New Roman;Times;serif" w:hAnsi="Times New Roman;Times;serif"/>
          <w:sz w:val="17"/>
        </w:rPr>
        <w:t xml:space="preserve">Net income for the first nine months of 2006 was $65.4 million, or $2.99 per diluted share, compared to $34.0 million, or $1.53 per diluted share, for the first nine months of 2005. Net income for 2006 included income from discontinued operations of $11.0 million, or $0.50 per diluted share, which consisted of $7.4 million ($11.8 million pre-tax) related to the expiration of product warranty liabilities associated with a previously sold manufacturing operation and $3.6 million primarily related to tax matters associated with previously sold operations. Net income for the 2005 period included income from discontinued operations of $1.2 million also relating to tax matters associated with previously sold operations. </w:t>
      </w:r>
    </w:p>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Revenues for GES were $515.2 million for the first nine months of 2006, an increase of 10.0 percent from the 2005 amount of $468.4 million. The increase from prior year was mainly due to strong same-show growth and growth in exhibitor discretionary revenue led by the Products and Services group, and to a lesser extent due to positive show rotation. Segment operating income was $50.4 million in the first nine months of 2006, up 13.3 percent from $44.4 million in the 2005 period. Operating margins were 9.8 percent in the first nine months of 2006 as compared to 9.5 percent in the first nine months of 2005. The increase in operating income was primarily a result of the increase in revenue. </w:t>
      </w:r>
    </w:p>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Exhibitgroups revenue was $113.6 million for the first nine months of 2006, a decrease of 14.1 percent from the 2005 amount of $132.2 million. The decrease resulted primarily from the loss of revenue from certain clients and existing client spending in 2005 that did not recur in 2006. Segment operating loss in the first nine months of 2006 was $3.2, versus a loss of $4.1 million in the first nine months of 2005. In comparison to 2005, the improved operating results in the first nine months of 2006 were largely due to a reduction in fixed and other costs, including legal fees. Legal fees in the first nine months of 2005 related to the kiosk business litigation totaled $4.8 million. </w:t>
      </w:r>
    </w:p>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Revenues of the Travel and Recreation Services segment were $73.0 million in the first nine months of 2006, an increase of 8.7 percent from $67.1 million in 2005. Segment operating income was $23.9 million for the first nine months of 2006, compared with $21.1 million for the first nine months of 2005. Operating margins increased to 32.8 percent in the first nine months of 2006 from 31.4 percent in the first nine months of 2005. In the first nine months of 2006, Brewster saw growth in passenger volume at the Banff Gondola, an increase in revenue per passenger at the icefield and an increase in occupancy at the Mount Royal Hotel as compared to 2005. In addition, Glacier Park saw strong occupancy at its inns and lodges and an increase in room revenue over the prior year. </w:t>
      </w:r>
    </w:p>
    <w:p>
      <w:pPr>
        <w:pStyle w:val="TextBody"/>
        <w:spacing w:before="120" w:after="283"/>
        <w:jc w:val="left"/>
        <w:rPr/>
      </w:pPr>
      <w:r>
        <w:rPr/>
        <w:t>     </w:t>
      </w:r>
      <w:r>
        <w:rPr>
          <w:rFonts w:ascii="Times New Roman;Times;serif" w:hAnsi="Times New Roman;Times;serif"/>
          <w:sz w:val="17"/>
        </w:rPr>
        <w:t xml:space="preserve">The operating results related to Viads Canadian subsidiaries were translated into U.S. dollars at weighted-average exchange rates of 0.90 and 0.82 for the first nine months of 2006 and 2005, respectively. Accordingly, Viads consolidated results of operations have been favorably impacted by the strengthening of the Canadian dollar relative to the U.S. dollar as it relates to the translation of its Canadian operations. Decreases in the exchange rates may adversely impact overall expected profitability and historical period to period comparisons when operating results are translated into U.S. dollars. </w:t>
      </w:r>
    </w:p>
    <w:p>
      <w:pPr>
        <w:pStyle w:val="TextBody"/>
        <w:spacing w:before="120" w:after="283"/>
        <w:jc w:val="left"/>
        <w:rPr/>
      </w:pPr>
      <w:r>
        <w:rPr/>
        <w:t>     </w:t>
      </w:r>
      <w:r>
        <w:rPr>
          <w:rFonts w:ascii="Times New Roman;Times;serif" w:hAnsi="Times New Roman;Times;serif"/>
          <w:b/>
          <w:sz w:val="17"/>
        </w:rPr>
        <w:t>Corporate Activities and Minority Interest</w:t>
      </w:r>
      <w:r>
        <w:rPr>
          <w:rFonts w:ascii="Times New Roman;Times;serif" w:hAnsi="Times New Roman;Times;serif"/>
          <w:sz w:val="17"/>
        </w:rPr>
        <w:t xml:space="preserve">. Corporate activities and minority interest expense totaled $9.3 million in the first nine months of 2006 compared to $9.9 million in the first nine months of 2005. The decrease was primarily due to lower travel related costs and lower insurance and other administrative costs, partially offset by an increase in share-based compensation expense. </w:t>
      </w:r>
    </w:p>
    <w:p>
      <w:pPr>
        <w:pStyle w:val="TextBody"/>
        <w:spacing w:before="120" w:after="283"/>
        <w:jc w:val="left"/>
        <w:rPr/>
      </w:pPr>
      <w:r>
        <w:rPr/>
        <w:t>     </w:t>
      </w:r>
      <w:r>
        <w:rPr>
          <w:rFonts w:ascii="Times New Roman;Times;serif" w:hAnsi="Times New Roman;Times;serif"/>
          <w:b/>
          <w:sz w:val="17"/>
        </w:rPr>
        <w:t>Net Interest Income</w:t>
      </w:r>
      <w:r>
        <w:rPr>
          <w:rFonts w:ascii="Times New Roman;Times;serif" w:hAnsi="Times New Roman;Times;serif"/>
          <w:sz w:val="17"/>
        </w:rPr>
        <w:t xml:space="preserve">. Net interest income of $4.6 million in the first nine months of 2006 increased from $760,000 in the first nine months of 2005. The increase was primarily driven by higher interest rates and higher average cash balances, as well as from interest recoveries of $658,000 associated with income tax refunds received during the first nine months of 2006. </w:t>
      </w:r>
    </w:p>
    <w:p>
      <w:pPr>
        <w:pStyle w:val="TextBody"/>
        <w:spacing w:before="120" w:after="283"/>
        <w:jc w:val="left"/>
        <w:rPr/>
      </w:pPr>
      <w:r>
        <w:rPr/>
        <w:t>     </w:t>
      </w:r>
      <w:r>
        <w:rPr>
          <w:rFonts w:ascii="Times New Roman;Times;serif" w:hAnsi="Times New Roman;Times;serif"/>
          <w:b/>
          <w:sz w:val="17"/>
        </w:rPr>
        <w:t>Income Taxes</w:t>
      </w:r>
      <w:r>
        <w:rPr>
          <w:rFonts w:ascii="Times New Roman;Times;serif" w:hAnsi="Times New Roman;Times;serif"/>
          <w:sz w:val="17"/>
        </w:rPr>
        <w:t xml:space="preserve">. The effective tax rate before impairment losses in the first nine months of 2006 was 23.0 percent compared to 36.9 percent for the first nine months of 2005. The lower rate in 2006 was primarily due to $10.0 million of favorable tax settlements in the first nine months of 2006 as compared to $2.0 million in the first nine months of 2005. </w:t>
      </w:r>
    </w:p>
    <w:p>
      <w:pPr>
        <w:pStyle w:val="TextBody"/>
        <w:jc w:val="center"/>
        <w:rPr>
          <w:rFonts w:ascii="Times New Roman;Times;serif" w:hAnsi="Times New Roman;Times;serif"/>
          <w:sz w:val="17"/>
        </w:rPr>
      </w:pPr>
      <w:r>
        <w:rPr>
          <w:rFonts w:ascii="Times New Roman;Times;serif" w:hAnsi="Times New Roman;Times;serif"/>
          <w:sz w:val="17"/>
        </w:rPr>
        <w:t xml:space="preserve">Page 24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Liquidity and Capital Resources: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Cash and cash equivalents were $197.2 million as of September 30, 2006 as compared to $152.6 million as of December 31, 2005, with the increase primarily due to cash flow from operations and the proceeds from the sale of certain corporate assets, somewhat offset by share repurchases and capital expenditures, as discussed below. Management believes that Viads existing sources of liquidity will be sufficient to fund operations and capital commitments for at least the next 12 months. </w:t>
      </w:r>
    </w:p>
    <w:p>
      <w:pPr>
        <w:pStyle w:val="TextBody"/>
        <w:spacing w:before="120" w:after="283"/>
        <w:jc w:val="left"/>
        <w:rPr/>
      </w:pPr>
      <w:r>
        <w:rPr/>
        <w:t>     </w:t>
      </w:r>
      <w:r>
        <w:rPr>
          <w:rFonts w:ascii="Times New Roman;Times;serif" w:hAnsi="Times New Roman;Times;serif"/>
          <w:sz w:val="17"/>
        </w:rPr>
        <w:t xml:space="preserve">Viads total debt as of September 30, 2006 was $15.3 million compared with $17.4 million as of December 31, 2005. The debt-to-capital ratio was 0.033 to 1 as of September 30, 2006 compared with 0.041 to 1 as of December 31, 2005. Capital is defined as total debt plus minority interest and common stock and other equity. </w:t>
      </w:r>
    </w:p>
    <w:p>
      <w:pPr>
        <w:pStyle w:val="TextBody"/>
        <w:spacing w:before="120" w:after="283"/>
        <w:jc w:val="left"/>
        <w:rPr/>
      </w:pPr>
      <w:r>
        <w:rPr/>
        <w:t>     </w:t>
      </w:r>
      <w:r>
        <w:rPr>
          <w:rFonts w:ascii="Times New Roman;Times;serif" w:hAnsi="Times New Roman;Times;serif"/>
          <w:sz w:val="17"/>
        </w:rPr>
        <w:t xml:space="preserve">Effective June 15, 2006, Viad amended and restated its $150 million secured revolving credit agreement dated June 30, 2004. The term of the amended and restated revolving credit agreement (the Credit Facility) is five years (expiring on June 15, 2011) and borrowings are to be used for general corporate purposes (including permitted acquisitions) and to support up to $75 million of letters of credit. The Credit Facility may be increased up to an additional $75 million under certain circumstances. The lenders have a first perfected security interest in all of the personal property of Viad and GES, including 65 percent of the capital stock of top-tier foreign subsidiaries. Borrowings under the Credit Facility (of which GES is a guarantor) are indexed to the prime rate or the London Interbank Offering Rate (LIBOR), plus appropriate spreads tied to Viads leverage ratio. Commitment fees and letters of credit fees are also tied to Viads leverage ratio. As of September 30, 2006, Viad had an outstanding borrowing of $10.4 million under the Credit Facility. Financial covenants include a minimum consolidated net worth requirement of not less than $344.6 million plus 50 percent of positive quarterly consolidated net income earned in each fiscal quarter beginning with the quarter ended June 30, 2006, a fixed-charge coverage ratio of not less than 1.25 to 1 and a leverage ratio (defined as total debt to Adjusted EBITDA) of not greater than 2.75 to 1. Significant other covenants include limitations on: investments, common stock dividends, stock repurchases, additional indebtedness, sales/leases of assets, acquisitions, consolidations or mergers and liens on property. As of September 30, 2006, Viad was in compliance with all covenants. </w:t>
      </w:r>
    </w:p>
    <w:p>
      <w:pPr>
        <w:pStyle w:val="TextBody"/>
        <w:spacing w:before="120" w:after="283"/>
        <w:jc w:val="left"/>
        <w:rPr/>
      </w:pPr>
      <w:r>
        <w:rPr/>
        <w:t>     </w:t>
      </w:r>
      <w:r>
        <w:rPr>
          <w:rFonts w:ascii="Times New Roman;Times;serif" w:hAnsi="Times New Roman;Times;serif"/>
          <w:sz w:val="17"/>
        </w:rPr>
        <w:t xml:space="preserve">In May 2006, Viad repaid its 10.5 percent subordinated debentures outstanding of $1.3 million pursuant to their scheduled maturity. </w:t>
      </w:r>
    </w:p>
    <w:p>
      <w:pPr>
        <w:pStyle w:val="TextBody"/>
        <w:spacing w:before="120" w:after="283"/>
        <w:jc w:val="left"/>
        <w:rPr/>
      </w:pPr>
      <w:r>
        <w:rPr/>
        <w:t>     </w:t>
      </w:r>
      <w:r>
        <w:rPr>
          <w:rFonts w:ascii="Times New Roman;Times;serif" w:hAnsi="Times New Roman;Times;serif"/>
          <w:sz w:val="17"/>
        </w:rPr>
        <w:t xml:space="preserve">Under a Shelf Registration filed with the Securities and Exchange Commission (the SEC), Viad can issue up to an aggregate $500 million of debt and equity securities. No securities have been issued under the program. </w:t>
      </w:r>
    </w:p>
    <w:p>
      <w:pPr>
        <w:pStyle w:val="TextBody"/>
        <w:spacing w:before="120" w:after="283"/>
        <w:jc w:val="left"/>
        <w:rPr/>
      </w:pPr>
      <w:r>
        <w:rPr/>
        <w:t>     </w:t>
      </w:r>
      <w:r>
        <w:rPr>
          <w:rFonts w:ascii="Times New Roman;Times;serif" w:hAnsi="Times New Roman;Times;serif"/>
          <w:sz w:val="17"/>
        </w:rPr>
        <w:t xml:space="preserve">Capital expenditures for the nine months ended September 30, 2006 totaled $14.7 million and primarily related to manufacturing and other equipment and information systems and related costs. For the nine months ended September 30, 2005, capital expenditures totaled $13.9 million and primarily related to the purchase of new tour buses at Brewster, certain leasehold improvements, information systems and related costs, and manufacturing and other equipment. </w:t>
      </w:r>
    </w:p>
    <w:p>
      <w:pPr>
        <w:pStyle w:val="TextBody"/>
        <w:spacing w:before="120" w:after="283"/>
        <w:jc w:val="left"/>
        <w:rPr/>
      </w:pPr>
      <w:r>
        <w:rPr/>
        <w:t>     </w:t>
      </w:r>
      <w:r>
        <w:rPr>
          <w:rFonts w:ascii="Times New Roman;Times;serif" w:hAnsi="Times New Roman;Times;serif"/>
          <w:sz w:val="17"/>
        </w:rPr>
        <w:t xml:space="preserve">In January 2005, Viad sold a 50 percent interest in its corporate aircraft to a former subsidiary, MoneyGram International, Inc. (MoneyGram) for $8.6 million in cash, resulting in no gain or loss in connection with the transaction. In January 2006, Viad sold its remaining 50 percent interest in the aircraft along with related equipment to MoneyGram for $10.0 million in cash, resulting in a gain of $1.7 million. </w:t>
      </w:r>
    </w:p>
    <w:p>
      <w:pPr>
        <w:pStyle w:val="TextBody"/>
        <w:spacing w:before="120" w:after="283"/>
        <w:jc w:val="left"/>
        <w:rPr/>
      </w:pPr>
      <w:r>
        <w:rPr/>
        <w:t>     </w:t>
      </w:r>
      <w:r>
        <w:rPr>
          <w:rFonts w:ascii="Times New Roman;Times;serif" w:hAnsi="Times New Roman;Times;serif"/>
          <w:sz w:val="17"/>
        </w:rPr>
        <w:t xml:space="preserve">Also in January 2006, Viad sold certain undeveloped land in Phoenix, Arizona for $2.9 million in cash to an unrelated third party, resulting in a gain of $1.7 million. </w:t>
      </w:r>
    </w:p>
    <w:p>
      <w:pPr>
        <w:pStyle w:val="TextBody"/>
        <w:spacing w:before="120" w:after="283"/>
        <w:jc w:val="left"/>
        <w:rPr/>
      </w:pPr>
      <w:r>
        <w:rPr/>
        <w:t>     </w:t>
      </w:r>
      <w:r>
        <w:rPr>
          <w:rFonts w:ascii="Times New Roman;Times;serif" w:hAnsi="Times New Roman;Times;serif"/>
          <w:sz w:val="17"/>
        </w:rPr>
        <w:t xml:space="preserve">In February 2006 and again in July 2006, Viad announced its intent, under an authorization by its Board of Directors, to repurchase up to one million shares (for a total of two million shares) of the Companys common stock from time to time at prevailing prices in the open market. As of June 30, 2006, Viad had repurchased one million shares under the first authorization for $31.8 million. As of September 30, 2006, Viad had repurchased 79,500 common shares for $2.6 million under the second authorization. See Part II, Item 2 for details of shares repurchased during the nine months ended September 30, 2006. Viad also has the authority to repurchase common stock for the purpose of replacing shares issued upon exercise of stock options and in connection with other stock compensation plans. The last repurchase by Viad under this program was May 2003. </w:t>
      </w:r>
    </w:p>
    <w:p>
      <w:pPr>
        <w:pStyle w:val="TextBody"/>
        <w:spacing w:before="120" w:after="283"/>
        <w:jc w:val="left"/>
        <w:rPr/>
      </w:pPr>
      <w:r>
        <w:rPr/>
        <w:t>     </w:t>
      </w:r>
      <w:r>
        <w:rPr>
          <w:rFonts w:ascii="Times New Roman;Times;serif" w:hAnsi="Times New Roman;Times;serif"/>
          <w:sz w:val="17"/>
        </w:rPr>
        <w:t xml:space="preserve">Viad and certain of its subsidiaries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Viad. Although the amount of liability as of September 30, 2006 with respect to certain of these matters is not ascertainable, Viad believes that any resulting liability, after taking into consideration amounts already provided for, including insurance coverage, will not have a material impact on Viads business, financial position or results of operations. </w:t>
      </w:r>
    </w:p>
    <w:p>
      <w:pPr>
        <w:pStyle w:val="TextBody"/>
        <w:jc w:val="center"/>
        <w:rPr>
          <w:rFonts w:ascii="Times New Roman;Times;serif" w:hAnsi="Times New Roman;Times;serif"/>
          <w:sz w:val="17"/>
        </w:rPr>
      </w:pPr>
      <w:r>
        <w:rPr>
          <w:rFonts w:ascii="Times New Roman;Times;serif" w:hAnsi="Times New Roman;Times;serif"/>
          <w:sz w:val="17"/>
        </w:rPr>
        <w:t xml:space="preserve">Page 25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impact on the Companys financial position or results of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Off-Balance Sheet Arrangements: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does not have any off-balance sheet transactions or arrangements with unconsolidated special-purpose or other entities that would affect the Companys financial position, results of operations, liquidity or capital resources. Furthermore, Viad does not have any relationships with special-purpose or other entities that provide off-balance sheet financing; liquidity, market risk or credit risk support; or engage in leasing or other services that expose the Company to liability or risks of loss that are not reflected in Viads consolidated financial statements and notes thereto.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Critical Accounting Policies and Estimates: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preparation of financial statements in conformity with GAAP requires estimates and assumptions that affect the reported amounts of assets and liabilities, revenues and expenses, and related disclosures of contingent assets and liabilities in the consolidated financial statements. The SEC has defined a companys most critical accounting policies as those that are most important to the portrayal of a companys financial position and results of operations, and that require a company to make its most difficult and subjective judgments, often as a result of the need to make estimates of matters that are inherently uncertain. Based on these criteria, Viad has identified and discussed with its audit committee the following critical accounting policies and estimates pertaining to Viad, and the methodology and disclosures related to those estimates: </w:t>
      </w:r>
    </w:p>
    <w:p>
      <w:pPr>
        <w:pStyle w:val="TextBody"/>
        <w:spacing w:before="120" w:after="283"/>
        <w:jc w:val="left"/>
        <w:rPr/>
      </w:pPr>
      <w:r>
        <w:rPr/>
        <w:t>     </w:t>
      </w:r>
      <w:r>
        <w:rPr>
          <w:rFonts w:ascii="Times New Roman;Times;serif" w:hAnsi="Times New Roman;Times;serif"/>
          <w:i/>
          <w:sz w:val="17"/>
        </w:rPr>
        <w:t xml:space="preserve">Goodwill and other intangible assets </w:t>
      </w:r>
      <w:r>
        <w:rPr>
          <w:rFonts w:ascii="Times New Roman;Times;serif" w:hAnsi="Times New Roman;Times;serif"/>
          <w:sz w:val="17"/>
        </w:rPr>
        <w:t xml:space="preserve"> Viad performs annual impairment testing of its goodwill based on the estimated fair value of its reporting units, which is estimated based on discounted expected future cash flows using a weighted-average cost of capital rate. Additionally, an assumed terminal value is used to project future cash flows beyond base years. The estimates and assumptions regarding expected cash flows, terminal values and the discount rate require considerable judgment and are based on historical experience, financial forecasts and industry trends and conditions. Viads policy is to test goodwill for impairment annually as of October 31 of each year. As of September 30, 2006, Viad had recorded goodwill of $150.1 million and $36.5 million related to GES and Travel and Recreation Services, respectively. </w:t>
      </w:r>
    </w:p>
    <w:p>
      <w:pPr>
        <w:pStyle w:val="TextBody"/>
        <w:spacing w:before="120" w:after="283"/>
        <w:jc w:val="left"/>
        <w:rPr/>
      </w:pPr>
      <w:r>
        <w:rPr/>
        <w:t>     </w:t>
      </w:r>
      <w:r>
        <w:rPr>
          <w:rFonts w:ascii="Times New Roman;Times;serif" w:hAnsi="Times New Roman;Times;serif"/>
          <w:sz w:val="17"/>
        </w:rPr>
        <w:t xml:space="preserve">Viad also performs annual impairment testing of its intangible assets not subject to amortization. As of September 30, 2006, Viad had intangible assets with indefinite lives of $5.2 million, which primarily consisted of a trademark intangible related to Exhibitgroup. The fair value of the trademark intangible is estimated based on expected future cash flows. Viads policy is to test intangible assets not subject to amortization for impairment annually as of October 31 of each year. </w:t>
      </w:r>
    </w:p>
    <w:p>
      <w:pPr>
        <w:pStyle w:val="TextBody"/>
        <w:spacing w:before="120" w:after="283"/>
        <w:jc w:val="left"/>
        <w:rPr/>
      </w:pPr>
      <w:r>
        <w:rPr/>
        <w:t>     </w:t>
      </w:r>
      <w:r>
        <w:rPr>
          <w:rFonts w:ascii="Times New Roman;Times;serif" w:hAnsi="Times New Roman;Times;serif"/>
          <w:i/>
          <w:sz w:val="17"/>
        </w:rPr>
        <w:t xml:space="preserve">Income taxes </w:t>
      </w:r>
      <w:r>
        <w:rPr>
          <w:rFonts w:ascii="Times New Roman;Times;serif" w:hAnsi="Times New Roman;Times;serif"/>
          <w:sz w:val="17"/>
        </w:rPr>
        <w:t xml:space="preserve"> 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As of September 30, 2006 and December 31, 2005, Viad had gross deferred tax assets of $63.0 million and $76.0 million, respectively. Viad does not have a valuation allowance related to deferred tax assets as management believes that recovery from future taxable income is more likely than not. </w:t>
      </w:r>
    </w:p>
    <w:p>
      <w:pPr>
        <w:pStyle w:val="TextBody"/>
        <w:spacing w:before="120" w:after="283"/>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has recorded accrued liabilities associated with specific U.S. federal, state, local and foreign tax audit exposures expected to arise in connection with such audits. As of September 30, 2006 and December 31, 2005, Viad had $15.9 million and $36.0 million, respectively, accrued for these exposures, which includes accrued interest. If amounts accrued are less than amounts ultimately assessed by the taxing authorities, Viad would record additional income tax expense in the period in which the assessment is determined. To the extent that the Company has favorable settlements, or determines that reserves are no longer needed, such liabilities would be reversed as a reduction of income tax expense (net of federal tax effects, if applicable), or in some cases through discontinued operations, in the period such determination is made. Viads policy is to retain amounts accrued for tax audit exposures until final resolution or settlement with the appropriate taxing authority. Based on tax audits in process and other factors, management currently estimates that tax issues of approximately $6.0 million (exclusive of any federal tax effects) could potentially be resolved or settled during the remainder of 2006 resulting in a decrease of accrued income taxes. To the extent these tax resolutions or settlements occur, they would result in </w:t>
      </w:r>
    </w:p>
    <w:p>
      <w:pPr>
        <w:pStyle w:val="TextBody"/>
        <w:jc w:val="center"/>
        <w:rPr>
          <w:rFonts w:ascii="Times New Roman;Times;serif" w:hAnsi="Times New Roman;Times;serif"/>
          <w:sz w:val="17"/>
        </w:rPr>
      </w:pPr>
      <w:r>
        <w:rPr>
          <w:rFonts w:ascii="Times New Roman;Times;serif" w:hAnsi="Times New Roman;Times;serif"/>
          <w:sz w:val="17"/>
        </w:rPr>
        <w:t xml:space="preserve">Page 26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cash payments and/or the reversal of accrued income taxes which may include amounts related to previously discontinued operations. During the three and nine months ended September 30, 2006, Viad recorded favorable tax settlements in continuing operations of $5.8 million and $10.0 million, respectively. These settlements resulted in a decrease to income tax expense. See Note 19 of notes to consolidated financial statements for a discussion of tax matters related to discontinued operations. </w:t>
      </w:r>
    </w:p>
    <w:p>
      <w:pPr>
        <w:pStyle w:val="TextBody"/>
        <w:spacing w:before="120" w:after="283"/>
        <w:jc w:val="left"/>
        <w:rPr/>
      </w:pPr>
      <w:r>
        <w:rPr/>
        <w:t>     </w:t>
      </w:r>
      <w:r>
        <w:rPr>
          <w:rFonts w:ascii="Times New Roman;Times;serif" w:hAnsi="Times New Roman;Times;serif"/>
          <w:sz w:val="17"/>
        </w:rPr>
        <w:t xml:space="preserve">In addition to the specific tax audit exposures for which Viad has recorded loss liabilities, there are other known tax audit exposures which have been identified in recent and ongoing tax audits for which Viad has not recorded contingent liabilities as potential losses related to those specific issues are not deemed probable. To the extent that the facts and circumstances related to these known tax audit exposures indicate that an unfavorable outcome is probable and can be reasonably estimated, Viad would record accrued liabilities and additional income tax expense in the period for which that assessment is determined. For the specific issues for which Viad can reasonably estimate a range of possible loss, the aggregate decrease to net income could range from $500,000 to $2.0 million. </w:t>
      </w:r>
    </w:p>
    <w:p>
      <w:pPr>
        <w:pStyle w:val="TextBody"/>
        <w:spacing w:before="120" w:after="283"/>
        <w:jc w:val="left"/>
        <w:rPr/>
      </w:pPr>
      <w:r>
        <w:rPr/>
        <w:t>     </w:t>
      </w:r>
      <w:r>
        <w:rPr>
          <w:rFonts w:ascii="Times New Roman;Times;serif" w:hAnsi="Times New Roman;Times;serif"/>
          <w:i/>
          <w:sz w:val="17"/>
        </w:rPr>
        <w:t xml:space="preserve">Insurance liabilities </w:t>
      </w:r>
      <w:r>
        <w:rPr>
          <w:rFonts w:ascii="Times New Roman;Times;serif" w:hAnsi="Times New Roman;Times;serif"/>
          <w:sz w:val="17"/>
        </w:rPr>
        <w:t xml:space="preserve"> Viad is self-insured up to certain limits for workers compensation, automobile, product and general liability and property loss claims. The aggregate amount of insurance liabilities related to Viads continuing operations was $20.3 million as of September 30, 2006. Of this total, $14.4 million related to workers compensation liabilities and the remaining $5.9 million related to general/auto liability claims. Viad has also retained and provided for certain insurance liabilities in conjunction with previously sold businesses totaling $12.5 million as of September 30, 2006, primarily related to workers compensation liabilities. Provisions for losses for claims incurred, including estimated claims incurred but not yet reported, are made based on Viads historical experience, claims frequency and other factors. A change in the assumptions used could result in an adjustment to recorded liabilities. Viad has purchased insurance for amounts in excess of the self-insured levels, which generally range from $200,000 to $500,000 on a per claim basis. Viad does not maintain a self-insured retention pool fund as claims are paid from current cash resources at the time of settlement. Viads net cash payments in connection with these insurance liabilities were $4.4 million and $4.7 million for the nine months ended September 30, 2006 and 2005, respectively. </w:t>
      </w:r>
    </w:p>
    <w:p>
      <w:pPr>
        <w:pStyle w:val="TextBody"/>
        <w:spacing w:before="120" w:after="283"/>
        <w:jc w:val="left"/>
        <w:rPr/>
      </w:pPr>
      <w:r>
        <w:rPr/>
        <w:t>     </w:t>
      </w:r>
      <w:r>
        <w:rPr>
          <w:rFonts w:ascii="Times New Roman;Times;serif" w:hAnsi="Times New Roman;Times;serif"/>
          <w:i/>
          <w:sz w:val="17"/>
        </w:rPr>
        <w:t xml:space="preserve">Pension and other postretirement benefits </w:t>
      </w:r>
      <w:r>
        <w:rPr>
          <w:rFonts w:ascii="Times New Roman;Times;serif" w:hAnsi="Times New Roman;Times;serif"/>
          <w:sz w:val="17"/>
        </w:rPr>
        <w:t xml:space="preserve"> Viads pension plans use traditional defined benefit formulas based on years of service and final average compensation. Funding policies provide that payments to defined benefit pension trusts shall be at least equal to the minimum funding required by applicable regulations. The Company presently anticipates making no contribution to its funded pension plans and contributing $550,000 to its unfunded pension plans in 2006, of which the Company has contributed $412,000 as of September 30, 2006. </w:t>
      </w:r>
    </w:p>
    <w:p>
      <w:pPr>
        <w:pStyle w:val="TextBody"/>
        <w:spacing w:before="120" w:after="283"/>
        <w:jc w:val="left"/>
        <w:rPr/>
      </w:pPr>
      <w:r>
        <w:rPr/>
        <w:t>     </w:t>
      </w:r>
      <w:r>
        <w:rPr>
          <w:rFonts w:ascii="Times New Roman;Times;serif" w:hAnsi="Times New Roman;Times;serif"/>
          <w:sz w:val="17"/>
        </w:rPr>
        <w:t xml:space="preserve">Viad and certain of its subsidiaries have defined benefit postretirement plans that provide medical and life insurance for certain eligible employees, retirees and dependents. The related postretirement benefit liabilities are recognized over the period that services are provided by employees. In addition, Viad retained the obligations for these benefits for retirees of certain sold businesses. While the plans have no funding requirements, Viad expects to contribute approximately $600,000 to the plans in 2006, of which the Company has contributed $425,000 as of September 30, 2006. </w:t>
      </w:r>
    </w:p>
    <w:p>
      <w:pPr>
        <w:pStyle w:val="TextBody"/>
        <w:spacing w:before="120" w:after="283"/>
        <w:jc w:val="left"/>
        <w:rPr/>
      </w:pPr>
      <w:r>
        <w:rPr/>
        <w:t>     </w:t>
      </w:r>
      <w:r>
        <w:rPr>
          <w:rFonts w:ascii="Times New Roman;Times;serif" w:hAnsi="Times New Roman;Times;serif"/>
          <w:sz w:val="17"/>
        </w:rPr>
        <w:t xml:space="preserve">The assumed health care cost trend rate used in measuring the 2005 accumulated postretirement benefit obligation was nine percent in the year 2005, declining one percent each year to the ultimate rate of five percent by the year 2009 and remaining at that level thereafter. A one-percentage-point increase in the assumed health care cost trend rate for each year would increase the accumulated postretirement benefit obligation as of December 31, 2005 by approximately $1.9 million and the total of service and interest cost components by approximately $128,000. A one-percentage-point decrease in the assumed health care cost trend rate for each year would decrease the accumulated postretirement benefit obligation as of December 31, 2005 by approximately $1.7 million and the total of service and interest cost components by approximately $112,000. </w:t>
      </w:r>
    </w:p>
    <w:p>
      <w:pPr>
        <w:pStyle w:val="TextBody"/>
        <w:spacing w:before="120" w:after="283"/>
        <w:jc w:val="left"/>
        <w:rPr/>
      </w:pPr>
      <w:r>
        <w:rPr/>
        <w:t>     </w:t>
      </w:r>
      <w:r>
        <w:rPr>
          <w:rFonts w:ascii="Times New Roman;Times;serif" w:hAnsi="Times New Roman;Times;serif"/>
          <w:sz w:val="17"/>
        </w:rPr>
        <w:t xml:space="preserve">The weighted-average discount rate used to determine pension and other postretirement benefit obligations as of December 31, 2005 was 5.50 percent. The weighted-average discount rate used to determine net periodic benefit cost for the year ended December 31, 2005 was 5.75 percent. The discount rate used in determining future pension and other postretirement benefit obligations is based on rates determined by actuarial analysis and management review. The expected return on plan assets used to determine net periodic pension benefit cost for the year ended December 31, 2005 was 8.75 percent. The expected return on plan assets used to determine net periodic other postretirement benefit cost for the year ended December 31, 2005 was 3.75 percent. </w:t>
      </w:r>
    </w:p>
    <w:p>
      <w:pPr>
        <w:pStyle w:val="TextBody"/>
        <w:spacing w:before="120" w:after="283"/>
        <w:jc w:val="left"/>
        <w:rPr/>
      </w:pPr>
      <w:r>
        <w:rPr/>
        <w:t>     </w:t>
      </w:r>
      <w:r>
        <w:rPr>
          <w:rFonts w:ascii="Times New Roman;Times;serif" w:hAnsi="Times New Roman;Times;serif"/>
          <w:i/>
          <w:sz w:val="17"/>
        </w:rPr>
        <w:t xml:space="preserve">Share-based compensation </w:t>
      </w:r>
      <w:r>
        <w:rPr>
          <w:rFonts w:ascii="Times New Roman;Times;serif" w:hAnsi="Times New Roman;Times;serif"/>
          <w:sz w:val="17"/>
        </w:rPr>
        <w:t xml:space="preserve"> Viad adopted the provisions of Statement of Financial Accounting Standards (SFAS) No. 123 (revised 2004), Share-Based Payment, on January 1, 2006 using the modified prospective application method. Refer to Note 2 of notes to consolidated financial statements for a full discussion of the adoption of SFAS No. 123(R) and related disclosures. </w:t>
      </w:r>
    </w:p>
    <w:p>
      <w:pPr>
        <w:pStyle w:val="TextBody"/>
        <w:jc w:val="center"/>
        <w:rPr>
          <w:rFonts w:ascii="Times New Roman;Times;serif" w:hAnsi="Times New Roman;Times;serif"/>
          <w:sz w:val="17"/>
        </w:rPr>
      </w:pPr>
      <w:r>
        <w:rPr>
          <w:rFonts w:ascii="Times New Roman;Times;serif" w:hAnsi="Times New Roman;Times;serif"/>
          <w:sz w:val="17"/>
        </w:rPr>
        <w:t xml:space="preserve">Page 27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Impact of Recent Accounting Pronouncements: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November 2004, the Financial Accounting Standards Board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SFAS No. 151 also requires that the allocation of fixed production overhead costs be based on the normal capacity of the production facility. SFAS No. 151 is effective for inventory costs incurred during fiscal years beginning after July 15, 2005. The adoption of SFAS No. 151 did not have a material impact on Viads financial position or results of operations. </w:t>
      </w:r>
    </w:p>
    <w:p>
      <w:pPr>
        <w:pStyle w:val="TextBody"/>
        <w:spacing w:before="120" w:after="283"/>
        <w:jc w:val="left"/>
        <w:rPr/>
      </w:pPr>
      <w:r>
        <w:rPr/>
        <w:t>     </w:t>
      </w:r>
      <w:r>
        <w:rPr>
          <w:rFonts w:ascii="Times New Roman;Times;serif" w:hAnsi="Times New Roman;Times;serif"/>
          <w:sz w:val="17"/>
        </w:rPr>
        <w:t xml:space="preserve">In May 2005, the FASB issued SFAS No. 154, Accounting Changes and Error Corrections, which replaces Accounting Principles Board Opinion No. 20, Accounting Changes, and SFAS No. 3, Reporting Accounting Changes in Interim Financial Statements  An Amendment of APB Opinion No. 28. SFAS No. 154 provides guidance on the accounting for and reporting of accounting changes and error corrections. It establishes retrospective application, or the latest practicable date, as the required method for reporting a change in accounting principle (unless a different method is prescribed by the new standard) and the reporting of a correction of an error. SFAS No. 154 is effective for accounting changes and corrections of errors made in fiscal years beginning after December 15, 2005 and the Company adopted SFAS No. 154 on January 1, 2006. The adoption of SFAS No. 154 did not affect Viads financial position or results of operations. </w:t>
      </w:r>
    </w:p>
    <w:p>
      <w:pPr>
        <w:pStyle w:val="TextBody"/>
        <w:spacing w:before="120" w:after="283"/>
        <w:jc w:val="left"/>
        <w:rPr/>
      </w:pPr>
      <w:r>
        <w:rPr/>
        <w:t>     </w:t>
      </w:r>
      <w:r>
        <w:rPr>
          <w:rFonts w:ascii="Times New Roman;Times;serif" w:hAnsi="Times New Roman;Times;serif"/>
          <w:sz w:val="17"/>
        </w:rPr>
        <w:t xml:space="preserve">Viad adopted the provisions of SFAS No. 123(R) on January 1, 2006 using the modified prospective application method. Refer to Note 2 of notes to consolidated financial statements for a full discussion of the adoption of SFAS No. 123(R) and related disclosures. </w:t>
      </w:r>
    </w:p>
    <w:p>
      <w:pPr>
        <w:pStyle w:val="TextBody"/>
        <w:spacing w:before="120" w:after="283"/>
        <w:jc w:val="left"/>
        <w:rPr/>
      </w:pPr>
      <w:r>
        <w:rPr/>
        <w:t>     </w:t>
      </w:r>
      <w:r>
        <w:rPr>
          <w:rFonts w:ascii="Times New Roman;Times;serif" w:hAnsi="Times New Roman;Times;serif"/>
          <w:sz w:val="17"/>
        </w:rPr>
        <w:t xml:space="preserve">In June 2006, the FASB issued Interpretation No. 48, Accounting for Uncertainty in Income Taxes (FIN 48), an interpretation of SFAS No. 109, Accounting for Income Taxes. FIN 48 provides guidance on how to address uncertainty in accounting for income tax assets and liabilities and prescribes a recognition threshold and measurement attribute for the financial statement recognition and measurement of a tax position taken or expected to be taken in a tax return. FIN 48 also provides guidance on de-recognition, classification, interest and penalties, accounting in interim periods, disclosure and transition. Under FIN 48, the recognition of current and deferred income taxes is determined based on whether it is more-likely-than-not that a tax position will be sustained upon examination based on the technical merits of the position. A tax position that meets the more-likely-than-not recognition threshold is measured to determine the amount of benefit to recognize in the financial statements. The tax position is measured at the largest amount of benefit that is greater than 50 percent likely of being realized upon ultimate settlement. </w:t>
      </w:r>
    </w:p>
    <w:p>
      <w:pPr>
        <w:pStyle w:val="TextBody"/>
        <w:spacing w:before="120" w:after="283"/>
        <w:jc w:val="left"/>
        <w:rPr/>
      </w:pPr>
      <w:r>
        <w:rPr/>
        <w:t>     </w:t>
      </w:r>
      <w:r>
        <w:rPr>
          <w:rFonts w:ascii="Times New Roman;Times;serif" w:hAnsi="Times New Roman;Times;serif"/>
          <w:sz w:val="17"/>
        </w:rPr>
        <w:t xml:space="preserve">FIN 48 is effective for fiscal years beginning after December 15, 2006. Accordingly, Viad will adopt the provisions of FIN 48 on January 1, 2007. The Company is currently evaluating the potential impact of FIN 48 on Viads financial position and results of operations. Furthermore, the Company believes the adoption of FIN 48 could have a material impact on the amounts of current and deferred income tax assets and liabilities reported in Viads consolidated balance sheets. The cumulative effect of applying the provisions of FIN 48 will generally be reported as an adjustment to the opening balance of retained earnings in the fiscal year of adoption. </w:t>
      </w:r>
    </w:p>
    <w:p>
      <w:pPr>
        <w:pStyle w:val="TextBody"/>
        <w:spacing w:before="120" w:after="283"/>
        <w:jc w:val="left"/>
        <w:rPr/>
      </w:pPr>
      <w:r>
        <w:rPr/>
        <w:t>     </w:t>
      </w:r>
      <w:r>
        <w:rPr>
          <w:rFonts w:ascii="Times New Roman;Times;serif" w:hAnsi="Times New Roman;Times;serif"/>
          <w:sz w:val="17"/>
        </w:rPr>
        <w:t xml:space="preserve">In September 2006, the FASB issued SFAS No. 157, Fair Value Measurements. SFAS No. 157 defines fair value, establishes a framework for measuring fair value and expands disclosures about fair value measurements. SFAS No. 157 emphasizes that fair value is a market-based measurement and not an entity-specific measurement. Accordingly, fair value measurements should be determined based on the assumptions that market participants would use in pricing an asset or liability. SFAS No. 157 generally applies under other accounting pronouncements that require or permit fair value measurements, except for share-based payment transactions and other limited exceptions. SFAS No. 157 is effective for financial statements issued for fiscal years beginning after November 15, 2007, and interim periods within those fiscal years. Accordingly, Viad will adopt SFAS No. 157 on January 1, 2008. Viad has not yet determined if the adoption of SFAS No. 157 will have a material impact on its financial position or results of operations. </w:t>
      </w:r>
    </w:p>
    <w:p>
      <w:pPr>
        <w:pStyle w:val="TextBody"/>
        <w:spacing w:before="120" w:after="283"/>
        <w:jc w:val="left"/>
        <w:rPr/>
      </w:pPr>
      <w:r>
        <w:rPr/>
        <w:t>     </w:t>
      </w:r>
      <w:r>
        <w:rPr>
          <w:rFonts w:ascii="Times New Roman;Times;serif" w:hAnsi="Times New Roman;Times;serif"/>
          <w:sz w:val="17"/>
        </w:rPr>
        <w:t xml:space="preserve">In September 2006, the FASB also issued SFAS No. 158, Employers Accounting for Defined Benefit Pension and Other Postretirement Plansan amendment of FASB Statements No. 87, 88, 106, and 132(R). SFAS No. 158 requires employers to recognize the over or underfunded status of a defined benefit pension plan as an asset or liability in its statement of financial position and to recognize changes in that funded status in the year in which the changes occur through comprehensive income. SFAS No. 158 also requires employers to measure the funded status of a plan as of the date of its year end statement of financial position, with limited exceptions. The asset or liability to be recorded equals the difference between the fair value of the defined benefit plans assets and its benefit obligation. The recognition and disclosure provisions of SFAS No. 158 are effective in financial statements for years ending after December 15, 2006. Accordingly, Viad will adopt those provisions as of December 31, 2006. The requirement to measure plan assets and benefit obligations as of the date of the employers fiscal year end statement of </w:t>
      </w:r>
    </w:p>
    <w:p>
      <w:pPr>
        <w:pStyle w:val="TextBody"/>
        <w:jc w:val="center"/>
        <w:rPr>
          <w:rFonts w:ascii="Times New Roman;Times;serif" w:hAnsi="Times New Roman;Times;serif"/>
          <w:sz w:val="17"/>
        </w:rPr>
      </w:pPr>
      <w:r>
        <w:rPr>
          <w:rFonts w:ascii="Times New Roman;Times;serif" w:hAnsi="Times New Roman;Times;serif"/>
          <w:sz w:val="17"/>
        </w:rPr>
        <w:t xml:space="preserve">Page 28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financial position is effective for fiscal years ending after December 15, 2008. Viad currently utilizes a November 30 measurement date for its pension and other postretirement benefit plans. SFAS No. 158 will be applied on a prospective basis, however, had Viad applied the recognition provisions of SFAS No. 158 as of December 31, 2005, the Company would have recorded additional liabilities of $277,000 related to its defined benefit pension plans. In addition, Viad would have reduced its liabilities related to its other postretirement benefit plans by $810,000. </w:t>
      </w:r>
    </w:p>
    <w:p>
      <w:pPr>
        <w:pStyle w:val="TextBody"/>
        <w:spacing w:before="120" w:after="283"/>
        <w:jc w:val="left"/>
        <w:rPr/>
      </w:pPr>
      <w:r>
        <w:rPr/>
        <w:t>     </w:t>
      </w:r>
      <w:r>
        <w:rPr>
          <w:rFonts w:ascii="Times New Roman;Times;serif" w:hAnsi="Times New Roman;Times;serif"/>
          <w:sz w:val="17"/>
        </w:rPr>
        <w:t xml:space="preserve">In September 2006, the SEC issued Staff Accounting Bulletin No. 108, Considering the Effects of Prior Year Misstatements when Quantifying Misstatements in Current Year Financial Statements (SAB 108). SAB 108 states that companies should use both an income statement (rollover) approach and a balance sheet (iron curtain) approach when quantifying and evaluating the materiality of a misstatement. SAB 108 also provides guidance on correcting errors under the dual approach, including transition guidance for correcting errors existing in prior years. If prior year errors that had been previously considered immaterial (under a companys prior approach) are now considered material based on the dual approach, the restatement of prior period financial statements is not required. Under those circumstances, a company would record a one-time transitional cumulative effect adjustment which would be reflected in the carrying amounts of assets and liabilities as of the beginning of the fiscal year of adoption with the offsetting adjustment to the opening balance of retained earnings. SAB 108 is effective for annual financial statements covering the first fiscal year ending after November 15, 2006, and is therefore effective for Viad as of December 31, 2006. Viad does not anticipate that the adoption of SAB 108 will affect its financial position or results of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provided by the safe harbor provision under the Private Securities Litigation Reform Act of 1995, Viad cautions readers that, in addition to historical information contained herein, this quarterly report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adverse developments in liabilities associated with discontinued operations, any deterioration in the economy and other risks discussed in Risk Factors in the risk factors sections included in Viads 2005 Annual Report and in this quarterly report, may individually or in combination impact future results. In addition to factors mentioned elsewhere, economic, competitive, governmental, technological, capital marketplace and other factors, including further terrorist activities or war and international conditions, could affect the forward-looking statements in this quarterly report. </w:t>
      </w:r>
    </w:p>
    <w:p>
      <w:pPr>
        <w:pStyle w:val="TextBody"/>
        <w:spacing w:before="240" w:after="283"/>
        <w:jc w:val="left"/>
        <w:rPr>
          <w:rFonts w:ascii="Times New Roman;Times;serif" w:hAnsi="Times New Roman;Times;serif"/>
          <w:sz w:val="17"/>
        </w:rPr>
      </w:pPr>
      <w:bookmarkStart w:id="6" w:name="003"/>
      <w:bookmarkEnd w:id="6"/>
      <w:r>
        <w:rPr>
          <w:rFonts w:ascii="Times New Roman;Times;serif" w:hAnsi="Times New Roman;Times;serif"/>
          <w:b/>
          <w:sz w:val="17"/>
        </w:rPr>
        <w:t>Item 3. Quantitative and Qualitative Disclosures About Market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Viads market risk exposures relate to fluctuations in foreign exchange rates, interest rates and certain commodity prices. Foreign exchange risk is the risk that fluctuating exchange rates will adversely affect financial condition or results of operations. Interest rate risk is the risk that changing interest rates will adversely affect the earnings of Viad. Commodity risk is the risk that changing prices will adversely affect results of operations. </w:t>
      </w:r>
    </w:p>
    <w:p>
      <w:pPr>
        <w:pStyle w:val="TextBody"/>
        <w:spacing w:before="120" w:after="283"/>
        <w:jc w:val="left"/>
        <w:rPr/>
      </w:pPr>
      <w:r>
        <w:rPr/>
        <w:t>     </w:t>
      </w:r>
      <w:r>
        <w:rPr>
          <w:rFonts w:ascii="Times New Roman;Times;serif" w:hAnsi="Times New Roman;Times;serif"/>
          <w:sz w:val="17"/>
        </w:rPr>
        <w:t xml:space="preserve">Viad conducts its foreign operations primarily in Canada, and to a lesser extent in certain European countries. The functional currency of Viads foreign subsidiaries is their local currency. Accordingly, for purposes of consolidation, Viad translates the assets and liabilities of its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in Viads consolidated balance sheets. As a result, significant fluctuations in foreign exchange rates relative to the U.S. dollar may result in material changes to Viads net equity position reported in its consolidated balance sheets. Viad does not currently hedge its equity risk arising from the translation of foreign denominated assets and liabilities. Viad had cumulative unrealized foreign currency translation gains recorded in equity of $29.7 million and $23.6 million as of September 30, 2006 and December 31, 2005, respectively. During the three months ended September 30, 2006, unrealized foreign currency translation losses of $117,000 were recorded in other comprehensive income and during the nine months ended September 30, 2006, $6.4 million of unrealized foreign currency translation gains were recorded. During the three and nine months ended September 30, 2005, unrealized foreign currency translation losses of $6.7 million and $3.7 million were recorded in other comprehensive income,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Page 29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In addition, for purposes of consolidation, the revenues, expenses, gains and losses related to Viads foreign operations are translated into U.S. dollars at the average foreign exchange rates for the period. As a result, Viads consolidated results of operations are exposed to fluctuations in foreign exchange rates as the operating results of its foreign subsidiaries, when translated, may vary from period to period, even when the functional currency amounts have not changed. Such fluctuations may adversely impact overall expected profitability and historical period to period comparisons. Viad does not currently hedge its net earnings exposure arising from the translation of its foreign operating results. As noted above, Viad primarily conducts its foreign operations in Canada. Accordingly, the operating results related to its Canadian subsidiaries were translated into U.S. dollars at weighted-average exchange rates of 0.89 and 0.83 for the three months ended September 30, 2006 and 2005, respectively. The weighted-average exchange rates used to translate into U.S. dollars the operating results for the nine months ended September 30, 2006 and 2005 were 0.90 and 0.82, respectively. Accordingly, Viads consolidated results of operations have been favorably impacted by the strengthening of the Canadian dollar relative to the U.S. dollar as it relates to the translation of its Canadian operations. </w:t>
      </w:r>
    </w:p>
    <w:p>
      <w:pPr>
        <w:pStyle w:val="TextBody"/>
        <w:spacing w:before="120" w:after="283"/>
        <w:jc w:val="left"/>
        <w:rPr/>
      </w:pPr>
      <w:r>
        <w:rPr/>
        <w:t>     </w:t>
      </w:r>
      <w:r>
        <w:rPr>
          <w:rFonts w:ascii="Times New Roman;Times;serif" w:hAnsi="Times New Roman;Times;serif"/>
          <w:sz w:val="17"/>
        </w:rPr>
        <w:t xml:space="preserve">Viad is also exposed to foreign exchange transaction risk as its foreign subsidiaries have certain revenue transactions and related accounts receivable denominated in currencies other than the functional currency of the respective subsidiary. From time to time, Viad utilizes foreign currency forward contracts to mitigate the impact on earnings related to these transactions due to fluctuations in foreign exchange rates. The effect of changes in foreign exchange rates, net of the effect of the related forward contracts, has historically been immaterial to Viads consolidated results of operations. As of September 30, 2006, Viad had aggregate contracts to sell U.S. dollars of $3.6 million (notional amount) in exchange for Canadian dollars at an average contract rate of 1.11 (Canadian dollars per U.S. dollar), maturing on various dates through September 2007. As of September 30, 2006, the fair value of Viads forward exchange contracts was $4,000 and is included in the consolidated balance sheet under the caption Other current assets. </w:t>
      </w:r>
    </w:p>
    <w:p>
      <w:pPr>
        <w:pStyle w:val="TextBody"/>
        <w:spacing w:before="120" w:after="283"/>
        <w:jc w:val="left"/>
        <w:rPr/>
      </w:pPr>
      <w:r>
        <w:rPr/>
        <w:t>     </w:t>
      </w:r>
      <w:r>
        <w:rPr>
          <w:rFonts w:ascii="Times New Roman;Times;serif" w:hAnsi="Times New Roman;Times;serif"/>
          <w:sz w:val="17"/>
        </w:rPr>
        <w:t xml:space="preserve">Viad is exposed to short-term interest rate risk on certain of its debt obligations. Viad currently does not use derivative financial instruments to hedge cash flows for such obligations. As of September 30, 2006, Viad had variable rate debt outstanding of $10.4 million under the Credit Facility. Interest payments related to Viads variable rate debt outstanding are indexed to LIBOR. See Note 9 of notes to consolidated financial statements. </w:t>
      </w:r>
    </w:p>
    <w:p>
      <w:pPr>
        <w:pStyle w:val="TextBody"/>
        <w:spacing w:before="120" w:after="283"/>
        <w:jc w:val="left"/>
        <w:rPr/>
      </w:pPr>
      <w:r>
        <w:rPr/>
        <w:t>     </w:t>
      </w:r>
      <w:r>
        <w:rPr>
          <w:rFonts w:ascii="Times New Roman;Times;serif" w:hAnsi="Times New Roman;Times;serif"/>
          <w:sz w:val="17"/>
        </w:rPr>
        <w:t xml:space="preserve">Viads subsidiaries have exposure to changing fuel prices. Periodically, one of these subsidiaries enters into futures contracts with an oil company to purchase two types of fuel and specifies the monthly total volume, by fuel product, to be purchased over the agreed upon term of the contract, which is generally no longer than one year. The main objective of Viads risk policy related to changing fuel prices is to reduce transaction exposure in order to mitigate the cash flow risk and protect profit margins. As of September 30, 2006, Viad had one fuel contract outstanding to purchase 42,000 gallons of diesel fuel at approximately $2.32 per gallon (plus applicable taxes) expiring October 2006. </w:t>
      </w:r>
    </w:p>
    <w:p>
      <w:pPr>
        <w:pStyle w:val="TextBody"/>
        <w:spacing w:before="240" w:after="283"/>
        <w:jc w:val="left"/>
        <w:rPr>
          <w:rFonts w:ascii="Times New Roman;Times;serif" w:hAnsi="Times New Roman;Times;serif"/>
          <w:sz w:val="17"/>
        </w:rPr>
      </w:pPr>
      <w:bookmarkStart w:id="7" w:name="004"/>
      <w:bookmarkEnd w:id="7"/>
      <w:r>
        <w:rPr>
          <w:rFonts w:ascii="Times New Roman;Times;serif" w:hAnsi="Times New Roman;Times;serif"/>
          <w:b/>
          <w:sz w:val="17"/>
        </w:rPr>
        <w:t>Item 4. Controls and Procedures.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Under the supervision and with the participation of management, including the Chief Executive Officer and Chief Financial Officer of Viad, the effectiveness of the design and operation of disclosure controls and procedures has been evaluated as of September 30, 2006, and, based on that evaluation, the Chief Executive Officer and Chief Financial Officer have concluded that these disclosure controls and procedures are effective as of September 30, 2006. Disclosure controls and procedures are designed to ensure that information required to be disclosed in the reports filed or submitted under the Securities Exchange Act of 1934 is recorded, processed, summarized and reported, within the time periods specified in the SECs rules and forms. Disclosure controls and procedures include, without limitation, controls and procedures designed to ensure that information required to be disclosed in such reports is accumulated and communicated to management, including the Chief Executive Officer and Chief Financial Officer, as appropriate to allow for timely decisions regarding required disclosure. </w:t>
      </w:r>
    </w:p>
    <w:p>
      <w:pPr>
        <w:pStyle w:val="TextBody"/>
        <w:spacing w:before="120" w:after="283"/>
        <w:jc w:val="left"/>
        <w:rPr/>
      </w:pPr>
      <w:r>
        <w:rPr/>
        <w:t>     </w:t>
      </w:r>
      <w:r>
        <w:rPr>
          <w:rFonts w:ascii="Times New Roman;Times;serif" w:hAnsi="Times New Roman;Times;serif"/>
          <w:sz w:val="17"/>
        </w:rPr>
        <w:t xml:space="preserve">There were no changes in the Companys internal control over financial reporting during the third quarter of 2006 that have materially affected, or are reasonably likely to materially affect, internal control over financial reporting. </w:t>
      </w:r>
    </w:p>
    <w:p>
      <w:pPr>
        <w:pStyle w:val="TextBody"/>
        <w:jc w:val="center"/>
        <w:rPr>
          <w:rFonts w:ascii="Times New Roman;Times;serif" w:hAnsi="Times New Roman;Times;serif"/>
          <w:sz w:val="17"/>
        </w:rPr>
      </w:pPr>
      <w:r>
        <w:rPr>
          <w:rFonts w:ascii="Times New Roman;Times;serif" w:hAnsi="Times New Roman;Times;serif"/>
          <w:sz w:val="17"/>
        </w:rPr>
        <w:t xml:space="preserve">Page 30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bookmarkStart w:id="8" w:name="005"/>
      <w:bookmarkEnd w:id="8"/>
      <w:r>
        <w:rPr>
          <w:rFonts w:ascii="Times New Roman;Times;serif" w:hAnsi="Times New Roman;Times;serif"/>
          <w:b/>
          <w:sz w:val="17"/>
        </w:rPr>
        <w:t>PART II  OTHER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9" w:name="006"/>
      <w:bookmarkEnd w:id="9"/>
      <w:r>
        <w:rPr>
          <w:rFonts w:ascii="Times New Roman;Times;serif" w:hAnsi="Times New Roman;Times;serif"/>
          <w:b/>
          <w:sz w:val="17"/>
        </w:rPr>
        <w:t>Item 1A. Risk Factors.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addition to the risk factor set forth below and other information in this report, careful consideration should be given to the factors discussed in Item 1A., Risk Factors, in the Annual Report on Form 10-K for the year ended December 31, 2005, which could materially affect Viads business, financial condition or future results. </w:t>
      </w:r>
    </w:p>
    <w:p>
      <w:pPr>
        <w:pStyle w:val="TextBody"/>
        <w:spacing w:before="240" w:after="283"/>
        <w:jc w:val="left"/>
        <w:rPr/>
      </w:pPr>
      <w:r>
        <w:rPr/>
        <w:t>     </w:t>
      </w:r>
      <w:r>
        <w:rPr>
          <w:rFonts w:ascii="Times New Roman;Times;serif" w:hAnsi="Times New Roman;Times;serif"/>
          <w:b/>
          <w:i/>
          <w:sz w:val="17"/>
        </w:rPr>
        <w:t>Viads foreign operations are impacted by changes in foreign currency exchange rates.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conducts its foreign operations primarily in Canada, and to a lesser extent in certain European countries. The functional currency of Viads foreign subsidiaries is their local currency. Accordingly, for purposes of consolidation, Viad translates the assets and liabilities of its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in Viads consolidated balance sheets. As a result, significant fluctuations in foreign exchange rates relative to the U.S. dollar may result in material changes to Viads net equity position reported in its consolidated balance sheets. Viad does not currently hedge its equity risk arising from the translation of foreign denominated assets and liabilities. </w:t>
      </w:r>
    </w:p>
    <w:p>
      <w:pPr>
        <w:pStyle w:val="TextBody"/>
        <w:spacing w:before="120" w:after="283"/>
        <w:jc w:val="left"/>
        <w:rPr/>
      </w:pPr>
      <w:r>
        <w:rPr/>
        <w:t>     </w:t>
      </w:r>
      <w:r>
        <w:rPr>
          <w:rFonts w:ascii="Times New Roman;Times;serif" w:hAnsi="Times New Roman;Times;serif"/>
          <w:sz w:val="17"/>
        </w:rPr>
        <w:t xml:space="preserve">In addition, for purposes of consolidation, the revenues, expenses, gains and losses related to Viads foreign operations are translated into U.S. dollars at the average foreign exchange rates for the period. As a result, Viads consolidated results of operations are exposed to fluctuations in foreign exchange rates as the operating results of its foreign subsidiaries, when translated, may vary from period to period, even when the functional currency amounts have not changed. While recently Viads consolidated results of operations have been favorably impacted by the strengthening of the Canadian dollar relative to the U.S. dollar, future fluctuations in the exchange rates may adversely impact overall expected profitability and historical period to period comparisons. Viad does not currently hedge its net earnings exposure arising from the translation of its foreign operating results. </w:t>
      </w:r>
    </w:p>
    <w:p>
      <w:pPr>
        <w:pStyle w:val="TextBody"/>
        <w:spacing w:before="120" w:after="283"/>
        <w:jc w:val="left"/>
        <w:rPr/>
      </w:pPr>
      <w:r>
        <w:rPr/>
        <w:t>     </w:t>
      </w:r>
      <w:r>
        <w:rPr>
          <w:rFonts w:ascii="Times New Roman;Times;serif" w:hAnsi="Times New Roman;Times;serif"/>
          <w:sz w:val="17"/>
        </w:rPr>
        <w:t xml:space="preserve">During 2005, approximately 75 percent of revenue and 84 percent of operating income generated in Viads Travel and Recreation Services segment was derived through its Canadian operations. These operations are largely dependent on foreign customer visitation, and accordingly, increases in the value of the Canadian dollar compared to other currencies could adversely affect customer volumes, and therefore, revenue and operating income in the Travel and Recreation Services segment. </w:t>
      </w:r>
    </w:p>
    <w:p>
      <w:pPr>
        <w:pStyle w:val="TextBody"/>
        <w:spacing w:before="240" w:after="283"/>
        <w:jc w:val="left"/>
        <w:rPr>
          <w:rFonts w:ascii="Times New Roman;Times;serif" w:hAnsi="Times New Roman;Times;serif"/>
          <w:sz w:val="17"/>
        </w:rPr>
      </w:pPr>
      <w:bookmarkStart w:id="10" w:name="007"/>
      <w:bookmarkEnd w:id="10"/>
      <w:r>
        <w:rPr>
          <w:rFonts w:ascii="Times New Roman;Times;serif" w:hAnsi="Times New Roman;Times;serif"/>
          <w:b/>
          <w:sz w:val="17"/>
        </w:rPr>
        <w:t>Item 2. Unregistered Sales of Equity Securities and Use of Proceeds.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Set forth below is a table showing the total number of shares of Viad common stock repurchased during the third quarter of 2006 by Viad either on the open market as part of a repurchase program or from employees and former employees surrendering previously owned Viad common stock (outstanding shares) to pay for a portion of the exercise price in connection with the exercise of stock options, or to pay the taxes in connection with the exercise of stock options or vesting of restricted stock or performance-based awards: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ISSUER PURCHASES OF EQUITY SECURITIES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841"/>
        <w:gridCol w:w="139"/>
        <w:gridCol w:w="151"/>
        <w:gridCol w:w="1613"/>
        <w:gridCol w:w="74"/>
        <w:gridCol w:w="139"/>
        <w:gridCol w:w="154"/>
        <w:gridCol w:w="1379"/>
        <w:gridCol w:w="74"/>
        <w:gridCol w:w="139"/>
        <w:gridCol w:w="157"/>
        <w:gridCol w:w="1693"/>
        <w:gridCol w:w="74"/>
        <w:gridCol w:w="138"/>
        <w:gridCol w:w="173"/>
        <w:gridCol w:w="2183"/>
        <w:gridCol w:w="84"/>
      </w:tblGrid>
      <w:tr>
        <w:trPr/>
        <w:tc>
          <w:tcPr>
            <w:tcW w:w="184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613"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7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8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613"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7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2356" w:type="dxa"/>
            <w:gridSpan w:val="2"/>
            <w:tcBorders/>
            <w:shd w:fill="auto" w:val="clear"/>
            <w:vAlign w:val="bottom"/>
          </w:tcPr>
          <w:p>
            <w:pPr>
              <w:pStyle w:val="TableContents"/>
              <w:spacing w:before="0" w:after="283"/>
              <w:jc w:val="center"/>
              <w:rPr>
                <w:b/>
              </w:rPr>
            </w:pPr>
            <w:r>
              <w:rPr>
                <w:b/>
              </w:rPr>
              <w:t>Maximum Number (or</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613"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7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50" w:type="dxa"/>
            <w:gridSpan w:val="2"/>
            <w:tcBorders/>
            <w:shd w:fill="auto" w:val="clear"/>
            <w:vAlign w:val="bottom"/>
          </w:tcPr>
          <w:p>
            <w:pPr>
              <w:pStyle w:val="TableContents"/>
              <w:spacing w:before="0" w:after="283"/>
              <w:jc w:val="center"/>
              <w:rPr>
                <w:b/>
              </w:rPr>
            </w:pPr>
            <w:r>
              <w:rPr>
                <w:b/>
              </w:rPr>
              <w:t>Total Number of</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2356" w:type="dxa"/>
            <w:gridSpan w:val="2"/>
            <w:tcBorders/>
            <w:shd w:fill="auto" w:val="clear"/>
            <w:vAlign w:val="bottom"/>
          </w:tcPr>
          <w:p>
            <w:pPr>
              <w:pStyle w:val="TableContents"/>
              <w:spacing w:before="0" w:after="283"/>
              <w:jc w:val="center"/>
              <w:rPr>
                <w:b/>
              </w:rPr>
            </w:pPr>
            <w:r>
              <w:rPr>
                <w:b/>
              </w:rPr>
              <w:t>Approximate</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613"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7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50" w:type="dxa"/>
            <w:gridSpan w:val="2"/>
            <w:tcBorders/>
            <w:shd w:fill="auto" w:val="clear"/>
            <w:vAlign w:val="bottom"/>
          </w:tcPr>
          <w:p>
            <w:pPr>
              <w:pStyle w:val="TableContents"/>
              <w:spacing w:before="0" w:after="283"/>
              <w:jc w:val="center"/>
              <w:rPr>
                <w:b/>
              </w:rPr>
            </w:pPr>
            <w:r>
              <w:rPr>
                <w:b/>
              </w:rPr>
              <w:t>Shares</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2356" w:type="dxa"/>
            <w:gridSpan w:val="2"/>
            <w:tcBorders/>
            <w:shd w:fill="auto" w:val="clear"/>
            <w:vAlign w:val="bottom"/>
          </w:tcPr>
          <w:p>
            <w:pPr>
              <w:pStyle w:val="TableContents"/>
              <w:spacing w:before="0" w:after="283"/>
              <w:jc w:val="center"/>
              <w:rPr>
                <w:b/>
              </w:rPr>
            </w:pPr>
            <w:r>
              <w:rPr>
                <w:b/>
              </w:rPr>
              <w:t>Dollar Value) of</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613"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7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50" w:type="dxa"/>
            <w:gridSpan w:val="2"/>
            <w:tcBorders/>
            <w:shd w:fill="auto" w:val="clear"/>
            <w:vAlign w:val="bottom"/>
          </w:tcPr>
          <w:p>
            <w:pPr>
              <w:pStyle w:val="TableContents"/>
              <w:spacing w:before="0" w:after="283"/>
              <w:jc w:val="center"/>
              <w:rPr>
                <w:b/>
              </w:rPr>
            </w:pPr>
            <w:r>
              <w:rPr>
                <w:b/>
              </w:rPr>
              <w:t>Purchased as</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2356" w:type="dxa"/>
            <w:gridSpan w:val="2"/>
            <w:tcBorders/>
            <w:shd w:fill="auto" w:val="clear"/>
            <w:vAlign w:val="bottom"/>
          </w:tcPr>
          <w:p>
            <w:pPr>
              <w:pStyle w:val="TableContents"/>
              <w:spacing w:before="0" w:after="283"/>
              <w:jc w:val="center"/>
              <w:rPr>
                <w:b/>
              </w:rPr>
            </w:pPr>
            <w:r>
              <w:rPr>
                <w:b/>
              </w:rPr>
              <w:t>Shares that May Yet</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764" w:type="dxa"/>
            <w:gridSpan w:val="2"/>
            <w:tcBorders/>
            <w:shd w:fill="auto" w:val="clear"/>
            <w:vAlign w:val="bottom"/>
          </w:tcPr>
          <w:p>
            <w:pPr>
              <w:pStyle w:val="TableContents"/>
              <w:spacing w:before="0" w:after="283"/>
              <w:jc w:val="center"/>
              <w:rPr>
                <w:b/>
              </w:rPr>
            </w:pPr>
            <w:r>
              <w:rPr>
                <w:b/>
              </w:rPr>
              <w:t>Total Number of</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33" w:type="dxa"/>
            <w:gridSpan w:val="2"/>
            <w:tcBorders/>
            <w:shd w:fill="auto" w:val="clear"/>
            <w:vAlign w:val="bottom"/>
          </w:tcPr>
          <w:p>
            <w:pPr>
              <w:pStyle w:val="TableContents"/>
              <w:spacing w:before="0" w:after="283"/>
              <w:jc w:val="center"/>
              <w:rPr>
                <w:b/>
              </w:rPr>
            </w:pPr>
            <w:r>
              <w:rPr>
                <w:b/>
              </w:rPr>
              <w:t>Average</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50" w:type="dxa"/>
            <w:gridSpan w:val="2"/>
            <w:tcBorders/>
            <w:shd w:fill="auto" w:val="clear"/>
            <w:vAlign w:val="bottom"/>
          </w:tcPr>
          <w:p>
            <w:pPr>
              <w:pStyle w:val="TableContents"/>
              <w:spacing w:before="0" w:after="283"/>
              <w:jc w:val="center"/>
              <w:rPr>
                <w:b/>
              </w:rPr>
            </w:pPr>
            <w:r>
              <w:rPr>
                <w:b/>
              </w:rPr>
              <w:t>Part of Publicly</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2356" w:type="dxa"/>
            <w:gridSpan w:val="2"/>
            <w:tcBorders/>
            <w:shd w:fill="auto" w:val="clear"/>
            <w:vAlign w:val="bottom"/>
          </w:tcPr>
          <w:p>
            <w:pPr>
              <w:pStyle w:val="TableContents"/>
              <w:spacing w:before="0" w:after="283"/>
              <w:jc w:val="center"/>
              <w:rPr>
                <w:b/>
              </w:rPr>
            </w:pPr>
            <w:r>
              <w:rPr>
                <w:b/>
              </w:rPr>
              <w:t>Be Purchased Under</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764" w:type="dxa"/>
            <w:gridSpan w:val="2"/>
            <w:tcBorders/>
            <w:shd w:fill="auto" w:val="clear"/>
            <w:vAlign w:val="bottom"/>
          </w:tcPr>
          <w:p>
            <w:pPr>
              <w:pStyle w:val="TableContents"/>
              <w:spacing w:before="0" w:after="283"/>
              <w:jc w:val="center"/>
              <w:rPr>
                <w:b/>
              </w:rPr>
            </w:pPr>
            <w:r>
              <w:rPr>
                <w:b/>
              </w:rPr>
              <w:t>Shares</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33" w:type="dxa"/>
            <w:gridSpan w:val="2"/>
            <w:tcBorders/>
            <w:shd w:fill="auto" w:val="clear"/>
            <w:vAlign w:val="bottom"/>
          </w:tcPr>
          <w:p>
            <w:pPr>
              <w:pStyle w:val="TableContents"/>
              <w:spacing w:before="0" w:after="283"/>
              <w:jc w:val="center"/>
              <w:rPr>
                <w:b/>
              </w:rPr>
            </w:pPr>
            <w:r>
              <w:rPr>
                <w:b/>
              </w:rPr>
              <w:t>Price Paid Per</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50" w:type="dxa"/>
            <w:gridSpan w:val="2"/>
            <w:tcBorders/>
            <w:shd w:fill="auto" w:val="clear"/>
            <w:vAlign w:val="bottom"/>
          </w:tcPr>
          <w:p>
            <w:pPr>
              <w:pStyle w:val="TableContents"/>
              <w:spacing w:before="0" w:after="283"/>
              <w:jc w:val="center"/>
              <w:rPr>
                <w:b/>
              </w:rPr>
            </w:pPr>
            <w:r>
              <w:rPr>
                <w:b/>
              </w:rPr>
              <w:t>Announced Plans</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2356" w:type="dxa"/>
            <w:gridSpan w:val="2"/>
            <w:tcBorders/>
            <w:shd w:fill="auto" w:val="clear"/>
            <w:vAlign w:val="bottom"/>
          </w:tcPr>
          <w:p>
            <w:pPr>
              <w:pStyle w:val="TableContents"/>
              <w:spacing w:before="0" w:after="283"/>
              <w:jc w:val="center"/>
              <w:rPr>
                <w:b/>
              </w:rPr>
            </w:pPr>
            <w:r>
              <w:rPr>
                <w:b/>
              </w:rPr>
              <w:t>the Plans or</w:t>
            </w:r>
          </w:p>
        </w:tc>
        <w:tc>
          <w:tcPr>
            <w:tcW w:w="84" w:type="dxa"/>
            <w:tcBorders/>
            <w:shd w:fill="auto" w:val="clear"/>
            <w:vAlign w:val="bottom"/>
          </w:tcPr>
          <w:p>
            <w:pPr>
              <w:pStyle w:val="TableContents"/>
              <w:spacing w:before="0" w:after="283"/>
              <w:rPr/>
            </w:pPr>
            <w:r>
              <w:rPr/>
              <w:t> </w:t>
            </w:r>
          </w:p>
        </w:tc>
      </w:tr>
      <w:tr>
        <w:trPr/>
        <w:tc>
          <w:tcPr>
            <w:tcW w:w="1841" w:type="dxa"/>
            <w:tcBorders>
              <w:bottom w:val="single" w:sz="2" w:space="0" w:color="000000"/>
            </w:tcBorders>
            <w:shd w:fill="auto" w:val="clear"/>
            <w:tcMar>
              <w:bottom w:w="28" w:type="dxa"/>
            </w:tcMar>
            <w:vAlign w:val="bottom"/>
          </w:tcPr>
          <w:p>
            <w:pPr>
              <w:pStyle w:val="TableContents"/>
              <w:spacing w:before="0" w:after="283"/>
              <w:jc w:val="left"/>
              <w:rPr>
                <w:b/>
              </w:rPr>
            </w:pPr>
            <w:r>
              <w:rPr>
                <w:b/>
              </w:rPr>
              <w:t>Period (1)</w:t>
            </w:r>
          </w:p>
        </w:tc>
        <w:tc>
          <w:tcPr>
            <w:tcW w:w="139" w:type="dxa"/>
            <w:tcBorders/>
            <w:shd w:fill="auto" w:val="clear"/>
            <w:vAlign w:val="bottom"/>
          </w:tcPr>
          <w:p>
            <w:pPr>
              <w:pStyle w:val="TableContents"/>
              <w:spacing w:before="0" w:after="283"/>
              <w:rPr/>
            </w:pPr>
            <w:r>
              <w:rPr/>
              <w:t> </w:t>
            </w:r>
          </w:p>
        </w:tc>
        <w:tc>
          <w:tcPr>
            <w:tcW w:w="176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Purchased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 ($)</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or Programs</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235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Programs (2),(3)</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bottom"/>
          </w:tcPr>
          <w:p>
            <w:pPr>
              <w:pStyle w:val="TableContents"/>
              <w:spacing w:before="0" w:after="0"/>
              <w:ind w:left="225" w:right="0" w:hanging="225"/>
              <w:rPr/>
            </w:pPr>
            <w:r>
              <w:rPr/>
              <w:t>August 2006</w:t>
            </w:r>
          </w:p>
        </w:tc>
        <w:tc>
          <w:tcPr>
            <w:tcW w:w="13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613" w:type="dxa"/>
            <w:tcBorders/>
            <w:shd w:fill="auto" w:val="clear"/>
            <w:vAlign w:val="bottom"/>
          </w:tcPr>
          <w:p>
            <w:pPr>
              <w:pStyle w:val="TableContents"/>
              <w:spacing w:before="0" w:after="283"/>
              <w:jc w:val="right"/>
              <w:rPr/>
            </w:pPr>
            <w:r>
              <w:rPr/>
              <w:t>79,500</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79" w:type="dxa"/>
            <w:tcBorders/>
            <w:shd w:fill="auto" w:val="clear"/>
            <w:vAlign w:val="bottom"/>
          </w:tcPr>
          <w:p>
            <w:pPr>
              <w:pStyle w:val="TableContents"/>
              <w:spacing w:before="0" w:after="283"/>
              <w:jc w:val="right"/>
              <w:rPr/>
            </w:pPr>
            <w:r>
              <w:rPr/>
              <w:t>32.60</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79,500</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83" w:type="dxa"/>
            <w:tcBorders/>
            <w:shd w:fill="auto" w:val="clear"/>
            <w:vAlign w:val="bottom"/>
          </w:tcPr>
          <w:p>
            <w:pPr>
              <w:pStyle w:val="TableContents"/>
              <w:spacing w:before="0" w:after="283"/>
              <w:jc w:val="right"/>
              <w:rPr/>
            </w:pPr>
            <w:r>
              <w:rPr/>
              <w:t>920,500</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center"/>
          </w:tcPr>
          <w:p>
            <w:pPr>
              <w:pStyle w:val="TableContents"/>
              <w:spacing w:before="0" w:after="0"/>
              <w:ind w:left="225" w:right="0" w:hanging="225"/>
              <w:rPr/>
            </w:pPr>
            <w:r>
              <w:rPr/>
              <w:t> </w:t>
            </w:r>
          </w:p>
        </w:tc>
        <w:tc>
          <w:tcPr>
            <w:tcW w:w="139" w:type="dxa"/>
            <w:tcBorders/>
            <w:shd w:fill="auto" w:val="clear"/>
            <w:vAlign w:val="center"/>
          </w:tcPr>
          <w:p>
            <w:pPr>
              <w:pStyle w:val="TableContents"/>
              <w:spacing w:before="0" w:after="283"/>
              <w:rPr/>
            </w:pPr>
            <w:r>
              <w:rPr/>
              <w:t> </w:t>
            </w:r>
          </w:p>
        </w:tc>
        <w:tc>
          <w:tcPr>
            <w:tcW w:w="17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139" w:type="dxa"/>
            <w:tcBorders/>
            <w:shd w:fill="auto" w:val="clear"/>
            <w:vAlign w:val="center"/>
          </w:tcPr>
          <w:p>
            <w:pPr>
              <w:pStyle w:val="TableContents"/>
              <w:spacing w:before="0" w:after="283"/>
              <w:rPr/>
            </w:pPr>
            <w:r>
              <w:rPr/>
              <w:t> </w:t>
            </w:r>
          </w:p>
        </w:tc>
        <w:tc>
          <w:tcPr>
            <w:tcW w:w="15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139" w:type="dxa"/>
            <w:tcBorders/>
            <w:shd w:fill="auto" w:val="clear"/>
            <w:vAlign w:val="center"/>
          </w:tcPr>
          <w:p>
            <w:pPr>
              <w:pStyle w:val="TableContents"/>
              <w:spacing w:before="0" w:after="283"/>
              <w:rPr/>
            </w:pPr>
            <w:r>
              <w:rPr/>
              <w:t> </w:t>
            </w:r>
          </w:p>
        </w:tc>
        <w:tc>
          <w:tcPr>
            <w:tcW w:w="18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138" w:type="dxa"/>
            <w:tcBorders/>
            <w:shd w:fill="auto" w:val="clear"/>
            <w:vAlign w:val="center"/>
          </w:tcPr>
          <w:p>
            <w:pPr>
              <w:pStyle w:val="TableContents"/>
              <w:spacing w:before="0" w:after="283"/>
              <w:rPr/>
            </w:pPr>
            <w:r>
              <w:rPr/>
              <w:t> </w:t>
            </w:r>
          </w:p>
        </w:tc>
        <w:tc>
          <w:tcPr>
            <w:tcW w:w="23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r>
      <w:tr>
        <w:trPr/>
        <w:tc>
          <w:tcPr>
            <w:tcW w:w="1841" w:type="dxa"/>
            <w:tcBorders/>
            <w:shd w:fill="auto" w:val="clear"/>
            <w:vAlign w:val="bottom"/>
          </w:tcPr>
          <w:p>
            <w:pPr>
              <w:pStyle w:val="TableContents"/>
              <w:spacing w:before="0" w:after="0"/>
              <w:ind w:left="225" w:right="0" w:hanging="225"/>
              <w:rPr/>
            </w:pPr>
            <w:r>
              <w:rPr/>
              <w:t>Total</w:t>
            </w:r>
          </w:p>
        </w:tc>
        <w:tc>
          <w:tcPr>
            <w:tcW w:w="13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613" w:type="dxa"/>
            <w:tcBorders/>
            <w:shd w:fill="auto" w:val="clear"/>
            <w:vAlign w:val="bottom"/>
          </w:tcPr>
          <w:p>
            <w:pPr>
              <w:pStyle w:val="TableContents"/>
              <w:spacing w:before="0" w:after="283"/>
              <w:jc w:val="right"/>
              <w:rPr/>
            </w:pPr>
            <w:r>
              <w:rPr/>
              <w:t>79,500</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79" w:type="dxa"/>
            <w:tcBorders/>
            <w:shd w:fill="auto" w:val="clear"/>
            <w:vAlign w:val="bottom"/>
          </w:tcPr>
          <w:p>
            <w:pPr>
              <w:pStyle w:val="TableContents"/>
              <w:spacing w:before="0" w:after="283"/>
              <w:jc w:val="right"/>
              <w:rPr/>
            </w:pPr>
            <w:r>
              <w:rPr/>
              <w:t>32.60</w:t>
            </w:r>
          </w:p>
        </w:tc>
        <w:tc>
          <w:tcPr>
            <w:tcW w:w="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93" w:type="dxa"/>
            <w:tcBorders/>
            <w:shd w:fill="auto" w:val="clear"/>
            <w:vAlign w:val="bottom"/>
          </w:tcPr>
          <w:p>
            <w:pPr>
              <w:pStyle w:val="TableContents"/>
              <w:spacing w:before="0" w:after="283"/>
              <w:jc w:val="right"/>
              <w:rPr/>
            </w:pPr>
            <w:r>
              <w:rPr/>
              <w:t>79,500</w:t>
            </w:r>
          </w:p>
        </w:tc>
        <w:tc>
          <w:tcPr>
            <w:tcW w:w="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183" w:type="dxa"/>
            <w:tcBorders/>
            <w:shd w:fill="auto" w:val="clear"/>
            <w:vAlign w:val="bottom"/>
          </w:tcPr>
          <w:p>
            <w:pPr>
              <w:pStyle w:val="TableContents"/>
              <w:spacing w:before="0" w:after="283"/>
              <w:jc w:val="right"/>
              <w:rPr/>
            </w:pPr>
            <w:r>
              <w:rPr/>
              <w:t>920,500</w:t>
            </w:r>
          </w:p>
        </w:tc>
        <w:tc>
          <w:tcPr>
            <w:tcW w:w="84" w:type="dxa"/>
            <w:tcBorders/>
            <w:shd w:fill="auto" w:val="clear"/>
            <w:vAlign w:val="bottom"/>
          </w:tcPr>
          <w:p>
            <w:pPr>
              <w:pStyle w:val="TableContents"/>
              <w:spacing w:before="0" w:after="283"/>
              <w:rPr/>
            </w:pPr>
            <w:r>
              <w:rPr/>
              <w:t> </w:t>
            </w:r>
          </w:p>
        </w:tc>
      </w:tr>
      <w:tr>
        <w:trPr/>
        <w:tc>
          <w:tcPr>
            <w:tcW w:w="1841" w:type="dxa"/>
            <w:tcBorders/>
            <w:shd w:fill="auto" w:val="clear"/>
            <w:vAlign w:val="center"/>
          </w:tcPr>
          <w:p>
            <w:pPr>
              <w:pStyle w:val="TableContents"/>
              <w:spacing w:before="0" w:after="0"/>
              <w:ind w:left="225" w:right="0" w:hanging="225"/>
              <w:rPr/>
            </w:pPr>
            <w:r>
              <w:rPr/>
              <w:t> </w:t>
            </w:r>
          </w:p>
        </w:tc>
        <w:tc>
          <w:tcPr>
            <w:tcW w:w="139" w:type="dxa"/>
            <w:tcBorders/>
            <w:shd w:fill="auto" w:val="clear"/>
            <w:vAlign w:val="center"/>
          </w:tcPr>
          <w:p>
            <w:pPr>
              <w:pStyle w:val="TableContents"/>
              <w:spacing w:before="0" w:after="283"/>
              <w:rPr/>
            </w:pPr>
            <w:r>
              <w:rPr/>
              <w:t> </w:t>
            </w:r>
          </w:p>
        </w:tc>
        <w:tc>
          <w:tcPr>
            <w:tcW w:w="17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139" w:type="dxa"/>
            <w:tcBorders/>
            <w:shd w:fill="auto" w:val="clear"/>
            <w:vAlign w:val="center"/>
          </w:tcPr>
          <w:p>
            <w:pPr>
              <w:pStyle w:val="TableContents"/>
              <w:spacing w:before="0" w:after="283"/>
              <w:rPr/>
            </w:pPr>
            <w:r>
              <w:rPr/>
              <w:t> </w:t>
            </w:r>
          </w:p>
        </w:tc>
        <w:tc>
          <w:tcPr>
            <w:tcW w:w="15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139" w:type="dxa"/>
            <w:tcBorders/>
            <w:shd w:fill="auto" w:val="clear"/>
            <w:vAlign w:val="center"/>
          </w:tcPr>
          <w:p>
            <w:pPr>
              <w:pStyle w:val="TableContents"/>
              <w:spacing w:before="0" w:after="283"/>
              <w:rPr/>
            </w:pPr>
            <w:r>
              <w:rPr/>
              <w:t> </w:t>
            </w:r>
          </w:p>
        </w:tc>
        <w:tc>
          <w:tcPr>
            <w:tcW w:w="18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138" w:type="dxa"/>
            <w:tcBorders/>
            <w:shd w:fill="auto" w:val="clear"/>
            <w:vAlign w:val="center"/>
          </w:tcPr>
          <w:p>
            <w:pPr>
              <w:pStyle w:val="TableContents"/>
              <w:spacing w:before="0" w:after="283"/>
              <w:rPr/>
            </w:pPr>
            <w:r>
              <w:rPr/>
              <w:t> </w:t>
            </w:r>
          </w:p>
        </w:tc>
        <w:tc>
          <w:tcPr>
            <w:tcW w:w="235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290"/>
        <w:gridCol w:w="133"/>
        <w:gridCol w:w="9782"/>
      </w:tblGrid>
      <w:tr>
        <w:trPr/>
        <w:tc>
          <w:tcPr>
            <w:tcW w:w="290" w:type="dxa"/>
            <w:tcBorders/>
            <w:shd w:fill="auto" w:val="clear"/>
          </w:tcPr>
          <w:p>
            <w:pPr>
              <w:pStyle w:val="TableContents"/>
              <w:spacing w:before="0" w:after="283"/>
              <w:jc w:val="left"/>
              <w:rPr/>
            </w:pPr>
            <w:r>
              <w:rPr/>
              <w:t>(1)</w:t>
            </w:r>
          </w:p>
        </w:tc>
        <w:tc>
          <w:tcPr>
            <w:tcW w:w="133" w:type="dxa"/>
            <w:tcBorders/>
            <w:shd w:fill="auto" w:val="clear"/>
          </w:tcPr>
          <w:p>
            <w:pPr>
              <w:pStyle w:val="TableContents"/>
              <w:spacing w:before="0" w:after="283"/>
              <w:rPr/>
            </w:pPr>
            <w:r>
              <w:rPr/>
              <w:t> </w:t>
            </w:r>
          </w:p>
        </w:tc>
        <w:tc>
          <w:tcPr>
            <w:tcW w:w="9782" w:type="dxa"/>
            <w:tcBorders/>
            <w:shd w:fill="auto" w:val="clear"/>
          </w:tcPr>
          <w:p>
            <w:pPr>
              <w:pStyle w:val="TableContents"/>
              <w:spacing w:before="0" w:after="283"/>
              <w:rPr/>
            </w:pPr>
            <w:r>
              <w:rPr/>
              <w:t>Months with no share repurchases have been excluded from the table.</w:t>
            </w:r>
          </w:p>
        </w:tc>
      </w:tr>
    </w:tbl>
    <w:tbl>
      <w:tblPr>
        <w:tblW w:w="5000" w:type="pct"/>
        <w:jc w:val="left"/>
        <w:tblInd w:w="0" w:type="dxa"/>
        <w:tblCellMar>
          <w:top w:w="0" w:type="dxa"/>
          <w:left w:w="0" w:type="dxa"/>
          <w:bottom w:w="0" w:type="dxa"/>
          <w:right w:w="0" w:type="dxa"/>
        </w:tblCellMar>
      </w:tblPr>
      <w:tblGrid>
        <w:gridCol w:w="304"/>
        <w:gridCol w:w="135"/>
        <w:gridCol w:w="9766"/>
      </w:tblGrid>
      <w:tr>
        <w:trPr/>
        <w:tc>
          <w:tcPr>
            <w:tcW w:w="304" w:type="dxa"/>
            <w:tcBorders/>
            <w:shd w:fill="auto" w:val="clear"/>
          </w:tcPr>
          <w:p>
            <w:pPr>
              <w:pStyle w:val="TableContents"/>
              <w:spacing w:before="0" w:after="283"/>
              <w:jc w:val="left"/>
              <w:rPr/>
            </w:pPr>
            <w:r>
              <w:rPr/>
              <w:t>(2)</w:t>
            </w:r>
          </w:p>
        </w:tc>
        <w:tc>
          <w:tcPr>
            <w:tcW w:w="135" w:type="dxa"/>
            <w:tcBorders/>
            <w:shd w:fill="auto" w:val="clear"/>
          </w:tcPr>
          <w:p>
            <w:pPr>
              <w:pStyle w:val="TableContents"/>
              <w:spacing w:before="0" w:after="283"/>
              <w:rPr/>
            </w:pPr>
            <w:r>
              <w:rPr/>
              <w:t> </w:t>
            </w:r>
          </w:p>
        </w:tc>
        <w:tc>
          <w:tcPr>
            <w:tcW w:w="9766" w:type="dxa"/>
            <w:tcBorders/>
            <w:shd w:fill="auto" w:val="clear"/>
          </w:tcPr>
          <w:p>
            <w:pPr>
              <w:pStyle w:val="TableContents"/>
              <w:spacing w:before="0" w:after="283"/>
              <w:rPr/>
            </w:pPr>
            <w:r>
              <w:rPr/>
              <w:t>In July 2006, Viad announced its intent, under a program authorized by its Board of Directors, to repurchase up to one million shares of Viad common stock from time to time at prevailing prices in the open market.</w:t>
            </w:r>
          </w:p>
        </w:tc>
      </w:tr>
    </w:tbl>
    <w:tbl>
      <w:tblPr>
        <w:tblW w:w="5000" w:type="pct"/>
        <w:jc w:val="left"/>
        <w:tblInd w:w="0" w:type="dxa"/>
        <w:tblCellMar>
          <w:top w:w="0" w:type="dxa"/>
          <w:left w:w="0" w:type="dxa"/>
          <w:bottom w:w="0" w:type="dxa"/>
          <w:right w:w="0" w:type="dxa"/>
        </w:tblCellMar>
      </w:tblPr>
      <w:tblGrid>
        <w:gridCol w:w="301"/>
        <w:gridCol w:w="133"/>
        <w:gridCol w:w="9771"/>
      </w:tblGrid>
      <w:tr>
        <w:trPr/>
        <w:tc>
          <w:tcPr>
            <w:tcW w:w="301" w:type="dxa"/>
            <w:tcBorders/>
            <w:shd w:fill="auto" w:val="clear"/>
          </w:tcPr>
          <w:p>
            <w:pPr>
              <w:pStyle w:val="TableContents"/>
              <w:spacing w:before="0" w:after="283"/>
              <w:jc w:val="left"/>
              <w:rPr/>
            </w:pPr>
            <w:r>
              <w:rPr/>
              <w:t>(3)</w:t>
            </w:r>
          </w:p>
        </w:tc>
        <w:tc>
          <w:tcPr>
            <w:tcW w:w="133" w:type="dxa"/>
            <w:tcBorders/>
            <w:shd w:fill="auto" w:val="clear"/>
          </w:tcPr>
          <w:p>
            <w:pPr>
              <w:pStyle w:val="TableContents"/>
              <w:spacing w:before="0" w:after="283"/>
              <w:rPr/>
            </w:pPr>
            <w:r>
              <w:rPr/>
              <w:t> </w:t>
            </w:r>
          </w:p>
        </w:tc>
        <w:tc>
          <w:tcPr>
            <w:tcW w:w="9771" w:type="dxa"/>
            <w:tcBorders/>
            <w:shd w:fill="auto" w:val="clear"/>
          </w:tcPr>
          <w:p>
            <w:pPr>
              <w:pStyle w:val="TableContents"/>
              <w:spacing w:before="0" w:after="283"/>
              <w:rPr/>
            </w:pPr>
            <w:r>
              <w:rPr/>
              <w:t>Under authorization by the Board of Directors, Viad may also repurchase, at prevailing prices on the open market, its common stock for the purpose of replacing shares issued upon exercise of stock options and in connection with other stock compensation plans. The last repurchase by Viad under this program occurred in May 2003.</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31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11" w:name="008"/>
      <w:bookmarkEnd w:id="11"/>
      <w:r>
        <w:rPr>
          <w:rFonts w:ascii="Times New Roman;Times;serif" w:hAnsi="Times New Roman;Times;serif"/>
          <w:b/>
          <w:sz w:val="17"/>
        </w:rPr>
        <w:t>Item 6. Exhibits.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654"/>
        <w:gridCol w:w="324"/>
        <w:gridCol w:w="8227"/>
      </w:tblGrid>
      <w:tr>
        <w:trPr/>
        <w:tc>
          <w:tcPr>
            <w:tcW w:w="1654"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8227" w:type="dxa"/>
            <w:tcBorders/>
            <w:shd w:fill="auto" w:val="clear"/>
            <w:vAlign w:val="bottom"/>
          </w:tcPr>
          <w:p>
            <w:pPr>
              <w:pStyle w:val="TableContents"/>
              <w:spacing w:before="0" w:after="283"/>
              <w:rPr/>
            </w:pPr>
            <w:r>
              <w:rPr/>
              <w:t> </w:t>
            </w:r>
          </w:p>
        </w:tc>
      </w:tr>
      <w:tr>
        <w:trPr/>
        <w:tc>
          <w:tcPr>
            <w:tcW w:w="1654" w:type="dxa"/>
            <w:tcBorders/>
            <w:shd w:fill="auto" w:val="clear"/>
          </w:tcPr>
          <w:p>
            <w:pPr>
              <w:pStyle w:val="TableContents"/>
              <w:spacing w:before="0" w:after="0"/>
              <w:ind w:left="675" w:right="0" w:hanging="0"/>
              <w:rPr/>
            </w:pPr>
            <w:r>
              <w:rPr/>
              <w:t xml:space="preserve">Exhibit No. 31.1 </w:t>
            </w:r>
          </w:p>
        </w:tc>
        <w:tc>
          <w:tcPr>
            <w:tcW w:w="324" w:type="dxa"/>
            <w:tcBorders/>
            <w:shd w:fill="auto" w:val="clear"/>
            <w:vAlign w:val="bottom"/>
          </w:tcPr>
          <w:p>
            <w:pPr>
              <w:pStyle w:val="TableContents"/>
              <w:spacing w:before="0" w:after="283"/>
              <w:rPr/>
            </w:pPr>
            <w:r>
              <w:rPr/>
              <w:t> </w:t>
            </w:r>
          </w:p>
        </w:tc>
        <w:tc>
          <w:tcPr>
            <w:tcW w:w="8227" w:type="dxa"/>
            <w:tcBorders/>
            <w:shd w:fill="auto" w:val="clear"/>
          </w:tcPr>
          <w:p>
            <w:pPr>
              <w:pStyle w:val="TableContents"/>
              <w:spacing w:before="0" w:after="283"/>
              <w:jc w:val="left"/>
              <w:rPr/>
            </w:pPr>
            <w:r>
              <w:rPr/>
              <w:t>Certification of Chief Executive Officer of Viad Corp pursuant to Section 302 of the Sarbanes-Oxley Act of 2002.*</w:t>
            </w:r>
          </w:p>
        </w:tc>
      </w:tr>
      <w:tr>
        <w:trPr/>
        <w:tc>
          <w:tcPr>
            <w:tcW w:w="1654" w:type="dxa"/>
            <w:tcBorders/>
            <w:shd w:fill="auto" w:val="clear"/>
          </w:tcPr>
          <w:p>
            <w:pPr>
              <w:pStyle w:val="TableContents"/>
              <w:spacing w:before="0" w:after="0"/>
              <w:ind w:left="0" w:right="0" w:hanging="0"/>
              <w:rPr/>
            </w:pPr>
            <w:r>
              <w:rPr/>
              <w:t> </w:t>
            </w:r>
          </w:p>
        </w:tc>
        <w:tc>
          <w:tcPr>
            <w:tcW w:w="324" w:type="dxa"/>
            <w:tcBorders/>
            <w:shd w:fill="auto" w:val="clear"/>
            <w:vAlign w:val="bottom"/>
          </w:tcPr>
          <w:p>
            <w:pPr>
              <w:pStyle w:val="TableContents"/>
              <w:spacing w:before="0" w:after="283"/>
              <w:rPr/>
            </w:pPr>
            <w:r>
              <w:rPr/>
              <w:t> </w:t>
            </w:r>
          </w:p>
        </w:tc>
        <w:tc>
          <w:tcPr>
            <w:tcW w:w="8227" w:type="dxa"/>
            <w:tcBorders/>
            <w:shd w:fill="auto" w:val="clear"/>
          </w:tcPr>
          <w:p>
            <w:pPr>
              <w:pStyle w:val="TableContents"/>
              <w:spacing w:before="0" w:after="283"/>
              <w:jc w:val="left"/>
              <w:rPr/>
            </w:pPr>
            <w:r>
              <w:rPr/>
              <w:t> </w:t>
            </w:r>
          </w:p>
        </w:tc>
      </w:tr>
      <w:tr>
        <w:trPr/>
        <w:tc>
          <w:tcPr>
            <w:tcW w:w="1654" w:type="dxa"/>
            <w:tcBorders/>
            <w:shd w:fill="auto" w:val="clear"/>
          </w:tcPr>
          <w:p>
            <w:pPr>
              <w:pStyle w:val="TableContents"/>
              <w:spacing w:before="0" w:after="0"/>
              <w:ind w:left="675" w:right="0" w:hanging="0"/>
              <w:rPr/>
            </w:pPr>
            <w:r>
              <w:rPr/>
              <w:t xml:space="preserve">Exhibit No. 31.2 </w:t>
            </w:r>
          </w:p>
        </w:tc>
        <w:tc>
          <w:tcPr>
            <w:tcW w:w="324" w:type="dxa"/>
            <w:tcBorders/>
            <w:shd w:fill="auto" w:val="clear"/>
            <w:vAlign w:val="bottom"/>
          </w:tcPr>
          <w:p>
            <w:pPr>
              <w:pStyle w:val="TableContents"/>
              <w:spacing w:before="0" w:after="283"/>
              <w:rPr/>
            </w:pPr>
            <w:r>
              <w:rPr/>
              <w:t> </w:t>
            </w:r>
          </w:p>
        </w:tc>
        <w:tc>
          <w:tcPr>
            <w:tcW w:w="8227" w:type="dxa"/>
            <w:tcBorders/>
            <w:shd w:fill="auto" w:val="clear"/>
          </w:tcPr>
          <w:p>
            <w:pPr>
              <w:pStyle w:val="TableContents"/>
              <w:spacing w:before="0" w:after="283"/>
              <w:jc w:val="left"/>
              <w:rPr/>
            </w:pPr>
            <w:r>
              <w:rPr/>
              <w:t>Certification of Chief Financial Officer of Viad Corp pursuant to Section 302 of the Sarbanes-Oxley Act of 2002.*</w:t>
            </w:r>
          </w:p>
        </w:tc>
      </w:tr>
      <w:tr>
        <w:trPr/>
        <w:tc>
          <w:tcPr>
            <w:tcW w:w="1654" w:type="dxa"/>
            <w:tcBorders/>
            <w:shd w:fill="auto" w:val="clear"/>
          </w:tcPr>
          <w:p>
            <w:pPr>
              <w:pStyle w:val="TableContents"/>
              <w:spacing w:before="0" w:after="0"/>
              <w:ind w:left="0" w:right="0" w:hanging="0"/>
              <w:rPr/>
            </w:pPr>
            <w:r>
              <w:rPr/>
              <w:t> </w:t>
            </w:r>
          </w:p>
        </w:tc>
        <w:tc>
          <w:tcPr>
            <w:tcW w:w="324" w:type="dxa"/>
            <w:tcBorders/>
            <w:shd w:fill="auto" w:val="clear"/>
            <w:vAlign w:val="bottom"/>
          </w:tcPr>
          <w:p>
            <w:pPr>
              <w:pStyle w:val="TableContents"/>
              <w:spacing w:before="0" w:after="283"/>
              <w:rPr/>
            </w:pPr>
            <w:r>
              <w:rPr/>
              <w:t> </w:t>
            </w:r>
          </w:p>
        </w:tc>
        <w:tc>
          <w:tcPr>
            <w:tcW w:w="8227" w:type="dxa"/>
            <w:tcBorders/>
            <w:shd w:fill="auto" w:val="clear"/>
          </w:tcPr>
          <w:p>
            <w:pPr>
              <w:pStyle w:val="TableContents"/>
              <w:spacing w:before="0" w:after="283"/>
              <w:jc w:val="left"/>
              <w:rPr/>
            </w:pPr>
            <w:r>
              <w:rPr/>
              <w:t> </w:t>
            </w:r>
          </w:p>
        </w:tc>
      </w:tr>
      <w:tr>
        <w:trPr/>
        <w:tc>
          <w:tcPr>
            <w:tcW w:w="1654" w:type="dxa"/>
            <w:tcBorders/>
            <w:shd w:fill="auto" w:val="clear"/>
          </w:tcPr>
          <w:p>
            <w:pPr>
              <w:pStyle w:val="TableContents"/>
              <w:spacing w:before="0" w:after="0"/>
              <w:ind w:left="675" w:right="0" w:hanging="0"/>
              <w:rPr/>
            </w:pPr>
            <w:r>
              <w:rPr/>
              <w:t xml:space="preserve">Exhibit No. 32.1 </w:t>
            </w:r>
          </w:p>
        </w:tc>
        <w:tc>
          <w:tcPr>
            <w:tcW w:w="324" w:type="dxa"/>
            <w:tcBorders/>
            <w:shd w:fill="auto" w:val="clear"/>
            <w:vAlign w:val="bottom"/>
          </w:tcPr>
          <w:p>
            <w:pPr>
              <w:pStyle w:val="TableContents"/>
              <w:spacing w:before="0" w:after="283"/>
              <w:rPr/>
            </w:pPr>
            <w:r>
              <w:rPr/>
              <w:t> </w:t>
            </w:r>
          </w:p>
        </w:tc>
        <w:tc>
          <w:tcPr>
            <w:tcW w:w="8227" w:type="dxa"/>
            <w:tcBorders/>
            <w:shd w:fill="auto" w:val="clear"/>
          </w:tcPr>
          <w:p>
            <w:pPr>
              <w:pStyle w:val="TableContents"/>
              <w:spacing w:before="0" w:after="283"/>
              <w:jc w:val="left"/>
              <w:rPr/>
            </w:pPr>
            <w:r>
              <w:rPr/>
              <w:t>Certification of Chief Executive Officer of Viad Corp pursuant to Section 906 of the Sarbanes-Oxley Act of 2002.*</w:t>
            </w:r>
          </w:p>
        </w:tc>
      </w:tr>
      <w:tr>
        <w:trPr/>
        <w:tc>
          <w:tcPr>
            <w:tcW w:w="1654" w:type="dxa"/>
            <w:tcBorders/>
            <w:shd w:fill="auto" w:val="clear"/>
          </w:tcPr>
          <w:p>
            <w:pPr>
              <w:pStyle w:val="TableContents"/>
              <w:spacing w:before="0" w:after="0"/>
              <w:ind w:left="0" w:right="0" w:hanging="0"/>
              <w:rPr/>
            </w:pPr>
            <w:r>
              <w:rPr/>
              <w:t> </w:t>
            </w:r>
          </w:p>
        </w:tc>
        <w:tc>
          <w:tcPr>
            <w:tcW w:w="324" w:type="dxa"/>
            <w:tcBorders/>
            <w:shd w:fill="auto" w:val="clear"/>
            <w:vAlign w:val="bottom"/>
          </w:tcPr>
          <w:p>
            <w:pPr>
              <w:pStyle w:val="TableContents"/>
              <w:spacing w:before="0" w:after="283"/>
              <w:rPr/>
            </w:pPr>
            <w:r>
              <w:rPr/>
              <w:t> </w:t>
            </w:r>
          </w:p>
        </w:tc>
        <w:tc>
          <w:tcPr>
            <w:tcW w:w="8227" w:type="dxa"/>
            <w:tcBorders/>
            <w:shd w:fill="auto" w:val="clear"/>
          </w:tcPr>
          <w:p>
            <w:pPr>
              <w:pStyle w:val="TableContents"/>
              <w:spacing w:before="0" w:after="283"/>
              <w:jc w:val="left"/>
              <w:rPr/>
            </w:pPr>
            <w:r>
              <w:rPr/>
              <w:t> </w:t>
            </w:r>
          </w:p>
        </w:tc>
      </w:tr>
      <w:tr>
        <w:trPr/>
        <w:tc>
          <w:tcPr>
            <w:tcW w:w="1654" w:type="dxa"/>
            <w:tcBorders/>
            <w:shd w:fill="auto" w:val="clear"/>
          </w:tcPr>
          <w:p>
            <w:pPr>
              <w:pStyle w:val="TableContents"/>
              <w:spacing w:before="0" w:after="0"/>
              <w:ind w:left="675" w:right="0" w:hanging="0"/>
              <w:rPr/>
            </w:pPr>
            <w:r>
              <w:rPr/>
              <w:t xml:space="preserve">Exhibit No. 32.2 </w:t>
            </w:r>
          </w:p>
        </w:tc>
        <w:tc>
          <w:tcPr>
            <w:tcW w:w="324" w:type="dxa"/>
            <w:tcBorders/>
            <w:shd w:fill="auto" w:val="clear"/>
            <w:vAlign w:val="bottom"/>
          </w:tcPr>
          <w:p>
            <w:pPr>
              <w:pStyle w:val="TableContents"/>
              <w:spacing w:before="0" w:after="283"/>
              <w:rPr/>
            </w:pPr>
            <w:r>
              <w:rPr/>
              <w:t> </w:t>
            </w:r>
          </w:p>
        </w:tc>
        <w:tc>
          <w:tcPr>
            <w:tcW w:w="8227" w:type="dxa"/>
            <w:tcBorders/>
            <w:shd w:fill="auto" w:val="clear"/>
          </w:tcPr>
          <w:p>
            <w:pPr>
              <w:pStyle w:val="TableContents"/>
              <w:spacing w:before="0" w:after="283"/>
              <w:jc w:val="left"/>
              <w:rPr/>
            </w:pPr>
            <w:r>
              <w:rPr/>
              <w:t>Certification of Chief Financial Officer of Viad Corp pursuant to Section 906 of the Sarbanes-Oxley Act of 2002.*</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984"/>
        <w:gridCol w:w="2315"/>
        <w:gridCol w:w="906"/>
      </w:tblGrid>
      <w:tr>
        <w:trPr/>
        <w:tc>
          <w:tcPr>
            <w:tcW w:w="6984" w:type="dxa"/>
            <w:tcBorders/>
            <w:shd w:fill="auto" w:val="clear"/>
            <w:vAlign w:val="center"/>
          </w:tcPr>
          <w:p>
            <w:pPr>
              <w:pStyle w:val="TableContents"/>
              <w:spacing w:before="0" w:after="283"/>
              <w:rPr>
                <w:sz w:val="4"/>
                <w:szCs w:val="4"/>
              </w:rPr>
            </w:pPr>
            <w:r>
              <w:rPr>
                <w:sz w:val="4"/>
                <w:szCs w:val="4"/>
              </w:rPr>
            </w:r>
          </w:p>
        </w:tc>
        <w:tc>
          <w:tcPr>
            <w:tcW w:w="2315" w:type="dxa"/>
            <w:tcBorders/>
            <w:shd w:fill="auto" w:val="clear"/>
            <w:vAlign w:val="center"/>
          </w:tcPr>
          <w:p>
            <w:pPr>
              <w:pStyle w:val="TableContents"/>
              <w:spacing w:before="0" w:after="283"/>
              <w:rPr>
                <w:sz w:val="4"/>
                <w:szCs w:val="4"/>
              </w:rPr>
            </w:pPr>
            <w:r>
              <w:rPr>
                <w:sz w:val="4"/>
                <w:szCs w:val="4"/>
              </w:rPr>
            </w:r>
          </w:p>
        </w:tc>
        <w:tc>
          <w:tcPr>
            <w:tcW w:w="906" w:type="dxa"/>
            <w:tcBorders/>
            <w:shd w:fill="auto" w:val="clear"/>
            <w:vAlign w:val="center"/>
          </w:tcPr>
          <w:p>
            <w:pPr>
              <w:pStyle w:val="TableContents"/>
              <w:spacing w:before="0" w:after="283"/>
              <w:rPr>
                <w:sz w:val="4"/>
                <w:szCs w:val="4"/>
              </w:rPr>
            </w:pPr>
            <w:r>
              <w:rPr>
                <w:sz w:val="4"/>
                <w:szCs w:val="4"/>
              </w:rPr>
            </w:r>
          </w:p>
        </w:tc>
      </w:tr>
      <w:tr>
        <w:trPr/>
        <w:tc>
          <w:tcPr>
            <w:tcW w:w="6984" w:type="dxa"/>
            <w:tcBorders/>
            <w:shd w:fill="auto" w:val="clear"/>
          </w:tcPr>
          <w:p>
            <w:pPr>
              <w:pStyle w:val="TableContents"/>
              <w:spacing w:before="0" w:after="283"/>
              <w:jc w:val="left"/>
              <w:rPr/>
            </w:pPr>
            <w:r>
              <w:rPr/>
              <w:t>*</w:t>
            </w:r>
          </w:p>
        </w:tc>
        <w:tc>
          <w:tcPr>
            <w:tcW w:w="2315" w:type="dxa"/>
            <w:tcBorders/>
            <w:shd w:fill="auto" w:val="clear"/>
          </w:tcPr>
          <w:p>
            <w:pPr>
              <w:pStyle w:val="TableContents"/>
              <w:spacing w:before="0" w:after="283"/>
              <w:rPr/>
            </w:pPr>
            <w:r>
              <w:rPr/>
              <w:t> </w:t>
            </w:r>
          </w:p>
        </w:tc>
        <w:tc>
          <w:tcPr>
            <w:tcW w:w="906" w:type="dxa"/>
            <w:tcBorders/>
            <w:shd w:fill="auto" w:val="clear"/>
          </w:tcPr>
          <w:p>
            <w:pPr>
              <w:pStyle w:val="TableContents"/>
              <w:spacing w:before="0" w:after="283"/>
              <w:rPr/>
            </w:pPr>
            <w:r>
              <w:rPr/>
              <w:t>Filed herewith.</w:t>
            </w:r>
          </w:p>
        </w:tc>
      </w:tr>
    </w:tbl>
    <w:p>
      <w:pPr>
        <w:pStyle w:val="TextBody"/>
        <w:spacing w:before="360" w:after="283"/>
        <w:jc w:val="center"/>
        <w:rPr>
          <w:rFonts w:ascii="Times New Roman;Times;serif" w:hAnsi="Times New Roman;Times;serif"/>
          <w:sz w:val="17"/>
        </w:rPr>
      </w:pPr>
      <w:bookmarkStart w:id="12" w:name="009"/>
      <w:bookmarkEnd w:id="12"/>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Pursuant to the requirements of the Securities Exchange Act of 1934, the registrant has duly caused this report to be signed on its behalf by the undersigned thereunto duly authorized. </w:t>
      </w:r>
    </w:p>
    <w:tbl>
      <w:tblPr>
        <w:tblW w:w="5000" w:type="pct"/>
        <w:jc w:val="center"/>
        <w:tblInd w:w="0" w:type="dxa"/>
        <w:tblCellMar>
          <w:top w:w="0" w:type="dxa"/>
          <w:left w:w="0" w:type="dxa"/>
          <w:bottom w:w="0" w:type="dxa"/>
          <w:right w:w="0" w:type="dxa"/>
        </w:tblCellMar>
      </w:tblPr>
      <w:tblGrid>
        <w:gridCol w:w="1540"/>
        <w:gridCol w:w="674"/>
        <w:gridCol w:w="3923"/>
        <w:gridCol w:w="455"/>
        <w:gridCol w:w="2701"/>
        <w:gridCol w:w="455"/>
        <w:gridCol w:w="457"/>
      </w:tblGrid>
      <w:tr>
        <w:trPr/>
        <w:tc>
          <w:tcPr>
            <w:tcW w:w="1540"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rPr/>
            </w:pPr>
            <w:r>
              <w:rPr/>
              <w:t> </w:t>
            </w:r>
          </w:p>
        </w:tc>
        <w:tc>
          <w:tcPr>
            <w:tcW w:w="3923"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701"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0"/>
              <w:ind w:left="0" w:right="0" w:hanging="0"/>
              <w:jc w:val="center"/>
              <w:rPr/>
            </w:pPr>
            <w:r>
              <w:rPr/>
              <w:t xml:space="preserve">  </w:t>
            </w:r>
          </w:p>
        </w:tc>
        <w:tc>
          <w:tcPr>
            <w:tcW w:w="674" w:type="dxa"/>
            <w:tcBorders/>
            <w:shd w:fill="auto" w:val="clear"/>
            <w:vAlign w:val="bottom"/>
          </w:tcPr>
          <w:p>
            <w:pPr>
              <w:pStyle w:val="TableContents"/>
              <w:spacing w:before="0" w:after="283"/>
              <w:rPr/>
            </w:pPr>
            <w:r>
              <w:rPr/>
              <w:t> </w:t>
            </w:r>
          </w:p>
        </w:tc>
        <w:tc>
          <w:tcPr>
            <w:tcW w:w="3923" w:type="dxa"/>
            <w:tcBorders/>
            <w:shd w:fill="auto" w:val="clear"/>
          </w:tcPr>
          <w:p>
            <w:pPr>
              <w:pStyle w:val="TableContents"/>
              <w:spacing w:before="0" w:after="283"/>
              <w:jc w:val="center"/>
              <w:rPr/>
            </w:pPr>
            <w:r>
              <w:rPr/>
              <w:t> </w:t>
            </w:r>
          </w:p>
        </w:tc>
        <w:tc>
          <w:tcPr>
            <w:tcW w:w="455" w:type="dxa"/>
            <w:tcBorders/>
            <w:shd w:fill="auto" w:val="clear"/>
            <w:vAlign w:val="bottom"/>
          </w:tcPr>
          <w:p>
            <w:pPr>
              <w:pStyle w:val="TableContents"/>
              <w:spacing w:before="0" w:after="283"/>
              <w:rPr/>
            </w:pPr>
            <w:r>
              <w:rPr/>
              <w:t> </w:t>
            </w:r>
          </w:p>
        </w:tc>
        <w:tc>
          <w:tcPr>
            <w:tcW w:w="2701" w:type="dxa"/>
            <w:tcBorders/>
            <w:shd w:fill="auto" w:val="clear"/>
          </w:tcPr>
          <w:p>
            <w:pPr>
              <w:pStyle w:val="TableContents"/>
              <w:spacing w:before="0" w:after="283"/>
              <w:jc w:val="center"/>
              <w:rPr>
                <w:b/>
                <w:u w:val="single"/>
              </w:rPr>
            </w:pPr>
            <w:r>
              <w:rPr>
                <w:b/>
                <w:u w:val="single"/>
              </w:rPr>
              <w:t>VIAD CORP</w:t>
            </w:r>
          </w:p>
        </w:tc>
        <w:tc>
          <w:tcPr>
            <w:tcW w:w="455" w:type="dxa"/>
            <w:tcBorders/>
            <w:shd w:fill="auto" w:val="clear"/>
            <w:vAlign w:val="bottom"/>
          </w:tcPr>
          <w:p>
            <w:pPr>
              <w:pStyle w:val="TableContents"/>
              <w:spacing w:before="0" w:after="283"/>
              <w:rPr/>
            </w:pPr>
            <w:r>
              <w:rPr/>
              <w:t> </w:t>
            </w:r>
          </w:p>
        </w:tc>
        <w:tc>
          <w:tcPr>
            <w:tcW w:w="457" w:type="dxa"/>
            <w:tcBorders/>
            <w:shd w:fill="auto" w:val="clear"/>
          </w:tcPr>
          <w:p>
            <w:pPr>
              <w:pStyle w:val="TableContents"/>
              <w:spacing w:before="0" w:after="283"/>
              <w:jc w:val="left"/>
              <w:rPr/>
            </w:pPr>
            <w:r>
              <w:rPr/>
              <w:t> </w:t>
            </w:r>
          </w:p>
        </w:tc>
      </w:tr>
      <w:tr>
        <w:trPr/>
        <w:tc>
          <w:tcPr>
            <w:tcW w:w="1540" w:type="dxa"/>
            <w:tcBorders/>
            <w:shd w:fill="auto" w:val="clear"/>
          </w:tcPr>
          <w:p>
            <w:pPr>
              <w:pStyle w:val="TableContents"/>
              <w:spacing w:before="0" w:after="0"/>
              <w:ind w:left="0" w:right="0" w:hanging="0"/>
              <w:jc w:val="center"/>
              <w:rPr/>
            </w:pPr>
            <w:r>
              <w:rPr/>
              <w:t xml:space="preserve">  </w:t>
            </w:r>
          </w:p>
        </w:tc>
        <w:tc>
          <w:tcPr>
            <w:tcW w:w="674" w:type="dxa"/>
            <w:tcBorders/>
            <w:shd w:fill="auto" w:val="clear"/>
            <w:vAlign w:val="bottom"/>
          </w:tcPr>
          <w:p>
            <w:pPr>
              <w:pStyle w:val="TableContents"/>
              <w:spacing w:before="0" w:after="283"/>
              <w:rPr/>
            </w:pPr>
            <w:r>
              <w:rPr/>
              <w:t> </w:t>
            </w:r>
          </w:p>
        </w:tc>
        <w:tc>
          <w:tcPr>
            <w:tcW w:w="3923" w:type="dxa"/>
            <w:tcBorders/>
            <w:shd w:fill="auto" w:val="clear"/>
          </w:tcPr>
          <w:p>
            <w:pPr>
              <w:pStyle w:val="TableContents"/>
              <w:spacing w:before="0" w:after="283"/>
              <w:jc w:val="center"/>
              <w:rPr/>
            </w:pPr>
            <w:r>
              <w:rPr/>
              <w:t> </w:t>
            </w:r>
          </w:p>
        </w:tc>
        <w:tc>
          <w:tcPr>
            <w:tcW w:w="455" w:type="dxa"/>
            <w:tcBorders/>
            <w:shd w:fill="auto" w:val="clear"/>
            <w:vAlign w:val="bottom"/>
          </w:tcPr>
          <w:p>
            <w:pPr>
              <w:pStyle w:val="TableContents"/>
              <w:spacing w:before="0" w:after="283"/>
              <w:rPr/>
            </w:pPr>
            <w:r>
              <w:rPr/>
              <w:t> </w:t>
            </w:r>
          </w:p>
        </w:tc>
        <w:tc>
          <w:tcPr>
            <w:tcW w:w="2701" w:type="dxa"/>
            <w:tcBorders/>
            <w:shd w:fill="auto" w:val="clear"/>
          </w:tcPr>
          <w:p>
            <w:pPr>
              <w:pStyle w:val="TableContents"/>
              <w:spacing w:before="0" w:after="283"/>
              <w:jc w:val="center"/>
              <w:rPr/>
            </w:pPr>
            <w:r>
              <w:rPr/>
              <w:t>(Registrant)</w:t>
            </w:r>
          </w:p>
        </w:tc>
        <w:tc>
          <w:tcPr>
            <w:tcW w:w="455" w:type="dxa"/>
            <w:tcBorders/>
            <w:shd w:fill="auto" w:val="clear"/>
            <w:vAlign w:val="bottom"/>
          </w:tcPr>
          <w:p>
            <w:pPr>
              <w:pStyle w:val="TableContents"/>
              <w:spacing w:before="0" w:after="283"/>
              <w:rPr/>
            </w:pPr>
            <w:r>
              <w:rPr/>
              <w:t> </w:t>
            </w:r>
          </w:p>
        </w:tc>
        <w:tc>
          <w:tcPr>
            <w:tcW w:w="457" w:type="dxa"/>
            <w:tcBorders/>
            <w:shd w:fill="auto" w:val="clear"/>
          </w:tcPr>
          <w:p>
            <w:pPr>
              <w:pStyle w:val="TableContents"/>
              <w:spacing w:before="0" w:after="283"/>
              <w:jc w:val="left"/>
              <w:rPr/>
            </w:pPr>
            <w:r>
              <w:rPr/>
              <w:t> </w:t>
            </w:r>
          </w:p>
        </w:tc>
      </w:tr>
      <w:tr>
        <w:trPr/>
        <w:tc>
          <w:tcPr>
            <w:tcW w:w="1540" w:type="dxa"/>
            <w:tcBorders/>
            <w:shd w:fill="auto" w:val="clear"/>
          </w:tcPr>
          <w:p>
            <w:pPr>
              <w:pStyle w:val="TableContents"/>
              <w:spacing w:before="0" w:after="0"/>
              <w:ind w:left="0" w:right="0" w:hanging="0"/>
              <w:jc w:val="center"/>
              <w:rPr/>
            </w:pPr>
            <w:r>
              <w:rPr/>
              <w:t> </w:t>
            </w:r>
          </w:p>
        </w:tc>
        <w:tc>
          <w:tcPr>
            <w:tcW w:w="674" w:type="dxa"/>
            <w:tcBorders/>
            <w:shd w:fill="auto" w:val="clear"/>
            <w:vAlign w:val="bottom"/>
          </w:tcPr>
          <w:p>
            <w:pPr>
              <w:pStyle w:val="TableContents"/>
              <w:spacing w:before="0" w:after="283"/>
              <w:rPr/>
            </w:pPr>
            <w:r>
              <w:rPr/>
              <w:t> </w:t>
            </w:r>
          </w:p>
        </w:tc>
        <w:tc>
          <w:tcPr>
            <w:tcW w:w="3923" w:type="dxa"/>
            <w:tcBorders/>
            <w:shd w:fill="auto" w:val="clear"/>
          </w:tcPr>
          <w:p>
            <w:pPr>
              <w:pStyle w:val="TableContents"/>
              <w:spacing w:before="0" w:after="283"/>
              <w:jc w:val="center"/>
              <w:rPr/>
            </w:pPr>
            <w:r>
              <w:rPr/>
              <w:t> </w:t>
            </w:r>
          </w:p>
        </w:tc>
        <w:tc>
          <w:tcPr>
            <w:tcW w:w="455" w:type="dxa"/>
            <w:tcBorders/>
            <w:shd w:fill="auto" w:val="clear"/>
            <w:vAlign w:val="bottom"/>
          </w:tcPr>
          <w:p>
            <w:pPr>
              <w:pStyle w:val="TableContents"/>
              <w:spacing w:before="0" w:after="283"/>
              <w:rPr/>
            </w:pPr>
            <w:r>
              <w:rPr/>
              <w:t> </w:t>
            </w:r>
          </w:p>
        </w:tc>
        <w:tc>
          <w:tcPr>
            <w:tcW w:w="2701" w:type="dxa"/>
            <w:tcBorders/>
            <w:shd w:fill="auto" w:val="clear"/>
          </w:tcPr>
          <w:p>
            <w:pPr>
              <w:pStyle w:val="TableContents"/>
              <w:spacing w:before="0" w:after="283"/>
              <w:jc w:val="center"/>
              <w:rPr/>
            </w:pPr>
            <w:r>
              <w:rPr/>
              <w:t> </w:t>
            </w:r>
          </w:p>
        </w:tc>
        <w:tc>
          <w:tcPr>
            <w:tcW w:w="455" w:type="dxa"/>
            <w:tcBorders/>
            <w:shd w:fill="auto" w:val="clear"/>
            <w:vAlign w:val="bottom"/>
          </w:tcPr>
          <w:p>
            <w:pPr>
              <w:pStyle w:val="TableContents"/>
              <w:spacing w:before="0" w:after="283"/>
              <w:rPr/>
            </w:pPr>
            <w:r>
              <w:rPr/>
              <w:t> </w:t>
            </w:r>
          </w:p>
        </w:tc>
        <w:tc>
          <w:tcPr>
            <w:tcW w:w="457" w:type="dxa"/>
            <w:tcBorders/>
            <w:shd w:fill="auto" w:val="clear"/>
          </w:tcPr>
          <w:p>
            <w:pPr>
              <w:pStyle w:val="TableContents"/>
              <w:spacing w:before="0" w:after="283"/>
              <w:jc w:val="left"/>
              <w:rPr/>
            </w:pPr>
            <w:r>
              <w:rPr/>
              <w:t> </w:t>
            </w:r>
          </w:p>
        </w:tc>
      </w:tr>
      <w:tr>
        <w:trPr/>
        <w:tc>
          <w:tcPr>
            <w:tcW w:w="2214" w:type="dxa"/>
            <w:gridSpan w:val="2"/>
            <w:tcBorders/>
            <w:shd w:fill="auto" w:val="clear"/>
          </w:tcPr>
          <w:p>
            <w:pPr>
              <w:pStyle w:val="TableContents"/>
              <w:spacing w:before="0" w:after="0"/>
              <w:ind w:left="675" w:right="0" w:hanging="0"/>
              <w:jc w:val="left"/>
              <w:rPr/>
            </w:pPr>
            <w:r>
              <w:rPr>
                <w:b/>
                <w:u w:val="single"/>
              </w:rPr>
              <w:t>November 3, 2006</w:t>
            </w:r>
            <w:r>
              <w:rPr/>
              <w:t xml:space="preserve"> </w:t>
              <w:br/>
              <w:t xml:space="preserve">            (Date) </w:t>
            </w:r>
          </w:p>
        </w:tc>
        <w:tc>
          <w:tcPr>
            <w:tcW w:w="3923" w:type="dxa"/>
            <w:tcBorders/>
            <w:shd w:fill="auto" w:val="clear"/>
          </w:tcPr>
          <w:p>
            <w:pPr>
              <w:pStyle w:val="TableContents"/>
              <w:spacing w:before="0" w:after="283"/>
              <w:jc w:val="center"/>
              <w:rPr/>
            </w:pPr>
            <w:r>
              <w:rPr/>
              <w:t> </w:t>
            </w:r>
          </w:p>
        </w:tc>
        <w:tc>
          <w:tcPr>
            <w:tcW w:w="455" w:type="dxa"/>
            <w:tcBorders/>
            <w:shd w:fill="auto" w:val="clear"/>
            <w:vAlign w:val="bottom"/>
          </w:tcPr>
          <w:p>
            <w:pPr>
              <w:pStyle w:val="TableContents"/>
              <w:spacing w:before="0" w:after="283"/>
              <w:rPr/>
            </w:pPr>
            <w:r>
              <w:rPr/>
              <w:t> </w:t>
            </w:r>
          </w:p>
        </w:tc>
        <w:tc>
          <w:tcPr>
            <w:tcW w:w="2701" w:type="dxa"/>
            <w:tcBorders/>
            <w:shd w:fill="auto" w:val="clear"/>
          </w:tcPr>
          <w:p>
            <w:pPr>
              <w:pStyle w:val="TableContents"/>
              <w:spacing w:before="0" w:after="0"/>
              <w:jc w:val="center"/>
              <w:rPr/>
            </w:pPr>
            <w:r>
              <w:rPr>
                <w:b/>
              </w:rPr>
              <w:t>By /s/ G. Michael Latta</w:t>
            </w:r>
            <w:r>
              <w:rPr/>
              <w:t xml:space="preserve"> </w:t>
            </w:r>
          </w:p>
          <w:p>
            <w:pPr>
              <w:pStyle w:val="TableContents"/>
              <w:spacing w:before="0" w:after="0"/>
              <w:jc w:val="center"/>
              <w:rPr>
                <w:bdr w:val="single" w:sz="2" w:space="1" w:color="000000"/>
              </w:rPr>
            </w:pPr>
            <w:r>
              <w:rPr>
                <w:bdr w:val="single" w:sz="2" w:space="1" w:color="000000"/>
              </w:rPr>
              <w:t> </w:t>
            </w:r>
          </w:p>
          <w:p>
            <w:pPr>
              <w:pStyle w:val="TableContents"/>
              <w:spacing w:before="0" w:after="0"/>
              <w:jc w:val="center"/>
              <w:rPr/>
            </w:pPr>
            <w:r>
              <w:rPr/>
              <w:t xml:space="preserve">G. Michael Latta </w:t>
            </w:r>
          </w:p>
        </w:tc>
        <w:tc>
          <w:tcPr>
            <w:tcW w:w="455" w:type="dxa"/>
            <w:tcBorders/>
            <w:shd w:fill="auto" w:val="clear"/>
            <w:vAlign w:val="bottom"/>
          </w:tcPr>
          <w:p>
            <w:pPr>
              <w:pStyle w:val="TableContents"/>
              <w:spacing w:before="0" w:after="283"/>
              <w:rPr/>
            </w:pPr>
            <w:r>
              <w:rPr/>
              <w:t> </w:t>
            </w:r>
          </w:p>
        </w:tc>
        <w:tc>
          <w:tcPr>
            <w:tcW w:w="457" w:type="dxa"/>
            <w:tcBorders/>
            <w:shd w:fill="auto" w:val="clear"/>
          </w:tcPr>
          <w:p>
            <w:pPr>
              <w:pStyle w:val="TableContents"/>
              <w:spacing w:before="0" w:after="283"/>
              <w:jc w:val="left"/>
              <w:rPr/>
            </w:pPr>
            <w:r>
              <w:rPr/>
              <w:t> </w:t>
            </w:r>
          </w:p>
        </w:tc>
      </w:tr>
      <w:tr>
        <w:trPr/>
        <w:tc>
          <w:tcPr>
            <w:tcW w:w="1540" w:type="dxa"/>
            <w:tcBorders/>
            <w:shd w:fill="auto" w:val="clear"/>
          </w:tcPr>
          <w:p>
            <w:pPr>
              <w:pStyle w:val="TableContents"/>
              <w:spacing w:before="0" w:after="0"/>
              <w:ind w:left="0" w:right="0" w:hanging="0"/>
              <w:jc w:val="center"/>
              <w:rPr/>
            </w:pPr>
            <w:r>
              <w:rPr/>
              <w:t xml:space="preserve">  </w:t>
            </w:r>
          </w:p>
        </w:tc>
        <w:tc>
          <w:tcPr>
            <w:tcW w:w="674" w:type="dxa"/>
            <w:tcBorders/>
            <w:shd w:fill="auto" w:val="clear"/>
            <w:vAlign w:val="bottom"/>
          </w:tcPr>
          <w:p>
            <w:pPr>
              <w:pStyle w:val="TableContents"/>
              <w:spacing w:before="0" w:after="283"/>
              <w:rPr/>
            </w:pPr>
            <w:r>
              <w:rPr/>
              <w:t> </w:t>
            </w:r>
          </w:p>
        </w:tc>
        <w:tc>
          <w:tcPr>
            <w:tcW w:w="3923" w:type="dxa"/>
            <w:tcBorders/>
            <w:shd w:fill="auto" w:val="clear"/>
          </w:tcPr>
          <w:p>
            <w:pPr>
              <w:pStyle w:val="TableContents"/>
              <w:spacing w:before="0" w:after="283"/>
              <w:jc w:val="center"/>
              <w:rPr/>
            </w:pPr>
            <w:r>
              <w:rPr/>
              <w:t> </w:t>
            </w:r>
          </w:p>
        </w:tc>
        <w:tc>
          <w:tcPr>
            <w:tcW w:w="455" w:type="dxa"/>
            <w:tcBorders/>
            <w:shd w:fill="auto" w:val="clear"/>
            <w:vAlign w:val="bottom"/>
          </w:tcPr>
          <w:p>
            <w:pPr>
              <w:pStyle w:val="TableContents"/>
              <w:spacing w:before="0" w:after="283"/>
              <w:rPr/>
            </w:pPr>
            <w:r>
              <w:rPr/>
              <w:t> </w:t>
            </w:r>
          </w:p>
        </w:tc>
        <w:tc>
          <w:tcPr>
            <w:tcW w:w="2701" w:type="dxa"/>
            <w:tcBorders/>
            <w:shd w:fill="auto" w:val="clear"/>
          </w:tcPr>
          <w:p>
            <w:pPr>
              <w:pStyle w:val="TableContents"/>
              <w:spacing w:before="0" w:after="283"/>
              <w:jc w:val="center"/>
              <w:rPr/>
            </w:pPr>
            <w:r>
              <w:rPr/>
              <w:t>Vice President  Controller</w:t>
            </w:r>
          </w:p>
        </w:tc>
        <w:tc>
          <w:tcPr>
            <w:tcW w:w="455" w:type="dxa"/>
            <w:tcBorders/>
            <w:shd w:fill="auto" w:val="clear"/>
            <w:vAlign w:val="bottom"/>
          </w:tcPr>
          <w:p>
            <w:pPr>
              <w:pStyle w:val="TableContents"/>
              <w:spacing w:before="0" w:after="283"/>
              <w:rPr/>
            </w:pPr>
            <w:r>
              <w:rPr/>
              <w:t> </w:t>
            </w:r>
          </w:p>
        </w:tc>
        <w:tc>
          <w:tcPr>
            <w:tcW w:w="457" w:type="dxa"/>
            <w:tcBorders/>
            <w:shd w:fill="auto" w:val="clear"/>
          </w:tcPr>
          <w:p>
            <w:pPr>
              <w:pStyle w:val="TableContents"/>
              <w:spacing w:before="0" w:after="283"/>
              <w:jc w:val="left"/>
              <w:rPr/>
            </w:pPr>
            <w:r>
              <w:rPr/>
              <w:t> </w:t>
            </w:r>
          </w:p>
        </w:tc>
      </w:tr>
      <w:tr>
        <w:trPr/>
        <w:tc>
          <w:tcPr>
            <w:tcW w:w="1540" w:type="dxa"/>
            <w:tcBorders/>
            <w:shd w:fill="auto" w:val="clear"/>
          </w:tcPr>
          <w:p>
            <w:pPr>
              <w:pStyle w:val="TableContents"/>
              <w:spacing w:before="0" w:after="0"/>
              <w:ind w:left="0" w:right="0" w:hanging="0"/>
              <w:jc w:val="center"/>
              <w:rPr/>
            </w:pPr>
            <w:r>
              <w:rPr/>
              <w:t xml:space="preserve">  </w:t>
            </w:r>
          </w:p>
        </w:tc>
        <w:tc>
          <w:tcPr>
            <w:tcW w:w="674" w:type="dxa"/>
            <w:tcBorders/>
            <w:shd w:fill="auto" w:val="clear"/>
            <w:vAlign w:val="bottom"/>
          </w:tcPr>
          <w:p>
            <w:pPr>
              <w:pStyle w:val="TableContents"/>
              <w:spacing w:before="0" w:after="283"/>
              <w:rPr/>
            </w:pPr>
            <w:r>
              <w:rPr/>
              <w:t> </w:t>
            </w:r>
          </w:p>
        </w:tc>
        <w:tc>
          <w:tcPr>
            <w:tcW w:w="3923" w:type="dxa"/>
            <w:tcBorders/>
            <w:shd w:fill="auto" w:val="clear"/>
          </w:tcPr>
          <w:p>
            <w:pPr>
              <w:pStyle w:val="TableContents"/>
              <w:spacing w:before="0" w:after="283"/>
              <w:jc w:val="center"/>
              <w:rPr/>
            </w:pPr>
            <w:r>
              <w:rPr/>
              <w:t> </w:t>
            </w:r>
          </w:p>
        </w:tc>
        <w:tc>
          <w:tcPr>
            <w:tcW w:w="455" w:type="dxa"/>
            <w:tcBorders/>
            <w:shd w:fill="auto" w:val="clear"/>
            <w:vAlign w:val="bottom"/>
          </w:tcPr>
          <w:p>
            <w:pPr>
              <w:pStyle w:val="TableContents"/>
              <w:spacing w:before="0" w:after="283"/>
              <w:rPr/>
            </w:pPr>
            <w:r>
              <w:rPr/>
              <w:t> </w:t>
            </w:r>
          </w:p>
        </w:tc>
        <w:tc>
          <w:tcPr>
            <w:tcW w:w="2701" w:type="dxa"/>
            <w:tcBorders/>
            <w:shd w:fill="auto" w:val="clear"/>
          </w:tcPr>
          <w:p>
            <w:pPr>
              <w:pStyle w:val="TableContents"/>
              <w:spacing w:before="0" w:after="283"/>
              <w:jc w:val="center"/>
              <w:rPr/>
            </w:pPr>
            <w:r>
              <w:rPr/>
              <w:t>(Chief Accounting Officer</w:t>
            </w:r>
          </w:p>
        </w:tc>
        <w:tc>
          <w:tcPr>
            <w:tcW w:w="455" w:type="dxa"/>
            <w:tcBorders/>
            <w:shd w:fill="auto" w:val="clear"/>
            <w:vAlign w:val="bottom"/>
          </w:tcPr>
          <w:p>
            <w:pPr>
              <w:pStyle w:val="TableContents"/>
              <w:spacing w:before="0" w:after="283"/>
              <w:rPr/>
            </w:pPr>
            <w:r>
              <w:rPr/>
              <w:t> </w:t>
            </w:r>
          </w:p>
        </w:tc>
        <w:tc>
          <w:tcPr>
            <w:tcW w:w="457" w:type="dxa"/>
            <w:tcBorders/>
            <w:shd w:fill="auto" w:val="clear"/>
          </w:tcPr>
          <w:p>
            <w:pPr>
              <w:pStyle w:val="TableContents"/>
              <w:spacing w:before="0" w:after="283"/>
              <w:jc w:val="left"/>
              <w:rPr/>
            </w:pPr>
            <w:r>
              <w:rPr/>
              <w:t> </w:t>
            </w:r>
          </w:p>
        </w:tc>
      </w:tr>
      <w:tr>
        <w:trPr/>
        <w:tc>
          <w:tcPr>
            <w:tcW w:w="1540" w:type="dxa"/>
            <w:tcBorders/>
            <w:shd w:fill="auto" w:val="clear"/>
          </w:tcPr>
          <w:p>
            <w:pPr>
              <w:pStyle w:val="TableContents"/>
              <w:spacing w:before="0" w:after="0"/>
              <w:ind w:left="0" w:right="0" w:hanging="0"/>
              <w:jc w:val="center"/>
              <w:rPr/>
            </w:pPr>
            <w:r>
              <w:rPr/>
              <w:t xml:space="preserve">  </w:t>
            </w:r>
          </w:p>
        </w:tc>
        <w:tc>
          <w:tcPr>
            <w:tcW w:w="674" w:type="dxa"/>
            <w:tcBorders/>
            <w:shd w:fill="auto" w:val="clear"/>
            <w:vAlign w:val="bottom"/>
          </w:tcPr>
          <w:p>
            <w:pPr>
              <w:pStyle w:val="TableContents"/>
              <w:spacing w:before="0" w:after="283"/>
              <w:rPr/>
            </w:pPr>
            <w:r>
              <w:rPr/>
              <w:t> </w:t>
            </w:r>
          </w:p>
        </w:tc>
        <w:tc>
          <w:tcPr>
            <w:tcW w:w="3923" w:type="dxa"/>
            <w:tcBorders/>
            <w:shd w:fill="auto" w:val="clear"/>
          </w:tcPr>
          <w:p>
            <w:pPr>
              <w:pStyle w:val="TableContents"/>
              <w:spacing w:before="0" w:after="283"/>
              <w:jc w:val="center"/>
              <w:rPr/>
            </w:pPr>
            <w:r>
              <w:rPr/>
              <w:t> </w:t>
            </w:r>
          </w:p>
        </w:tc>
        <w:tc>
          <w:tcPr>
            <w:tcW w:w="455" w:type="dxa"/>
            <w:tcBorders/>
            <w:shd w:fill="auto" w:val="clear"/>
            <w:vAlign w:val="bottom"/>
          </w:tcPr>
          <w:p>
            <w:pPr>
              <w:pStyle w:val="TableContents"/>
              <w:spacing w:before="0" w:after="283"/>
              <w:rPr/>
            </w:pPr>
            <w:r>
              <w:rPr/>
              <w:t> </w:t>
            </w:r>
          </w:p>
        </w:tc>
        <w:tc>
          <w:tcPr>
            <w:tcW w:w="2701" w:type="dxa"/>
            <w:tcBorders/>
            <w:shd w:fill="auto" w:val="clear"/>
          </w:tcPr>
          <w:p>
            <w:pPr>
              <w:pStyle w:val="TableContents"/>
              <w:spacing w:before="0" w:after="283"/>
              <w:jc w:val="center"/>
              <w:rPr/>
            </w:pPr>
            <w:r>
              <w:rPr/>
              <w:t>and Authorized Officer)</w:t>
            </w:r>
          </w:p>
        </w:tc>
        <w:tc>
          <w:tcPr>
            <w:tcW w:w="455" w:type="dxa"/>
            <w:tcBorders/>
            <w:shd w:fill="auto" w:val="clear"/>
            <w:vAlign w:val="bottom"/>
          </w:tcPr>
          <w:p>
            <w:pPr>
              <w:pStyle w:val="TableContents"/>
              <w:spacing w:before="0" w:after="283"/>
              <w:rPr/>
            </w:pPr>
            <w:r>
              <w:rPr/>
              <w:t> </w:t>
            </w:r>
          </w:p>
        </w:tc>
        <w:tc>
          <w:tcPr>
            <w:tcW w:w="457"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32 </w:t>
      </w:r>
      <w:r>
        <w:br w:type="page"/>
      </w:r>
    </w:p>
    <w:p>
      <w:pPr>
        <w:pStyle w:val="Heading5"/>
        <w:jc w:val="left"/>
        <w:rPr/>
      </w:pPr>
      <w:bookmarkStart w:id="13" w:name="p73093exv31w1.htm"/>
      <w:bookmarkStart w:id="14" w:name="ksp73093exv31w1"/>
      <w:bookmarkEnd w:id="13"/>
      <w:bookmarkEnd w:id="14"/>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Paul B. Dykstra, certify that: </w:t>
      </w:r>
    </w:p>
    <w:tbl>
      <w:tblPr>
        <w:tblW w:w="5000" w:type="pct"/>
        <w:jc w:val="left"/>
        <w:tblInd w:w="0" w:type="dxa"/>
        <w:tblCellMar>
          <w:top w:w="0" w:type="dxa"/>
          <w:left w:w="0" w:type="dxa"/>
          <w:bottom w:w="0" w:type="dxa"/>
          <w:right w:w="0" w:type="dxa"/>
        </w:tblCellMar>
      </w:tblPr>
      <w:tblGrid>
        <w:gridCol w:w="211"/>
        <w:gridCol w:w="130"/>
        <w:gridCol w:w="9864"/>
      </w:tblGrid>
      <w:tr>
        <w:trPr/>
        <w:tc>
          <w:tcPr>
            <w:tcW w:w="211" w:type="dxa"/>
            <w:tcBorders/>
            <w:shd w:fill="auto" w:val="clear"/>
          </w:tcPr>
          <w:p>
            <w:pPr>
              <w:pStyle w:val="TableContents"/>
              <w:spacing w:before="0" w:after="283"/>
              <w:jc w:val="left"/>
              <w:rPr/>
            </w:pPr>
            <w:r>
              <w:rPr/>
              <w:t>1.</w:t>
            </w:r>
          </w:p>
        </w:tc>
        <w:tc>
          <w:tcPr>
            <w:tcW w:w="130" w:type="dxa"/>
            <w:tcBorders/>
            <w:shd w:fill="auto" w:val="clear"/>
          </w:tcPr>
          <w:p>
            <w:pPr>
              <w:pStyle w:val="TableContents"/>
              <w:spacing w:before="0" w:after="283"/>
              <w:rPr/>
            </w:pPr>
            <w:r>
              <w:rPr/>
              <w:t> </w:t>
            </w:r>
          </w:p>
        </w:tc>
        <w:tc>
          <w:tcPr>
            <w:tcW w:w="9864" w:type="dxa"/>
            <w:tcBorders/>
            <w:shd w:fill="auto" w:val="clear"/>
          </w:tcPr>
          <w:p>
            <w:pPr>
              <w:pStyle w:val="TableContents"/>
              <w:spacing w:before="0" w:after="283"/>
              <w:rPr/>
            </w:pPr>
            <w:r>
              <w:rPr/>
              <w:t>I have reviewed this report on Form 10-Q of Viad Corp;</w:t>
            </w:r>
          </w:p>
        </w:tc>
      </w:tr>
    </w:tbl>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tbl>
      <w:tblPr>
        <w:tblW w:w="5000" w:type="pct"/>
        <w:jc w:val="left"/>
        <w:tblInd w:w="0" w:type="dxa"/>
        <w:tblCellMar>
          <w:top w:w="0" w:type="dxa"/>
          <w:left w:w="0" w:type="dxa"/>
          <w:bottom w:w="0" w:type="dxa"/>
          <w:right w:w="0" w:type="dxa"/>
        </w:tblCellMar>
      </w:tblPr>
      <w:tblGrid>
        <w:gridCol w:w="211"/>
        <w:gridCol w:w="129"/>
        <w:gridCol w:w="9865"/>
      </w:tblGrid>
      <w:tr>
        <w:trPr/>
        <w:tc>
          <w:tcPr>
            <w:tcW w:w="211" w:type="dxa"/>
            <w:tcBorders/>
            <w:shd w:fill="auto" w:val="clear"/>
          </w:tcPr>
          <w:p>
            <w:pPr>
              <w:pStyle w:val="TableContents"/>
              <w:spacing w:before="0" w:after="283"/>
              <w:jc w:val="left"/>
              <w:rPr/>
            </w:pPr>
            <w:r>
              <w:rPr/>
              <w:t>3.</w:t>
            </w:r>
          </w:p>
        </w:tc>
        <w:tc>
          <w:tcPr>
            <w:tcW w:w="129" w:type="dxa"/>
            <w:tcBorders/>
            <w:shd w:fill="auto" w:val="clear"/>
          </w:tcPr>
          <w:p>
            <w:pPr>
              <w:pStyle w:val="TableContents"/>
              <w:spacing w:before="0" w:after="283"/>
              <w:rPr/>
            </w:pPr>
            <w:r>
              <w:rPr/>
              <w:t> </w:t>
            </w:r>
          </w:p>
        </w:tc>
        <w:tc>
          <w:tcPr>
            <w:tcW w:w="9865"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tbl>
      <w:tblPr>
        <w:tblW w:w="5000" w:type="pct"/>
        <w:jc w:val="left"/>
        <w:tblInd w:w="0" w:type="dxa"/>
        <w:tblCellMar>
          <w:top w:w="0" w:type="dxa"/>
          <w:left w:w="0" w:type="dxa"/>
          <w:bottom w:w="0" w:type="dxa"/>
          <w:right w:w="0" w:type="dxa"/>
        </w:tblCellMar>
      </w:tblPr>
      <w:tblGrid>
        <w:gridCol w:w="211"/>
        <w:gridCol w:w="129"/>
        <w:gridCol w:w="9865"/>
      </w:tblGrid>
      <w:tr>
        <w:trPr/>
        <w:tc>
          <w:tcPr>
            <w:tcW w:w="211" w:type="dxa"/>
            <w:tcBorders/>
            <w:shd w:fill="auto" w:val="clear"/>
          </w:tcPr>
          <w:p>
            <w:pPr>
              <w:pStyle w:val="TableContents"/>
              <w:spacing w:before="0" w:after="283"/>
              <w:jc w:val="left"/>
              <w:rPr/>
            </w:pPr>
            <w:r>
              <w:rPr/>
              <w:t>4.</w:t>
            </w:r>
          </w:p>
        </w:tc>
        <w:tc>
          <w:tcPr>
            <w:tcW w:w="129" w:type="dxa"/>
            <w:tcBorders/>
            <w:shd w:fill="auto" w:val="clear"/>
          </w:tcPr>
          <w:p>
            <w:pPr>
              <w:pStyle w:val="TableContents"/>
              <w:spacing w:before="0" w:after="283"/>
              <w:rPr/>
            </w:pPr>
            <w:r>
              <w:rPr/>
              <w:t> </w:t>
            </w:r>
          </w:p>
        </w:tc>
        <w:tc>
          <w:tcPr>
            <w:tcW w:w="9865"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205"/>
        <w:gridCol w:w="223"/>
        <w:gridCol w:w="106"/>
        <w:gridCol w:w="9671"/>
      </w:tblGrid>
      <w:tr>
        <w:trPr/>
        <w:tc>
          <w:tcPr>
            <w:tcW w:w="205" w:type="dxa"/>
            <w:tcBorders/>
            <w:shd w:fill="auto" w:val="clear"/>
          </w:tcPr>
          <w:p>
            <w:pPr>
              <w:pStyle w:val="TableContents"/>
              <w:spacing w:before="0" w:after="283"/>
              <w:rPr/>
            </w:pPr>
            <w:r>
              <w:rPr/>
              <w:t> </w:t>
            </w:r>
          </w:p>
        </w:tc>
        <w:tc>
          <w:tcPr>
            <w:tcW w:w="223" w:type="dxa"/>
            <w:tcBorders/>
            <w:shd w:fill="auto" w:val="clear"/>
          </w:tcPr>
          <w:p>
            <w:pPr>
              <w:pStyle w:val="TableContents"/>
              <w:spacing w:before="0" w:after="283"/>
              <w:jc w:val="left"/>
              <w:rPr/>
            </w:pPr>
            <w:r>
              <w:rPr/>
              <w:t>a)</w:t>
            </w:r>
          </w:p>
        </w:tc>
        <w:tc>
          <w:tcPr>
            <w:tcW w:w="106" w:type="dxa"/>
            <w:tcBorders/>
            <w:shd w:fill="auto" w:val="clear"/>
          </w:tcPr>
          <w:p>
            <w:pPr>
              <w:pStyle w:val="TableContents"/>
              <w:spacing w:before="0" w:after="283"/>
              <w:rPr/>
            </w:pPr>
            <w:r>
              <w:rPr/>
              <w:t> </w:t>
            </w:r>
          </w:p>
        </w:tc>
        <w:tc>
          <w:tcPr>
            <w:tcW w:w="967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205" w:type="dxa"/>
            <w:tcBorders/>
            <w:shd w:fill="auto" w:val="clear"/>
            <w:vAlign w:val="center"/>
          </w:tcPr>
          <w:p>
            <w:pPr>
              <w:pStyle w:val="TableContents"/>
              <w:spacing w:before="0" w:after="283"/>
              <w:rPr/>
            </w:pPr>
            <w:r>
              <w:rPr/>
              <w:t> </w:t>
            </w:r>
          </w:p>
        </w:tc>
        <w:tc>
          <w:tcPr>
            <w:tcW w:w="10000" w:type="dxa"/>
            <w:gridSpan w:val="3"/>
            <w:tcBorders/>
            <w:shd w:fill="auto" w:val="clear"/>
          </w:tcPr>
          <w:p>
            <w:pPr>
              <w:pStyle w:val="TableContents"/>
              <w:spacing w:before="0" w:after="283"/>
              <w:rPr>
                <w:sz w:val="4"/>
                <w:szCs w:val="4"/>
              </w:rPr>
            </w:pPr>
            <w:r>
              <w:rPr>
                <w:sz w:val="4"/>
                <w:szCs w:val="4"/>
              </w:rPr>
            </w:r>
          </w:p>
        </w:tc>
      </w:tr>
      <w:tr>
        <w:trPr/>
        <w:tc>
          <w:tcPr>
            <w:tcW w:w="205" w:type="dxa"/>
            <w:tcBorders/>
            <w:shd w:fill="auto" w:val="clear"/>
          </w:tcPr>
          <w:p>
            <w:pPr>
              <w:pStyle w:val="TableContents"/>
              <w:spacing w:before="0" w:after="283"/>
              <w:rPr/>
            </w:pPr>
            <w:r>
              <w:rPr/>
              <w:t> </w:t>
            </w:r>
          </w:p>
        </w:tc>
        <w:tc>
          <w:tcPr>
            <w:tcW w:w="223" w:type="dxa"/>
            <w:tcBorders/>
            <w:shd w:fill="auto" w:val="clear"/>
          </w:tcPr>
          <w:p>
            <w:pPr>
              <w:pStyle w:val="TableContents"/>
              <w:spacing w:before="0" w:after="283"/>
              <w:jc w:val="left"/>
              <w:rPr/>
            </w:pPr>
            <w:r>
              <w:rPr/>
              <w:t>b)</w:t>
            </w:r>
          </w:p>
        </w:tc>
        <w:tc>
          <w:tcPr>
            <w:tcW w:w="106" w:type="dxa"/>
            <w:tcBorders/>
            <w:shd w:fill="auto" w:val="clear"/>
          </w:tcPr>
          <w:p>
            <w:pPr>
              <w:pStyle w:val="TableContents"/>
              <w:spacing w:before="0" w:after="283"/>
              <w:rPr/>
            </w:pPr>
            <w:r>
              <w:rPr/>
              <w:t> </w:t>
            </w:r>
          </w:p>
        </w:tc>
        <w:tc>
          <w:tcPr>
            <w:tcW w:w="967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205" w:type="dxa"/>
            <w:tcBorders/>
            <w:shd w:fill="auto" w:val="clear"/>
            <w:vAlign w:val="center"/>
          </w:tcPr>
          <w:p>
            <w:pPr>
              <w:pStyle w:val="TableContents"/>
              <w:spacing w:before="0" w:after="283"/>
              <w:rPr/>
            </w:pPr>
            <w:r>
              <w:rPr/>
              <w:t> </w:t>
            </w:r>
          </w:p>
        </w:tc>
        <w:tc>
          <w:tcPr>
            <w:tcW w:w="10000" w:type="dxa"/>
            <w:gridSpan w:val="3"/>
            <w:tcBorders/>
            <w:shd w:fill="auto" w:val="clear"/>
          </w:tcPr>
          <w:p>
            <w:pPr>
              <w:pStyle w:val="TableContents"/>
              <w:spacing w:before="0" w:after="283"/>
              <w:rPr>
                <w:sz w:val="4"/>
                <w:szCs w:val="4"/>
              </w:rPr>
            </w:pPr>
            <w:r>
              <w:rPr>
                <w:sz w:val="4"/>
                <w:szCs w:val="4"/>
              </w:rPr>
            </w:r>
          </w:p>
        </w:tc>
      </w:tr>
      <w:tr>
        <w:trPr/>
        <w:tc>
          <w:tcPr>
            <w:tcW w:w="205" w:type="dxa"/>
            <w:tcBorders/>
            <w:shd w:fill="auto" w:val="clear"/>
          </w:tcPr>
          <w:p>
            <w:pPr>
              <w:pStyle w:val="TableContents"/>
              <w:spacing w:before="0" w:after="283"/>
              <w:rPr/>
            </w:pPr>
            <w:r>
              <w:rPr/>
              <w:t> </w:t>
            </w:r>
          </w:p>
        </w:tc>
        <w:tc>
          <w:tcPr>
            <w:tcW w:w="223" w:type="dxa"/>
            <w:tcBorders/>
            <w:shd w:fill="auto" w:val="clear"/>
          </w:tcPr>
          <w:p>
            <w:pPr>
              <w:pStyle w:val="TableContents"/>
              <w:spacing w:before="0" w:after="283"/>
              <w:jc w:val="left"/>
              <w:rPr/>
            </w:pPr>
            <w:r>
              <w:rPr/>
              <w:t>c)</w:t>
            </w:r>
          </w:p>
        </w:tc>
        <w:tc>
          <w:tcPr>
            <w:tcW w:w="106" w:type="dxa"/>
            <w:tcBorders/>
            <w:shd w:fill="auto" w:val="clear"/>
          </w:tcPr>
          <w:p>
            <w:pPr>
              <w:pStyle w:val="TableContents"/>
              <w:spacing w:before="0" w:after="283"/>
              <w:rPr/>
            </w:pPr>
            <w:r>
              <w:rPr/>
              <w:t> </w:t>
            </w:r>
          </w:p>
        </w:tc>
        <w:tc>
          <w:tcPr>
            <w:tcW w:w="967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205" w:type="dxa"/>
            <w:tcBorders/>
            <w:shd w:fill="auto" w:val="clear"/>
            <w:vAlign w:val="center"/>
          </w:tcPr>
          <w:p>
            <w:pPr>
              <w:pStyle w:val="TableContents"/>
              <w:spacing w:before="0" w:after="283"/>
              <w:rPr/>
            </w:pPr>
            <w:r>
              <w:rPr/>
              <w:t> </w:t>
            </w:r>
          </w:p>
        </w:tc>
        <w:tc>
          <w:tcPr>
            <w:tcW w:w="10000" w:type="dxa"/>
            <w:gridSpan w:val="3"/>
            <w:tcBorders/>
            <w:shd w:fill="auto" w:val="clear"/>
          </w:tcPr>
          <w:p>
            <w:pPr>
              <w:pStyle w:val="TableContents"/>
              <w:spacing w:before="0" w:after="283"/>
              <w:rPr>
                <w:sz w:val="4"/>
                <w:szCs w:val="4"/>
              </w:rPr>
            </w:pPr>
            <w:r>
              <w:rPr>
                <w:sz w:val="4"/>
                <w:szCs w:val="4"/>
              </w:rPr>
            </w:r>
          </w:p>
        </w:tc>
      </w:tr>
      <w:tr>
        <w:trPr/>
        <w:tc>
          <w:tcPr>
            <w:tcW w:w="205" w:type="dxa"/>
            <w:tcBorders/>
            <w:shd w:fill="auto" w:val="clear"/>
          </w:tcPr>
          <w:p>
            <w:pPr>
              <w:pStyle w:val="TableContents"/>
              <w:spacing w:before="0" w:after="283"/>
              <w:rPr/>
            </w:pPr>
            <w:r>
              <w:rPr/>
              <w:t> </w:t>
            </w:r>
          </w:p>
        </w:tc>
        <w:tc>
          <w:tcPr>
            <w:tcW w:w="223" w:type="dxa"/>
            <w:tcBorders/>
            <w:shd w:fill="auto" w:val="clear"/>
          </w:tcPr>
          <w:p>
            <w:pPr>
              <w:pStyle w:val="TableContents"/>
              <w:spacing w:before="0" w:after="283"/>
              <w:jc w:val="left"/>
              <w:rPr/>
            </w:pPr>
            <w:r>
              <w:rPr/>
              <w:t>d)</w:t>
            </w:r>
          </w:p>
        </w:tc>
        <w:tc>
          <w:tcPr>
            <w:tcW w:w="106" w:type="dxa"/>
            <w:tcBorders/>
            <w:shd w:fill="auto" w:val="clear"/>
          </w:tcPr>
          <w:p>
            <w:pPr>
              <w:pStyle w:val="TableContents"/>
              <w:spacing w:before="0" w:after="283"/>
              <w:rPr/>
            </w:pPr>
            <w:r>
              <w:rPr/>
              <w:t> </w:t>
            </w:r>
          </w:p>
        </w:tc>
        <w:tc>
          <w:tcPr>
            <w:tcW w:w="967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r>
    </w:tbl>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205"/>
        <w:gridCol w:w="221"/>
        <w:gridCol w:w="106"/>
        <w:gridCol w:w="9673"/>
      </w:tblGrid>
      <w:tr>
        <w:trPr/>
        <w:tc>
          <w:tcPr>
            <w:tcW w:w="205" w:type="dxa"/>
            <w:tcBorders/>
            <w:shd w:fill="auto" w:val="clear"/>
          </w:tcPr>
          <w:p>
            <w:pPr>
              <w:pStyle w:val="TableContents"/>
              <w:spacing w:before="0" w:after="283"/>
              <w:rPr/>
            </w:pPr>
            <w:r>
              <w:rPr/>
              <w:t> </w:t>
            </w:r>
          </w:p>
        </w:tc>
        <w:tc>
          <w:tcPr>
            <w:tcW w:w="221" w:type="dxa"/>
            <w:tcBorders/>
            <w:shd w:fill="auto" w:val="clear"/>
          </w:tcPr>
          <w:p>
            <w:pPr>
              <w:pStyle w:val="TableContents"/>
              <w:spacing w:before="0" w:after="283"/>
              <w:jc w:val="left"/>
              <w:rPr/>
            </w:pPr>
            <w:r>
              <w:rPr/>
              <w:t>a)</w:t>
            </w:r>
          </w:p>
        </w:tc>
        <w:tc>
          <w:tcPr>
            <w:tcW w:w="106" w:type="dxa"/>
            <w:tcBorders/>
            <w:shd w:fill="auto" w:val="clear"/>
          </w:tcPr>
          <w:p>
            <w:pPr>
              <w:pStyle w:val="TableContents"/>
              <w:spacing w:before="0" w:after="283"/>
              <w:rPr/>
            </w:pPr>
            <w:r>
              <w:rPr/>
              <w:t> </w:t>
            </w:r>
          </w:p>
        </w:tc>
        <w:tc>
          <w:tcPr>
            <w:tcW w:w="9673"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205" w:type="dxa"/>
            <w:tcBorders/>
            <w:shd w:fill="auto" w:val="clear"/>
            <w:vAlign w:val="center"/>
          </w:tcPr>
          <w:p>
            <w:pPr>
              <w:pStyle w:val="TableContents"/>
              <w:spacing w:before="0" w:after="283"/>
              <w:rPr/>
            </w:pPr>
            <w:r>
              <w:rPr/>
              <w:t> </w:t>
            </w:r>
          </w:p>
        </w:tc>
        <w:tc>
          <w:tcPr>
            <w:tcW w:w="10000" w:type="dxa"/>
            <w:gridSpan w:val="3"/>
            <w:tcBorders/>
            <w:shd w:fill="auto" w:val="clear"/>
          </w:tcPr>
          <w:p>
            <w:pPr>
              <w:pStyle w:val="TableContents"/>
              <w:spacing w:before="0" w:after="283"/>
              <w:rPr>
                <w:sz w:val="4"/>
                <w:szCs w:val="4"/>
              </w:rPr>
            </w:pPr>
            <w:r>
              <w:rPr>
                <w:sz w:val="4"/>
                <w:szCs w:val="4"/>
              </w:rPr>
            </w:r>
          </w:p>
        </w:tc>
      </w:tr>
      <w:tr>
        <w:trPr/>
        <w:tc>
          <w:tcPr>
            <w:tcW w:w="205" w:type="dxa"/>
            <w:tcBorders/>
            <w:shd w:fill="auto" w:val="clear"/>
          </w:tcPr>
          <w:p>
            <w:pPr>
              <w:pStyle w:val="TableContents"/>
              <w:spacing w:before="0" w:after="283"/>
              <w:rPr/>
            </w:pPr>
            <w:r>
              <w:rPr/>
              <w:t> </w:t>
            </w:r>
          </w:p>
        </w:tc>
        <w:tc>
          <w:tcPr>
            <w:tcW w:w="221" w:type="dxa"/>
            <w:tcBorders/>
            <w:shd w:fill="auto" w:val="clear"/>
          </w:tcPr>
          <w:p>
            <w:pPr>
              <w:pStyle w:val="TableContents"/>
              <w:spacing w:before="0" w:after="283"/>
              <w:jc w:val="left"/>
              <w:rPr/>
            </w:pPr>
            <w:r>
              <w:rPr/>
              <w:t>b)</w:t>
            </w:r>
          </w:p>
        </w:tc>
        <w:tc>
          <w:tcPr>
            <w:tcW w:w="106" w:type="dxa"/>
            <w:tcBorders/>
            <w:shd w:fill="auto" w:val="clear"/>
          </w:tcPr>
          <w:p>
            <w:pPr>
              <w:pStyle w:val="TableContents"/>
              <w:spacing w:before="0" w:after="283"/>
              <w:rPr/>
            </w:pPr>
            <w:r>
              <w:rPr/>
              <w:t> </w:t>
            </w:r>
          </w:p>
        </w:tc>
        <w:tc>
          <w:tcPr>
            <w:tcW w:w="9673"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tbl>
      <w:tblPr>
        <w:tblW w:w="5000" w:type="pct"/>
        <w:jc w:val="left"/>
        <w:tblInd w:w="0" w:type="dxa"/>
        <w:tblCellMar>
          <w:top w:w="0" w:type="dxa"/>
          <w:left w:w="0" w:type="dxa"/>
          <w:bottom w:w="0" w:type="dxa"/>
          <w:right w:w="0" w:type="dxa"/>
        </w:tblCellMar>
      </w:tblPr>
      <w:tblGrid>
        <w:gridCol w:w="4718"/>
        <w:gridCol w:w="462"/>
        <w:gridCol w:w="301"/>
        <w:gridCol w:w="3334"/>
        <w:gridCol w:w="1390"/>
      </w:tblGrid>
      <w:tr>
        <w:trPr/>
        <w:tc>
          <w:tcPr>
            <w:tcW w:w="4718"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334" w:type="dxa"/>
            <w:tcBorders/>
            <w:shd w:fill="auto" w:val="clear"/>
            <w:vAlign w:val="center"/>
          </w:tcPr>
          <w:p>
            <w:pPr>
              <w:pStyle w:val="TableContents"/>
              <w:spacing w:before="0" w:after="283"/>
              <w:rPr/>
            </w:pPr>
            <w:r>
              <w:rPr/>
              <w:t> </w:t>
            </w:r>
          </w:p>
        </w:tc>
        <w:tc>
          <w:tcPr>
            <w:tcW w:w="1390" w:type="dxa"/>
            <w:tcBorders/>
            <w:shd w:fill="auto" w:val="clear"/>
            <w:vAlign w:val="center"/>
          </w:tcPr>
          <w:p>
            <w:pPr>
              <w:pStyle w:val="TableContents"/>
              <w:spacing w:before="0" w:after="283"/>
              <w:rPr/>
            </w:pPr>
            <w:r>
              <w:rPr/>
              <w:t> </w:t>
            </w:r>
          </w:p>
        </w:tc>
      </w:tr>
      <w:tr>
        <w:trPr/>
        <w:tc>
          <w:tcPr>
            <w:tcW w:w="4718" w:type="dxa"/>
            <w:tcBorders/>
            <w:shd w:fill="auto" w:val="clear"/>
          </w:tcPr>
          <w:p>
            <w:pPr>
              <w:pStyle w:val="TableContents"/>
              <w:spacing w:before="0" w:after="283"/>
              <w:jc w:val="left"/>
              <w:rPr/>
            </w:pPr>
            <w:r>
              <w:rPr/>
              <w:t> </w:t>
            </w:r>
          </w:p>
        </w:tc>
        <w:tc>
          <w:tcPr>
            <w:tcW w:w="4097" w:type="dxa"/>
            <w:gridSpan w:val="3"/>
            <w:tcBorders/>
            <w:shd w:fill="auto" w:val="clear"/>
            <w:vAlign w:val="center"/>
          </w:tcPr>
          <w:p>
            <w:pPr>
              <w:pStyle w:val="TableContents"/>
              <w:spacing w:before="0" w:after="283"/>
              <w:jc w:val="left"/>
              <w:rPr/>
            </w:pPr>
            <w:r>
              <w:rPr/>
              <w:t> </w:t>
            </w:r>
          </w:p>
        </w:tc>
        <w:tc>
          <w:tcPr>
            <w:tcW w:w="1390" w:type="dxa"/>
            <w:tcBorders/>
            <w:shd w:fill="auto" w:val="clear"/>
            <w:vAlign w:val="center"/>
          </w:tcPr>
          <w:p>
            <w:pPr>
              <w:pStyle w:val="TableContents"/>
              <w:spacing w:before="0" w:after="283"/>
              <w:rPr/>
            </w:pPr>
            <w:r>
              <w:rPr/>
              <w:t> </w:t>
            </w:r>
          </w:p>
        </w:tc>
      </w:tr>
      <w:tr>
        <w:trPr/>
        <w:tc>
          <w:tcPr>
            <w:tcW w:w="4718" w:type="dxa"/>
            <w:tcBorders/>
            <w:shd w:fill="auto" w:val="clear"/>
            <w:vAlign w:val="center"/>
          </w:tcPr>
          <w:p>
            <w:pPr>
              <w:pStyle w:val="TableContents"/>
              <w:spacing w:before="0" w:after="283"/>
              <w:jc w:val="left"/>
              <w:rPr/>
            </w:pPr>
            <w:r>
              <w:rPr/>
              <w:t>Date: November 3, 2006 </w:t>
            </w:r>
          </w:p>
        </w:tc>
        <w:tc>
          <w:tcPr>
            <w:tcW w:w="4097" w:type="dxa"/>
            <w:gridSpan w:val="3"/>
            <w:tcBorders>
              <w:bottom w:val="single" w:sz="2" w:space="0" w:color="000000"/>
            </w:tcBorders>
            <w:shd w:fill="auto" w:val="clear"/>
            <w:tcMar>
              <w:bottom w:w="28" w:type="dxa"/>
            </w:tcMar>
            <w:vAlign w:val="center"/>
          </w:tcPr>
          <w:p>
            <w:pPr>
              <w:pStyle w:val="TableContents"/>
              <w:spacing w:before="0" w:after="283"/>
              <w:jc w:val="left"/>
              <w:rPr/>
            </w:pPr>
            <w:r>
              <w:rPr/>
              <w:t>By /s/ Paul B. Dykstra  </w:t>
            </w:r>
          </w:p>
        </w:tc>
        <w:tc>
          <w:tcPr>
            <w:tcW w:w="1390" w:type="dxa"/>
            <w:tcBorders/>
            <w:shd w:fill="auto" w:val="clear"/>
            <w:vAlign w:val="center"/>
          </w:tcPr>
          <w:p>
            <w:pPr>
              <w:pStyle w:val="TableContents"/>
              <w:spacing w:before="0" w:after="283"/>
              <w:rPr/>
            </w:pPr>
            <w:r>
              <w:rPr/>
              <w:t> </w:t>
            </w:r>
          </w:p>
        </w:tc>
      </w:tr>
      <w:tr>
        <w:trPr/>
        <w:tc>
          <w:tcPr>
            <w:tcW w:w="4718" w:type="dxa"/>
            <w:tcBorders/>
            <w:shd w:fill="auto" w:val="clear"/>
            <w:vAlign w:val="center"/>
          </w:tcPr>
          <w:p>
            <w:pPr>
              <w:pStyle w:val="TableContents"/>
              <w:spacing w:before="0" w:after="283"/>
              <w:jc w:val="left"/>
              <w:rPr/>
            </w:pPr>
            <w:r>
              <w:rPr/>
              <w:t> </w:t>
            </w:r>
          </w:p>
        </w:tc>
        <w:tc>
          <w:tcPr>
            <w:tcW w:w="4097" w:type="dxa"/>
            <w:gridSpan w:val="3"/>
            <w:tcBorders/>
            <w:shd w:fill="auto" w:val="clear"/>
            <w:vAlign w:val="center"/>
          </w:tcPr>
          <w:p>
            <w:pPr>
              <w:pStyle w:val="TableContents"/>
              <w:spacing w:before="0" w:after="283"/>
              <w:jc w:val="left"/>
              <w:rPr/>
            </w:pPr>
            <w:r>
              <w:rPr/>
              <w:t>Paul B. Dykstra </w:t>
            </w:r>
          </w:p>
        </w:tc>
        <w:tc>
          <w:tcPr>
            <w:tcW w:w="1390" w:type="dxa"/>
            <w:tcBorders/>
            <w:shd w:fill="auto" w:val="clear"/>
            <w:vAlign w:val="center"/>
          </w:tcPr>
          <w:p>
            <w:pPr>
              <w:pStyle w:val="TableContents"/>
              <w:spacing w:before="0" w:after="283"/>
              <w:rPr/>
            </w:pPr>
            <w:r>
              <w:rPr/>
              <w:t> </w:t>
            </w:r>
          </w:p>
        </w:tc>
      </w:tr>
      <w:tr>
        <w:trPr/>
        <w:tc>
          <w:tcPr>
            <w:tcW w:w="4718" w:type="dxa"/>
            <w:tcBorders/>
            <w:shd w:fill="auto" w:val="clear"/>
            <w:vAlign w:val="center"/>
          </w:tcPr>
          <w:p>
            <w:pPr>
              <w:pStyle w:val="TableContents"/>
              <w:spacing w:before="0" w:after="283"/>
              <w:jc w:val="left"/>
              <w:rPr/>
            </w:pPr>
            <w:r>
              <w:rPr/>
              <w:t> </w:t>
            </w:r>
          </w:p>
        </w:tc>
        <w:tc>
          <w:tcPr>
            <w:tcW w:w="4097" w:type="dxa"/>
            <w:gridSpan w:val="3"/>
            <w:tcBorders/>
            <w:shd w:fill="auto" w:val="clear"/>
            <w:vAlign w:val="center"/>
          </w:tcPr>
          <w:p>
            <w:pPr>
              <w:pStyle w:val="TableContents"/>
              <w:spacing w:before="0" w:after="283"/>
              <w:jc w:val="left"/>
              <w:rPr/>
            </w:pPr>
            <w:r>
              <w:rPr/>
              <w:t>President and Chief Executive Officer </w:t>
            </w:r>
          </w:p>
        </w:tc>
        <w:tc>
          <w:tcPr>
            <w:tcW w:w="1390"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15" w:name="p73093exv31w2.htm"/>
      <w:bookmarkStart w:id="16" w:name="ksp73093exv31w2"/>
      <w:bookmarkEnd w:id="15"/>
      <w:bookmarkEnd w:id="16"/>
      <w:r>
        <w:rPr/>
        <w:t> </w:t>
      </w:r>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Ellen M. Ingersoll, certify that: </w:t>
      </w:r>
    </w:p>
    <w:tbl>
      <w:tblPr>
        <w:tblW w:w="5000" w:type="pct"/>
        <w:jc w:val="left"/>
        <w:tblInd w:w="0" w:type="dxa"/>
        <w:tblCellMar>
          <w:top w:w="0" w:type="dxa"/>
          <w:left w:w="0" w:type="dxa"/>
          <w:bottom w:w="0" w:type="dxa"/>
          <w:right w:w="0" w:type="dxa"/>
        </w:tblCellMar>
      </w:tblPr>
      <w:tblGrid>
        <w:gridCol w:w="211"/>
        <w:gridCol w:w="130"/>
        <w:gridCol w:w="9864"/>
      </w:tblGrid>
      <w:tr>
        <w:trPr/>
        <w:tc>
          <w:tcPr>
            <w:tcW w:w="211" w:type="dxa"/>
            <w:tcBorders/>
            <w:shd w:fill="auto" w:val="clear"/>
          </w:tcPr>
          <w:p>
            <w:pPr>
              <w:pStyle w:val="TableContents"/>
              <w:spacing w:before="0" w:after="283"/>
              <w:jc w:val="left"/>
              <w:rPr/>
            </w:pPr>
            <w:r>
              <w:rPr/>
              <w:t>1.</w:t>
            </w:r>
          </w:p>
        </w:tc>
        <w:tc>
          <w:tcPr>
            <w:tcW w:w="130" w:type="dxa"/>
            <w:tcBorders/>
            <w:shd w:fill="auto" w:val="clear"/>
          </w:tcPr>
          <w:p>
            <w:pPr>
              <w:pStyle w:val="TableContents"/>
              <w:spacing w:before="0" w:after="283"/>
              <w:rPr/>
            </w:pPr>
            <w:r>
              <w:rPr/>
              <w:t> </w:t>
            </w:r>
          </w:p>
        </w:tc>
        <w:tc>
          <w:tcPr>
            <w:tcW w:w="9864" w:type="dxa"/>
            <w:tcBorders/>
            <w:shd w:fill="auto" w:val="clear"/>
          </w:tcPr>
          <w:p>
            <w:pPr>
              <w:pStyle w:val="TableContents"/>
              <w:spacing w:before="0" w:after="283"/>
              <w:rPr/>
            </w:pPr>
            <w:r>
              <w:rPr/>
              <w:t>I have reviewed this report on Form 10-Q of Viad Corp;</w:t>
            </w:r>
          </w:p>
        </w:tc>
      </w:tr>
    </w:tbl>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tbl>
      <w:tblPr>
        <w:tblW w:w="5000" w:type="pct"/>
        <w:jc w:val="left"/>
        <w:tblInd w:w="0" w:type="dxa"/>
        <w:tblCellMar>
          <w:top w:w="0" w:type="dxa"/>
          <w:left w:w="0" w:type="dxa"/>
          <w:bottom w:w="0" w:type="dxa"/>
          <w:right w:w="0" w:type="dxa"/>
        </w:tblCellMar>
      </w:tblPr>
      <w:tblGrid>
        <w:gridCol w:w="211"/>
        <w:gridCol w:w="129"/>
        <w:gridCol w:w="9865"/>
      </w:tblGrid>
      <w:tr>
        <w:trPr/>
        <w:tc>
          <w:tcPr>
            <w:tcW w:w="211" w:type="dxa"/>
            <w:tcBorders/>
            <w:shd w:fill="auto" w:val="clear"/>
          </w:tcPr>
          <w:p>
            <w:pPr>
              <w:pStyle w:val="TableContents"/>
              <w:spacing w:before="0" w:after="283"/>
              <w:jc w:val="left"/>
              <w:rPr/>
            </w:pPr>
            <w:r>
              <w:rPr/>
              <w:t>3.</w:t>
            </w:r>
          </w:p>
        </w:tc>
        <w:tc>
          <w:tcPr>
            <w:tcW w:w="129" w:type="dxa"/>
            <w:tcBorders/>
            <w:shd w:fill="auto" w:val="clear"/>
          </w:tcPr>
          <w:p>
            <w:pPr>
              <w:pStyle w:val="TableContents"/>
              <w:spacing w:before="0" w:after="283"/>
              <w:rPr/>
            </w:pPr>
            <w:r>
              <w:rPr/>
              <w:t> </w:t>
            </w:r>
          </w:p>
        </w:tc>
        <w:tc>
          <w:tcPr>
            <w:tcW w:w="9865"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tbl>
      <w:tblPr>
        <w:tblW w:w="5000" w:type="pct"/>
        <w:jc w:val="left"/>
        <w:tblInd w:w="0" w:type="dxa"/>
        <w:tblCellMar>
          <w:top w:w="0" w:type="dxa"/>
          <w:left w:w="0" w:type="dxa"/>
          <w:bottom w:w="0" w:type="dxa"/>
          <w:right w:w="0" w:type="dxa"/>
        </w:tblCellMar>
      </w:tblPr>
      <w:tblGrid>
        <w:gridCol w:w="211"/>
        <w:gridCol w:w="129"/>
        <w:gridCol w:w="9865"/>
      </w:tblGrid>
      <w:tr>
        <w:trPr/>
        <w:tc>
          <w:tcPr>
            <w:tcW w:w="211" w:type="dxa"/>
            <w:tcBorders/>
            <w:shd w:fill="auto" w:val="clear"/>
          </w:tcPr>
          <w:p>
            <w:pPr>
              <w:pStyle w:val="TableContents"/>
              <w:spacing w:before="0" w:after="283"/>
              <w:jc w:val="left"/>
              <w:rPr/>
            </w:pPr>
            <w:r>
              <w:rPr/>
              <w:t>4.</w:t>
            </w:r>
          </w:p>
        </w:tc>
        <w:tc>
          <w:tcPr>
            <w:tcW w:w="129" w:type="dxa"/>
            <w:tcBorders/>
            <w:shd w:fill="auto" w:val="clear"/>
          </w:tcPr>
          <w:p>
            <w:pPr>
              <w:pStyle w:val="TableContents"/>
              <w:spacing w:before="0" w:after="283"/>
              <w:rPr/>
            </w:pPr>
            <w:r>
              <w:rPr/>
              <w:t> </w:t>
            </w:r>
          </w:p>
        </w:tc>
        <w:tc>
          <w:tcPr>
            <w:tcW w:w="9865"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205"/>
        <w:gridCol w:w="223"/>
        <w:gridCol w:w="106"/>
        <w:gridCol w:w="9671"/>
      </w:tblGrid>
      <w:tr>
        <w:trPr/>
        <w:tc>
          <w:tcPr>
            <w:tcW w:w="205" w:type="dxa"/>
            <w:tcBorders/>
            <w:shd w:fill="auto" w:val="clear"/>
          </w:tcPr>
          <w:p>
            <w:pPr>
              <w:pStyle w:val="TableContents"/>
              <w:spacing w:before="0" w:after="283"/>
              <w:rPr/>
            </w:pPr>
            <w:r>
              <w:rPr/>
              <w:t> </w:t>
            </w:r>
          </w:p>
        </w:tc>
        <w:tc>
          <w:tcPr>
            <w:tcW w:w="223" w:type="dxa"/>
            <w:tcBorders/>
            <w:shd w:fill="auto" w:val="clear"/>
          </w:tcPr>
          <w:p>
            <w:pPr>
              <w:pStyle w:val="TableContents"/>
              <w:spacing w:before="0" w:after="283"/>
              <w:jc w:val="left"/>
              <w:rPr/>
            </w:pPr>
            <w:r>
              <w:rPr/>
              <w:t>a)</w:t>
            </w:r>
          </w:p>
        </w:tc>
        <w:tc>
          <w:tcPr>
            <w:tcW w:w="106" w:type="dxa"/>
            <w:tcBorders/>
            <w:shd w:fill="auto" w:val="clear"/>
          </w:tcPr>
          <w:p>
            <w:pPr>
              <w:pStyle w:val="TableContents"/>
              <w:spacing w:before="0" w:after="283"/>
              <w:rPr/>
            </w:pPr>
            <w:r>
              <w:rPr/>
              <w:t> </w:t>
            </w:r>
          </w:p>
        </w:tc>
        <w:tc>
          <w:tcPr>
            <w:tcW w:w="967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205" w:type="dxa"/>
            <w:tcBorders/>
            <w:shd w:fill="auto" w:val="clear"/>
            <w:vAlign w:val="center"/>
          </w:tcPr>
          <w:p>
            <w:pPr>
              <w:pStyle w:val="TableContents"/>
              <w:spacing w:before="0" w:after="283"/>
              <w:rPr/>
            </w:pPr>
            <w:r>
              <w:rPr/>
              <w:t> </w:t>
            </w:r>
          </w:p>
        </w:tc>
        <w:tc>
          <w:tcPr>
            <w:tcW w:w="10000" w:type="dxa"/>
            <w:gridSpan w:val="3"/>
            <w:tcBorders/>
            <w:shd w:fill="auto" w:val="clear"/>
          </w:tcPr>
          <w:p>
            <w:pPr>
              <w:pStyle w:val="TableContents"/>
              <w:spacing w:before="0" w:after="283"/>
              <w:rPr>
                <w:sz w:val="4"/>
                <w:szCs w:val="4"/>
              </w:rPr>
            </w:pPr>
            <w:r>
              <w:rPr>
                <w:sz w:val="4"/>
                <w:szCs w:val="4"/>
              </w:rPr>
            </w:r>
          </w:p>
        </w:tc>
      </w:tr>
      <w:tr>
        <w:trPr/>
        <w:tc>
          <w:tcPr>
            <w:tcW w:w="205" w:type="dxa"/>
            <w:tcBorders/>
            <w:shd w:fill="auto" w:val="clear"/>
          </w:tcPr>
          <w:p>
            <w:pPr>
              <w:pStyle w:val="TableContents"/>
              <w:spacing w:before="0" w:after="283"/>
              <w:rPr/>
            </w:pPr>
            <w:r>
              <w:rPr/>
              <w:t> </w:t>
            </w:r>
          </w:p>
        </w:tc>
        <w:tc>
          <w:tcPr>
            <w:tcW w:w="223" w:type="dxa"/>
            <w:tcBorders/>
            <w:shd w:fill="auto" w:val="clear"/>
          </w:tcPr>
          <w:p>
            <w:pPr>
              <w:pStyle w:val="TableContents"/>
              <w:spacing w:before="0" w:after="283"/>
              <w:jc w:val="left"/>
              <w:rPr/>
            </w:pPr>
            <w:r>
              <w:rPr/>
              <w:t>b)</w:t>
            </w:r>
          </w:p>
        </w:tc>
        <w:tc>
          <w:tcPr>
            <w:tcW w:w="106" w:type="dxa"/>
            <w:tcBorders/>
            <w:shd w:fill="auto" w:val="clear"/>
          </w:tcPr>
          <w:p>
            <w:pPr>
              <w:pStyle w:val="TableContents"/>
              <w:spacing w:before="0" w:after="283"/>
              <w:rPr/>
            </w:pPr>
            <w:r>
              <w:rPr/>
              <w:t> </w:t>
            </w:r>
          </w:p>
        </w:tc>
        <w:tc>
          <w:tcPr>
            <w:tcW w:w="967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205" w:type="dxa"/>
            <w:tcBorders/>
            <w:shd w:fill="auto" w:val="clear"/>
            <w:vAlign w:val="center"/>
          </w:tcPr>
          <w:p>
            <w:pPr>
              <w:pStyle w:val="TableContents"/>
              <w:spacing w:before="0" w:after="283"/>
              <w:rPr/>
            </w:pPr>
            <w:r>
              <w:rPr/>
              <w:t> </w:t>
            </w:r>
          </w:p>
        </w:tc>
        <w:tc>
          <w:tcPr>
            <w:tcW w:w="10000" w:type="dxa"/>
            <w:gridSpan w:val="3"/>
            <w:tcBorders/>
            <w:shd w:fill="auto" w:val="clear"/>
          </w:tcPr>
          <w:p>
            <w:pPr>
              <w:pStyle w:val="TableContents"/>
              <w:spacing w:before="0" w:after="283"/>
              <w:rPr>
                <w:sz w:val="4"/>
                <w:szCs w:val="4"/>
              </w:rPr>
            </w:pPr>
            <w:r>
              <w:rPr>
                <w:sz w:val="4"/>
                <w:szCs w:val="4"/>
              </w:rPr>
            </w:r>
          </w:p>
        </w:tc>
      </w:tr>
      <w:tr>
        <w:trPr/>
        <w:tc>
          <w:tcPr>
            <w:tcW w:w="205" w:type="dxa"/>
            <w:tcBorders/>
            <w:shd w:fill="auto" w:val="clear"/>
          </w:tcPr>
          <w:p>
            <w:pPr>
              <w:pStyle w:val="TableContents"/>
              <w:spacing w:before="0" w:after="283"/>
              <w:rPr/>
            </w:pPr>
            <w:r>
              <w:rPr/>
              <w:t> </w:t>
            </w:r>
          </w:p>
        </w:tc>
        <w:tc>
          <w:tcPr>
            <w:tcW w:w="223" w:type="dxa"/>
            <w:tcBorders/>
            <w:shd w:fill="auto" w:val="clear"/>
          </w:tcPr>
          <w:p>
            <w:pPr>
              <w:pStyle w:val="TableContents"/>
              <w:spacing w:before="0" w:after="283"/>
              <w:jc w:val="left"/>
              <w:rPr/>
            </w:pPr>
            <w:r>
              <w:rPr/>
              <w:t>c)</w:t>
            </w:r>
          </w:p>
        </w:tc>
        <w:tc>
          <w:tcPr>
            <w:tcW w:w="106" w:type="dxa"/>
            <w:tcBorders/>
            <w:shd w:fill="auto" w:val="clear"/>
          </w:tcPr>
          <w:p>
            <w:pPr>
              <w:pStyle w:val="TableContents"/>
              <w:spacing w:before="0" w:after="283"/>
              <w:rPr/>
            </w:pPr>
            <w:r>
              <w:rPr/>
              <w:t> </w:t>
            </w:r>
          </w:p>
        </w:tc>
        <w:tc>
          <w:tcPr>
            <w:tcW w:w="967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205" w:type="dxa"/>
            <w:tcBorders/>
            <w:shd w:fill="auto" w:val="clear"/>
            <w:vAlign w:val="center"/>
          </w:tcPr>
          <w:p>
            <w:pPr>
              <w:pStyle w:val="TableContents"/>
              <w:spacing w:before="0" w:after="283"/>
              <w:rPr/>
            </w:pPr>
            <w:r>
              <w:rPr/>
              <w:t> </w:t>
            </w:r>
          </w:p>
        </w:tc>
        <w:tc>
          <w:tcPr>
            <w:tcW w:w="10000" w:type="dxa"/>
            <w:gridSpan w:val="3"/>
            <w:tcBorders/>
            <w:shd w:fill="auto" w:val="clear"/>
          </w:tcPr>
          <w:p>
            <w:pPr>
              <w:pStyle w:val="TableContents"/>
              <w:spacing w:before="0" w:after="283"/>
              <w:rPr>
                <w:sz w:val="4"/>
                <w:szCs w:val="4"/>
              </w:rPr>
            </w:pPr>
            <w:r>
              <w:rPr>
                <w:sz w:val="4"/>
                <w:szCs w:val="4"/>
              </w:rPr>
            </w:r>
          </w:p>
        </w:tc>
      </w:tr>
      <w:tr>
        <w:trPr/>
        <w:tc>
          <w:tcPr>
            <w:tcW w:w="205" w:type="dxa"/>
            <w:tcBorders/>
            <w:shd w:fill="auto" w:val="clear"/>
          </w:tcPr>
          <w:p>
            <w:pPr>
              <w:pStyle w:val="TableContents"/>
              <w:spacing w:before="0" w:after="283"/>
              <w:rPr/>
            </w:pPr>
            <w:r>
              <w:rPr/>
              <w:t> </w:t>
            </w:r>
          </w:p>
        </w:tc>
        <w:tc>
          <w:tcPr>
            <w:tcW w:w="223" w:type="dxa"/>
            <w:tcBorders/>
            <w:shd w:fill="auto" w:val="clear"/>
          </w:tcPr>
          <w:p>
            <w:pPr>
              <w:pStyle w:val="TableContents"/>
              <w:spacing w:before="0" w:after="283"/>
              <w:jc w:val="left"/>
              <w:rPr/>
            </w:pPr>
            <w:r>
              <w:rPr/>
              <w:t>d)</w:t>
            </w:r>
          </w:p>
        </w:tc>
        <w:tc>
          <w:tcPr>
            <w:tcW w:w="106" w:type="dxa"/>
            <w:tcBorders/>
            <w:shd w:fill="auto" w:val="clear"/>
          </w:tcPr>
          <w:p>
            <w:pPr>
              <w:pStyle w:val="TableContents"/>
              <w:spacing w:before="0" w:after="283"/>
              <w:rPr/>
            </w:pPr>
            <w:r>
              <w:rPr/>
              <w:t> </w:t>
            </w:r>
          </w:p>
        </w:tc>
        <w:tc>
          <w:tcPr>
            <w:tcW w:w="967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r>
    </w:tbl>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205"/>
        <w:gridCol w:w="221"/>
        <w:gridCol w:w="106"/>
        <w:gridCol w:w="9673"/>
      </w:tblGrid>
      <w:tr>
        <w:trPr/>
        <w:tc>
          <w:tcPr>
            <w:tcW w:w="205" w:type="dxa"/>
            <w:tcBorders/>
            <w:shd w:fill="auto" w:val="clear"/>
          </w:tcPr>
          <w:p>
            <w:pPr>
              <w:pStyle w:val="TableContents"/>
              <w:spacing w:before="0" w:after="283"/>
              <w:rPr/>
            </w:pPr>
            <w:r>
              <w:rPr/>
              <w:t> </w:t>
            </w:r>
          </w:p>
        </w:tc>
        <w:tc>
          <w:tcPr>
            <w:tcW w:w="221" w:type="dxa"/>
            <w:tcBorders/>
            <w:shd w:fill="auto" w:val="clear"/>
          </w:tcPr>
          <w:p>
            <w:pPr>
              <w:pStyle w:val="TableContents"/>
              <w:spacing w:before="0" w:after="283"/>
              <w:jc w:val="left"/>
              <w:rPr/>
            </w:pPr>
            <w:r>
              <w:rPr/>
              <w:t>a)</w:t>
            </w:r>
          </w:p>
        </w:tc>
        <w:tc>
          <w:tcPr>
            <w:tcW w:w="106" w:type="dxa"/>
            <w:tcBorders/>
            <w:shd w:fill="auto" w:val="clear"/>
          </w:tcPr>
          <w:p>
            <w:pPr>
              <w:pStyle w:val="TableContents"/>
              <w:spacing w:before="0" w:after="283"/>
              <w:rPr/>
            </w:pPr>
            <w:r>
              <w:rPr/>
              <w:t> </w:t>
            </w:r>
          </w:p>
        </w:tc>
        <w:tc>
          <w:tcPr>
            <w:tcW w:w="9673"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205" w:type="dxa"/>
            <w:tcBorders/>
            <w:shd w:fill="auto" w:val="clear"/>
            <w:vAlign w:val="center"/>
          </w:tcPr>
          <w:p>
            <w:pPr>
              <w:pStyle w:val="TableContents"/>
              <w:spacing w:before="0" w:after="283"/>
              <w:rPr/>
            </w:pPr>
            <w:r>
              <w:rPr/>
              <w:t> </w:t>
            </w:r>
          </w:p>
        </w:tc>
        <w:tc>
          <w:tcPr>
            <w:tcW w:w="10000" w:type="dxa"/>
            <w:gridSpan w:val="3"/>
            <w:tcBorders/>
            <w:shd w:fill="auto" w:val="clear"/>
          </w:tcPr>
          <w:p>
            <w:pPr>
              <w:pStyle w:val="TableContents"/>
              <w:spacing w:before="0" w:after="283"/>
              <w:rPr>
                <w:sz w:val="4"/>
                <w:szCs w:val="4"/>
              </w:rPr>
            </w:pPr>
            <w:r>
              <w:rPr>
                <w:sz w:val="4"/>
                <w:szCs w:val="4"/>
              </w:rPr>
            </w:r>
          </w:p>
        </w:tc>
      </w:tr>
      <w:tr>
        <w:trPr/>
        <w:tc>
          <w:tcPr>
            <w:tcW w:w="205" w:type="dxa"/>
            <w:tcBorders/>
            <w:shd w:fill="auto" w:val="clear"/>
          </w:tcPr>
          <w:p>
            <w:pPr>
              <w:pStyle w:val="TableContents"/>
              <w:spacing w:before="0" w:after="283"/>
              <w:rPr/>
            </w:pPr>
            <w:r>
              <w:rPr/>
              <w:t> </w:t>
            </w:r>
          </w:p>
        </w:tc>
        <w:tc>
          <w:tcPr>
            <w:tcW w:w="221" w:type="dxa"/>
            <w:tcBorders/>
            <w:shd w:fill="auto" w:val="clear"/>
          </w:tcPr>
          <w:p>
            <w:pPr>
              <w:pStyle w:val="TableContents"/>
              <w:spacing w:before="0" w:after="283"/>
              <w:jc w:val="left"/>
              <w:rPr/>
            </w:pPr>
            <w:r>
              <w:rPr/>
              <w:t>b)</w:t>
            </w:r>
          </w:p>
        </w:tc>
        <w:tc>
          <w:tcPr>
            <w:tcW w:w="106" w:type="dxa"/>
            <w:tcBorders/>
            <w:shd w:fill="auto" w:val="clear"/>
          </w:tcPr>
          <w:p>
            <w:pPr>
              <w:pStyle w:val="TableContents"/>
              <w:spacing w:before="0" w:after="283"/>
              <w:rPr/>
            </w:pPr>
            <w:r>
              <w:rPr/>
              <w:t> </w:t>
            </w:r>
          </w:p>
        </w:tc>
        <w:tc>
          <w:tcPr>
            <w:tcW w:w="9673"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tbl>
      <w:tblPr>
        <w:tblW w:w="5000" w:type="pct"/>
        <w:jc w:val="left"/>
        <w:tblInd w:w="0" w:type="dxa"/>
        <w:tblCellMar>
          <w:top w:w="0" w:type="dxa"/>
          <w:left w:w="0" w:type="dxa"/>
          <w:bottom w:w="0" w:type="dxa"/>
          <w:right w:w="0" w:type="dxa"/>
        </w:tblCellMar>
      </w:tblPr>
      <w:tblGrid>
        <w:gridCol w:w="4755"/>
        <w:gridCol w:w="348"/>
        <w:gridCol w:w="303"/>
        <w:gridCol w:w="3389"/>
        <w:gridCol w:w="1410"/>
      </w:tblGrid>
      <w:tr>
        <w:trPr/>
        <w:tc>
          <w:tcPr>
            <w:tcW w:w="4755"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3389" w:type="dxa"/>
            <w:tcBorders/>
            <w:shd w:fill="auto" w:val="clear"/>
            <w:vAlign w:val="center"/>
          </w:tcPr>
          <w:p>
            <w:pPr>
              <w:pStyle w:val="TableContents"/>
              <w:spacing w:before="0" w:after="283"/>
              <w:rPr/>
            </w:pPr>
            <w:r>
              <w:rPr/>
              <w:t>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Date: November 3, 2006 </w:t>
            </w:r>
          </w:p>
        </w:tc>
        <w:tc>
          <w:tcPr>
            <w:tcW w:w="4040" w:type="dxa"/>
            <w:gridSpan w:val="3"/>
            <w:tcBorders>
              <w:bottom w:val="single" w:sz="2" w:space="0" w:color="000000"/>
            </w:tcBorders>
            <w:shd w:fill="auto" w:val="clear"/>
            <w:tcMar>
              <w:bottom w:w="28" w:type="dxa"/>
            </w:tcMar>
            <w:vAlign w:val="center"/>
          </w:tcPr>
          <w:p>
            <w:pPr>
              <w:pStyle w:val="TableContents"/>
              <w:spacing w:before="0" w:after="283"/>
              <w:jc w:val="left"/>
              <w:rPr/>
            </w:pPr>
            <w:r>
              <w:rPr/>
              <w:t>By /s/ Ellen M. Ingersoll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Ellen M. Ingersoll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Chief Financial Officer </w:t>
            </w:r>
          </w:p>
        </w:tc>
        <w:tc>
          <w:tcPr>
            <w:tcW w:w="1410"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17" w:name="p73093exv32w1.htm"/>
      <w:bookmarkStart w:id="18" w:name="ksp73093exv32w1"/>
      <w:bookmarkEnd w:id="17"/>
      <w:bookmarkEnd w:id="18"/>
      <w:r>
        <w:rPr/>
        <w:t> </w:t>
      </w:r>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Paul B. Dykstra, Chief Executive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201"/>
        <w:gridCol w:w="125"/>
        <w:gridCol w:w="9879"/>
      </w:tblGrid>
      <w:tr>
        <w:trPr/>
        <w:tc>
          <w:tcPr>
            <w:tcW w:w="201" w:type="dxa"/>
            <w:tcBorders/>
            <w:shd w:fill="auto" w:val="clear"/>
          </w:tcPr>
          <w:p>
            <w:pPr>
              <w:pStyle w:val="TableContents"/>
              <w:spacing w:before="0" w:after="283"/>
              <w:jc w:val="left"/>
              <w:rPr/>
            </w:pPr>
            <w:r>
              <w:rPr/>
              <w:t>1.</w:t>
            </w:r>
          </w:p>
        </w:tc>
        <w:tc>
          <w:tcPr>
            <w:tcW w:w="125" w:type="dxa"/>
            <w:tcBorders/>
            <w:shd w:fill="auto" w:val="clear"/>
          </w:tcPr>
          <w:p>
            <w:pPr>
              <w:pStyle w:val="TableContents"/>
              <w:spacing w:before="0" w:after="283"/>
              <w:rPr/>
            </w:pPr>
            <w:r>
              <w:rPr/>
              <w:t> </w:t>
            </w:r>
          </w:p>
        </w:tc>
        <w:tc>
          <w:tcPr>
            <w:tcW w:w="9879" w:type="dxa"/>
            <w:tcBorders/>
            <w:shd w:fill="auto" w:val="clear"/>
          </w:tcPr>
          <w:p>
            <w:pPr>
              <w:pStyle w:val="TableContents"/>
              <w:spacing w:before="0" w:after="283"/>
              <w:rPr/>
            </w:pPr>
            <w:r>
              <w:rPr/>
              <w:t>the report on Form 10-Q of Viad Corp for the fiscal quarter ended September 30, 2006 (the Report) fully complies with the requirements of Section 13(a) or 15(d) of the Securities Exchange Act of 1934 (15 U.S.C. 78m or 78o(d)); and</w:t>
            </w:r>
          </w:p>
        </w:tc>
      </w:tr>
    </w:tbl>
    <w:tbl>
      <w:tblPr>
        <w:tblW w:w="5000" w:type="pct"/>
        <w:jc w:val="left"/>
        <w:tblInd w:w="0" w:type="dxa"/>
        <w:tblCellMar>
          <w:top w:w="0" w:type="dxa"/>
          <w:left w:w="0" w:type="dxa"/>
          <w:bottom w:w="0" w:type="dxa"/>
          <w:right w:w="0" w:type="dxa"/>
        </w:tblCellMar>
      </w:tblPr>
      <w:tblGrid>
        <w:gridCol w:w="210"/>
        <w:gridCol w:w="129"/>
        <w:gridCol w:w="9866"/>
      </w:tblGrid>
      <w:tr>
        <w:trPr/>
        <w:tc>
          <w:tcPr>
            <w:tcW w:w="210" w:type="dxa"/>
            <w:tcBorders/>
            <w:shd w:fill="auto" w:val="clear"/>
          </w:tcPr>
          <w:p>
            <w:pPr>
              <w:pStyle w:val="TableContents"/>
              <w:spacing w:before="0" w:after="283"/>
              <w:jc w:val="left"/>
              <w:rPr/>
            </w:pPr>
            <w:r>
              <w:rPr/>
              <w:t>2.</w:t>
            </w:r>
          </w:p>
        </w:tc>
        <w:tc>
          <w:tcPr>
            <w:tcW w:w="129" w:type="dxa"/>
            <w:tcBorders/>
            <w:shd w:fill="auto" w:val="clear"/>
          </w:tcPr>
          <w:p>
            <w:pPr>
              <w:pStyle w:val="TableContents"/>
              <w:spacing w:before="0" w:after="283"/>
              <w:rPr/>
            </w:pPr>
            <w:r>
              <w:rPr/>
              <w:t> </w:t>
            </w:r>
          </w:p>
        </w:tc>
        <w:tc>
          <w:tcPr>
            <w:tcW w:w="9866"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left"/>
        <w:tblInd w:w="0" w:type="dxa"/>
        <w:tblCellMar>
          <w:top w:w="0" w:type="dxa"/>
          <w:left w:w="0" w:type="dxa"/>
          <w:bottom w:w="0" w:type="dxa"/>
          <w:right w:w="0" w:type="dxa"/>
        </w:tblCellMar>
      </w:tblPr>
      <w:tblGrid>
        <w:gridCol w:w="4718"/>
        <w:gridCol w:w="462"/>
        <w:gridCol w:w="301"/>
        <w:gridCol w:w="3334"/>
        <w:gridCol w:w="1390"/>
      </w:tblGrid>
      <w:tr>
        <w:trPr/>
        <w:tc>
          <w:tcPr>
            <w:tcW w:w="4718"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334" w:type="dxa"/>
            <w:tcBorders/>
            <w:shd w:fill="auto" w:val="clear"/>
            <w:vAlign w:val="center"/>
          </w:tcPr>
          <w:p>
            <w:pPr>
              <w:pStyle w:val="TableContents"/>
              <w:spacing w:before="0" w:after="283"/>
              <w:rPr/>
            </w:pPr>
            <w:r>
              <w:rPr/>
              <w:t> </w:t>
            </w:r>
          </w:p>
        </w:tc>
        <w:tc>
          <w:tcPr>
            <w:tcW w:w="1390" w:type="dxa"/>
            <w:tcBorders/>
            <w:shd w:fill="auto" w:val="clear"/>
            <w:vAlign w:val="center"/>
          </w:tcPr>
          <w:p>
            <w:pPr>
              <w:pStyle w:val="TableContents"/>
              <w:spacing w:before="0" w:after="283"/>
              <w:rPr/>
            </w:pPr>
            <w:r>
              <w:rPr/>
              <w:t> </w:t>
            </w:r>
          </w:p>
        </w:tc>
      </w:tr>
      <w:tr>
        <w:trPr/>
        <w:tc>
          <w:tcPr>
            <w:tcW w:w="4718" w:type="dxa"/>
            <w:tcBorders/>
            <w:shd w:fill="auto" w:val="clear"/>
          </w:tcPr>
          <w:p>
            <w:pPr>
              <w:pStyle w:val="TableContents"/>
              <w:spacing w:before="0" w:after="283"/>
              <w:jc w:val="left"/>
              <w:rPr/>
            </w:pPr>
            <w:r>
              <w:rPr/>
              <w:t> </w:t>
            </w:r>
          </w:p>
        </w:tc>
        <w:tc>
          <w:tcPr>
            <w:tcW w:w="4097" w:type="dxa"/>
            <w:gridSpan w:val="3"/>
            <w:tcBorders/>
            <w:shd w:fill="auto" w:val="clear"/>
            <w:vAlign w:val="center"/>
          </w:tcPr>
          <w:p>
            <w:pPr>
              <w:pStyle w:val="TableContents"/>
              <w:spacing w:before="0" w:after="283"/>
              <w:jc w:val="left"/>
              <w:rPr/>
            </w:pPr>
            <w:r>
              <w:rPr/>
              <w:t> </w:t>
            </w:r>
          </w:p>
        </w:tc>
        <w:tc>
          <w:tcPr>
            <w:tcW w:w="1390" w:type="dxa"/>
            <w:tcBorders/>
            <w:shd w:fill="auto" w:val="clear"/>
            <w:vAlign w:val="center"/>
          </w:tcPr>
          <w:p>
            <w:pPr>
              <w:pStyle w:val="TableContents"/>
              <w:spacing w:before="0" w:after="283"/>
              <w:rPr/>
            </w:pPr>
            <w:r>
              <w:rPr/>
              <w:t> </w:t>
            </w:r>
          </w:p>
        </w:tc>
      </w:tr>
      <w:tr>
        <w:trPr/>
        <w:tc>
          <w:tcPr>
            <w:tcW w:w="4718" w:type="dxa"/>
            <w:tcBorders/>
            <w:shd w:fill="auto" w:val="clear"/>
            <w:vAlign w:val="center"/>
          </w:tcPr>
          <w:p>
            <w:pPr>
              <w:pStyle w:val="TableContents"/>
              <w:spacing w:before="0" w:after="283"/>
              <w:jc w:val="left"/>
              <w:rPr/>
            </w:pPr>
            <w:r>
              <w:rPr/>
              <w:t>Date: November 3, 2006 </w:t>
            </w:r>
          </w:p>
        </w:tc>
        <w:tc>
          <w:tcPr>
            <w:tcW w:w="4097" w:type="dxa"/>
            <w:gridSpan w:val="3"/>
            <w:tcBorders>
              <w:bottom w:val="single" w:sz="2" w:space="0" w:color="000000"/>
            </w:tcBorders>
            <w:shd w:fill="auto" w:val="clear"/>
            <w:tcMar>
              <w:bottom w:w="28" w:type="dxa"/>
            </w:tcMar>
            <w:vAlign w:val="center"/>
          </w:tcPr>
          <w:p>
            <w:pPr>
              <w:pStyle w:val="TableContents"/>
              <w:spacing w:before="0" w:after="283"/>
              <w:jc w:val="left"/>
              <w:rPr/>
            </w:pPr>
            <w:r>
              <w:rPr/>
              <w:t>By /s/ Paul B. Dykstra  </w:t>
            </w:r>
          </w:p>
        </w:tc>
        <w:tc>
          <w:tcPr>
            <w:tcW w:w="1390" w:type="dxa"/>
            <w:tcBorders/>
            <w:shd w:fill="auto" w:val="clear"/>
            <w:vAlign w:val="center"/>
          </w:tcPr>
          <w:p>
            <w:pPr>
              <w:pStyle w:val="TableContents"/>
              <w:spacing w:before="0" w:after="283"/>
              <w:rPr/>
            </w:pPr>
            <w:r>
              <w:rPr/>
              <w:t> </w:t>
            </w:r>
          </w:p>
        </w:tc>
      </w:tr>
      <w:tr>
        <w:trPr/>
        <w:tc>
          <w:tcPr>
            <w:tcW w:w="4718" w:type="dxa"/>
            <w:tcBorders/>
            <w:shd w:fill="auto" w:val="clear"/>
            <w:vAlign w:val="center"/>
          </w:tcPr>
          <w:p>
            <w:pPr>
              <w:pStyle w:val="TableContents"/>
              <w:spacing w:before="0" w:after="283"/>
              <w:jc w:val="left"/>
              <w:rPr/>
            </w:pPr>
            <w:r>
              <w:rPr/>
              <w:t> </w:t>
            </w:r>
          </w:p>
        </w:tc>
        <w:tc>
          <w:tcPr>
            <w:tcW w:w="4097" w:type="dxa"/>
            <w:gridSpan w:val="3"/>
            <w:tcBorders/>
            <w:shd w:fill="auto" w:val="clear"/>
            <w:vAlign w:val="center"/>
          </w:tcPr>
          <w:p>
            <w:pPr>
              <w:pStyle w:val="TableContents"/>
              <w:spacing w:before="0" w:after="283"/>
              <w:jc w:val="left"/>
              <w:rPr/>
            </w:pPr>
            <w:r>
              <w:rPr/>
              <w:t>Paul B. Dykstra </w:t>
            </w:r>
          </w:p>
        </w:tc>
        <w:tc>
          <w:tcPr>
            <w:tcW w:w="1390" w:type="dxa"/>
            <w:tcBorders/>
            <w:shd w:fill="auto" w:val="clear"/>
            <w:vAlign w:val="center"/>
          </w:tcPr>
          <w:p>
            <w:pPr>
              <w:pStyle w:val="TableContents"/>
              <w:spacing w:before="0" w:after="283"/>
              <w:rPr/>
            </w:pPr>
            <w:r>
              <w:rPr/>
              <w:t> </w:t>
            </w:r>
          </w:p>
        </w:tc>
      </w:tr>
      <w:tr>
        <w:trPr/>
        <w:tc>
          <w:tcPr>
            <w:tcW w:w="4718" w:type="dxa"/>
            <w:tcBorders/>
            <w:shd w:fill="auto" w:val="clear"/>
            <w:vAlign w:val="center"/>
          </w:tcPr>
          <w:p>
            <w:pPr>
              <w:pStyle w:val="TableContents"/>
              <w:spacing w:before="0" w:after="283"/>
              <w:jc w:val="left"/>
              <w:rPr/>
            </w:pPr>
            <w:r>
              <w:rPr/>
              <w:t> </w:t>
            </w:r>
          </w:p>
        </w:tc>
        <w:tc>
          <w:tcPr>
            <w:tcW w:w="4097" w:type="dxa"/>
            <w:gridSpan w:val="3"/>
            <w:tcBorders/>
            <w:shd w:fill="auto" w:val="clear"/>
            <w:vAlign w:val="center"/>
          </w:tcPr>
          <w:p>
            <w:pPr>
              <w:pStyle w:val="TableContents"/>
              <w:spacing w:before="0" w:after="283"/>
              <w:jc w:val="left"/>
              <w:rPr/>
            </w:pPr>
            <w:r>
              <w:rPr/>
              <w:t>Chief Executive Officer </w:t>
            </w:r>
          </w:p>
        </w:tc>
        <w:tc>
          <w:tcPr>
            <w:tcW w:w="1390"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19" w:name="p73093exv32w2.htm"/>
      <w:bookmarkStart w:id="20" w:name="ksp73093exv32w2"/>
      <w:bookmarkEnd w:id="19"/>
      <w:bookmarkEnd w:id="20"/>
      <w:r>
        <w:rPr/>
        <w:t> </w:t>
      </w:r>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Ellen M. Ingersoll, Chief Financial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201"/>
        <w:gridCol w:w="125"/>
        <w:gridCol w:w="9879"/>
      </w:tblGrid>
      <w:tr>
        <w:trPr/>
        <w:tc>
          <w:tcPr>
            <w:tcW w:w="201" w:type="dxa"/>
            <w:tcBorders/>
            <w:shd w:fill="auto" w:val="clear"/>
          </w:tcPr>
          <w:p>
            <w:pPr>
              <w:pStyle w:val="TableContents"/>
              <w:spacing w:before="0" w:after="283"/>
              <w:jc w:val="left"/>
              <w:rPr/>
            </w:pPr>
            <w:r>
              <w:rPr/>
              <w:t>1.</w:t>
            </w:r>
          </w:p>
        </w:tc>
        <w:tc>
          <w:tcPr>
            <w:tcW w:w="125" w:type="dxa"/>
            <w:tcBorders/>
            <w:shd w:fill="auto" w:val="clear"/>
          </w:tcPr>
          <w:p>
            <w:pPr>
              <w:pStyle w:val="TableContents"/>
              <w:spacing w:before="0" w:after="283"/>
              <w:rPr/>
            </w:pPr>
            <w:r>
              <w:rPr/>
              <w:t> </w:t>
            </w:r>
          </w:p>
        </w:tc>
        <w:tc>
          <w:tcPr>
            <w:tcW w:w="9879" w:type="dxa"/>
            <w:tcBorders/>
            <w:shd w:fill="auto" w:val="clear"/>
          </w:tcPr>
          <w:p>
            <w:pPr>
              <w:pStyle w:val="TableContents"/>
              <w:spacing w:before="0" w:after="283"/>
              <w:rPr/>
            </w:pPr>
            <w:r>
              <w:rPr/>
              <w:t>the report on Form 10-Q of Viad Corp for the fiscal quarter ended September 30, 2006 (the Report) fully complies with the requirements of Section 13(a) or 15(d) of the Securities Exchange Act of 1934 (15 U.S.C. 78m or 78o(d)); and</w:t>
            </w:r>
          </w:p>
        </w:tc>
      </w:tr>
    </w:tbl>
    <w:tbl>
      <w:tblPr>
        <w:tblW w:w="5000" w:type="pct"/>
        <w:jc w:val="left"/>
        <w:tblInd w:w="0" w:type="dxa"/>
        <w:tblCellMar>
          <w:top w:w="0" w:type="dxa"/>
          <w:left w:w="0" w:type="dxa"/>
          <w:bottom w:w="0" w:type="dxa"/>
          <w:right w:w="0" w:type="dxa"/>
        </w:tblCellMar>
      </w:tblPr>
      <w:tblGrid>
        <w:gridCol w:w="210"/>
        <w:gridCol w:w="129"/>
        <w:gridCol w:w="9866"/>
      </w:tblGrid>
      <w:tr>
        <w:trPr/>
        <w:tc>
          <w:tcPr>
            <w:tcW w:w="210" w:type="dxa"/>
            <w:tcBorders/>
            <w:shd w:fill="auto" w:val="clear"/>
          </w:tcPr>
          <w:p>
            <w:pPr>
              <w:pStyle w:val="TableContents"/>
              <w:spacing w:before="0" w:after="283"/>
              <w:jc w:val="left"/>
              <w:rPr/>
            </w:pPr>
            <w:r>
              <w:rPr/>
              <w:t>2.</w:t>
            </w:r>
          </w:p>
        </w:tc>
        <w:tc>
          <w:tcPr>
            <w:tcW w:w="129" w:type="dxa"/>
            <w:tcBorders/>
            <w:shd w:fill="auto" w:val="clear"/>
          </w:tcPr>
          <w:p>
            <w:pPr>
              <w:pStyle w:val="TableContents"/>
              <w:spacing w:before="0" w:after="283"/>
              <w:rPr/>
            </w:pPr>
            <w:r>
              <w:rPr/>
              <w:t> </w:t>
            </w:r>
          </w:p>
        </w:tc>
        <w:tc>
          <w:tcPr>
            <w:tcW w:w="9866"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left"/>
        <w:tblInd w:w="0" w:type="dxa"/>
        <w:tblCellMar>
          <w:top w:w="0" w:type="dxa"/>
          <w:left w:w="0" w:type="dxa"/>
          <w:bottom w:w="0" w:type="dxa"/>
          <w:right w:w="0" w:type="dxa"/>
        </w:tblCellMar>
      </w:tblPr>
      <w:tblGrid>
        <w:gridCol w:w="4755"/>
        <w:gridCol w:w="348"/>
        <w:gridCol w:w="303"/>
        <w:gridCol w:w="3389"/>
        <w:gridCol w:w="1410"/>
      </w:tblGrid>
      <w:tr>
        <w:trPr/>
        <w:tc>
          <w:tcPr>
            <w:tcW w:w="4755"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3389" w:type="dxa"/>
            <w:tcBorders/>
            <w:shd w:fill="auto" w:val="clear"/>
            <w:vAlign w:val="center"/>
          </w:tcPr>
          <w:p>
            <w:pPr>
              <w:pStyle w:val="TableContents"/>
              <w:spacing w:before="0" w:after="283"/>
              <w:rPr/>
            </w:pPr>
            <w:r>
              <w:rPr/>
              <w:t>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Date: November 3, 2006 </w:t>
            </w:r>
          </w:p>
        </w:tc>
        <w:tc>
          <w:tcPr>
            <w:tcW w:w="4040" w:type="dxa"/>
            <w:gridSpan w:val="3"/>
            <w:tcBorders>
              <w:bottom w:val="single" w:sz="2" w:space="0" w:color="000000"/>
            </w:tcBorders>
            <w:shd w:fill="auto" w:val="clear"/>
            <w:tcMar>
              <w:bottom w:w="28" w:type="dxa"/>
            </w:tcMar>
            <w:vAlign w:val="center"/>
          </w:tcPr>
          <w:p>
            <w:pPr>
              <w:pStyle w:val="TableContents"/>
              <w:spacing w:before="0" w:after="283"/>
              <w:jc w:val="left"/>
              <w:rPr/>
            </w:pPr>
            <w:r>
              <w:rPr/>
              <w:t>By /s/ Ellen M. Ingersoll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Ellen M. Ingersoll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Chief Financial Officer </w:t>
            </w:r>
          </w:p>
        </w:tc>
        <w:tc>
          <w:tcPr>
            <w:tcW w:w="141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0" w:after="0"/>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36</Pages>
  <Words>21558</Words>
  <CharactersWithSpaces>140420</CharactersWithSpaces>
  <Paragraphs>6514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exv32w2</dc:title>
</cp:coreProperties>
</file>