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p72295e10vq.htm"/>
        <w:bookmarkStart w:id="1" w:name="ksp72295e10vq"/>
        <w:bookmarkEnd w:id="0"/>
        <w:bookmarkEnd w:id="1"/>
        <w:r>
          <w:rPr>
            <w:rStyle w:val="InternetLink"/>
          </w:rPr>
          <w:t>Table of Contents</w:t>
        </w:r>
      </w:hyperlink>
    </w:p>
    <w:p>
      <w:pPr>
        <w:pStyle w:val="TextBody"/>
        <w:spacing w:before="200" w:after="283"/>
        <w:rPr>
          <w:bdr w:val="single" w:sz="16" w:space="1" w:color="000000"/>
        </w:rPr>
      </w:pPr>
      <w:r>
        <w:rPr>
          <w:bdr w:val="single" w:sz="16" w:space="1" w:color="000000"/>
        </w:rPr>
        <w:t> </w:t>
      </w:r>
    </w:p>
    <w:p>
      <w:pPr>
        <w:pStyle w:val="TextBody"/>
        <w:spacing w:before="0" w:after="0"/>
        <w:rPr>
          <w:bdr w:val="single" w:sz="8" w:space="1" w:color="000000"/>
        </w:rPr>
      </w:pPr>
      <w:r>
        <w:rPr>
          <w:bdr w:val="single" w:sz="8" w:space="1" w:color="000000"/>
        </w:rPr>
        <w:t> </w:t>
      </w:r>
    </w:p>
    <w:p>
      <w:pPr>
        <w:pStyle w:val="TextBody"/>
        <w:spacing w:before="240" w:after="283"/>
        <w:jc w:val="center"/>
        <w:rPr>
          <w:rFonts w:ascii="Times New Roman;Times;serif" w:hAnsi="Times New Roman;Times;serif"/>
          <w:sz w:val="23"/>
        </w:rPr>
      </w:pPr>
      <w:r>
        <w:rPr>
          <w:rFonts w:ascii="Times New Roman;Times;serif" w:hAnsi="Times New Roman;Times;serif"/>
          <w:b/>
          <w:sz w:val="23"/>
        </w:rPr>
        <w:t xml:space="preserve">UNITED STATES </w:t>
        <w:br/>
        <w:t>SECURITIES AND EXCHANGE COMMISSION</w:t>
      </w:r>
      <w:r>
        <w:rPr>
          <w:rFonts w:ascii="Times New Roman;Times;serif" w:hAnsi="Times New Roman;Times;serif"/>
          <w:sz w:val="23"/>
        </w:rPr>
        <w:t xml:space="preserve"> </w:t>
      </w:r>
    </w:p>
    <w:p>
      <w:pPr>
        <w:pStyle w:val="TextBody"/>
        <w:spacing w:before="0" w:after="0"/>
        <w:jc w:val="center"/>
        <w:rPr>
          <w:rFonts w:ascii="Times New Roman;Times;serif" w:hAnsi="Times New Roman;Times;serif"/>
          <w:sz w:val="20"/>
        </w:rPr>
      </w:pPr>
      <w:r>
        <w:rPr>
          <w:rFonts w:ascii="Times New Roman;Times;serif" w:hAnsi="Times New Roman;Times;serif"/>
          <w:b/>
          <w:sz w:val="20"/>
        </w:rPr>
        <w:t>Washington, D.C. 20549</w:t>
      </w:r>
      <w:r>
        <w:rPr>
          <w:rFonts w:ascii="Times New Roman;Times;serif" w:hAnsi="Times New Roman;Times;serif"/>
          <w:sz w:val="20"/>
        </w:rPr>
        <w:t xml:space="preserve"> </w:t>
      </w:r>
    </w:p>
    <w:p>
      <w:pPr>
        <w:pStyle w:val="TextBody"/>
        <w:spacing w:before="240" w:after="283"/>
        <w:jc w:val="center"/>
        <w:rPr>
          <w:rFonts w:ascii="Times New Roman;Times;serif" w:hAnsi="Times New Roman;Times;serif"/>
          <w:sz w:val="30"/>
        </w:rPr>
      </w:pPr>
      <w:r>
        <w:rPr>
          <w:rFonts w:ascii="Times New Roman;Times;serif" w:hAnsi="Times New Roman;Times;serif"/>
          <w:b/>
          <w:sz w:val="30"/>
        </w:rPr>
        <w:t>FORM 10-Q</w:t>
      </w:r>
      <w:r>
        <w:rPr>
          <w:rFonts w:ascii="Times New Roman;Times;serif" w:hAnsi="Times New Roman;Times;serif"/>
          <w:sz w:val="30"/>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(Mark one)</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713"/>
        <w:gridCol w:w="509"/>
        <w:gridCol w:w="8983"/>
      </w:tblGrid>
      <w:tr>
        <w:trPr/>
        <w:tc>
          <w:tcPr>
            <w:tcW w:w="713" w:type="dxa"/>
            <w:tcBorders/>
            <w:shd w:fill="auto" w:val="clear"/>
            <w:vAlign w:val="center"/>
          </w:tcPr>
          <w:p>
            <w:pPr>
              <w:pStyle w:val="TableContents"/>
              <w:spacing w:before="0" w:after="283"/>
              <w:rPr/>
            </w:pPr>
            <w:r>
              <w:rPr/>
              <w:t> </w:t>
            </w:r>
          </w:p>
        </w:tc>
        <w:tc>
          <w:tcPr>
            <w:tcW w:w="509" w:type="dxa"/>
            <w:tcBorders/>
            <w:shd w:fill="auto" w:val="clear"/>
            <w:vAlign w:val="center"/>
          </w:tcPr>
          <w:p>
            <w:pPr>
              <w:pStyle w:val="TableContents"/>
              <w:spacing w:before="0" w:after="283"/>
              <w:rPr/>
            </w:pPr>
            <w:r>
              <w:rPr/>
              <w:t> </w:t>
            </w:r>
          </w:p>
        </w:tc>
        <w:tc>
          <w:tcPr>
            <w:tcW w:w="8983" w:type="dxa"/>
            <w:tcBorders/>
            <w:shd w:fill="auto" w:val="clear"/>
            <w:vAlign w:val="center"/>
          </w:tcPr>
          <w:p>
            <w:pPr>
              <w:pStyle w:val="TableContents"/>
              <w:spacing w:before="0" w:after="283"/>
              <w:rPr/>
            </w:pPr>
            <w:r>
              <w:rPr/>
              <w:t> </w:t>
            </w:r>
          </w:p>
        </w:tc>
      </w:tr>
      <w:tr>
        <w:trPr/>
        <w:tc>
          <w:tcPr>
            <w:tcW w:w="713" w:type="dxa"/>
            <w:tcBorders/>
            <w:shd w:fill="auto" w:val="clear"/>
          </w:tcPr>
          <w:p>
            <w:pPr>
              <w:pStyle w:val="TableContents"/>
              <w:spacing w:before="0" w:after="283"/>
              <w:jc w:val="left"/>
              <w:rPr/>
            </w:pPr>
            <w:r>
              <w:rPr/>
              <w:t>☑</w:t>
            </w:r>
          </w:p>
        </w:tc>
        <w:tc>
          <w:tcPr>
            <w:tcW w:w="509"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b/>
              </w:rPr>
            </w:pPr>
            <w:r>
              <w:rPr>
                <w:b/>
              </w:rPr>
              <w:t>QUARTERLY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quarterly period ended </w:t>
      </w:r>
      <w:r>
        <w:rPr>
          <w:rFonts w:ascii="Times New Roman;Times;serif" w:hAnsi="Times New Roman;Times;serif"/>
          <w:b/>
          <w:sz w:val="17"/>
          <w:u w:val="single"/>
        </w:rPr>
        <w:t>March 31, 2006</w:t>
      </w:r>
      <w:r>
        <w:rPr>
          <w:rFonts w:ascii="Times New Roman;Times;serif" w:hAnsi="Times New Roman;Times;serif"/>
          <w:b/>
          <w:sz w:val="17"/>
        </w:rPr>
        <w:t xml:space="preserve"> </w:t>
      </w:r>
    </w:p>
    <w:p>
      <w:pPr>
        <w:pStyle w:val="TextBody"/>
        <w:spacing w:before="240" w:after="283"/>
        <w:jc w:val="center"/>
        <w:rPr>
          <w:rFonts w:ascii="Times New Roman;Times;serif" w:hAnsi="Times New Roman;Times;serif"/>
          <w:b/>
          <w:sz w:val="17"/>
        </w:rPr>
      </w:pPr>
      <w:r>
        <w:rPr>
          <w:rFonts w:ascii="Times New Roman;Times;serif" w:hAnsi="Times New Roman;Times;serif"/>
          <w:b/>
          <w:sz w:val="17"/>
        </w:rPr>
        <w:t>or</w:t>
      </w:r>
    </w:p>
    <w:tbl>
      <w:tblPr>
        <w:tblW w:w="5000" w:type="pct"/>
        <w:jc w:val="center"/>
        <w:tblInd w:w="0" w:type="dxa"/>
        <w:tblCellMar>
          <w:top w:w="0" w:type="dxa"/>
          <w:left w:w="0" w:type="dxa"/>
          <w:bottom w:w="0" w:type="dxa"/>
          <w:right w:w="0" w:type="dxa"/>
        </w:tblCellMar>
      </w:tblPr>
      <w:tblGrid>
        <w:gridCol w:w="714"/>
        <w:gridCol w:w="507"/>
        <w:gridCol w:w="8984"/>
      </w:tblGrid>
      <w:tr>
        <w:trPr/>
        <w:tc>
          <w:tcPr>
            <w:tcW w:w="714" w:type="dxa"/>
            <w:tcBorders/>
            <w:shd w:fill="auto" w:val="clear"/>
            <w:vAlign w:val="center"/>
          </w:tcPr>
          <w:p>
            <w:pPr>
              <w:pStyle w:val="TableContents"/>
              <w:spacing w:before="0" w:after="283"/>
              <w:rPr/>
            </w:pPr>
            <w:r>
              <w:rPr/>
              <w:t> </w:t>
            </w:r>
          </w:p>
        </w:tc>
        <w:tc>
          <w:tcPr>
            <w:tcW w:w="507" w:type="dxa"/>
            <w:tcBorders/>
            <w:shd w:fill="auto" w:val="clear"/>
            <w:vAlign w:val="center"/>
          </w:tcPr>
          <w:p>
            <w:pPr>
              <w:pStyle w:val="TableContents"/>
              <w:spacing w:before="0" w:after="283"/>
              <w:rPr/>
            </w:pPr>
            <w:r>
              <w:rPr/>
              <w:t> </w:t>
            </w:r>
          </w:p>
        </w:tc>
        <w:tc>
          <w:tcPr>
            <w:tcW w:w="8984" w:type="dxa"/>
            <w:tcBorders/>
            <w:shd w:fill="auto" w:val="clear"/>
            <w:vAlign w:val="center"/>
          </w:tcPr>
          <w:p>
            <w:pPr>
              <w:pStyle w:val="TableContents"/>
              <w:spacing w:before="0" w:after="283"/>
              <w:rPr/>
            </w:pPr>
            <w:r>
              <w:rPr/>
              <w:t> </w:t>
            </w:r>
          </w:p>
        </w:tc>
      </w:tr>
      <w:tr>
        <w:trPr/>
        <w:tc>
          <w:tcPr>
            <w:tcW w:w="714" w:type="dxa"/>
            <w:tcBorders/>
            <w:shd w:fill="auto" w:val="clear"/>
          </w:tcPr>
          <w:p>
            <w:pPr>
              <w:pStyle w:val="TableContents"/>
              <w:spacing w:before="0" w:after="283"/>
              <w:jc w:val="left"/>
              <w:rPr>
                <w:rFonts w:ascii="Wingdings" w:hAnsi="Wingdings"/>
              </w:rPr>
            </w:pPr>
            <w:r>
              <w:rPr>
                <w:rFonts w:ascii="Wingdings" w:hAnsi="Wingdings"/>
              </w:rPr>
              <w:t>o</w:t>
            </w:r>
          </w:p>
        </w:tc>
        <w:tc>
          <w:tcPr>
            <w:tcW w:w="507" w:type="dxa"/>
            <w:tcBorders/>
            <w:shd w:fill="auto" w:val="clear"/>
          </w:tcPr>
          <w:p>
            <w:pPr>
              <w:pStyle w:val="TableContents"/>
              <w:spacing w:before="0" w:after="283"/>
              <w:rPr/>
            </w:pPr>
            <w:r>
              <w:rPr/>
              <w:t> </w:t>
            </w:r>
          </w:p>
        </w:tc>
        <w:tc>
          <w:tcPr>
            <w:tcW w:w="8984" w:type="dxa"/>
            <w:tcBorders/>
            <w:shd w:fill="auto" w:val="clear"/>
          </w:tcPr>
          <w:p>
            <w:pPr>
              <w:pStyle w:val="TableContents"/>
              <w:spacing w:before="0" w:after="283"/>
              <w:rPr>
                <w:b/>
              </w:rPr>
            </w:pPr>
            <w:r>
              <w:rPr>
                <w:b/>
              </w:rPr>
              <w:t>TRANSITION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transition period from </w:t>
      </w:r>
      <w:r>
        <w:rPr>
          <w:rFonts w:ascii="Times New Roman;Times;serif" w:hAnsi="Times New Roman;Times;serif"/>
          <w:b/>
          <w:sz w:val="17"/>
          <w:u w:val="single"/>
        </w:rPr>
        <w:t>                    </w:t>
      </w:r>
      <w:r>
        <w:rPr>
          <w:rFonts w:ascii="Times New Roman;Times;serif" w:hAnsi="Times New Roman;Times;serif"/>
          <w:b/>
          <w:sz w:val="17"/>
        </w:rPr>
        <w:t xml:space="preserve"> to </w:t>
      </w:r>
      <w:r>
        <w:rPr>
          <w:rFonts w:ascii="Times New Roman;Times;serif" w:hAnsi="Times New Roman;Times;serif"/>
          <w:b/>
          <w:sz w:val="17"/>
          <w:u w:val="single"/>
        </w:rPr>
        <w:t>                    </w:t>
      </w:r>
      <w:r>
        <w:rPr>
          <w:rFonts w:ascii="Times New Roman;Times;serif" w:hAnsi="Times New Roman;Times;serif"/>
          <w:b/>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Commission File Number:</w:t>
      </w:r>
      <w:r>
        <w:rPr>
          <w:rFonts w:ascii="Times New Roman;Times;serif" w:hAnsi="Times New Roman;Times;serif"/>
          <w:sz w:val="17"/>
        </w:rPr>
        <w:t xml:space="preserve"> </w:t>
      </w:r>
      <w:r>
        <w:rPr>
          <w:rFonts w:ascii="Times New Roman;Times;serif" w:hAnsi="Times New Roman;Times;serif"/>
          <w:b/>
          <w:sz w:val="17"/>
          <w:u w:val="single"/>
        </w:rPr>
        <w:t>001-11015</w:t>
      </w:r>
      <w:r>
        <w:rPr>
          <w:rFonts w:ascii="Times New Roman;Times;serif" w:hAnsi="Times New Roman;Times;serif"/>
          <w:sz w:val="17"/>
        </w:rPr>
        <w:t xml:space="preserve"> </w:t>
      </w:r>
    </w:p>
    <w:p>
      <w:pPr>
        <w:pStyle w:val="TextBody"/>
        <w:spacing w:before="240" w:after="283"/>
        <w:jc w:val="center"/>
        <w:rPr>
          <w:rFonts w:ascii="Times New Roman;Times;serif" w:hAnsi="Times New Roman;Times;serif"/>
          <w:sz w:val="40"/>
        </w:rPr>
      </w:pPr>
      <w:r>
        <w:rPr>
          <w:rFonts w:ascii="Times New Roman;Times;serif" w:hAnsi="Times New Roman;Times;serif"/>
          <w:b/>
          <w:sz w:val="40"/>
          <w:bdr w:val="single" w:sz="2" w:space="1" w:color="000000"/>
        </w:rPr>
        <w:t>VIAD CORP</w:t>
      </w:r>
      <w:r>
        <w:rPr>
          <w:rFonts w:ascii="Times New Roman;Times;serif" w:hAnsi="Times New Roman;Times;serif"/>
          <w:sz w:val="40"/>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sz w:val="17"/>
        </w:rPr>
        <w:t>(Exact name of registrant as specified in its charter)</w:t>
      </w:r>
    </w:p>
    <w:tbl>
      <w:tblPr>
        <w:tblW w:w="5000" w:type="pct"/>
        <w:jc w:val="center"/>
        <w:tblInd w:w="0" w:type="dxa"/>
        <w:tblCellMar>
          <w:top w:w="0" w:type="dxa"/>
          <w:left w:w="0" w:type="dxa"/>
          <w:bottom w:w="0" w:type="dxa"/>
          <w:right w:w="0" w:type="dxa"/>
        </w:tblCellMar>
      </w:tblPr>
      <w:tblGrid>
        <w:gridCol w:w="4844"/>
        <w:gridCol w:w="516"/>
        <w:gridCol w:w="4845"/>
      </w:tblGrid>
      <w:tr>
        <w:trPr/>
        <w:tc>
          <w:tcPr>
            <w:tcW w:w="4844" w:type="dxa"/>
            <w:tcBorders/>
            <w:shd w:fill="auto" w:val="clear"/>
            <w:vAlign w:val="bottom"/>
          </w:tcPr>
          <w:p>
            <w:pPr>
              <w:pStyle w:val="TableContents"/>
              <w:spacing w:before="0" w:after="283"/>
              <w:rPr/>
            </w:pPr>
            <w:r>
              <w:rPr/>
              <w:t> </w:t>
            </w:r>
          </w:p>
        </w:tc>
        <w:tc>
          <w:tcPr>
            <w:tcW w:w="516" w:type="dxa"/>
            <w:tcBorders/>
            <w:shd w:fill="auto" w:val="clear"/>
            <w:vAlign w:val="bottom"/>
          </w:tcPr>
          <w:p>
            <w:pPr>
              <w:pStyle w:val="TableContents"/>
              <w:spacing w:before="0" w:after="283"/>
              <w:rPr/>
            </w:pPr>
            <w:r>
              <w:rPr/>
              <w:t> </w:t>
            </w:r>
          </w:p>
        </w:tc>
        <w:tc>
          <w:tcPr>
            <w:tcW w:w="4845" w:type="dxa"/>
            <w:tcBorders/>
            <w:shd w:fill="auto" w:val="clear"/>
            <w:vAlign w:val="bottom"/>
          </w:tcPr>
          <w:p>
            <w:pPr>
              <w:pStyle w:val="TableContents"/>
              <w:spacing w:before="0" w:after="283"/>
              <w:rPr/>
            </w:pPr>
            <w:r>
              <w:rPr/>
              <w:t> </w:t>
            </w:r>
          </w:p>
        </w:tc>
      </w:tr>
      <w:tr>
        <w:trPr/>
        <w:tc>
          <w:tcPr>
            <w:tcW w:w="4844" w:type="dxa"/>
            <w:tcBorders/>
            <w:shd w:fill="auto" w:val="clear"/>
          </w:tcPr>
          <w:p>
            <w:pPr>
              <w:pStyle w:val="TableContents"/>
              <w:spacing w:before="0" w:after="283"/>
              <w:jc w:val="center"/>
              <w:rPr/>
            </w:pPr>
            <w:r>
              <w:rPr>
                <w:b/>
              </w:rPr>
              <w:t>Delaware</w:t>
            </w:r>
            <w:r>
              <w:rPr/>
              <w:t xml:space="preserve"> </w:t>
            </w:r>
          </w:p>
        </w:tc>
        <w:tc>
          <w:tcPr>
            <w:tcW w:w="516" w:type="dxa"/>
            <w:tcBorders/>
            <w:shd w:fill="auto" w:val="clear"/>
            <w:vAlign w:val="bottom"/>
          </w:tcPr>
          <w:p>
            <w:pPr>
              <w:pStyle w:val="TableContents"/>
              <w:spacing w:before="0" w:after="283"/>
              <w:rPr/>
            </w:pPr>
            <w:r>
              <w:rPr/>
              <w:t> </w:t>
            </w:r>
          </w:p>
        </w:tc>
        <w:tc>
          <w:tcPr>
            <w:tcW w:w="4845" w:type="dxa"/>
            <w:tcBorders/>
            <w:shd w:fill="auto" w:val="clear"/>
          </w:tcPr>
          <w:p>
            <w:pPr>
              <w:pStyle w:val="TableContents"/>
              <w:spacing w:before="0" w:after="283"/>
              <w:jc w:val="center"/>
              <w:rPr>
                <w:b/>
              </w:rPr>
            </w:pPr>
            <w:r>
              <w:rPr>
                <w:b/>
              </w:rPr>
              <w:t>36-1169950</w:t>
            </w:r>
          </w:p>
        </w:tc>
      </w:tr>
      <w:tr>
        <w:trPr/>
        <w:tc>
          <w:tcPr>
            <w:tcW w:w="4844" w:type="dxa"/>
            <w:tcBorders>
              <w:top w:val="single" w:sz="2" w:space="0" w:color="000000"/>
            </w:tcBorders>
            <w:shd w:fill="auto" w:val="clear"/>
            <w:tcMar>
              <w:top w:w="28" w:type="dxa"/>
            </w:tcMar>
          </w:tcPr>
          <w:p>
            <w:pPr>
              <w:pStyle w:val="TableContents"/>
              <w:spacing w:before="0" w:after="283"/>
              <w:jc w:val="center"/>
              <w:rPr/>
            </w:pPr>
            <w:r>
              <w:rPr/>
              <w:t xml:space="preserve">  </w:t>
            </w:r>
          </w:p>
        </w:tc>
        <w:tc>
          <w:tcPr>
            <w:tcW w:w="516" w:type="dxa"/>
            <w:tcBorders/>
            <w:shd w:fill="auto" w:val="clear"/>
            <w:vAlign w:val="center"/>
          </w:tcPr>
          <w:p>
            <w:pPr>
              <w:pStyle w:val="TableContents"/>
              <w:spacing w:before="0" w:after="283"/>
              <w:rPr/>
            </w:pPr>
            <w:r>
              <w:rPr/>
              <w:t> </w:t>
            </w:r>
          </w:p>
        </w:tc>
        <w:tc>
          <w:tcPr>
            <w:tcW w:w="4845" w:type="dxa"/>
            <w:tcBorders>
              <w:top w:val="single" w:sz="2" w:space="0" w:color="000000"/>
            </w:tcBorders>
            <w:shd w:fill="auto" w:val="clear"/>
            <w:tcMar>
              <w:top w:w="28" w:type="dxa"/>
            </w:tcMar>
          </w:tcPr>
          <w:p>
            <w:pPr>
              <w:pStyle w:val="TableContents"/>
              <w:spacing w:before="0" w:after="283"/>
              <w:jc w:val="center"/>
              <w:rPr/>
            </w:pPr>
            <w:r>
              <w:rPr/>
              <w:t> </w:t>
            </w:r>
          </w:p>
        </w:tc>
      </w:tr>
      <w:tr>
        <w:trPr/>
        <w:tc>
          <w:tcPr>
            <w:tcW w:w="4844" w:type="dxa"/>
            <w:tcBorders/>
            <w:shd w:fill="auto" w:val="clear"/>
          </w:tcPr>
          <w:p>
            <w:pPr>
              <w:pStyle w:val="TableContents"/>
              <w:spacing w:before="0" w:after="283"/>
              <w:jc w:val="center"/>
              <w:rPr/>
            </w:pPr>
            <w:r>
              <w:rPr/>
              <w:t>(State or other jurisdiction of</w:t>
              <w:br/>
              <w:t xml:space="preserve">incorporation or organization) </w:t>
            </w:r>
          </w:p>
        </w:tc>
        <w:tc>
          <w:tcPr>
            <w:tcW w:w="516" w:type="dxa"/>
            <w:tcBorders/>
            <w:shd w:fill="auto" w:val="clear"/>
            <w:vAlign w:val="bottom"/>
          </w:tcPr>
          <w:p>
            <w:pPr>
              <w:pStyle w:val="TableContents"/>
              <w:spacing w:before="0" w:after="283"/>
              <w:rPr/>
            </w:pPr>
            <w:r>
              <w:rPr/>
              <w:t> </w:t>
            </w:r>
          </w:p>
        </w:tc>
        <w:tc>
          <w:tcPr>
            <w:tcW w:w="4845" w:type="dxa"/>
            <w:tcBorders/>
            <w:shd w:fill="auto" w:val="clear"/>
          </w:tcPr>
          <w:p>
            <w:pPr>
              <w:pStyle w:val="TableContents"/>
              <w:spacing w:before="0" w:after="283"/>
              <w:jc w:val="center"/>
              <w:rPr/>
            </w:pPr>
            <w:r>
              <w:rPr/>
              <w:t>(I.R.S. Employer Identification No.)</w:t>
            </w:r>
          </w:p>
        </w:tc>
      </w:tr>
    </w:tbl>
    <w:tbl>
      <w:tblPr>
        <w:tblW w:w="5000" w:type="pct"/>
        <w:jc w:val="center"/>
        <w:tblInd w:w="0" w:type="dxa"/>
        <w:tblCellMar>
          <w:top w:w="0" w:type="dxa"/>
          <w:left w:w="0" w:type="dxa"/>
          <w:bottom w:w="0" w:type="dxa"/>
          <w:right w:w="0" w:type="dxa"/>
        </w:tblCellMar>
      </w:tblPr>
      <w:tblGrid>
        <w:gridCol w:w="4846"/>
        <w:gridCol w:w="512"/>
        <w:gridCol w:w="4847"/>
      </w:tblGrid>
      <w:tr>
        <w:trPr/>
        <w:tc>
          <w:tcPr>
            <w:tcW w:w="4846"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rPr/>
            </w:pPr>
            <w:r>
              <w:rPr/>
              <w:t> </w:t>
            </w:r>
          </w:p>
        </w:tc>
        <w:tc>
          <w:tcPr>
            <w:tcW w:w="4847" w:type="dxa"/>
            <w:tcBorders/>
            <w:shd w:fill="auto" w:val="clear"/>
            <w:vAlign w:val="bottom"/>
          </w:tcPr>
          <w:p>
            <w:pPr>
              <w:pStyle w:val="TableContents"/>
              <w:spacing w:before="0" w:after="283"/>
              <w:rPr/>
            </w:pPr>
            <w:r>
              <w:rPr/>
              <w:t> </w:t>
            </w:r>
          </w:p>
        </w:tc>
      </w:tr>
      <w:tr>
        <w:trPr/>
        <w:tc>
          <w:tcPr>
            <w:tcW w:w="4846" w:type="dxa"/>
            <w:tcBorders/>
            <w:shd w:fill="auto" w:val="clear"/>
          </w:tcPr>
          <w:p>
            <w:pPr>
              <w:pStyle w:val="TableContents"/>
              <w:spacing w:before="0" w:after="283"/>
              <w:jc w:val="center"/>
              <w:rPr/>
            </w:pPr>
            <w:r>
              <w:rPr>
                <w:b/>
              </w:rPr>
              <w:t>1850 North Central Avenue, Suite 800</w:t>
              <w:br/>
              <w:t>Phoenix, Arizona</w:t>
            </w:r>
            <w:r>
              <w:rPr/>
              <w:t xml:space="preserve"> </w:t>
            </w:r>
          </w:p>
        </w:tc>
        <w:tc>
          <w:tcPr>
            <w:tcW w:w="512" w:type="dxa"/>
            <w:tcBorders/>
            <w:shd w:fill="auto" w:val="clear"/>
            <w:vAlign w:val="bottom"/>
          </w:tcPr>
          <w:p>
            <w:pPr>
              <w:pStyle w:val="TableContents"/>
              <w:spacing w:before="0" w:after="283"/>
              <w:rPr/>
            </w:pPr>
            <w:r>
              <w:rPr/>
              <w:t> </w:t>
            </w:r>
          </w:p>
        </w:tc>
        <w:tc>
          <w:tcPr>
            <w:tcW w:w="4847" w:type="dxa"/>
            <w:tcBorders/>
            <w:shd w:fill="auto" w:val="clear"/>
            <w:vAlign w:val="bottom"/>
          </w:tcPr>
          <w:p>
            <w:pPr>
              <w:pStyle w:val="TableContents"/>
              <w:spacing w:before="0" w:after="283"/>
              <w:jc w:val="center"/>
              <w:rPr/>
            </w:pPr>
            <w:r>
              <w:rPr>
                <w:b/>
              </w:rPr>
              <w:t>85004-4545</w:t>
            </w:r>
            <w:r>
              <w:rPr/>
              <w:t xml:space="preserve"> </w:t>
            </w:r>
          </w:p>
        </w:tc>
      </w:tr>
      <w:tr>
        <w:trPr/>
        <w:tc>
          <w:tcPr>
            <w:tcW w:w="4846" w:type="dxa"/>
            <w:tcBorders>
              <w:top w:val="single" w:sz="2" w:space="0" w:color="000000"/>
            </w:tcBorders>
            <w:shd w:fill="auto" w:val="clear"/>
            <w:tcMar>
              <w:top w:w="28" w:type="dxa"/>
            </w:tcMar>
          </w:tcPr>
          <w:p>
            <w:pPr>
              <w:pStyle w:val="TableContents"/>
              <w:spacing w:before="0" w:after="283"/>
              <w:jc w:val="center"/>
              <w:rPr/>
            </w:pPr>
            <w:r>
              <w:rPr/>
              <w:t xml:space="preserve">  </w:t>
            </w:r>
          </w:p>
        </w:tc>
        <w:tc>
          <w:tcPr>
            <w:tcW w:w="512" w:type="dxa"/>
            <w:tcBorders/>
            <w:shd w:fill="auto" w:val="clear"/>
            <w:vAlign w:val="center"/>
          </w:tcPr>
          <w:p>
            <w:pPr>
              <w:pStyle w:val="TableContents"/>
              <w:spacing w:before="0" w:after="283"/>
              <w:rPr/>
            </w:pPr>
            <w:r>
              <w:rPr/>
              <w:t> </w:t>
            </w:r>
          </w:p>
        </w:tc>
        <w:tc>
          <w:tcPr>
            <w:tcW w:w="4847" w:type="dxa"/>
            <w:tcBorders>
              <w:top w:val="single" w:sz="2" w:space="0" w:color="000000"/>
            </w:tcBorders>
            <w:shd w:fill="auto" w:val="clear"/>
            <w:tcMar>
              <w:top w:w="28" w:type="dxa"/>
            </w:tcMar>
            <w:vAlign w:val="bottom"/>
          </w:tcPr>
          <w:p>
            <w:pPr>
              <w:pStyle w:val="TableContents"/>
              <w:spacing w:before="0" w:after="283"/>
              <w:jc w:val="center"/>
              <w:rPr/>
            </w:pPr>
            <w:r>
              <w:rPr/>
              <w:t xml:space="preserve">  </w:t>
            </w:r>
          </w:p>
        </w:tc>
      </w:tr>
      <w:tr>
        <w:trPr/>
        <w:tc>
          <w:tcPr>
            <w:tcW w:w="4846" w:type="dxa"/>
            <w:tcBorders/>
            <w:shd w:fill="auto" w:val="clear"/>
          </w:tcPr>
          <w:p>
            <w:pPr>
              <w:pStyle w:val="TableContents"/>
              <w:spacing w:before="0" w:after="283"/>
              <w:jc w:val="center"/>
              <w:rPr/>
            </w:pPr>
            <w:r>
              <w:rPr/>
              <w:t xml:space="preserve">(Address of principal executive offices) </w:t>
            </w:r>
          </w:p>
        </w:tc>
        <w:tc>
          <w:tcPr>
            <w:tcW w:w="512" w:type="dxa"/>
            <w:tcBorders/>
            <w:shd w:fill="auto" w:val="clear"/>
            <w:vAlign w:val="bottom"/>
          </w:tcPr>
          <w:p>
            <w:pPr>
              <w:pStyle w:val="TableContents"/>
              <w:spacing w:before="0" w:after="283"/>
              <w:rPr/>
            </w:pPr>
            <w:r>
              <w:rPr/>
              <w:t> </w:t>
            </w:r>
          </w:p>
        </w:tc>
        <w:tc>
          <w:tcPr>
            <w:tcW w:w="4847" w:type="dxa"/>
            <w:tcBorders/>
            <w:shd w:fill="auto" w:val="clear"/>
          </w:tcPr>
          <w:p>
            <w:pPr>
              <w:pStyle w:val="TableContents"/>
              <w:spacing w:before="0" w:after="283"/>
              <w:jc w:val="center"/>
              <w:rPr/>
            </w:pPr>
            <w:r>
              <w:rPr/>
              <w:t>(Zip Code)</w:t>
            </w:r>
          </w:p>
        </w:tc>
      </w:tr>
    </w:tbl>
    <w:p>
      <w:pPr>
        <w:pStyle w:val="TextBody"/>
        <w:spacing w:before="240" w:after="283"/>
        <w:jc w:val="center"/>
        <w:rPr>
          <w:rFonts w:ascii="Times New Roman;Times;serif" w:hAnsi="Times New Roman;Times;serif"/>
          <w:sz w:val="17"/>
        </w:rPr>
      </w:pPr>
      <w:r>
        <w:rPr>
          <w:rFonts w:ascii="Times New Roman;Times;serif" w:hAnsi="Times New Roman;Times;serif"/>
          <w:b/>
          <w:sz w:val="17"/>
          <w:u w:val="single"/>
        </w:rPr>
        <w:t>(602) 207-4000</w:t>
      </w:r>
      <w:r>
        <w:rPr>
          <w:rFonts w:ascii="Times New Roman;Times;serif" w:hAnsi="Times New Roman;Times;serif"/>
          <w:sz w:val="17"/>
        </w:rPr>
        <w:br/>
        <w:t>(Registrants telephone number, including area code)</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p>
    <w:p>
      <w:pPr>
        <w:pStyle w:val="TextBody"/>
        <w:spacing w:before="240" w:after="283"/>
        <w:jc w:val="center"/>
        <w:rPr>
          <w:rFonts w:ascii="Times New Roman;Times;serif" w:hAnsi="Times New Roman;Times;serif"/>
          <w:sz w:val="17"/>
        </w:rPr>
      </w:pPr>
      <w:r>
        <w:rPr>
          <w:rFonts w:ascii="Times New Roman;Times;serif" w:hAnsi="Times New Roman;Times;serif"/>
          <w:sz w:val="17"/>
        </w:rPr>
        <w:t xml:space="preserve">Yes ☑                      No </w:t>
      </w:r>
      <w:r>
        <w:rPr>
          <w:rFonts w:ascii="Wingdings" w:hAnsi="Wingdings"/>
          <w:sz w:val="17"/>
        </w:rPr>
        <w:t>o</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Indicate by check mark whether the registrant is a large accelerated filer, an accelerated filer, or a non-accelerated filer. See definition of accelerated filer and large accelerated filer in Rule 12b-2 of the Exchange Act. (Check one): </w:t>
      </w:r>
    </w:p>
    <w:tbl>
      <w:tblPr>
        <w:tblW w:w="5000" w:type="pct"/>
        <w:jc w:val="center"/>
        <w:tblInd w:w="0" w:type="dxa"/>
        <w:tblCellMar>
          <w:top w:w="0" w:type="dxa"/>
          <w:left w:w="0" w:type="dxa"/>
          <w:bottom w:w="0" w:type="dxa"/>
          <w:right w:w="0" w:type="dxa"/>
        </w:tblCellMar>
      </w:tblPr>
      <w:tblGrid>
        <w:gridCol w:w="3061"/>
        <w:gridCol w:w="510"/>
        <w:gridCol w:w="3062"/>
        <w:gridCol w:w="510"/>
        <w:gridCol w:w="3062"/>
      </w:tblGrid>
      <w:tr>
        <w:trPr/>
        <w:tc>
          <w:tcPr>
            <w:tcW w:w="306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3062"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3062" w:type="dxa"/>
            <w:tcBorders/>
            <w:shd w:fill="auto" w:val="clear"/>
            <w:vAlign w:val="bottom"/>
          </w:tcPr>
          <w:p>
            <w:pPr>
              <w:pStyle w:val="TableContents"/>
              <w:spacing w:before="0" w:after="283"/>
              <w:rPr/>
            </w:pPr>
            <w:r>
              <w:rPr/>
              <w:t> </w:t>
            </w:r>
          </w:p>
        </w:tc>
      </w:tr>
      <w:tr>
        <w:trPr/>
        <w:tc>
          <w:tcPr>
            <w:tcW w:w="3061" w:type="dxa"/>
            <w:tcBorders/>
            <w:shd w:fill="auto" w:val="clear"/>
          </w:tcPr>
          <w:p>
            <w:pPr>
              <w:pStyle w:val="TableContents"/>
              <w:spacing w:before="0" w:after="283"/>
              <w:jc w:val="center"/>
              <w:rPr/>
            </w:pPr>
            <w:r>
              <w:rPr/>
              <w:t xml:space="preserve">Large accelerated filer </w:t>
            </w:r>
            <w:r>
              <w:rPr>
                <w:rFonts w:ascii="Wingdings" w:hAnsi="Wingdings"/>
              </w:rPr>
              <w:t>o</w:t>
            </w:r>
            <w:r>
              <w:rPr/>
              <w:t xml:space="preserve"> </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 xml:space="preserve">Accelerated Filer ☑ </w:t>
            </w:r>
          </w:p>
        </w:tc>
        <w:tc>
          <w:tcPr>
            <w:tcW w:w="510"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 xml:space="preserve">Non-Accelerated Filer </w:t>
            </w:r>
            <w:r>
              <w:rPr>
                <w:rFonts w:ascii="Wingdings" w:hAnsi="Wingdings"/>
              </w:rPr>
              <w:t>o</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Indicate by check mark whether the registrant is a shell company (as defined in Rule 12b-2 of the Exchange Act). </w:t>
      </w:r>
    </w:p>
    <w:p>
      <w:pPr>
        <w:pStyle w:val="TextBody"/>
        <w:spacing w:before="240" w:after="283"/>
        <w:jc w:val="center"/>
        <w:rPr>
          <w:rFonts w:ascii="Times New Roman;Times;serif" w:hAnsi="Times New Roman;Times;serif"/>
          <w:sz w:val="17"/>
        </w:rPr>
      </w:pPr>
      <w:r>
        <w:rPr>
          <w:rFonts w:ascii="Times New Roman;Times;serif" w:hAnsi="Times New Roman;Times;serif"/>
          <w:sz w:val="17"/>
        </w:rPr>
        <w:t xml:space="preserve">Yes </w:t>
      </w:r>
      <w:r>
        <w:rPr>
          <w:rFonts w:ascii="Wingdings" w:hAnsi="Wingdings"/>
          <w:sz w:val="17"/>
        </w:rPr>
        <w:t>o</w:t>
      </w:r>
      <w:r>
        <w:rPr>
          <w:rFonts w:ascii="Times New Roman;Times;serif" w:hAnsi="Times New Roman;Times;serif"/>
          <w:sz w:val="17"/>
        </w:rPr>
        <w:t xml:space="preserve">                      No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As of April 30, 2006, 22,190,195 shares of common stock ($1.50 par value) were outstanding. </w:t>
      </w:r>
    </w:p>
    <w:p>
      <w:pPr>
        <w:pStyle w:val="TextBody"/>
        <w:spacing w:before="200" w:after="283"/>
        <w:rPr>
          <w:bdr w:val="single" w:sz="8" w:space="1" w:color="000000"/>
        </w:rPr>
      </w:pPr>
      <w:r>
        <w:rPr>
          <w:bdr w:val="single" w:sz="8" w:space="1" w:color="000000"/>
        </w:rPr>
        <w:t> </w:t>
      </w:r>
    </w:p>
    <w:p>
      <w:pPr>
        <w:pStyle w:val="TextBody"/>
        <w:rPr>
          <w:bdr w:val="single" w:sz="16" w:space="1" w:color="000000"/>
        </w:rPr>
      </w:pPr>
      <w:r>
        <w:rPr>
          <w:bdr w:val="single" w:sz="16" w:space="1" w:color="000000"/>
        </w:rPr>
        <w:t> </w:t>
      </w:r>
    </w:p>
    <w:p>
      <w:pPr>
        <w:pStyle w:val="TextBody"/>
        <w:jc w:val="center"/>
        <w:rPr/>
      </w:pPr>
      <w:r>
        <w:rPr/>
        <w:t xml:space="preserve">  </w:t>
      </w:r>
    </w:p>
    <w:p>
      <w:pPr>
        <w:pStyle w:val="HorizontalLine"/>
        <w:pBdr>
          <w:bottom w:val="single" w:sz="20" w:space="0" w:color="808080"/>
        </w:pBdr>
        <w:rPr/>
      </w:pPr>
      <w:r>
        <w:rPr/>
      </w:r>
    </w:p>
    <w:p>
      <w:pPr>
        <w:pStyle w:val="TextBody"/>
        <w:jc w:val="center"/>
        <w:rPr>
          <w:rFonts w:ascii="Times New Roman;Times;serif" w:hAnsi="Times New Roman;Times;serif"/>
          <w:b/>
          <w:u w:val="single"/>
        </w:rPr>
      </w:pPr>
      <w:bookmarkStart w:id="2" w:name="toc"/>
      <w:bookmarkEnd w:id="2"/>
      <w:r>
        <w:rPr>
          <w:rFonts w:ascii="Times New Roman;Times;serif" w:hAnsi="Times New Roman;Times;serif"/>
          <w:b/>
          <w:u w:val="single"/>
        </w:rPr>
        <w:t>TABLE OF CONTENTS</w:t>
      </w:r>
    </w:p>
    <w:tbl>
      <w:tblPr>
        <w:tblW w:w="4500" w:type="pct"/>
        <w:jc w:val="center"/>
        <w:tblInd w:w="0" w:type="dxa"/>
        <w:tblCellMar>
          <w:top w:w="0" w:type="dxa"/>
          <w:left w:w="0" w:type="dxa"/>
          <w:bottom w:w="0" w:type="dxa"/>
          <w:right w:w="0" w:type="dxa"/>
        </w:tblCellMar>
      </w:tblPr>
      <w:tblGrid>
        <w:gridCol w:w="275"/>
        <w:gridCol w:w="275"/>
        <w:gridCol w:w="275"/>
        <w:gridCol w:w="275"/>
        <w:gridCol w:w="275"/>
        <w:gridCol w:w="276"/>
        <w:gridCol w:w="275"/>
        <w:gridCol w:w="275"/>
        <w:gridCol w:w="6983"/>
      </w:tblGrid>
      <w:tr>
        <w:trPr/>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983" w:type="dxa"/>
            <w:tcBorders/>
            <w:shd w:fill="auto" w:val="clear"/>
            <w:vAlign w:val="center"/>
          </w:tcPr>
          <w:p>
            <w:pPr>
              <w:pStyle w:val="TableContents"/>
              <w:spacing w:before="0" w:after="283"/>
              <w:rPr>
                <w:sz w:val="4"/>
                <w:szCs w:val="4"/>
              </w:rPr>
            </w:pPr>
            <w:r>
              <w:rPr>
                <w:sz w:val="4"/>
                <w:szCs w:val="4"/>
              </w:rPr>
            </w:r>
          </w:p>
        </w:tc>
      </w:tr>
      <w:tr>
        <w:trPr/>
        <w:tc>
          <w:tcPr>
            <w:tcW w:w="9184" w:type="dxa"/>
            <w:gridSpan w:val="9"/>
            <w:tcBorders/>
            <w:shd w:fill="auto" w:val="clear"/>
            <w:vAlign w:val="center"/>
          </w:tcPr>
          <w:p>
            <w:pPr>
              <w:pStyle w:val="TableContents"/>
              <w:spacing w:before="0" w:after="283"/>
              <w:rPr/>
            </w:pPr>
            <w:hyperlink w:anchor="000">
              <w:r>
                <w:rPr>
                  <w:rStyle w:val="InternetLink"/>
                </w:rPr>
                <w:t>PART IFINANCIAL INFORMATION</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1">
              <w:r>
                <w:rPr>
                  <w:rStyle w:val="InternetLink"/>
                </w:rPr>
                <w:t>Item 1. Financial Statements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2">
              <w:r>
                <w:rPr>
                  <w:rStyle w:val="InternetLink"/>
                </w:rPr>
                <w:t>Item 2. Managements Discussion and Analysis of Financial Condition and Results of Operations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3">
              <w:r>
                <w:rPr>
                  <w:rStyle w:val="InternetLink"/>
                </w:rPr>
                <w:t>Item 3. Quantitative and Qualitative Disclosures About Market Risk</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4">
              <w:r>
                <w:rPr>
                  <w:rStyle w:val="InternetLink"/>
                </w:rPr>
                <w:t>Item 4. Controls and Procedures</w:t>
              </w:r>
            </w:hyperlink>
          </w:p>
        </w:tc>
      </w:tr>
      <w:tr>
        <w:trPr/>
        <w:tc>
          <w:tcPr>
            <w:tcW w:w="9184" w:type="dxa"/>
            <w:gridSpan w:val="9"/>
            <w:tcBorders/>
            <w:shd w:fill="auto" w:val="clear"/>
            <w:vAlign w:val="center"/>
          </w:tcPr>
          <w:p>
            <w:pPr>
              <w:pStyle w:val="TableContents"/>
              <w:spacing w:before="0" w:after="283"/>
              <w:rPr/>
            </w:pPr>
            <w:hyperlink w:anchor="005">
              <w:r>
                <w:rPr>
                  <w:rStyle w:val="InternetLink"/>
                </w:rPr>
                <w:t>PART II  OTHER INFORMATION</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6">
              <w:r>
                <w:rPr>
                  <w:rStyle w:val="InternetLink"/>
                </w:rPr>
                <w:t>Item 2. Unregistered Sales of Equity Securities and Use of Proceeds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7">
              <w:r>
                <w:rPr>
                  <w:rStyle w:val="InternetLink"/>
                </w:rPr>
                <w:t>Item 6. Exhibits</w:t>
              </w:r>
            </w:hyperlink>
          </w:p>
        </w:tc>
      </w:tr>
      <w:tr>
        <w:trPr/>
        <w:tc>
          <w:tcPr>
            <w:tcW w:w="9184" w:type="dxa"/>
            <w:gridSpan w:val="9"/>
            <w:tcBorders/>
            <w:shd w:fill="auto" w:val="clear"/>
            <w:vAlign w:val="center"/>
          </w:tcPr>
          <w:p>
            <w:pPr>
              <w:pStyle w:val="TableContents"/>
              <w:spacing w:before="0" w:after="283"/>
              <w:rPr/>
            </w:pPr>
            <w:hyperlink w:anchor="008">
              <w:r>
                <w:rPr>
                  <w:rStyle w:val="InternetLink"/>
                </w:rPr>
                <w:t>SIGNATURES</w:t>
              </w:r>
            </w:hyperlink>
          </w:p>
        </w:tc>
      </w:tr>
      <w:tr>
        <w:trPr/>
        <w:tc>
          <w:tcPr>
            <w:tcW w:w="9184" w:type="dxa"/>
            <w:gridSpan w:val="9"/>
            <w:tcBorders/>
            <w:shd w:fill="auto" w:val="clear"/>
            <w:vAlign w:val="center"/>
          </w:tcPr>
          <w:p>
            <w:pPr>
              <w:pStyle w:val="TableContents"/>
              <w:spacing w:before="0" w:after="283"/>
              <w:rPr/>
            </w:pPr>
            <w:hyperlink w:anchor="p72295exv31w1.htm">
              <w:r>
                <w:rPr>
                  <w:rStyle w:val="InternetLink"/>
                </w:rPr>
                <w:t>Exhibit 31.1</w:t>
              </w:r>
            </w:hyperlink>
          </w:p>
        </w:tc>
      </w:tr>
      <w:tr>
        <w:trPr/>
        <w:tc>
          <w:tcPr>
            <w:tcW w:w="9184" w:type="dxa"/>
            <w:gridSpan w:val="9"/>
            <w:tcBorders/>
            <w:shd w:fill="auto" w:val="clear"/>
            <w:vAlign w:val="center"/>
          </w:tcPr>
          <w:p>
            <w:pPr>
              <w:pStyle w:val="TableContents"/>
              <w:spacing w:before="0" w:after="283"/>
              <w:rPr/>
            </w:pPr>
            <w:hyperlink w:anchor="p72295exv31w2.htm">
              <w:r>
                <w:rPr>
                  <w:rStyle w:val="InternetLink"/>
                </w:rPr>
                <w:t>Exhibit 31.2</w:t>
              </w:r>
            </w:hyperlink>
          </w:p>
        </w:tc>
      </w:tr>
      <w:tr>
        <w:trPr/>
        <w:tc>
          <w:tcPr>
            <w:tcW w:w="9184" w:type="dxa"/>
            <w:gridSpan w:val="9"/>
            <w:tcBorders/>
            <w:shd w:fill="auto" w:val="clear"/>
            <w:vAlign w:val="center"/>
          </w:tcPr>
          <w:p>
            <w:pPr>
              <w:pStyle w:val="TableContents"/>
              <w:spacing w:before="0" w:after="283"/>
              <w:rPr/>
            </w:pPr>
            <w:hyperlink w:anchor="p72295exv32w1.htm">
              <w:r>
                <w:rPr>
                  <w:rStyle w:val="InternetLink"/>
                </w:rPr>
                <w:t>Exhibit 32.1</w:t>
              </w:r>
            </w:hyperlink>
          </w:p>
        </w:tc>
      </w:tr>
      <w:tr>
        <w:trPr/>
        <w:tc>
          <w:tcPr>
            <w:tcW w:w="9184" w:type="dxa"/>
            <w:gridSpan w:val="9"/>
            <w:tcBorders/>
            <w:shd w:fill="auto" w:val="clear"/>
            <w:vAlign w:val="center"/>
          </w:tcPr>
          <w:p>
            <w:pPr>
              <w:pStyle w:val="TableContents"/>
              <w:spacing w:before="0" w:after="283"/>
              <w:rPr/>
            </w:pPr>
            <w:hyperlink w:anchor="p72295exv32w2.htm">
              <w:r>
                <w:rPr>
                  <w:rStyle w:val="InternetLink"/>
                </w:rPr>
                <w:t>Exhibit 32.2</w:t>
              </w:r>
            </w:hyperlink>
          </w:p>
        </w:tc>
      </w:tr>
    </w:tbl>
    <w:p>
      <w:pPr>
        <w:pStyle w:val="HorizontalLine"/>
        <w:pBdr>
          <w:bottom w:val="single" w:sz="20" w:space="0" w:color="808080"/>
        </w:pBdr>
        <w:rPr/>
      </w:pPr>
      <w:r>
        <w:rPr/>
      </w:r>
      <w:r>
        <w:br w:type="page"/>
      </w:r>
    </w:p>
    <w:p>
      <w:pPr>
        <w:pStyle w:val="Heading5"/>
        <w:jc w:val="left"/>
        <w:rPr/>
      </w:pPr>
      <w:hyperlink w:anchor="toc">
        <w:r>
          <w:rPr>
            <w:rStyle w:val="InternetLink"/>
            <w:rFonts w:ascii="Times New Roman;Times;serif" w:hAnsi="Times New Roman;Times;serif"/>
          </w:rPr>
          <w:t>Table of Contents</w:t>
        </w:r>
      </w:hyperlink>
    </w:p>
    <w:p>
      <w:pPr>
        <w:pStyle w:val="TextBody"/>
        <w:spacing w:before="360" w:after="283"/>
        <w:jc w:val="center"/>
        <w:rPr>
          <w:rFonts w:ascii="Times New Roman;Times;serif" w:hAnsi="Times New Roman;Times;serif"/>
          <w:sz w:val="17"/>
        </w:rPr>
      </w:pPr>
      <w:bookmarkStart w:id="3" w:name="000"/>
      <w:bookmarkEnd w:id="3"/>
      <w:r>
        <w:rPr>
          <w:rFonts w:ascii="Times New Roman;Times;serif" w:hAnsi="Times New Roman;Times;serif"/>
          <w:b/>
          <w:sz w:val="17"/>
        </w:rPr>
        <w:t>PART IFINANCIAL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4" w:name="001"/>
      <w:bookmarkEnd w:id="4"/>
      <w:r>
        <w:rPr>
          <w:rFonts w:ascii="Times New Roman;Times;serif" w:hAnsi="Times New Roman;Times;serif"/>
          <w:b/>
          <w:sz w:val="17"/>
        </w:rPr>
        <w:t>Item 1. Financial Statements.</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CONSOLIDATED BALANCE SHEETS</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573"/>
        <w:gridCol w:w="345"/>
        <w:gridCol w:w="242"/>
        <w:gridCol w:w="1445"/>
        <w:gridCol w:w="137"/>
        <w:gridCol w:w="345"/>
        <w:gridCol w:w="281"/>
        <w:gridCol w:w="1692"/>
        <w:gridCol w:w="145"/>
      </w:tblGrid>
      <w:tr>
        <w:trPr/>
        <w:tc>
          <w:tcPr>
            <w:tcW w:w="5573"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68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March 31, 2006</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97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December 31, 2005</w:t>
            </w:r>
          </w:p>
        </w:tc>
        <w:tc>
          <w:tcPr>
            <w:tcW w:w="145" w:type="dxa"/>
            <w:tcBorders/>
            <w:shd w:fill="auto"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4142" w:type="dxa"/>
            <w:gridSpan w:val="6"/>
            <w:tcBorders/>
            <w:shd w:fill="auto" w:val="clear"/>
            <w:vAlign w:val="bottom"/>
          </w:tcPr>
          <w:p>
            <w:pPr>
              <w:pStyle w:val="TableContents"/>
              <w:spacing w:before="0" w:after="283"/>
              <w:jc w:val="center"/>
              <w:rPr>
                <w:b/>
              </w:rPr>
            </w:pPr>
            <w:r>
              <w:rPr>
                <w:b/>
              </w:rPr>
              <w:t>(in thousands, except share data)</w:t>
            </w:r>
          </w:p>
        </w:tc>
        <w:tc>
          <w:tcPr>
            <w:tcW w:w="145" w:type="dxa"/>
            <w:tcBorders/>
            <w:shd w:fill="auto" w:val="clear"/>
            <w:vAlign w:val="bottom"/>
          </w:tcPr>
          <w:p>
            <w:pPr>
              <w:pStyle w:val="TableContents"/>
              <w:spacing w:before="0" w:after="283"/>
              <w:rPr/>
            </w:pPr>
            <w:r>
              <w:rPr/>
              <w:t> </w:t>
            </w:r>
          </w:p>
        </w:tc>
      </w:tr>
      <w:tr>
        <w:trPr/>
        <w:tc>
          <w:tcPr>
            <w:tcW w:w="10205" w:type="dxa"/>
            <w:gridSpan w:val="9"/>
            <w:tcBorders/>
            <w:shd w:fill="CCEEFF" w:val="clear"/>
            <w:vAlign w:val="bottom"/>
          </w:tcPr>
          <w:p>
            <w:pPr>
              <w:pStyle w:val="TableContents"/>
              <w:spacing w:before="0" w:after="283"/>
              <w:jc w:val="center"/>
              <w:rPr>
                <w:b/>
              </w:rPr>
            </w:pPr>
            <w:r>
              <w:rPr>
                <w:b/>
              </w:rPr>
              <w:t>ASSETS</w:t>
            </w:r>
          </w:p>
        </w:tc>
      </w:tr>
      <w:tr>
        <w:trPr/>
        <w:tc>
          <w:tcPr>
            <w:tcW w:w="5573" w:type="dxa"/>
            <w:tcBorders/>
            <w:shd w:fill="auto" w:val="clear"/>
            <w:vAlign w:val="bottom"/>
          </w:tcPr>
          <w:p>
            <w:pPr>
              <w:pStyle w:val="TableContents"/>
              <w:spacing w:before="0" w:after="0"/>
              <w:ind w:left="225" w:right="0" w:hanging="225"/>
              <w:rPr/>
            </w:pPr>
            <w:r>
              <w:rPr/>
              <w:t>Current assets:</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450" w:right="0" w:hanging="225"/>
              <w:rPr/>
            </w:pPr>
            <w:r>
              <w:rPr/>
              <w:t>Cash and cash equivalents</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jc w:val="left"/>
              <w:rPr/>
            </w:pPr>
            <w:r>
              <w:rPr/>
              <w:t>$</w:t>
            </w:r>
          </w:p>
        </w:tc>
        <w:tc>
          <w:tcPr>
            <w:tcW w:w="1445" w:type="dxa"/>
            <w:tcBorders/>
            <w:shd w:fill="CCEEFF" w:val="clear"/>
            <w:vAlign w:val="bottom"/>
          </w:tcPr>
          <w:p>
            <w:pPr>
              <w:pStyle w:val="TableContents"/>
              <w:spacing w:before="0" w:after="283"/>
              <w:jc w:val="right"/>
              <w:rPr/>
            </w:pPr>
            <w:r>
              <w:rPr/>
              <w:t>154,705</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left"/>
              <w:rPr/>
            </w:pPr>
            <w:r>
              <w:rPr/>
              <w:t>$</w:t>
            </w:r>
          </w:p>
        </w:tc>
        <w:tc>
          <w:tcPr>
            <w:tcW w:w="1692" w:type="dxa"/>
            <w:tcBorders/>
            <w:shd w:fill="CCEEFF" w:val="clear"/>
            <w:vAlign w:val="bottom"/>
          </w:tcPr>
          <w:p>
            <w:pPr>
              <w:pStyle w:val="TableContents"/>
              <w:spacing w:before="0" w:after="283"/>
              <w:jc w:val="right"/>
              <w:rPr/>
            </w:pPr>
            <w:r>
              <w:rPr/>
              <w:t>152,601</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0"/>
              <w:ind w:left="450" w:right="0" w:hanging="225"/>
              <w:rPr/>
            </w:pPr>
            <w:r>
              <w:rPr/>
              <w:t>Accounts receivable, net of allowance for doubtful accounts of $1,529 and $1,400, respectively</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jc w:val="right"/>
              <w:rPr/>
            </w:pPr>
            <w:r>
              <w:rPr/>
              <w:t>69,829</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jc w:val="right"/>
              <w:rPr/>
            </w:pPr>
            <w:r>
              <w:rPr/>
              <w:t>56,752</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450" w:right="0" w:hanging="225"/>
              <w:rPr/>
            </w:pPr>
            <w:r>
              <w:rPr/>
              <w:t>Inventories</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jc w:val="right"/>
              <w:rPr/>
            </w:pPr>
            <w:r>
              <w:rPr/>
              <w:t>37,629</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jc w:val="right"/>
              <w:rPr/>
            </w:pPr>
            <w:r>
              <w:rPr/>
              <w:t>37,853</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0"/>
              <w:ind w:left="450" w:right="0" w:hanging="225"/>
              <w:rPr/>
            </w:pPr>
            <w:r>
              <w:rPr/>
              <w:t>Deferred income taxes</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jc w:val="right"/>
              <w:rPr/>
            </w:pPr>
            <w:r>
              <w:rPr/>
              <w:t>29,860</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jc w:val="right"/>
              <w:rPr/>
            </w:pPr>
            <w:r>
              <w:rPr/>
              <w:t>28,155</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450" w:right="0" w:hanging="225"/>
              <w:rPr/>
            </w:pPr>
            <w:r>
              <w:rPr/>
              <w:t>Other current assets</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jc w:val="right"/>
              <w:rPr/>
            </w:pPr>
            <w:r>
              <w:rPr/>
              <w:t>10,214</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jc w:val="right"/>
              <w:rPr/>
            </w:pPr>
            <w:r>
              <w:rPr/>
              <w:t>7,348</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center"/>
          </w:tcPr>
          <w:p>
            <w:pPr>
              <w:pStyle w:val="TableContents"/>
              <w:spacing w:before="0" w:after="0"/>
              <w:ind w:left="225" w:right="0" w:hanging="225"/>
              <w:rPr/>
            </w:pPr>
            <w:r>
              <w:rPr/>
              <w:t> </w:t>
            </w:r>
          </w:p>
        </w:tc>
        <w:tc>
          <w:tcPr>
            <w:tcW w:w="345"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45" w:type="dxa"/>
            <w:tcBorders/>
            <w:shd w:fill="auto" w:val="clear"/>
            <w:vAlign w:val="center"/>
          </w:tcPr>
          <w:p>
            <w:pPr>
              <w:pStyle w:val="TableContents"/>
              <w:spacing w:before="0" w:after="283"/>
              <w:rPr/>
            </w:pPr>
            <w:r>
              <w:rPr/>
              <w:t> </w:t>
            </w:r>
          </w:p>
        </w:tc>
        <w:tc>
          <w:tcPr>
            <w:tcW w:w="19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5573" w:type="dxa"/>
            <w:tcBorders/>
            <w:shd w:fill="auto" w:val="clear"/>
            <w:vAlign w:val="bottom"/>
          </w:tcPr>
          <w:p>
            <w:pPr>
              <w:pStyle w:val="TableContents"/>
              <w:spacing w:before="0" w:after="0"/>
              <w:ind w:left="450" w:right="0" w:hanging="225"/>
              <w:rPr/>
            </w:pPr>
            <w:r>
              <w:rPr/>
              <w:t>Total current assets</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jc w:val="right"/>
              <w:rPr/>
            </w:pPr>
            <w:r>
              <w:rPr/>
              <w:t>302,237</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jc w:val="right"/>
              <w:rPr/>
            </w:pPr>
            <w:r>
              <w:rPr/>
              <w:t>282,709</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225" w:right="0" w:hanging="225"/>
              <w:rPr/>
            </w:pPr>
            <w:r>
              <w:rPr/>
              <w:t>Property and equipment, net</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jc w:val="right"/>
              <w:rPr/>
            </w:pPr>
            <w:r>
              <w:rPr/>
              <w:t>133,821</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jc w:val="right"/>
              <w:rPr/>
            </w:pPr>
            <w:r>
              <w:rPr/>
              <w:t>143,038</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0"/>
              <w:ind w:left="225" w:right="0" w:hanging="225"/>
              <w:rPr/>
            </w:pPr>
            <w:r>
              <w:rPr/>
              <w:t>Other investments and assets</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jc w:val="right"/>
              <w:rPr/>
            </w:pPr>
            <w:r>
              <w:rPr/>
              <w:t>27,512</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jc w:val="right"/>
              <w:rPr/>
            </w:pPr>
            <w:r>
              <w:rPr/>
              <w:t>28,504</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225" w:right="0" w:hanging="225"/>
              <w:rPr/>
            </w:pPr>
            <w:r>
              <w:rPr/>
              <w:t>Deferred income taxes</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jc w:val="right"/>
              <w:rPr/>
            </w:pPr>
            <w:r>
              <w:rPr/>
              <w:t>38,508</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jc w:val="right"/>
              <w:rPr/>
            </w:pPr>
            <w:r>
              <w:rPr/>
              <w:t>40,891</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0"/>
              <w:ind w:left="225" w:right="0" w:hanging="225"/>
              <w:rPr/>
            </w:pPr>
            <w:r>
              <w:rPr/>
              <w:t>Goodwill</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jc w:val="right"/>
              <w:rPr/>
            </w:pPr>
            <w:r>
              <w:rPr/>
              <w:t>184,058</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jc w:val="right"/>
              <w:rPr/>
            </w:pPr>
            <w:r>
              <w:rPr/>
              <w:t>184,310</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225" w:right="0" w:hanging="225"/>
              <w:rPr/>
            </w:pPr>
            <w:r>
              <w:rPr/>
              <w:t>Other intangible assets, net</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jc w:val="right"/>
              <w:rPr/>
            </w:pPr>
            <w:r>
              <w:rPr/>
              <w:t>6,166</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jc w:val="right"/>
              <w:rPr/>
            </w:pPr>
            <w:r>
              <w:rPr/>
              <w:t>6,238</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center"/>
          </w:tcPr>
          <w:p>
            <w:pPr>
              <w:pStyle w:val="TableContents"/>
              <w:spacing w:before="0" w:after="0"/>
              <w:ind w:left="225" w:right="0" w:hanging="225"/>
              <w:rPr/>
            </w:pPr>
            <w:r>
              <w:rPr/>
              <w:t> </w:t>
            </w:r>
          </w:p>
        </w:tc>
        <w:tc>
          <w:tcPr>
            <w:tcW w:w="345"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45" w:type="dxa"/>
            <w:tcBorders/>
            <w:shd w:fill="auto" w:val="clear"/>
            <w:vAlign w:val="center"/>
          </w:tcPr>
          <w:p>
            <w:pPr>
              <w:pStyle w:val="TableContents"/>
              <w:spacing w:before="0" w:after="283"/>
              <w:rPr/>
            </w:pPr>
            <w:r>
              <w:rPr/>
              <w:t> </w:t>
            </w:r>
          </w:p>
        </w:tc>
        <w:tc>
          <w:tcPr>
            <w:tcW w:w="19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5573" w:type="dxa"/>
            <w:tcBorders/>
            <w:shd w:fill="auto" w:val="clear"/>
            <w:vAlign w:val="bottom"/>
          </w:tcPr>
          <w:p>
            <w:pPr>
              <w:pStyle w:val="TableContents"/>
              <w:spacing w:before="0" w:after="0"/>
              <w:ind w:left="225" w:right="0" w:hanging="225"/>
              <w:rPr>
                <w:b/>
              </w:rPr>
            </w:pPr>
            <w:r>
              <w:rPr>
                <w:b/>
              </w:rPr>
              <w:t>Total Assets</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left"/>
              <w:rPr/>
            </w:pPr>
            <w:r>
              <w:rPr/>
              <w:t>$</w:t>
            </w:r>
          </w:p>
        </w:tc>
        <w:tc>
          <w:tcPr>
            <w:tcW w:w="1445" w:type="dxa"/>
            <w:tcBorders/>
            <w:shd w:fill="auto" w:val="clear"/>
            <w:vAlign w:val="bottom"/>
          </w:tcPr>
          <w:p>
            <w:pPr>
              <w:pStyle w:val="TableContents"/>
              <w:spacing w:before="0" w:after="283"/>
              <w:jc w:val="right"/>
              <w:rPr/>
            </w:pPr>
            <w:r>
              <w:rPr/>
              <w:t>692,302</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left"/>
              <w:rPr/>
            </w:pPr>
            <w:r>
              <w:rPr/>
              <w:t>$</w:t>
            </w:r>
          </w:p>
        </w:tc>
        <w:tc>
          <w:tcPr>
            <w:tcW w:w="1692" w:type="dxa"/>
            <w:tcBorders/>
            <w:shd w:fill="auto" w:val="clear"/>
            <w:vAlign w:val="bottom"/>
          </w:tcPr>
          <w:p>
            <w:pPr>
              <w:pStyle w:val="TableContents"/>
              <w:spacing w:before="0" w:after="283"/>
              <w:jc w:val="right"/>
              <w:rPr/>
            </w:pPr>
            <w:r>
              <w:rPr/>
              <w:t>685,690</w:t>
            </w:r>
          </w:p>
        </w:tc>
        <w:tc>
          <w:tcPr>
            <w:tcW w:w="145" w:type="dxa"/>
            <w:tcBorders/>
            <w:shd w:fill="auto" w:val="clear"/>
            <w:vAlign w:val="bottom"/>
          </w:tcPr>
          <w:p>
            <w:pPr>
              <w:pStyle w:val="TableContents"/>
              <w:spacing w:before="0" w:after="283"/>
              <w:rPr/>
            </w:pPr>
            <w:r>
              <w:rPr/>
              <w:t> </w:t>
            </w:r>
          </w:p>
        </w:tc>
      </w:tr>
      <w:tr>
        <w:trPr/>
        <w:tc>
          <w:tcPr>
            <w:tcW w:w="5573" w:type="dxa"/>
            <w:tcBorders/>
            <w:shd w:fill="auto" w:val="clear"/>
            <w:vAlign w:val="center"/>
          </w:tcPr>
          <w:p>
            <w:pPr>
              <w:pStyle w:val="TableContents"/>
              <w:spacing w:before="0" w:after="0"/>
              <w:ind w:left="225" w:right="0" w:hanging="225"/>
              <w:rPr/>
            </w:pPr>
            <w:r>
              <w:rPr/>
              <w:t> </w:t>
            </w:r>
          </w:p>
        </w:tc>
        <w:tc>
          <w:tcPr>
            <w:tcW w:w="345" w:type="dxa"/>
            <w:tcBorders/>
            <w:shd w:fill="auto" w:val="clear"/>
            <w:vAlign w:val="center"/>
          </w:tcPr>
          <w:p>
            <w:pPr>
              <w:pStyle w:val="TableContents"/>
              <w:spacing w:before="0" w:after="283"/>
              <w:rPr/>
            </w:pPr>
            <w:r>
              <w:rPr/>
              <w:t> </w:t>
            </w:r>
          </w:p>
        </w:tc>
        <w:tc>
          <w:tcPr>
            <w:tcW w:w="16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45" w:type="dxa"/>
            <w:tcBorders/>
            <w:shd w:fill="auto" w:val="clear"/>
            <w:vAlign w:val="center"/>
          </w:tcPr>
          <w:p>
            <w:pPr>
              <w:pStyle w:val="TableContents"/>
              <w:spacing w:before="0" w:after="283"/>
              <w:rPr/>
            </w:pPr>
            <w:r>
              <w:rPr/>
              <w:t> </w:t>
            </w:r>
          </w:p>
        </w:tc>
        <w:tc>
          <w:tcPr>
            <w:tcW w:w="19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5573" w:type="dxa"/>
            <w:tcBorders/>
            <w:shd w:fill="auto" w:val="clear"/>
            <w:vAlign w:val="bottom"/>
          </w:tcPr>
          <w:p>
            <w:pPr>
              <w:pStyle w:val="TableContents"/>
              <w:spacing w:before="0" w:after="0"/>
              <w:ind w:left="225" w:right="0" w:hanging="225"/>
              <w:rPr/>
            </w:pPr>
            <w:r>
              <w:rPr/>
              <w:t> </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10205" w:type="dxa"/>
            <w:gridSpan w:val="9"/>
            <w:tcBorders/>
            <w:shd w:fill="CCEEFF" w:val="clear"/>
            <w:vAlign w:val="bottom"/>
          </w:tcPr>
          <w:p>
            <w:pPr>
              <w:pStyle w:val="TableContents"/>
              <w:spacing w:before="0" w:after="283"/>
              <w:jc w:val="center"/>
              <w:rPr>
                <w:b/>
              </w:rPr>
            </w:pPr>
            <w:r>
              <w:rPr>
                <w:b/>
              </w:rPr>
              <w:t>LIABILITIES AND STOCKHOLDERS EQUITY</w:t>
            </w:r>
          </w:p>
        </w:tc>
      </w:tr>
      <w:tr>
        <w:trPr/>
        <w:tc>
          <w:tcPr>
            <w:tcW w:w="5573" w:type="dxa"/>
            <w:tcBorders/>
            <w:shd w:fill="auto" w:val="clear"/>
            <w:vAlign w:val="bottom"/>
          </w:tcPr>
          <w:p>
            <w:pPr>
              <w:pStyle w:val="TableContents"/>
              <w:spacing w:before="0" w:after="0"/>
              <w:ind w:left="225" w:right="0" w:hanging="225"/>
              <w:rPr/>
            </w:pPr>
            <w:r>
              <w:rPr/>
              <w:t>Current liabilities:</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450" w:right="0" w:hanging="225"/>
              <w:rPr/>
            </w:pPr>
            <w:r>
              <w:rPr/>
              <w:t>Accounts payable</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jc w:val="left"/>
              <w:rPr/>
            </w:pPr>
            <w:r>
              <w:rPr/>
              <w:t>$</w:t>
            </w:r>
          </w:p>
        </w:tc>
        <w:tc>
          <w:tcPr>
            <w:tcW w:w="1445" w:type="dxa"/>
            <w:tcBorders/>
            <w:shd w:fill="CCEEFF" w:val="clear"/>
            <w:vAlign w:val="bottom"/>
          </w:tcPr>
          <w:p>
            <w:pPr>
              <w:pStyle w:val="TableContents"/>
              <w:spacing w:before="0" w:after="283"/>
              <w:jc w:val="right"/>
              <w:rPr/>
            </w:pPr>
            <w:r>
              <w:rPr/>
              <w:t>39,081</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left"/>
              <w:rPr/>
            </w:pPr>
            <w:r>
              <w:rPr/>
              <w:t>$</w:t>
            </w:r>
          </w:p>
        </w:tc>
        <w:tc>
          <w:tcPr>
            <w:tcW w:w="1692" w:type="dxa"/>
            <w:tcBorders/>
            <w:shd w:fill="CCEEFF" w:val="clear"/>
            <w:vAlign w:val="bottom"/>
          </w:tcPr>
          <w:p>
            <w:pPr>
              <w:pStyle w:val="TableContents"/>
              <w:spacing w:before="0" w:after="283"/>
              <w:jc w:val="right"/>
              <w:rPr/>
            </w:pPr>
            <w:r>
              <w:rPr/>
              <w:t>35,150</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0"/>
              <w:ind w:left="450" w:right="0" w:hanging="225"/>
              <w:rPr/>
            </w:pPr>
            <w:r>
              <w:rPr/>
              <w:t>Other current liabilities</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jc w:val="right"/>
              <w:rPr/>
            </w:pPr>
            <w:r>
              <w:rPr/>
              <w:t>131,308</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jc w:val="right"/>
              <w:rPr/>
            </w:pPr>
            <w:r>
              <w:rPr/>
              <w:t>131,498</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450" w:right="0" w:hanging="225"/>
              <w:rPr/>
            </w:pPr>
            <w:r>
              <w:rPr/>
              <w:t>Current portion of long-term debt and capital lease obligations</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jc w:val="right"/>
              <w:rPr/>
            </w:pPr>
            <w:r>
              <w:rPr/>
              <w:t>3,276</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jc w:val="right"/>
              <w:rPr/>
            </w:pPr>
            <w:r>
              <w:rPr/>
              <w:t>3,263</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center"/>
          </w:tcPr>
          <w:p>
            <w:pPr>
              <w:pStyle w:val="TableContents"/>
              <w:spacing w:before="0" w:after="0"/>
              <w:ind w:left="225" w:right="0" w:hanging="225"/>
              <w:rPr/>
            </w:pPr>
            <w:r>
              <w:rPr/>
              <w:t> </w:t>
            </w:r>
          </w:p>
        </w:tc>
        <w:tc>
          <w:tcPr>
            <w:tcW w:w="345"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45" w:type="dxa"/>
            <w:tcBorders/>
            <w:shd w:fill="auto" w:val="clear"/>
            <w:vAlign w:val="center"/>
          </w:tcPr>
          <w:p>
            <w:pPr>
              <w:pStyle w:val="TableContents"/>
              <w:spacing w:before="0" w:after="283"/>
              <w:rPr/>
            </w:pPr>
            <w:r>
              <w:rPr/>
              <w:t> </w:t>
            </w:r>
          </w:p>
        </w:tc>
        <w:tc>
          <w:tcPr>
            <w:tcW w:w="19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5573" w:type="dxa"/>
            <w:tcBorders/>
            <w:shd w:fill="auto" w:val="clear"/>
            <w:vAlign w:val="bottom"/>
          </w:tcPr>
          <w:p>
            <w:pPr>
              <w:pStyle w:val="TableContents"/>
              <w:spacing w:before="0" w:after="0"/>
              <w:ind w:left="450" w:right="0" w:hanging="225"/>
              <w:rPr/>
            </w:pPr>
            <w:r>
              <w:rPr/>
              <w:t>Total current liabilities</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jc w:val="right"/>
              <w:rPr/>
            </w:pPr>
            <w:r>
              <w:rPr/>
              <w:t>173,665</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jc w:val="right"/>
              <w:rPr/>
            </w:pPr>
            <w:r>
              <w:rPr/>
              <w:t>169,911</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225" w:right="0" w:hanging="225"/>
              <w:rPr/>
            </w:pPr>
            <w:r>
              <w:rPr/>
              <w:t>Long-term debt and capital lease obligations</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jc w:val="right"/>
              <w:rPr/>
            </w:pPr>
            <w:r>
              <w:rPr/>
              <w:t>13,822</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jc w:val="right"/>
              <w:rPr/>
            </w:pPr>
            <w:r>
              <w:rPr/>
              <w:t>14,089</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0"/>
              <w:ind w:left="225" w:right="0" w:hanging="225"/>
              <w:rPr/>
            </w:pPr>
            <w:r>
              <w:rPr/>
              <w:t>Pension and other postretirement benefits</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jc w:val="right"/>
              <w:rPr/>
            </w:pPr>
            <w:r>
              <w:rPr/>
              <w:t>28,659</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jc w:val="right"/>
              <w:rPr/>
            </w:pPr>
            <w:r>
              <w:rPr/>
              <w:t>28,428</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225" w:right="0" w:hanging="225"/>
              <w:rPr/>
            </w:pPr>
            <w:r>
              <w:rPr/>
              <w:t>Other deferred items and insurance liabilities</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jc w:val="right"/>
              <w:rPr/>
            </w:pPr>
            <w:r>
              <w:rPr/>
              <w:t>70,756</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jc w:val="right"/>
              <w:rPr/>
            </w:pPr>
            <w:r>
              <w:rPr/>
              <w:t>71,589</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0"/>
              <w:ind w:left="225" w:right="0" w:hanging="225"/>
              <w:rPr/>
            </w:pPr>
            <w:r>
              <w:rPr/>
              <w:t xml:space="preserve">Commitments and contingencies (Note 14) </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225" w:right="0" w:hanging="225"/>
              <w:rPr/>
            </w:pPr>
            <w:r>
              <w:rPr/>
              <w:t>Minority interest</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jc w:val="right"/>
              <w:rPr/>
            </w:pPr>
            <w:r>
              <w:rPr/>
              <w:t>4,592</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jc w:val="right"/>
              <w:rPr/>
            </w:pPr>
            <w:r>
              <w:rPr/>
              <w:t>4,704</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0"/>
              <w:ind w:left="225" w:right="0" w:hanging="225"/>
              <w:rPr/>
            </w:pPr>
            <w:r>
              <w:rPr/>
              <w:t>Common stock and other equity:</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450" w:right="0" w:hanging="225"/>
              <w:rPr/>
            </w:pPr>
            <w:r>
              <w:rPr/>
              <w:t>Common stock, $1.50 par value, 200,000,000 shares authorized, 24,934,981 shares issued</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jc w:val="right"/>
              <w:rPr/>
            </w:pPr>
            <w:r>
              <w:rPr/>
              <w:t>37,402</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jc w:val="right"/>
              <w:rPr/>
            </w:pPr>
            <w:r>
              <w:rPr/>
              <w:t>37,402</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0"/>
              <w:ind w:left="450" w:right="0" w:hanging="225"/>
              <w:rPr/>
            </w:pPr>
            <w:r>
              <w:rPr/>
              <w:t>Additional capital</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jc w:val="right"/>
              <w:rPr/>
            </w:pPr>
            <w:r>
              <w:rPr/>
              <w:t>640,746</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jc w:val="right"/>
              <w:rPr/>
            </w:pPr>
            <w:r>
              <w:rPr/>
              <w:t>653,883</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450" w:right="0" w:hanging="225"/>
              <w:rPr/>
            </w:pPr>
            <w:r>
              <w:rPr/>
              <w:t>Retained deficit</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jc w:val="left"/>
              <w:rPr/>
            </w:pPr>
            <w:r>
              <w:rPr/>
              <w:t> </w:t>
            </w:r>
          </w:p>
        </w:tc>
        <w:tc>
          <w:tcPr>
            <w:tcW w:w="1445" w:type="dxa"/>
            <w:tcBorders/>
            <w:shd w:fill="CCEEFF" w:val="clear"/>
            <w:vAlign w:val="bottom"/>
          </w:tcPr>
          <w:p>
            <w:pPr>
              <w:pStyle w:val="TableContents"/>
              <w:spacing w:before="0" w:after="283"/>
              <w:jc w:val="right"/>
              <w:rPr/>
            </w:pPr>
            <w:r>
              <w:rPr/>
              <w:t>(27,469</w:t>
            </w:r>
          </w:p>
        </w:tc>
        <w:tc>
          <w:tcPr>
            <w:tcW w:w="137" w:type="dxa"/>
            <w:tcBorders/>
            <w:shd w:fill="CCEEFF" w:val="clear"/>
            <w:vAlign w:val="bottom"/>
          </w:tcPr>
          <w:p>
            <w:pPr>
              <w:pStyle w:val="TableContents"/>
              <w:spacing w:before="0" w:after="283"/>
              <w:rPr/>
            </w:pPr>
            <w:r>
              <w:rPr/>
              <w:t>)</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left"/>
              <w:rPr/>
            </w:pPr>
            <w:r>
              <w:rPr/>
              <w:t> </w:t>
            </w:r>
          </w:p>
        </w:tc>
        <w:tc>
          <w:tcPr>
            <w:tcW w:w="1692" w:type="dxa"/>
            <w:tcBorders/>
            <w:shd w:fill="CCEEFF" w:val="clear"/>
            <w:vAlign w:val="bottom"/>
          </w:tcPr>
          <w:p>
            <w:pPr>
              <w:pStyle w:val="TableContents"/>
              <w:spacing w:before="0" w:after="283"/>
              <w:jc w:val="right"/>
              <w:rPr/>
            </w:pPr>
            <w:r>
              <w:rPr/>
              <w:t>(40,199</w:t>
            </w:r>
          </w:p>
        </w:tc>
        <w:tc>
          <w:tcPr>
            <w:tcW w:w="145" w:type="dxa"/>
            <w:tcBorders/>
            <w:shd w:fill="CCEEFF" w:val="clear"/>
            <w:vAlign w:val="bottom"/>
          </w:tcPr>
          <w:p>
            <w:pPr>
              <w:pStyle w:val="TableContents"/>
              <w:spacing w:before="0" w:after="283"/>
              <w:rPr/>
            </w:pPr>
            <w:r>
              <w:rPr/>
              <w:t>)</w:t>
            </w:r>
          </w:p>
        </w:tc>
      </w:tr>
      <w:tr>
        <w:trPr/>
        <w:tc>
          <w:tcPr>
            <w:tcW w:w="5573" w:type="dxa"/>
            <w:tcBorders/>
            <w:shd w:fill="auto" w:val="clear"/>
            <w:vAlign w:val="bottom"/>
          </w:tcPr>
          <w:p>
            <w:pPr>
              <w:pStyle w:val="TableContents"/>
              <w:spacing w:before="0" w:after="0"/>
              <w:ind w:left="450" w:right="0" w:hanging="225"/>
              <w:rPr/>
            </w:pPr>
            <w:r>
              <w:rPr/>
              <w:t>Unearned employee benefits and other</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left"/>
              <w:rPr/>
            </w:pPr>
            <w:r>
              <w:rPr/>
              <w:t> </w:t>
            </w:r>
          </w:p>
        </w:tc>
        <w:tc>
          <w:tcPr>
            <w:tcW w:w="1445" w:type="dxa"/>
            <w:tcBorders/>
            <w:shd w:fill="auto" w:val="clear"/>
            <w:vAlign w:val="bottom"/>
          </w:tcPr>
          <w:p>
            <w:pPr>
              <w:pStyle w:val="TableContents"/>
              <w:spacing w:before="0" w:after="283"/>
              <w:jc w:val="right"/>
              <w:rPr/>
            </w:pPr>
            <w:r>
              <w:rPr/>
              <w:t>(15,528</w:t>
            </w:r>
          </w:p>
        </w:tc>
        <w:tc>
          <w:tcPr>
            <w:tcW w:w="137" w:type="dxa"/>
            <w:tcBorders/>
            <w:shd w:fill="auto" w:val="clear"/>
            <w:vAlign w:val="bottom"/>
          </w:tcPr>
          <w:p>
            <w:pPr>
              <w:pStyle w:val="TableContents"/>
              <w:spacing w:before="0" w:after="283"/>
              <w:rPr/>
            </w:pPr>
            <w:r>
              <w:rPr/>
              <w:t>)</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left"/>
              <w:rPr/>
            </w:pPr>
            <w:r>
              <w:rPr/>
              <w:t> </w:t>
            </w:r>
          </w:p>
        </w:tc>
        <w:tc>
          <w:tcPr>
            <w:tcW w:w="1692" w:type="dxa"/>
            <w:tcBorders/>
            <w:shd w:fill="auto" w:val="clear"/>
            <w:vAlign w:val="bottom"/>
          </w:tcPr>
          <w:p>
            <w:pPr>
              <w:pStyle w:val="TableContents"/>
              <w:spacing w:before="0" w:after="283"/>
              <w:jc w:val="right"/>
              <w:rPr/>
            </w:pPr>
            <w:r>
              <w:rPr/>
              <w:t>(17,409</w:t>
            </w:r>
          </w:p>
        </w:tc>
        <w:tc>
          <w:tcPr>
            <w:tcW w:w="145" w:type="dxa"/>
            <w:tcBorders/>
            <w:shd w:fill="auto" w:val="clear"/>
            <w:vAlign w:val="bottom"/>
          </w:tcPr>
          <w:p>
            <w:pPr>
              <w:pStyle w:val="TableContents"/>
              <w:spacing w:before="0" w:after="283"/>
              <w:rPr/>
            </w:pPr>
            <w:r>
              <w:rPr/>
              <w:t>)</w:t>
            </w:r>
          </w:p>
        </w:tc>
      </w:tr>
      <w:tr>
        <w:trPr/>
        <w:tc>
          <w:tcPr>
            <w:tcW w:w="5573" w:type="dxa"/>
            <w:tcBorders/>
            <w:shd w:fill="CCEEFF" w:val="clear"/>
            <w:vAlign w:val="bottom"/>
          </w:tcPr>
          <w:p>
            <w:pPr>
              <w:pStyle w:val="TableContents"/>
              <w:spacing w:before="0" w:after="0"/>
              <w:ind w:left="450" w:right="0" w:hanging="225"/>
              <w:rPr/>
            </w:pPr>
            <w:r>
              <w:rPr/>
              <w:t>Accumulated other comprehensive income (loss):</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0"/>
              <w:ind w:left="675" w:right="0" w:hanging="225"/>
              <w:rPr/>
            </w:pPr>
            <w:r>
              <w:rPr/>
              <w:t>Unrealized gain on investments</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jc w:val="right"/>
              <w:rPr/>
            </w:pPr>
            <w:r>
              <w:rPr/>
              <w:t>514</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jc w:val="right"/>
              <w:rPr/>
            </w:pPr>
            <w:r>
              <w:rPr/>
              <w:t>456</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675" w:right="0" w:hanging="225"/>
              <w:rPr/>
            </w:pPr>
            <w:r>
              <w:rPr/>
              <w:t>Unrealized gain on derivative financial instruments</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jc w:val="right"/>
              <w:rPr/>
            </w:pPr>
            <w:r>
              <w:rPr/>
              <w:t>20</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jc w:val="right"/>
              <w:rPr/>
            </w:pPr>
            <w:r>
              <w:rPr/>
              <w:t>38</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bottom"/>
          </w:tcPr>
          <w:p>
            <w:pPr>
              <w:pStyle w:val="TableContents"/>
              <w:spacing w:before="0" w:after="0"/>
              <w:ind w:left="675" w:right="0" w:hanging="225"/>
              <w:rPr/>
            </w:pPr>
            <w:r>
              <w:rPr/>
              <w:t>Cumulative foreign currency translation adjustments</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445" w:type="dxa"/>
            <w:tcBorders/>
            <w:shd w:fill="auto" w:val="clear"/>
            <w:vAlign w:val="bottom"/>
          </w:tcPr>
          <w:p>
            <w:pPr>
              <w:pStyle w:val="TableContents"/>
              <w:spacing w:before="0" w:after="283"/>
              <w:jc w:val="right"/>
              <w:rPr/>
            </w:pPr>
            <w:r>
              <w:rPr/>
              <w:t>23,037</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692" w:type="dxa"/>
            <w:tcBorders/>
            <w:shd w:fill="auto" w:val="clear"/>
            <w:vAlign w:val="bottom"/>
          </w:tcPr>
          <w:p>
            <w:pPr>
              <w:pStyle w:val="TableContents"/>
              <w:spacing w:before="0" w:after="283"/>
              <w:jc w:val="right"/>
              <w:rPr/>
            </w:pPr>
            <w:r>
              <w:rPr/>
              <w:t>23,576</w:t>
            </w:r>
          </w:p>
        </w:tc>
        <w:tc>
          <w:tcPr>
            <w:tcW w:w="145" w:type="dxa"/>
            <w:tcBorders/>
            <w:shd w:fill="auto" w:val="clear"/>
            <w:vAlign w:val="bottom"/>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675" w:right="0" w:hanging="225"/>
              <w:rPr/>
            </w:pPr>
            <w:r>
              <w:rPr/>
              <w:t>Minimum pension liability adjustment</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jc w:val="left"/>
              <w:rPr/>
            </w:pPr>
            <w:r>
              <w:rPr/>
              <w:t> </w:t>
            </w:r>
          </w:p>
        </w:tc>
        <w:tc>
          <w:tcPr>
            <w:tcW w:w="1445" w:type="dxa"/>
            <w:tcBorders/>
            <w:shd w:fill="CCEEFF" w:val="clear"/>
            <w:vAlign w:val="bottom"/>
          </w:tcPr>
          <w:p>
            <w:pPr>
              <w:pStyle w:val="TableContents"/>
              <w:spacing w:before="0" w:after="283"/>
              <w:jc w:val="right"/>
              <w:rPr/>
            </w:pPr>
            <w:r>
              <w:rPr/>
              <w:t>(5,548</w:t>
            </w:r>
          </w:p>
        </w:tc>
        <w:tc>
          <w:tcPr>
            <w:tcW w:w="137" w:type="dxa"/>
            <w:tcBorders/>
            <w:shd w:fill="CCEEFF" w:val="clear"/>
            <w:vAlign w:val="bottom"/>
          </w:tcPr>
          <w:p>
            <w:pPr>
              <w:pStyle w:val="TableContents"/>
              <w:spacing w:before="0" w:after="283"/>
              <w:rPr/>
            </w:pPr>
            <w:r>
              <w:rPr/>
              <w:t>)</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left"/>
              <w:rPr/>
            </w:pPr>
            <w:r>
              <w:rPr/>
              <w:t> </w:t>
            </w:r>
          </w:p>
        </w:tc>
        <w:tc>
          <w:tcPr>
            <w:tcW w:w="1692" w:type="dxa"/>
            <w:tcBorders/>
            <w:shd w:fill="CCEEFF" w:val="clear"/>
            <w:vAlign w:val="bottom"/>
          </w:tcPr>
          <w:p>
            <w:pPr>
              <w:pStyle w:val="TableContents"/>
              <w:spacing w:before="0" w:after="283"/>
              <w:jc w:val="right"/>
              <w:rPr/>
            </w:pPr>
            <w:r>
              <w:rPr/>
              <w:t>(5,548</w:t>
            </w:r>
          </w:p>
        </w:tc>
        <w:tc>
          <w:tcPr>
            <w:tcW w:w="145" w:type="dxa"/>
            <w:tcBorders/>
            <w:shd w:fill="CCEEFF" w:val="clear"/>
            <w:vAlign w:val="bottom"/>
          </w:tcPr>
          <w:p>
            <w:pPr>
              <w:pStyle w:val="TableContents"/>
              <w:spacing w:before="0" w:after="283"/>
              <w:rPr/>
            </w:pPr>
            <w:r>
              <w:rPr/>
              <w:t>)</w:t>
            </w:r>
          </w:p>
        </w:tc>
      </w:tr>
      <w:tr>
        <w:trPr/>
        <w:tc>
          <w:tcPr>
            <w:tcW w:w="5573" w:type="dxa"/>
            <w:tcBorders/>
            <w:shd w:fill="auto" w:val="clear"/>
            <w:vAlign w:val="bottom"/>
          </w:tcPr>
          <w:p>
            <w:pPr>
              <w:pStyle w:val="TableContents"/>
              <w:spacing w:before="0" w:after="0"/>
              <w:ind w:left="450" w:right="0" w:hanging="225"/>
              <w:rPr/>
            </w:pPr>
            <w:r>
              <w:rPr/>
              <w:t>Common stock in treasury, at cost, 2,774,850 and 2,500,927 shares, respectively</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left"/>
              <w:rPr/>
            </w:pPr>
            <w:r>
              <w:rPr/>
              <w:t> </w:t>
            </w:r>
          </w:p>
        </w:tc>
        <w:tc>
          <w:tcPr>
            <w:tcW w:w="1445" w:type="dxa"/>
            <w:tcBorders/>
            <w:shd w:fill="auto" w:val="clear"/>
            <w:vAlign w:val="bottom"/>
          </w:tcPr>
          <w:p>
            <w:pPr>
              <w:pStyle w:val="TableContents"/>
              <w:spacing w:before="0" w:after="283"/>
              <w:jc w:val="right"/>
              <w:rPr/>
            </w:pPr>
            <w:r>
              <w:rPr/>
              <w:t>(252,366</w:t>
            </w:r>
          </w:p>
        </w:tc>
        <w:tc>
          <w:tcPr>
            <w:tcW w:w="137" w:type="dxa"/>
            <w:tcBorders/>
            <w:shd w:fill="auto" w:val="clear"/>
            <w:vAlign w:val="bottom"/>
          </w:tcPr>
          <w:p>
            <w:pPr>
              <w:pStyle w:val="TableContents"/>
              <w:spacing w:before="0" w:after="283"/>
              <w:rPr/>
            </w:pPr>
            <w:r>
              <w:rPr/>
              <w:t>)</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left"/>
              <w:rPr/>
            </w:pPr>
            <w:r>
              <w:rPr/>
              <w:t> </w:t>
            </w:r>
          </w:p>
        </w:tc>
        <w:tc>
          <w:tcPr>
            <w:tcW w:w="1692" w:type="dxa"/>
            <w:tcBorders/>
            <w:shd w:fill="auto" w:val="clear"/>
            <w:vAlign w:val="bottom"/>
          </w:tcPr>
          <w:p>
            <w:pPr>
              <w:pStyle w:val="TableContents"/>
              <w:spacing w:before="0" w:after="283"/>
              <w:jc w:val="right"/>
              <w:rPr/>
            </w:pPr>
            <w:r>
              <w:rPr/>
              <w:t>(255,230</w:t>
            </w:r>
          </w:p>
        </w:tc>
        <w:tc>
          <w:tcPr>
            <w:tcW w:w="145" w:type="dxa"/>
            <w:tcBorders/>
            <w:shd w:fill="auto" w:val="clear"/>
            <w:vAlign w:val="bottom"/>
          </w:tcPr>
          <w:p>
            <w:pPr>
              <w:pStyle w:val="TableContents"/>
              <w:spacing w:before="0" w:after="283"/>
              <w:rPr/>
            </w:pPr>
            <w:r>
              <w:rPr/>
              <w:t>)</w:t>
            </w:r>
          </w:p>
        </w:tc>
      </w:tr>
      <w:tr>
        <w:trPr/>
        <w:tc>
          <w:tcPr>
            <w:tcW w:w="5573" w:type="dxa"/>
            <w:tcBorders/>
            <w:shd w:fill="auto" w:val="clear"/>
            <w:vAlign w:val="center"/>
          </w:tcPr>
          <w:p>
            <w:pPr>
              <w:pStyle w:val="TableContents"/>
              <w:spacing w:before="0" w:after="0"/>
              <w:ind w:left="225" w:right="0" w:hanging="225"/>
              <w:rPr/>
            </w:pPr>
            <w:r>
              <w:rPr/>
              <w:t> </w:t>
            </w:r>
          </w:p>
        </w:tc>
        <w:tc>
          <w:tcPr>
            <w:tcW w:w="345"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45" w:type="dxa"/>
            <w:tcBorders/>
            <w:shd w:fill="auto" w:val="clear"/>
            <w:vAlign w:val="center"/>
          </w:tcPr>
          <w:p>
            <w:pPr>
              <w:pStyle w:val="TableContents"/>
              <w:spacing w:before="0" w:after="283"/>
              <w:rPr/>
            </w:pPr>
            <w:r>
              <w:rPr/>
              <w:t> </w:t>
            </w:r>
          </w:p>
        </w:tc>
        <w:tc>
          <w:tcPr>
            <w:tcW w:w="19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5573" w:type="dxa"/>
            <w:tcBorders/>
            <w:shd w:fill="CCEEFF" w:val="clear"/>
            <w:vAlign w:val="bottom"/>
          </w:tcPr>
          <w:p>
            <w:pPr>
              <w:pStyle w:val="TableContents"/>
              <w:spacing w:before="0" w:after="0"/>
              <w:ind w:left="450" w:right="0" w:hanging="225"/>
              <w:rPr/>
            </w:pPr>
            <w:r>
              <w:rPr/>
              <w:t>Total common stock and other equity</w:t>
            </w:r>
          </w:p>
        </w:tc>
        <w:tc>
          <w:tcPr>
            <w:tcW w:w="345"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445" w:type="dxa"/>
            <w:tcBorders/>
            <w:shd w:fill="CCEEFF" w:val="clear"/>
            <w:vAlign w:val="bottom"/>
          </w:tcPr>
          <w:p>
            <w:pPr>
              <w:pStyle w:val="TableContents"/>
              <w:spacing w:before="0" w:after="283"/>
              <w:jc w:val="right"/>
              <w:rPr/>
            </w:pPr>
            <w:r>
              <w:rPr/>
              <w:t>400,808</w:t>
            </w:r>
          </w:p>
        </w:tc>
        <w:tc>
          <w:tcPr>
            <w:tcW w:w="137"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692" w:type="dxa"/>
            <w:tcBorders/>
            <w:shd w:fill="CCEEFF" w:val="clear"/>
            <w:vAlign w:val="bottom"/>
          </w:tcPr>
          <w:p>
            <w:pPr>
              <w:pStyle w:val="TableContents"/>
              <w:spacing w:before="0" w:after="283"/>
              <w:jc w:val="right"/>
              <w:rPr/>
            </w:pPr>
            <w:r>
              <w:rPr/>
              <w:t>396,969</w:t>
            </w:r>
          </w:p>
        </w:tc>
        <w:tc>
          <w:tcPr>
            <w:tcW w:w="145" w:type="dxa"/>
            <w:tcBorders/>
            <w:shd w:fill="CCEEFF" w:val="clear"/>
            <w:vAlign w:val="bottom"/>
          </w:tcPr>
          <w:p>
            <w:pPr>
              <w:pStyle w:val="TableContents"/>
              <w:spacing w:before="0" w:after="283"/>
              <w:rPr/>
            </w:pPr>
            <w:r>
              <w:rPr/>
              <w:t> </w:t>
            </w:r>
          </w:p>
        </w:tc>
      </w:tr>
      <w:tr>
        <w:trPr/>
        <w:tc>
          <w:tcPr>
            <w:tcW w:w="5573" w:type="dxa"/>
            <w:tcBorders/>
            <w:shd w:fill="auto" w:val="clear"/>
            <w:vAlign w:val="center"/>
          </w:tcPr>
          <w:p>
            <w:pPr>
              <w:pStyle w:val="TableContents"/>
              <w:spacing w:before="0" w:after="0"/>
              <w:ind w:left="225" w:right="0" w:hanging="225"/>
              <w:rPr/>
            </w:pPr>
            <w:r>
              <w:rPr/>
              <w:t> </w:t>
            </w:r>
          </w:p>
        </w:tc>
        <w:tc>
          <w:tcPr>
            <w:tcW w:w="345" w:type="dxa"/>
            <w:tcBorders/>
            <w:shd w:fill="auto" w:val="clear"/>
            <w:vAlign w:val="center"/>
          </w:tcPr>
          <w:p>
            <w:pPr>
              <w:pStyle w:val="TableContents"/>
              <w:spacing w:before="0" w:after="283"/>
              <w:rPr/>
            </w:pPr>
            <w:r>
              <w:rPr/>
              <w:t> </w:t>
            </w:r>
          </w:p>
        </w:tc>
        <w:tc>
          <w:tcPr>
            <w:tcW w:w="16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45" w:type="dxa"/>
            <w:tcBorders/>
            <w:shd w:fill="auto" w:val="clear"/>
            <w:vAlign w:val="center"/>
          </w:tcPr>
          <w:p>
            <w:pPr>
              <w:pStyle w:val="TableContents"/>
              <w:spacing w:before="0" w:after="283"/>
              <w:rPr/>
            </w:pPr>
            <w:r>
              <w:rPr/>
              <w:t> </w:t>
            </w:r>
          </w:p>
        </w:tc>
        <w:tc>
          <w:tcPr>
            <w:tcW w:w="19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5573" w:type="dxa"/>
            <w:tcBorders/>
            <w:shd w:fill="auto" w:val="clear"/>
            <w:vAlign w:val="bottom"/>
          </w:tcPr>
          <w:p>
            <w:pPr>
              <w:pStyle w:val="TableContents"/>
              <w:spacing w:before="0" w:after="0"/>
              <w:ind w:left="225" w:right="0" w:hanging="225"/>
              <w:rPr>
                <w:b/>
              </w:rPr>
            </w:pPr>
            <w:r>
              <w:rPr>
                <w:b/>
              </w:rPr>
              <w:t>Total Liabilities and Stockholders Equity</w:t>
            </w:r>
          </w:p>
        </w:tc>
        <w:tc>
          <w:tcPr>
            <w:tcW w:w="345"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jc w:val="left"/>
              <w:rPr/>
            </w:pPr>
            <w:r>
              <w:rPr/>
              <w:t>$</w:t>
            </w:r>
          </w:p>
        </w:tc>
        <w:tc>
          <w:tcPr>
            <w:tcW w:w="1445" w:type="dxa"/>
            <w:tcBorders/>
            <w:shd w:fill="auto" w:val="clear"/>
            <w:vAlign w:val="bottom"/>
          </w:tcPr>
          <w:p>
            <w:pPr>
              <w:pStyle w:val="TableContents"/>
              <w:spacing w:before="0" w:after="283"/>
              <w:jc w:val="right"/>
              <w:rPr/>
            </w:pPr>
            <w:r>
              <w:rPr/>
              <w:t>692,302</w:t>
            </w:r>
          </w:p>
        </w:tc>
        <w:tc>
          <w:tcPr>
            <w:tcW w:w="137"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left"/>
              <w:rPr/>
            </w:pPr>
            <w:r>
              <w:rPr/>
              <w:t>$</w:t>
            </w:r>
          </w:p>
        </w:tc>
        <w:tc>
          <w:tcPr>
            <w:tcW w:w="1692" w:type="dxa"/>
            <w:tcBorders/>
            <w:shd w:fill="auto" w:val="clear"/>
            <w:vAlign w:val="bottom"/>
          </w:tcPr>
          <w:p>
            <w:pPr>
              <w:pStyle w:val="TableContents"/>
              <w:spacing w:before="0" w:after="283"/>
              <w:jc w:val="right"/>
              <w:rPr/>
            </w:pPr>
            <w:r>
              <w:rPr/>
              <w:t>685,690</w:t>
            </w:r>
          </w:p>
        </w:tc>
        <w:tc>
          <w:tcPr>
            <w:tcW w:w="145" w:type="dxa"/>
            <w:tcBorders/>
            <w:shd w:fill="auto" w:val="clear"/>
            <w:vAlign w:val="bottom"/>
          </w:tcPr>
          <w:p>
            <w:pPr>
              <w:pStyle w:val="TableContents"/>
              <w:spacing w:before="0" w:after="283"/>
              <w:rPr/>
            </w:pPr>
            <w:r>
              <w:rPr/>
              <w:t> </w:t>
            </w:r>
          </w:p>
        </w:tc>
      </w:tr>
      <w:tr>
        <w:trPr/>
        <w:tc>
          <w:tcPr>
            <w:tcW w:w="5573" w:type="dxa"/>
            <w:tcBorders/>
            <w:shd w:fill="auto" w:val="clear"/>
            <w:vAlign w:val="center"/>
          </w:tcPr>
          <w:p>
            <w:pPr>
              <w:pStyle w:val="TableContents"/>
              <w:spacing w:before="0" w:after="0"/>
              <w:ind w:left="225" w:right="0" w:hanging="225"/>
              <w:rPr/>
            </w:pPr>
            <w:r>
              <w:rPr/>
              <w:t> </w:t>
            </w:r>
          </w:p>
        </w:tc>
        <w:tc>
          <w:tcPr>
            <w:tcW w:w="345" w:type="dxa"/>
            <w:tcBorders/>
            <w:shd w:fill="auto" w:val="clear"/>
            <w:vAlign w:val="center"/>
          </w:tcPr>
          <w:p>
            <w:pPr>
              <w:pStyle w:val="TableContents"/>
              <w:spacing w:before="0" w:after="283"/>
              <w:rPr/>
            </w:pPr>
            <w:r>
              <w:rPr/>
              <w:t> </w:t>
            </w:r>
          </w:p>
        </w:tc>
        <w:tc>
          <w:tcPr>
            <w:tcW w:w="16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45" w:type="dxa"/>
            <w:tcBorders/>
            <w:shd w:fill="auto" w:val="clear"/>
            <w:vAlign w:val="center"/>
          </w:tcPr>
          <w:p>
            <w:pPr>
              <w:pStyle w:val="TableContents"/>
              <w:spacing w:before="0" w:after="283"/>
              <w:rPr/>
            </w:pPr>
            <w:r>
              <w:rPr/>
              <w:t> </w:t>
            </w:r>
          </w:p>
        </w:tc>
        <w:tc>
          <w:tcPr>
            <w:tcW w:w="19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CONSOLIDATED STATEMENTS OF OPERATIONS</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582"/>
        <w:gridCol w:w="358"/>
        <w:gridCol w:w="268"/>
        <w:gridCol w:w="1491"/>
        <w:gridCol w:w="201"/>
        <w:gridCol w:w="399"/>
        <w:gridCol w:w="268"/>
        <w:gridCol w:w="1495"/>
        <w:gridCol w:w="143"/>
      </w:tblGrid>
      <w:tr>
        <w:trPr/>
        <w:tc>
          <w:tcPr>
            <w:tcW w:w="5582"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4122"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March 31,</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7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176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4122" w:type="dxa"/>
            <w:gridSpan w:val="6"/>
            <w:tcBorders/>
            <w:shd w:fill="auto" w:val="clear"/>
            <w:vAlign w:val="bottom"/>
          </w:tcPr>
          <w:p>
            <w:pPr>
              <w:pStyle w:val="TableContents"/>
              <w:spacing w:before="0" w:after="283"/>
              <w:jc w:val="center"/>
              <w:rPr>
                <w:b/>
              </w:rPr>
            </w:pPr>
            <w:r>
              <w:rPr>
                <w:b/>
              </w:rPr>
              <w:t>(in thousands, except per share data)</w:t>
            </w:r>
          </w:p>
        </w:tc>
        <w:tc>
          <w:tcPr>
            <w:tcW w:w="143" w:type="dxa"/>
            <w:tcBorders/>
            <w:shd w:fill="auto" w:val="clear"/>
            <w:vAlign w:val="bottom"/>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225" w:right="0" w:hanging="225"/>
              <w:rPr/>
            </w:pPr>
            <w:r>
              <w:rPr/>
              <w:t>Revenues:</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5"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0"/>
              <w:ind w:left="450" w:right="0" w:hanging="225"/>
              <w:rPr/>
            </w:pPr>
            <w:r>
              <w:rPr/>
              <w:t>Convention show services</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w:t>
            </w:r>
          </w:p>
        </w:tc>
        <w:tc>
          <w:tcPr>
            <w:tcW w:w="1491" w:type="dxa"/>
            <w:tcBorders/>
            <w:shd w:fill="auto" w:val="clear"/>
            <w:vAlign w:val="bottom"/>
          </w:tcPr>
          <w:p>
            <w:pPr>
              <w:pStyle w:val="TableContents"/>
              <w:spacing w:before="0" w:after="283"/>
              <w:jc w:val="right"/>
              <w:rPr/>
            </w:pPr>
            <w:r>
              <w:rPr/>
              <w:t>187,263</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w:t>
            </w:r>
          </w:p>
        </w:tc>
        <w:tc>
          <w:tcPr>
            <w:tcW w:w="1495" w:type="dxa"/>
            <w:tcBorders/>
            <w:shd w:fill="auto" w:val="clear"/>
            <w:vAlign w:val="bottom"/>
          </w:tcPr>
          <w:p>
            <w:pPr>
              <w:pStyle w:val="TableContents"/>
              <w:spacing w:before="0" w:after="283"/>
              <w:jc w:val="right"/>
              <w:rPr/>
            </w:pPr>
            <w:r>
              <w:rPr/>
              <w:t>191,441</w:t>
            </w:r>
          </w:p>
        </w:tc>
        <w:tc>
          <w:tcPr>
            <w:tcW w:w="143" w:type="dxa"/>
            <w:tcBorders/>
            <w:shd w:fill="auto" w:val="clear"/>
            <w:vAlign w:val="bottom"/>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450" w:right="0" w:hanging="225"/>
              <w:rPr/>
            </w:pPr>
            <w:r>
              <w:rPr/>
              <w:t>Exhibit design and construction</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1" w:type="dxa"/>
            <w:tcBorders/>
            <w:shd w:fill="CCEEFF" w:val="clear"/>
            <w:vAlign w:val="bottom"/>
          </w:tcPr>
          <w:p>
            <w:pPr>
              <w:pStyle w:val="TableContents"/>
              <w:spacing w:before="0" w:after="283"/>
              <w:jc w:val="right"/>
              <w:rPr/>
            </w:pPr>
            <w:r>
              <w:rPr/>
              <w:t>41,588</w:t>
            </w:r>
          </w:p>
        </w:tc>
        <w:tc>
          <w:tcPr>
            <w:tcW w:w="201"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5" w:type="dxa"/>
            <w:tcBorders/>
            <w:shd w:fill="CCEEFF" w:val="clear"/>
            <w:vAlign w:val="bottom"/>
          </w:tcPr>
          <w:p>
            <w:pPr>
              <w:pStyle w:val="TableContents"/>
              <w:spacing w:before="0" w:after="283"/>
              <w:jc w:val="right"/>
              <w:rPr/>
            </w:pPr>
            <w:r>
              <w:rPr/>
              <w:t>53,341</w:t>
            </w:r>
          </w:p>
        </w:tc>
        <w:tc>
          <w:tcPr>
            <w:tcW w:w="143" w:type="dxa"/>
            <w:tcBorders/>
            <w:shd w:fill="CCEEFF"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0"/>
              <w:ind w:left="450" w:right="0" w:hanging="225"/>
              <w:rPr/>
            </w:pPr>
            <w:r>
              <w:rPr/>
              <w:t>Travel and recreation services</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jc w:val="right"/>
              <w:rPr/>
            </w:pPr>
            <w:r>
              <w:rPr/>
              <w:t>4,919</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jc w:val="right"/>
              <w:rPr/>
            </w:pPr>
            <w:r>
              <w:rPr/>
              <w:t>4,730</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675" w:right="0" w:hanging="225"/>
              <w:rPr/>
            </w:pPr>
            <w:r>
              <w:rPr/>
              <w:t>Total revenues</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1" w:type="dxa"/>
            <w:tcBorders/>
            <w:shd w:fill="CCEEFF" w:val="clear"/>
            <w:vAlign w:val="bottom"/>
          </w:tcPr>
          <w:p>
            <w:pPr>
              <w:pStyle w:val="TableContents"/>
              <w:spacing w:before="0" w:after="283"/>
              <w:jc w:val="right"/>
              <w:rPr/>
            </w:pPr>
            <w:r>
              <w:rPr/>
              <w:t>233,770</w:t>
            </w:r>
          </w:p>
        </w:tc>
        <w:tc>
          <w:tcPr>
            <w:tcW w:w="201"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5" w:type="dxa"/>
            <w:tcBorders/>
            <w:shd w:fill="CCEEFF" w:val="clear"/>
            <w:vAlign w:val="bottom"/>
          </w:tcPr>
          <w:p>
            <w:pPr>
              <w:pStyle w:val="TableContents"/>
              <w:spacing w:before="0" w:after="283"/>
              <w:jc w:val="right"/>
              <w:rPr/>
            </w:pPr>
            <w:r>
              <w:rPr/>
              <w:t>249,512</w:t>
            </w:r>
          </w:p>
        </w:tc>
        <w:tc>
          <w:tcPr>
            <w:tcW w:w="143" w:type="dxa"/>
            <w:tcBorders/>
            <w:shd w:fill="CCEEFF" w:val="clear"/>
            <w:vAlign w:val="bottom"/>
          </w:tcPr>
          <w:p>
            <w:pPr>
              <w:pStyle w:val="TableContents"/>
              <w:spacing w:before="0" w:after="283"/>
              <w:rPr/>
            </w:pPr>
            <w:r>
              <w:rPr/>
              <w:t> </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 </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Costs and expenses:</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450" w:right="0" w:hanging="225"/>
              <w:rPr/>
            </w:pPr>
            <w:r>
              <w:rPr/>
              <w:t>Costs of services</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1" w:type="dxa"/>
            <w:tcBorders/>
            <w:shd w:fill="CCEEFF" w:val="clear"/>
            <w:vAlign w:val="bottom"/>
          </w:tcPr>
          <w:p>
            <w:pPr>
              <w:pStyle w:val="TableContents"/>
              <w:spacing w:before="0" w:after="283"/>
              <w:jc w:val="right"/>
              <w:rPr/>
            </w:pPr>
            <w:r>
              <w:rPr/>
              <w:t>170,612</w:t>
            </w:r>
          </w:p>
        </w:tc>
        <w:tc>
          <w:tcPr>
            <w:tcW w:w="201"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5" w:type="dxa"/>
            <w:tcBorders/>
            <w:shd w:fill="CCEEFF" w:val="clear"/>
            <w:vAlign w:val="bottom"/>
          </w:tcPr>
          <w:p>
            <w:pPr>
              <w:pStyle w:val="TableContents"/>
              <w:spacing w:before="0" w:after="283"/>
              <w:jc w:val="right"/>
              <w:rPr/>
            </w:pPr>
            <w:r>
              <w:rPr/>
              <w:t>171,661</w:t>
            </w:r>
          </w:p>
        </w:tc>
        <w:tc>
          <w:tcPr>
            <w:tcW w:w="143" w:type="dxa"/>
            <w:tcBorders/>
            <w:shd w:fill="CCEEFF"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0"/>
              <w:ind w:left="450" w:right="0" w:hanging="225"/>
              <w:rPr/>
            </w:pPr>
            <w:r>
              <w:rPr/>
              <w:t>Costs of products sold</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jc w:val="right"/>
              <w:rPr/>
            </w:pPr>
            <w:r>
              <w:rPr/>
              <w:t>45,448</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jc w:val="right"/>
              <w:rPr/>
            </w:pPr>
            <w:r>
              <w:rPr/>
              <w:t>55,084</w:t>
            </w:r>
          </w:p>
        </w:tc>
        <w:tc>
          <w:tcPr>
            <w:tcW w:w="143" w:type="dxa"/>
            <w:tcBorders/>
            <w:shd w:fill="auto" w:val="clear"/>
            <w:vAlign w:val="bottom"/>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450" w:right="0" w:hanging="225"/>
              <w:rPr/>
            </w:pPr>
            <w:r>
              <w:rPr/>
              <w:t>Corporate activities and minority interest</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1" w:type="dxa"/>
            <w:tcBorders/>
            <w:shd w:fill="CCEEFF" w:val="clear"/>
            <w:vAlign w:val="bottom"/>
          </w:tcPr>
          <w:p>
            <w:pPr>
              <w:pStyle w:val="TableContents"/>
              <w:spacing w:before="0" w:after="283"/>
              <w:jc w:val="right"/>
              <w:rPr/>
            </w:pPr>
            <w:r>
              <w:rPr/>
              <w:t>1,740</w:t>
            </w:r>
          </w:p>
        </w:tc>
        <w:tc>
          <w:tcPr>
            <w:tcW w:w="201"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5" w:type="dxa"/>
            <w:tcBorders/>
            <w:shd w:fill="CCEEFF" w:val="clear"/>
            <w:vAlign w:val="bottom"/>
          </w:tcPr>
          <w:p>
            <w:pPr>
              <w:pStyle w:val="TableContents"/>
              <w:spacing w:before="0" w:after="283"/>
              <w:jc w:val="right"/>
              <w:rPr/>
            </w:pPr>
            <w:r>
              <w:rPr/>
              <w:t>2,619</w:t>
            </w:r>
          </w:p>
        </w:tc>
        <w:tc>
          <w:tcPr>
            <w:tcW w:w="143" w:type="dxa"/>
            <w:tcBorders/>
            <w:shd w:fill="CCEEFF"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0"/>
              <w:ind w:left="450" w:right="0" w:hanging="225"/>
              <w:rPr/>
            </w:pPr>
            <w:r>
              <w:rPr/>
              <w:t>Gains on sale of corporate assets</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 </w:t>
            </w:r>
          </w:p>
        </w:tc>
        <w:tc>
          <w:tcPr>
            <w:tcW w:w="1491" w:type="dxa"/>
            <w:tcBorders/>
            <w:shd w:fill="auto" w:val="clear"/>
            <w:vAlign w:val="bottom"/>
          </w:tcPr>
          <w:p>
            <w:pPr>
              <w:pStyle w:val="TableContents"/>
              <w:spacing w:before="0" w:after="283"/>
              <w:jc w:val="right"/>
              <w:rPr/>
            </w:pPr>
            <w:r>
              <w:rPr/>
              <w:t>(3,468</w:t>
            </w:r>
          </w:p>
        </w:tc>
        <w:tc>
          <w:tcPr>
            <w:tcW w:w="201" w:type="dxa"/>
            <w:tcBorders/>
            <w:shd w:fill="auto" w:val="clear"/>
            <w:vAlign w:val="bottom"/>
          </w:tcPr>
          <w:p>
            <w:pPr>
              <w:pStyle w:val="TableContents"/>
              <w:spacing w:before="0" w:after="283"/>
              <w:rPr/>
            </w:pPr>
            <w:r>
              <w:rPr/>
              <w:t>)</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450" w:right="0" w:hanging="225"/>
              <w:rPr/>
            </w:pPr>
            <w:r>
              <w:rPr/>
              <w:t>Restructuring recoveries</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jc w:val="left"/>
              <w:rPr/>
            </w:pPr>
            <w:r>
              <w:rPr/>
              <w:t> </w:t>
            </w:r>
          </w:p>
        </w:tc>
        <w:tc>
          <w:tcPr>
            <w:tcW w:w="1491" w:type="dxa"/>
            <w:tcBorders/>
            <w:shd w:fill="CCEEFF" w:val="clear"/>
            <w:vAlign w:val="bottom"/>
          </w:tcPr>
          <w:p>
            <w:pPr>
              <w:pStyle w:val="TableContents"/>
              <w:spacing w:before="0" w:after="283"/>
              <w:jc w:val="right"/>
              <w:rPr/>
            </w:pPr>
            <w:r>
              <w:rPr/>
              <w:t>(18</w:t>
            </w:r>
          </w:p>
        </w:tc>
        <w:tc>
          <w:tcPr>
            <w:tcW w:w="201" w:type="dxa"/>
            <w:tcBorders/>
            <w:shd w:fill="CCEEFF" w:val="clear"/>
            <w:vAlign w:val="bottom"/>
          </w:tcPr>
          <w:p>
            <w:pPr>
              <w:pStyle w:val="TableContents"/>
              <w:spacing w:before="0" w:after="283"/>
              <w:rPr/>
            </w:pPr>
            <w:r>
              <w:rPr/>
              <w:t>)</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jc w:val="left"/>
              <w:rPr/>
            </w:pPr>
            <w:r>
              <w:rPr/>
              <w:t> </w:t>
            </w:r>
          </w:p>
        </w:tc>
        <w:tc>
          <w:tcPr>
            <w:tcW w:w="1495" w:type="dxa"/>
            <w:tcBorders/>
            <w:shd w:fill="CCEEFF" w:val="clear"/>
            <w:vAlign w:val="bottom"/>
          </w:tcPr>
          <w:p>
            <w:pPr>
              <w:pStyle w:val="TableContents"/>
              <w:spacing w:before="0" w:after="283"/>
              <w:jc w:val="right"/>
              <w:rPr/>
            </w:pPr>
            <w:r>
              <w:rPr/>
              <w:t>(290</w:t>
            </w:r>
          </w:p>
        </w:tc>
        <w:tc>
          <w:tcPr>
            <w:tcW w:w="143" w:type="dxa"/>
            <w:tcBorders/>
            <w:shd w:fill="CCEEFF" w:val="clear"/>
            <w:vAlign w:val="bottom"/>
          </w:tcPr>
          <w:p>
            <w:pPr>
              <w:pStyle w:val="TableContents"/>
              <w:spacing w:before="0" w:after="283"/>
              <w:rPr/>
            </w:pPr>
            <w:r>
              <w:rPr/>
              <w:t>)</w:t>
            </w:r>
          </w:p>
        </w:tc>
      </w:tr>
      <w:tr>
        <w:trPr/>
        <w:tc>
          <w:tcPr>
            <w:tcW w:w="5582" w:type="dxa"/>
            <w:tcBorders/>
            <w:shd w:fill="auto" w:val="clear"/>
            <w:vAlign w:val="bottom"/>
          </w:tcPr>
          <w:p>
            <w:pPr>
              <w:pStyle w:val="TableContents"/>
              <w:spacing w:before="0" w:after="0"/>
              <w:ind w:left="450" w:right="0" w:hanging="225"/>
              <w:rPr/>
            </w:pPr>
            <w:r>
              <w:rPr/>
              <w:t>Impairment recoveries</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 </w:t>
            </w:r>
          </w:p>
        </w:tc>
        <w:tc>
          <w:tcPr>
            <w:tcW w:w="1491" w:type="dxa"/>
            <w:tcBorders/>
            <w:shd w:fill="auto" w:val="clear"/>
            <w:vAlign w:val="bottom"/>
          </w:tcPr>
          <w:p>
            <w:pPr>
              <w:pStyle w:val="TableContents"/>
              <w:spacing w:before="0" w:after="283"/>
              <w:jc w:val="right"/>
              <w:rPr/>
            </w:pPr>
            <w:r>
              <w:rPr/>
              <w:t>(843</w:t>
            </w:r>
          </w:p>
        </w:tc>
        <w:tc>
          <w:tcPr>
            <w:tcW w:w="201" w:type="dxa"/>
            <w:tcBorders/>
            <w:shd w:fill="auto" w:val="clear"/>
            <w:vAlign w:val="bottom"/>
          </w:tcPr>
          <w:p>
            <w:pPr>
              <w:pStyle w:val="TableContents"/>
              <w:spacing w:before="0" w:after="283"/>
              <w:rPr/>
            </w:pPr>
            <w:r>
              <w:rPr/>
              <w:t>)</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450" w:right="0" w:hanging="225"/>
              <w:rPr/>
            </w:pPr>
            <w:r>
              <w:rPr/>
              <w:t>Net interest income</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jc w:val="left"/>
              <w:rPr/>
            </w:pPr>
            <w:r>
              <w:rPr/>
              <w:t> </w:t>
            </w:r>
          </w:p>
        </w:tc>
        <w:tc>
          <w:tcPr>
            <w:tcW w:w="1491" w:type="dxa"/>
            <w:tcBorders/>
            <w:shd w:fill="CCEEFF" w:val="clear"/>
            <w:vAlign w:val="bottom"/>
          </w:tcPr>
          <w:p>
            <w:pPr>
              <w:pStyle w:val="TableContents"/>
              <w:spacing w:before="0" w:after="283"/>
              <w:jc w:val="right"/>
              <w:rPr/>
            </w:pPr>
            <w:r>
              <w:rPr/>
              <w:t>(1,437</w:t>
            </w:r>
          </w:p>
        </w:tc>
        <w:tc>
          <w:tcPr>
            <w:tcW w:w="201" w:type="dxa"/>
            <w:tcBorders/>
            <w:shd w:fill="CCEEFF" w:val="clear"/>
            <w:vAlign w:val="bottom"/>
          </w:tcPr>
          <w:p>
            <w:pPr>
              <w:pStyle w:val="TableContents"/>
              <w:spacing w:before="0" w:after="283"/>
              <w:rPr/>
            </w:pPr>
            <w:r>
              <w:rPr/>
              <w:t>)</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jc w:val="left"/>
              <w:rPr/>
            </w:pPr>
            <w:r>
              <w:rPr/>
              <w:t> </w:t>
            </w:r>
          </w:p>
        </w:tc>
        <w:tc>
          <w:tcPr>
            <w:tcW w:w="1495" w:type="dxa"/>
            <w:tcBorders/>
            <w:shd w:fill="CCEEFF" w:val="clear"/>
            <w:vAlign w:val="bottom"/>
          </w:tcPr>
          <w:p>
            <w:pPr>
              <w:pStyle w:val="TableContents"/>
              <w:spacing w:before="0" w:after="283"/>
              <w:jc w:val="right"/>
              <w:rPr/>
            </w:pPr>
            <w:r>
              <w:rPr/>
              <w:t>(150</w:t>
            </w:r>
          </w:p>
        </w:tc>
        <w:tc>
          <w:tcPr>
            <w:tcW w:w="143" w:type="dxa"/>
            <w:tcBorders/>
            <w:shd w:fill="CCEEFF" w:val="clear"/>
            <w:vAlign w:val="bottom"/>
          </w:tcPr>
          <w:p>
            <w:pPr>
              <w:pStyle w:val="TableContents"/>
              <w:spacing w:before="0" w:after="283"/>
              <w:rPr/>
            </w:pPr>
            <w:r>
              <w:rPr/>
              <w:t>)</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auto" w:val="clear"/>
            <w:vAlign w:val="bottom"/>
          </w:tcPr>
          <w:p>
            <w:pPr>
              <w:pStyle w:val="TableContents"/>
              <w:spacing w:before="0" w:after="0"/>
              <w:ind w:left="675" w:right="0" w:hanging="225"/>
              <w:rPr/>
            </w:pPr>
            <w:r>
              <w:rPr/>
              <w:t>Total costs and expenses</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jc w:val="right"/>
              <w:rPr/>
            </w:pPr>
            <w:r>
              <w:rPr/>
              <w:t>212,034</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jc w:val="right"/>
              <w:rPr/>
            </w:pPr>
            <w:r>
              <w:rPr/>
              <w:t>228,924</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 </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225" w:right="0" w:hanging="225"/>
              <w:rPr/>
            </w:pPr>
            <w:r>
              <w:rPr/>
              <w:t>Income before income taxes</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1" w:type="dxa"/>
            <w:tcBorders/>
            <w:shd w:fill="CCEEFF" w:val="clear"/>
            <w:vAlign w:val="bottom"/>
          </w:tcPr>
          <w:p>
            <w:pPr>
              <w:pStyle w:val="TableContents"/>
              <w:spacing w:before="0" w:after="283"/>
              <w:jc w:val="right"/>
              <w:rPr/>
            </w:pPr>
            <w:r>
              <w:rPr/>
              <w:t>21,736</w:t>
            </w:r>
          </w:p>
        </w:tc>
        <w:tc>
          <w:tcPr>
            <w:tcW w:w="201"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5" w:type="dxa"/>
            <w:tcBorders/>
            <w:shd w:fill="CCEEFF" w:val="clear"/>
            <w:vAlign w:val="bottom"/>
          </w:tcPr>
          <w:p>
            <w:pPr>
              <w:pStyle w:val="TableContents"/>
              <w:spacing w:before="0" w:after="283"/>
              <w:jc w:val="right"/>
              <w:rPr/>
            </w:pPr>
            <w:r>
              <w:rPr/>
              <w:t>20,588</w:t>
            </w:r>
          </w:p>
        </w:tc>
        <w:tc>
          <w:tcPr>
            <w:tcW w:w="143" w:type="dxa"/>
            <w:tcBorders/>
            <w:shd w:fill="CCEEFF"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Income tax expense</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jc w:val="right"/>
              <w:rPr/>
            </w:pPr>
            <w:r>
              <w:rPr/>
              <w:t>7,979</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jc w:val="right"/>
              <w:rPr/>
            </w:pPr>
            <w:r>
              <w:rPr/>
              <w:t>8,163</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225" w:right="0" w:hanging="225"/>
              <w:rPr/>
            </w:pPr>
            <w:r>
              <w:rPr/>
              <w:t>Income from continuing operations</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1" w:type="dxa"/>
            <w:tcBorders/>
            <w:shd w:fill="CCEEFF" w:val="clear"/>
            <w:vAlign w:val="bottom"/>
          </w:tcPr>
          <w:p>
            <w:pPr>
              <w:pStyle w:val="TableContents"/>
              <w:spacing w:before="0" w:after="283"/>
              <w:jc w:val="right"/>
              <w:rPr/>
            </w:pPr>
            <w:r>
              <w:rPr/>
              <w:t>13,757</w:t>
            </w:r>
          </w:p>
        </w:tc>
        <w:tc>
          <w:tcPr>
            <w:tcW w:w="201"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5" w:type="dxa"/>
            <w:tcBorders/>
            <w:shd w:fill="CCEEFF" w:val="clear"/>
            <w:vAlign w:val="bottom"/>
          </w:tcPr>
          <w:p>
            <w:pPr>
              <w:pStyle w:val="TableContents"/>
              <w:spacing w:before="0" w:after="283"/>
              <w:jc w:val="right"/>
              <w:rPr/>
            </w:pPr>
            <w:r>
              <w:rPr/>
              <w:t>12,425</w:t>
            </w:r>
          </w:p>
        </w:tc>
        <w:tc>
          <w:tcPr>
            <w:tcW w:w="143" w:type="dxa"/>
            <w:tcBorders/>
            <w:shd w:fill="CCEEFF"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Loss from discontinued operations</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 </w:t>
            </w:r>
          </w:p>
        </w:tc>
        <w:tc>
          <w:tcPr>
            <w:tcW w:w="1491" w:type="dxa"/>
            <w:tcBorders/>
            <w:shd w:fill="auto" w:val="clear"/>
            <w:vAlign w:val="bottom"/>
          </w:tcPr>
          <w:p>
            <w:pPr>
              <w:pStyle w:val="TableContents"/>
              <w:spacing w:before="0" w:after="283"/>
              <w:jc w:val="right"/>
              <w:rPr/>
            </w:pPr>
            <w:r>
              <w:rPr/>
              <w:t>(149</w:t>
            </w:r>
          </w:p>
        </w:tc>
        <w:tc>
          <w:tcPr>
            <w:tcW w:w="201" w:type="dxa"/>
            <w:tcBorders/>
            <w:shd w:fill="auto" w:val="clear"/>
            <w:vAlign w:val="bottom"/>
          </w:tcPr>
          <w:p>
            <w:pPr>
              <w:pStyle w:val="TableContents"/>
              <w:spacing w:before="0" w:after="283"/>
              <w:rPr/>
            </w:pPr>
            <w:r>
              <w:rPr/>
              <w:t>)</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 </w:t>
            </w:r>
          </w:p>
        </w:tc>
        <w:tc>
          <w:tcPr>
            <w:tcW w:w="1495" w:type="dxa"/>
            <w:tcBorders/>
            <w:shd w:fill="auto" w:val="clear"/>
            <w:vAlign w:val="bottom"/>
          </w:tcPr>
          <w:p>
            <w:pPr>
              <w:pStyle w:val="TableContents"/>
              <w:spacing w:before="0" w:after="283"/>
              <w:jc w:val="right"/>
              <w:rPr/>
            </w:pPr>
            <w:r>
              <w:rPr/>
              <w:t>(227</w:t>
            </w:r>
          </w:p>
        </w:tc>
        <w:tc>
          <w:tcPr>
            <w:tcW w:w="143" w:type="dxa"/>
            <w:tcBorders/>
            <w:shd w:fill="auto" w:val="clear"/>
            <w:vAlign w:val="bottom"/>
          </w:tcPr>
          <w:p>
            <w:pPr>
              <w:pStyle w:val="TableContents"/>
              <w:spacing w:before="0" w:after="283"/>
              <w:rPr/>
            </w:pPr>
            <w:r>
              <w:rPr/>
              <w:t>)</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225" w:right="0" w:hanging="225"/>
              <w:rPr>
                <w:b/>
              </w:rPr>
            </w:pPr>
            <w:r>
              <w:rPr>
                <w:b/>
              </w:rPr>
              <w:t>Net income</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jc w:val="left"/>
              <w:rPr/>
            </w:pPr>
            <w:r>
              <w:rPr/>
              <w:t>$</w:t>
            </w:r>
          </w:p>
        </w:tc>
        <w:tc>
          <w:tcPr>
            <w:tcW w:w="1491" w:type="dxa"/>
            <w:tcBorders/>
            <w:shd w:fill="CCEEFF" w:val="clear"/>
            <w:vAlign w:val="bottom"/>
          </w:tcPr>
          <w:p>
            <w:pPr>
              <w:pStyle w:val="TableContents"/>
              <w:spacing w:before="0" w:after="283"/>
              <w:jc w:val="right"/>
              <w:rPr/>
            </w:pPr>
            <w:r>
              <w:rPr/>
              <w:t>13,608</w:t>
            </w:r>
          </w:p>
        </w:tc>
        <w:tc>
          <w:tcPr>
            <w:tcW w:w="201"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jc w:val="left"/>
              <w:rPr/>
            </w:pPr>
            <w:r>
              <w:rPr/>
              <w:t>$</w:t>
            </w:r>
          </w:p>
        </w:tc>
        <w:tc>
          <w:tcPr>
            <w:tcW w:w="1495" w:type="dxa"/>
            <w:tcBorders/>
            <w:shd w:fill="CCEEFF" w:val="clear"/>
            <w:vAlign w:val="bottom"/>
          </w:tcPr>
          <w:p>
            <w:pPr>
              <w:pStyle w:val="TableContents"/>
              <w:spacing w:before="0" w:after="283"/>
              <w:jc w:val="right"/>
              <w:rPr/>
            </w:pPr>
            <w:r>
              <w:rPr/>
              <w:t>12,198</w:t>
            </w:r>
          </w:p>
        </w:tc>
        <w:tc>
          <w:tcPr>
            <w:tcW w:w="143" w:type="dxa"/>
            <w:tcBorders/>
            <w:shd w:fill="CCEEFF" w:val="clear"/>
            <w:vAlign w:val="bottom"/>
          </w:tcPr>
          <w:p>
            <w:pPr>
              <w:pStyle w:val="TableContents"/>
              <w:spacing w:before="0" w:after="283"/>
              <w:rPr/>
            </w:pPr>
            <w:r>
              <w:rPr/>
              <w:t> </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 </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b/>
              </w:rPr>
            </w:pPr>
            <w:r>
              <w:rPr>
                <w:b/>
              </w:rPr>
              <w:t>Diluted income per common share</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225" w:right="0" w:hanging="225"/>
              <w:rPr/>
            </w:pPr>
            <w:r>
              <w:rPr/>
              <w:t>Income from continuing operations</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jc w:val="left"/>
              <w:rPr/>
            </w:pPr>
            <w:r>
              <w:rPr/>
              <w:t>$</w:t>
            </w:r>
          </w:p>
        </w:tc>
        <w:tc>
          <w:tcPr>
            <w:tcW w:w="1491" w:type="dxa"/>
            <w:tcBorders/>
            <w:shd w:fill="CCEEFF" w:val="clear"/>
            <w:vAlign w:val="bottom"/>
          </w:tcPr>
          <w:p>
            <w:pPr>
              <w:pStyle w:val="TableContents"/>
              <w:spacing w:before="0" w:after="283"/>
              <w:jc w:val="right"/>
              <w:rPr/>
            </w:pPr>
            <w:r>
              <w:rPr/>
              <w:t>0.62</w:t>
            </w:r>
          </w:p>
        </w:tc>
        <w:tc>
          <w:tcPr>
            <w:tcW w:w="201"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jc w:val="left"/>
              <w:rPr/>
            </w:pPr>
            <w:r>
              <w:rPr/>
              <w:t>$</w:t>
            </w:r>
          </w:p>
        </w:tc>
        <w:tc>
          <w:tcPr>
            <w:tcW w:w="1495" w:type="dxa"/>
            <w:tcBorders/>
            <w:shd w:fill="CCEEFF" w:val="clear"/>
            <w:vAlign w:val="bottom"/>
          </w:tcPr>
          <w:p>
            <w:pPr>
              <w:pStyle w:val="TableContents"/>
              <w:spacing w:before="0" w:after="283"/>
              <w:jc w:val="right"/>
              <w:rPr/>
            </w:pPr>
            <w:r>
              <w:rPr/>
              <w:t>0.56</w:t>
            </w:r>
          </w:p>
        </w:tc>
        <w:tc>
          <w:tcPr>
            <w:tcW w:w="143" w:type="dxa"/>
            <w:tcBorders/>
            <w:shd w:fill="CCEEFF"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Loss from discontinued operations</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 </w:t>
            </w:r>
          </w:p>
        </w:tc>
        <w:tc>
          <w:tcPr>
            <w:tcW w:w="1491" w:type="dxa"/>
            <w:tcBorders/>
            <w:shd w:fill="auto" w:val="clear"/>
            <w:vAlign w:val="bottom"/>
          </w:tcPr>
          <w:p>
            <w:pPr>
              <w:pStyle w:val="TableContents"/>
              <w:spacing w:before="0" w:after="283"/>
              <w:jc w:val="right"/>
              <w:rPr/>
            </w:pPr>
            <w:r>
              <w:rPr/>
              <w:t>(0.01</w:t>
            </w:r>
          </w:p>
        </w:tc>
        <w:tc>
          <w:tcPr>
            <w:tcW w:w="201" w:type="dxa"/>
            <w:tcBorders/>
            <w:shd w:fill="auto" w:val="clear"/>
            <w:vAlign w:val="bottom"/>
          </w:tcPr>
          <w:p>
            <w:pPr>
              <w:pStyle w:val="TableContents"/>
              <w:spacing w:before="0" w:after="283"/>
              <w:rPr/>
            </w:pPr>
            <w:r>
              <w:rPr/>
              <w:t>)</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 </w:t>
            </w:r>
          </w:p>
        </w:tc>
        <w:tc>
          <w:tcPr>
            <w:tcW w:w="1495" w:type="dxa"/>
            <w:tcBorders/>
            <w:shd w:fill="auto" w:val="clear"/>
            <w:vAlign w:val="bottom"/>
          </w:tcPr>
          <w:p>
            <w:pPr>
              <w:pStyle w:val="TableContents"/>
              <w:spacing w:before="0" w:after="283"/>
              <w:jc w:val="right"/>
              <w:rPr/>
            </w:pPr>
            <w:r>
              <w:rPr/>
              <w:t>(0.01</w:t>
            </w:r>
          </w:p>
        </w:tc>
        <w:tc>
          <w:tcPr>
            <w:tcW w:w="143" w:type="dxa"/>
            <w:tcBorders/>
            <w:shd w:fill="auto" w:val="clear"/>
            <w:vAlign w:val="bottom"/>
          </w:tcPr>
          <w:p>
            <w:pPr>
              <w:pStyle w:val="TableContents"/>
              <w:spacing w:before="0" w:after="283"/>
              <w:rPr/>
            </w:pPr>
            <w:r>
              <w:rPr/>
              <w:t>)</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225" w:right="0" w:hanging="225"/>
              <w:rPr>
                <w:b/>
              </w:rPr>
            </w:pPr>
            <w:r>
              <w:rPr>
                <w:b/>
              </w:rPr>
              <w:t>Net income</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jc w:val="left"/>
              <w:rPr/>
            </w:pPr>
            <w:r>
              <w:rPr/>
              <w:t>$</w:t>
            </w:r>
          </w:p>
        </w:tc>
        <w:tc>
          <w:tcPr>
            <w:tcW w:w="1491" w:type="dxa"/>
            <w:tcBorders/>
            <w:shd w:fill="CCEEFF" w:val="clear"/>
            <w:vAlign w:val="bottom"/>
          </w:tcPr>
          <w:p>
            <w:pPr>
              <w:pStyle w:val="TableContents"/>
              <w:spacing w:before="0" w:after="283"/>
              <w:jc w:val="right"/>
              <w:rPr/>
            </w:pPr>
            <w:r>
              <w:rPr/>
              <w:t>0.61</w:t>
            </w:r>
          </w:p>
        </w:tc>
        <w:tc>
          <w:tcPr>
            <w:tcW w:w="201"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jc w:val="left"/>
              <w:rPr/>
            </w:pPr>
            <w:r>
              <w:rPr/>
              <w:t>$</w:t>
            </w:r>
          </w:p>
        </w:tc>
        <w:tc>
          <w:tcPr>
            <w:tcW w:w="1495" w:type="dxa"/>
            <w:tcBorders/>
            <w:shd w:fill="CCEEFF" w:val="clear"/>
            <w:vAlign w:val="bottom"/>
          </w:tcPr>
          <w:p>
            <w:pPr>
              <w:pStyle w:val="TableContents"/>
              <w:spacing w:before="0" w:after="283"/>
              <w:jc w:val="right"/>
              <w:rPr/>
            </w:pPr>
            <w:r>
              <w:rPr/>
              <w:t>0.55</w:t>
            </w:r>
          </w:p>
        </w:tc>
        <w:tc>
          <w:tcPr>
            <w:tcW w:w="143" w:type="dxa"/>
            <w:tcBorders/>
            <w:shd w:fill="CCEEFF" w:val="clear"/>
            <w:vAlign w:val="bottom"/>
          </w:tcPr>
          <w:p>
            <w:pPr>
              <w:pStyle w:val="TableContents"/>
              <w:spacing w:before="0" w:after="283"/>
              <w:rPr/>
            </w:pPr>
            <w:r>
              <w:rPr/>
              <w:t> </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 </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Average outstanding and potentially dilutive common shares</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jc w:val="right"/>
              <w:rPr/>
            </w:pPr>
            <w:r>
              <w:rPr/>
              <w:t>22,202</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jc w:val="right"/>
              <w:rPr/>
            </w:pPr>
            <w:r>
              <w:rPr/>
              <w:t>22,092</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 </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225" w:right="0" w:hanging="225"/>
              <w:rPr>
                <w:b/>
              </w:rPr>
            </w:pPr>
            <w:r>
              <w:rPr>
                <w:b/>
              </w:rPr>
              <w:t>Basic income per common share</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5"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Income from continuing operations</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w:t>
            </w:r>
          </w:p>
        </w:tc>
        <w:tc>
          <w:tcPr>
            <w:tcW w:w="1491" w:type="dxa"/>
            <w:tcBorders/>
            <w:shd w:fill="auto" w:val="clear"/>
            <w:vAlign w:val="bottom"/>
          </w:tcPr>
          <w:p>
            <w:pPr>
              <w:pStyle w:val="TableContents"/>
              <w:spacing w:before="0" w:after="283"/>
              <w:jc w:val="right"/>
              <w:rPr/>
            </w:pPr>
            <w:r>
              <w:rPr/>
              <w:t>0.63</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w:t>
            </w:r>
          </w:p>
        </w:tc>
        <w:tc>
          <w:tcPr>
            <w:tcW w:w="1495" w:type="dxa"/>
            <w:tcBorders/>
            <w:shd w:fill="auto" w:val="clear"/>
            <w:vAlign w:val="bottom"/>
          </w:tcPr>
          <w:p>
            <w:pPr>
              <w:pStyle w:val="TableContents"/>
              <w:spacing w:before="0" w:after="283"/>
              <w:jc w:val="right"/>
              <w:rPr/>
            </w:pPr>
            <w:r>
              <w:rPr/>
              <w:t>0.57</w:t>
            </w:r>
          </w:p>
        </w:tc>
        <w:tc>
          <w:tcPr>
            <w:tcW w:w="143" w:type="dxa"/>
            <w:tcBorders/>
            <w:shd w:fill="auto" w:val="clear"/>
            <w:vAlign w:val="bottom"/>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225" w:right="0" w:hanging="225"/>
              <w:rPr/>
            </w:pPr>
            <w:r>
              <w:rPr/>
              <w:t>Loss from discontinued operations</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jc w:val="left"/>
              <w:rPr/>
            </w:pPr>
            <w:r>
              <w:rPr/>
              <w:t> </w:t>
            </w:r>
          </w:p>
        </w:tc>
        <w:tc>
          <w:tcPr>
            <w:tcW w:w="1491" w:type="dxa"/>
            <w:tcBorders/>
            <w:shd w:fill="CCEEFF" w:val="clear"/>
            <w:vAlign w:val="bottom"/>
          </w:tcPr>
          <w:p>
            <w:pPr>
              <w:pStyle w:val="TableContents"/>
              <w:spacing w:before="0" w:after="283"/>
              <w:jc w:val="right"/>
              <w:rPr/>
            </w:pPr>
            <w:r>
              <w:rPr/>
              <w:t>(0.01</w:t>
            </w:r>
          </w:p>
        </w:tc>
        <w:tc>
          <w:tcPr>
            <w:tcW w:w="201" w:type="dxa"/>
            <w:tcBorders/>
            <w:shd w:fill="CCEEFF" w:val="clear"/>
            <w:vAlign w:val="bottom"/>
          </w:tcPr>
          <w:p>
            <w:pPr>
              <w:pStyle w:val="TableContents"/>
              <w:spacing w:before="0" w:after="283"/>
              <w:rPr/>
            </w:pPr>
            <w:r>
              <w:rPr/>
              <w:t>)</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jc w:val="left"/>
              <w:rPr/>
            </w:pPr>
            <w:r>
              <w:rPr/>
              <w:t> </w:t>
            </w:r>
          </w:p>
        </w:tc>
        <w:tc>
          <w:tcPr>
            <w:tcW w:w="1495" w:type="dxa"/>
            <w:tcBorders/>
            <w:shd w:fill="CCEEFF" w:val="clear"/>
            <w:vAlign w:val="bottom"/>
          </w:tcPr>
          <w:p>
            <w:pPr>
              <w:pStyle w:val="TableContents"/>
              <w:spacing w:before="0" w:after="283"/>
              <w:jc w:val="right"/>
              <w:rPr/>
            </w:pPr>
            <w:r>
              <w:rPr/>
              <w:t>(0.01</w:t>
            </w:r>
          </w:p>
        </w:tc>
        <w:tc>
          <w:tcPr>
            <w:tcW w:w="143" w:type="dxa"/>
            <w:tcBorders/>
            <w:shd w:fill="CCEEFF" w:val="clear"/>
            <w:vAlign w:val="bottom"/>
          </w:tcPr>
          <w:p>
            <w:pPr>
              <w:pStyle w:val="TableContents"/>
              <w:spacing w:before="0" w:after="283"/>
              <w:rPr/>
            </w:pPr>
            <w:r>
              <w:rPr/>
              <w:t>)</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b/>
              </w:rPr>
            </w:pPr>
            <w:r>
              <w:rPr>
                <w:b/>
              </w:rPr>
              <w:t>Net income</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w:t>
            </w:r>
          </w:p>
        </w:tc>
        <w:tc>
          <w:tcPr>
            <w:tcW w:w="1491" w:type="dxa"/>
            <w:tcBorders/>
            <w:shd w:fill="auto" w:val="clear"/>
            <w:vAlign w:val="bottom"/>
          </w:tcPr>
          <w:p>
            <w:pPr>
              <w:pStyle w:val="TableContents"/>
              <w:spacing w:before="0" w:after="283"/>
              <w:jc w:val="right"/>
              <w:rPr/>
            </w:pPr>
            <w:r>
              <w:rPr/>
              <w:t>0.62</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w:t>
            </w:r>
          </w:p>
        </w:tc>
        <w:tc>
          <w:tcPr>
            <w:tcW w:w="1495" w:type="dxa"/>
            <w:tcBorders/>
            <w:shd w:fill="auto" w:val="clear"/>
            <w:vAlign w:val="bottom"/>
          </w:tcPr>
          <w:p>
            <w:pPr>
              <w:pStyle w:val="TableContents"/>
              <w:spacing w:before="0" w:after="283"/>
              <w:jc w:val="right"/>
              <w:rPr/>
            </w:pPr>
            <w:r>
              <w:rPr/>
              <w:t>0.56</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 </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5582" w:type="dxa"/>
            <w:tcBorders/>
            <w:shd w:fill="CCEEFF" w:val="clear"/>
            <w:vAlign w:val="bottom"/>
          </w:tcPr>
          <w:p>
            <w:pPr>
              <w:pStyle w:val="TableContents"/>
              <w:spacing w:before="0" w:after="0"/>
              <w:ind w:left="225" w:right="0" w:hanging="225"/>
              <w:rPr/>
            </w:pPr>
            <w:r>
              <w:rPr/>
              <w:t>Average outstanding common shares</w:t>
            </w:r>
          </w:p>
        </w:tc>
        <w:tc>
          <w:tcPr>
            <w:tcW w:w="358"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1" w:type="dxa"/>
            <w:tcBorders/>
            <w:shd w:fill="CCEEFF" w:val="clear"/>
            <w:vAlign w:val="bottom"/>
          </w:tcPr>
          <w:p>
            <w:pPr>
              <w:pStyle w:val="TableContents"/>
              <w:spacing w:before="0" w:after="283"/>
              <w:jc w:val="right"/>
              <w:rPr/>
            </w:pPr>
            <w:r>
              <w:rPr/>
              <w:t>21,812</w:t>
            </w:r>
          </w:p>
        </w:tc>
        <w:tc>
          <w:tcPr>
            <w:tcW w:w="201"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95" w:type="dxa"/>
            <w:tcBorders/>
            <w:shd w:fill="CCEEFF" w:val="clear"/>
            <w:vAlign w:val="bottom"/>
          </w:tcPr>
          <w:p>
            <w:pPr>
              <w:pStyle w:val="TableContents"/>
              <w:spacing w:before="0" w:after="283"/>
              <w:jc w:val="right"/>
              <w:rPr/>
            </w:pPr>
            <w:r>
              <w:rPr/>
              <w:t>21,917</w:t>
            </w:r>
          </w:p>
        </w:tc>
        <w:tc>
          <w:tcPr>
            <w:tcW w:w="143" w:type="dxa"/>
            <w:tcBorders/>
            <w:shd w:fill="CCEEFF" w:val="clear"/>
            <w:vAlign w:val="bottom"/>
          </w:tcPr>
          <w:p>
            <w:pPr>
              <w:pStyle w:val="TableContents"/>
              <w:spacing w:before="0" w:after="283"/>
              <w:rPr/>
            </w:pPr>
            <w:r>
              <w:rPr/>
              <w:t> </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 </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95"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bottom"/>
          </w:tcPr>
          <w:p>
            <w:pPr>
              <w:pStyle w:val="TableContents"/>
              <w:spacing w:before="0" w:after="0"/>
              <w:ind w:left="225" w:right="0" w:hanging="225"/>
              <w:rPr/>
            </w:pPr>
            <w:r>
              <w:rPr/>
              <w:t>Dividends declared per common share</w:t>
            </w:r>
          </w:p>
        </w:tc>
        <w:tc>
          <w:tcPr>
            <w:tcW w:w="358"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w:t>
            </w:r>
          </w:p>
        </w:tc>
        <w:tc>
          <w:tcPr>
            <w:tcW w:w="1491" w:type="dxa"/>
            <w:tcBorders/>
            <w:shd w:fill="auto" w:val="clear"/>
            <w:vAlign w:val="bottom"/>
          </w:tcPr>
          <w:p>
            <w:pPr>
              <w:pStyle w:val="TableContents"/>
              <w:spacing w:before="0" w:after="283"/>
              <w:jc w:val="right"/>
              <w:rPr/>
            </w:pPr>
            <w:r>
              <w:rPr/>
              <w:t>0.04</w:t>
            </w:r>
          </w:p>
        </w:tc>
        <w:tc>
          <w:tcPr>
            <w:tcW w:w="201"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jc w:val="left"/>
              <w:rPr/>
            </w:pPr>
            <w:r>
              <w:rPr/>
              <w:t>$</w:t>
            </w:r>
          </w:p>
        </w:tc>
        <w:tc>
          <w:tcPr>
            <w:tcW w:w="1495" w:type="dxa"/>
            <w:tcBorders/>
            <w:shd w:fill="auto" w:val="clear"/>
            <w:vAlign w:val="bottom"/>
          </w:tcPr>
          <w:p>
            <w:pPr>
              <w:pStyle w:val="TableContents"/>
              <w:spacing w:before="0" w:after="283"/>
              <w:jc w:val="right"/>
              <w:rPr/>
            </w:pPr>
            <w:r>
              <w:rPr/>
              <w:t>0.04</w:t>
            </w:r>
          </w:p>
        </w:tc>
        <w:tc>
          <w:tcPr>
            <w:tcW w:w="143" w:type="dxa"/>
            <w:tcBorders/>
            <w:shd w:fill="auto" w:val="clear"/>
            <w:vAlign w:val="bottom"/>
          </w:tcPr>
          <w:p>
            <w:pPr>
              <w:pStyle w:val="TableContents"/>
              <w:spacing w:before="0" w:after="283"/>
              <w:rPr/>
            </w:pPr>
            <w:r>
              <w:rPr/>
              <w:t> </w:t>
            </w:r>
          </w:p>
        </w:tc>
      </w:tr>
      <w:tr>
        <w:trPr/>
        <w:tc>
          <w:tcPr>
            <w:tcW w:w="5582" w:type="dxa"/>
            <w:tcBorders/>
            <w:shd w:fill="auto" w:val="clear"/>
            <w:vAlign w:val="center"/>
          </w:tcPr>
          <w:p>
            <w:pPr>
              <w:pStyle w:val="TableContents"/>
              <w:spacing w:before="0" w:after="0"/>
              <w:ind w:left="225" w:right="0" w:hanging="225"/>
              <w:rPr/>
            </w:pPr>
            <w:r>
              <w:rPr/>
              <w:t> </w:t>
            </w:r>
          </w:p>
        </w:tc>
        <w:tc>
          <w:tcPr>
            <w:tcW w:w="358" w:type="dxa"/>
            <w:tcBorders/>
            <w:shd w:fill="auto" w:val="clear"/>
            <w:vAlign w:val="center"/>
          </w:tcPr>
          <w:p>
            <w:pPr>
              <w:pStyle w:val="TableContents"/>
              <w:spacing w:before="0" w:after="283"/>
              <w:rPr/>
            </w:pPr>
            <w:r>
              <w:rPr/>
              <w:t> </w:t>
            </w:r>
          </w:p>
        </w:tc>
        <w:tc>
          <w:tcPr>
            <w:tcW w:w="17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17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CONSOLIDATED STATEMENTS OF COMPREHENSIVE INCOME</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080"/>
        <w:gridCol w:w="382"/>
        <w:gridCol w:w="253"/>
        <w:gridCol w:w="1241"/>
        <w:gridCol w:w="193"/>
        <w:gridCol w:w="416"/>
        <w:gridCol w:w="253"/>
        <w:gridCol w:w="1245"/>
        <w:gridCol w:w="142"/>
      </w:tblGrid>
      <w:tr>
        <w:trPr/>
        <w:tc>
          <w:tcPr>
            <w:tcW w:w="608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4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08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3601"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March 31,</w:t>
            </w:r>
          </w:p>
        </w:tc>
        <w:tc>
          <w:tcPr>
            <w:tcW w:w="142" w:type="dxa"/>
            <w:tcBorders/>
            <w:shd w:fill="auto" w:val="clear"/>
            <w:vAlign w:val="bottom"/>
          </w:tcPr>
          <w:p>
            <w:pPr>
              <w:pStyle w:val="TableContents"/>
              <w:spacing w:before="0" w:after="283"/>
              <w:rPr/>
            </w:pPr>
            <w:r>
              <w:rPr/>
              <w:t> </w:t>
            </w:r>
          </w:p>
        </w:tc>
      </w:tr>
      <w:tr>
        <w:trPr/>
        <w:tc>
          <w:tcPr>
            <w:tcW w:w="608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49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9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49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2" w:type="dxa"/>
            <w:tcBorders/>
            <w:shd w:fill="auto" w:val="clear"/>
            <w:vAlign w:val="bottom"/>
          </w:tcPr>
          <w:p>
            <w:pPr>
              <w:pStyle w:val="TableContents"/>
              <w:spacing w:before="0" w:after="283"/>
              <w:rPr/>
            </w:pPr>
            <w:r>
              <w:rPr/>
              <w:t> </w:t>
            </w:r>
          </w:p>
        </w:tc>
      </w:tr>
      <w:tr>
        <w:trPr/>
        <w:tc>
          <w:tcPr>
            <w:tcW w:w="608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3601" w:type="dxa"/>
            <w:gridSpan w:val="6"/>
            <w:tcBorders/>
            <w:shd w:fill="auto" w:val="clear"/>
            <w:vAlign w:val="bottom"/>
          </w:tcPr>
          <w:p>
            <w:pPr>
              <w:pStyle w:val="TableContents"/>
              <w:spacing w:before="0" w:after="283"/>
              <w:jc w:val="center"/>
              <w:rPr>
                <w:b/>
              </w:rPr>
            </w:pPr>
            <w:r>
              <w:rPr>
                <w:b/>
              </w:rPr>
              <w:t>(in thousands)</w:t>
            </w:r>
          </w:p>
        </w:tc>
        <w:tc>
          <w:tcPr>
            <w:tcW w:w="142" w:type="dxa"/>
            <w:tcBorders/>
            <w:shd w:fill="auto" w:val="clear"/>
            <w:vAlign w:val="bottom"/>
          </w:tcPr>
          <w:p>
            <w:pPr>
              <w:pStyle w:val="TableContents"/>
              <w:spacing w:before="0" w:after="283"/>
              <w:rPr/>
            </w:pPr>
            <w:r>
              <w:rPr/>
              <w:t> </w:t>
            </w:r>
          </w:p>
        </w:tc>
      </w:tr>
      <w:tr>
        <w:trPr/>
        <w:tc>
          <w:tcPr>
            <w:tcW w:w="6080" w:type="dxa"/>
            <w:tcBorders/>
            <w:shd w:fill="CCEEFF" w:val="clear"/>
            <w:vAlign w:val="bottom"/>
          </w:tcPr>
          <w:p>
            <w:pPr>
              <w:pStyle w:val="TableContents"/>
              <w:spacing w:before="0" w:after="0"/>
              <w:ind w:left="225" w:right="0" w:hanging="225"/>
              <w:rPr>
                <w:b/>
              </w:rPr>
            </w:pPr>
            <w:r>
              <w:rPr>
                <w:b/>
              </w:rPr>
              <w:t>Net income</w:t>
            </w:r>
          </w:p>
        </w:tc>
        <w:tc>
          <w:tcPr>
            <w:tcW w:w="382"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241" w:type="dxa"/>
            <w:tcBorders/>
            <w:shd w:fill="CCEEFF" w:val="clear"/>
            <w:vAlign w:val="bottom"/>
          </w:tcPr>
          <w:p>
            <w:pPr>
              <w:pStyle w:val="TableContents"/>
              <w:spacing w:before="0" w:after="283"/>
              <w:jc w:val="right"/>
              <w:rPr/>
            </w:pPr>
            <w:r>
              <w:rPr/>
              <w:t>13,608</w:t>
            </w:r>
          </w:p>
        </w:tc>
        <w:tc>
          <w:tcPr>
            <w:tcW w:w="19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245" w:type="dxa"/>
            <w:tcBorders/>
            <w:shd w:fill="CCEEFF" w:val="clear"/>
            <w:vAlign w:val="bottom"/>
          </w:tcPr>
          <w:p>
            <w:pPr>
              <w:pStyle w:val="TableContents"/>
              <w:spacing w:before="0" w:after="283"/>
              <w:jc w:val="right"/>
              <w:rPr/>
            </w:pPr>
            <w:r>
              <w:rPr/>
              <w:t>12,198</w:t>
            </w:r>
          </w:p>
        </w:tc>
        <w:tc>
          <w:tcPr>
            <w:tcW w:w="142" w:type="dxa"/>
            <w:tcBorders/>
            <w:shd w:fill="CCEEFF" w:val="clear"/>
            <w:vAlign w:val="bottom"/>
          </w:tcPr>
          <w:p>
            <w:pPr>
              <w:pStyle w:val="TableContents"/>
              <w:spacing w:before="0" w:after="283"/>
              <w:rPr/>
            </w:pPr>
            <w:r>
              <w:rPr/>
              <w:t> </w:t>
            </w:r>
          </w:p>
        </w:tc>
      </w:tr>
      <w:tr>
        <w:trPr/>
        <w:tc>
          <w:tcPr>
            <w:tcW w:w="6080"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4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3" w:type="dxa"/>
            <w:tcBorders/>
            <w:shd w:fill="auto" w:val="clear"/>
            <w:vAlign w:val="center"/>
          </w:tcPr>
          <w:p>
            <w:pPr>
              <w:pStyle w:val="TableContents"/>
              <w:spacing w:before="0" w:after="283"/>
              <w:rPr/>
            </w:pPr>
            <w:r>
              <w:rPr/>
              <w:t> </w:t>
            </w:r>
          </w:p>
        </w:tc>
        <w:tc>
          <w:tcPr>
            <w:tcW w:w="416" w:type="dxa"/>
            <w:tcBorders/>
            <w:shd w:fill="auto" w:val="clear"/>
            <w:vAlign w:val="center"/>
          </w:tcPr>
          <w:p>
            <w:pPr>
              <w:pStyle w:val="TableContents"/>
              <w:spacing w:before="0" w:after="283"/>
              <w:rPr/>
            </w:pPr>
            <w:r>
              <w:rPr/>
              <w:t> </w:t>
            </w:r>
          </w:p>
        </w:tc>
        <w:tc>
          <w:tcPr>
            <w:tcW w:w="14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080" w:type="dxa"/>
            <w:tcBorders/>
            <w:shd w:fill="auto" w:val="clear"/>
            <w:vAlign w:val="bottom"/>
          </w:tcPr>
          <w:p>
            <w:pPr>
              <w:pStyle w:val="TableContents"/>
              <w:spacing w:before="0" w:after="0"/>
              <w:ind w:left="225" w:right="0" w:hanging="225"/>
              <w:rPr/>
            </w:pPr>
            <w:r>
              <w:rPr/>
              <w:t> </w:t>
            </w:r>
          </w:p>
        </w:tc>
        <w:tc>
          <w:tcPr>
            <w:tcW w:w="4125" w:type="dxa"/>
            <w:gridSpan w:val="8"/>
            <w:tcBorders/>
            <w:shd w:fill="auto" w:val="clear"/>
          </w:tcPr>
          <w:p>
            <w:pPr>
              <w:pStyle w:val="TableContents"/>
              <w:spacing w:before="0" w:after="283"/>
              <w:rPr>
                <w:sz w:val="4"/>
                <w:szCs w:val="4"/>
              </w:rPr>
            </w:pPr>
            <w:r>
              <w:rPr>
                <w:sz w:val="4"/>
                <w:szCs w:val="4"/>
              </w:rPr>
            </w:r>
          </w:p>
        </w:tc>
      </w:tr>
      <w:tr>
        <w:trPr/>
        <w:tc>
          <w:tcPr>
            <w:tcW w:w="6080" w:type="dxa"/>
            <w:tcBorders/>
            <w:shd w:fill="auto" w:val="clear"/>
            <w:vAlign w:val="bottom"/>
          </w:tcPr>
          <w:p>
            <w:pPr>
              <w:pStyle w:val="TableContents"/>
              <w:spacing w:before="0" w:after="0"/>
              <w:ind w:left="225" w:right="0" w:hanging="225"/>
              <w:rPr/>
            </w:pPr>
            <w:r>
              <w:rPr/>
              <w:t>Other comprehensive loss:</w:t>
            </w:r>
          </w:p>
        </w:tc>
        <w:tc>
          <w:tcPr>
            <w:tcW w:w="382"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4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080" w:type="dxa"/>
            <w:tcBorders/>
            <w:shd w:fill="CCEEFF" w:val="clear"/>
            <w:vAlign w:val="bottom"/>
          </w:tcPr>
          <w:p>
            <w:pPr>
              <w:pStyle w:val="TableContents"/>
              <w:spacing w:before="0" w:after="0"/>
              <w:ind w:left="450" w:right="0" w:hanging="225"/>
              <w:rPr/>
            </w:pPr>
            <w:r>
              <w:rPr/>
              <w:t>Unrealized gains (losses) on investments:</w:t>
            </w:r>
          </w:p>
        </w:tc>
        <w:tc>
          <w:tcPr>
            <w:tcW w:w="382"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4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080" w:type="dxa"/>
            <w:tcBorders/>
            <w:shd w:fill="auto" w:val="clear"/>
            <w:vAlign w:val="bottom"/>
          </w:tcPr>
          <w:p>
            <w:pPr>
              <w:pStyle w:val="TableContents"/>
              <w:spacing w:before="0" w:after="0"/>
              <w:ind w:left="675" w:right="0" w:hanging="225"/>
              <w:rPr/>
            </w:pPr>
            <w:r>
              <w:rPr/>
              <w:t>Holding gains (losses) arising during the period, net of tax</w:t>
            </w:r>
          </w:p>
        </w:tc>
        <w:tc>
          <w:tcPr>
            <w:tcW w:w="382"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jc w:val="right"/>
              <w:rPr/>
            </w:pPr>
            <w:r>
              <w:rPr/>
              <w:t>58</w:t>
            </w:r>
          </w:p>
        </w:tc>
        <w:tc>
          <w:tcPr>
            <w:tcW w:w="193"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 </w:t>
            </w:r>
          </w:p>
        </w:tc>
        <w:tc>
          <w:tcPr>
            <w:tcW w:w="1245" w:type="dxa"/>
            <w:tcBorders/>
            <w:shd w:fill="auto" w:val="clear"/>
            <w:vAlign w:val="bottom"/>
          </w:tcPr>
          <w:p>
            <w:pPr>
              <w:pStyle w:val="TableContents"/>
              <w:spacing w:before="0" w:after="283"/>
              <w:jc w:val="right"/>
              <w:rPr/>
            </w:pPr>
            <w:r>
              <w:rPr/>
              <w:t>(54</w:t>
            </w:r>
          </w:p>
        </w:tc>
        <w:tc>
          <w:tcPr>
            <w:tcW w:w="142" w:type="dxa"/>
            <w:tcBorders/>
            <w:shd w:fill="auto" w:val="clear"/>
            <w:vAlign w:val="bottom"/>
          </w:tcPr>
          <w:p>
            <w:pPr>
              <w:pStyle w:val="TableContents"/>
              <w:spacing w:before="0" w:after="283"/>
              <w:rPr/>
            </w:pPr>
            <w:r>
              <w:rPr/>
              <w:t>)</w:t>
            </w:r>
          </w:p>
        </w:tc>
      </w:tr>
      <w:tr>
        <w:trPr/>
        <w:tc>
          <w:tcPr>
            <w:tcW w:w="6080" w:type="dxa"/>
            <w:tcBorders/>
            <w:shd w:fill="CCEEFF" w:val="clear"/>
            <w:vAlign w:val="bottom"/>
          </w:tcPr>
          <w:p>
            <w:pPr>
              <w:pStyle w:val="TableContents"/>
              <w:spacing w:before="0" w:after="0"/>
              <w:ind w:left="450" w:right="0" w:hanging="225"/>
              <w:rPr/>
            </w:pPr>
            <w:r>
              <w:rPr/>
              <w:t>Unrealized loss on derivative financial instruments:</w:t>
            </w:r>
          </w:p>
        </w:tc>
        <w:tc>
          <w:tcPr>
            <w:tcW w:w="382"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4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080" w:type="dxa"/>
            <w:tcBorders/>
            <w:shd w:fill="auto" w:val="clear"/>
            <w:vAlign w:val="bottom"/>
          </w:tcPr>
          <w:p>
            <w:pPr>
              <w:pStyle w:val="TableContents"/>
              <w:spacing w:before="0" w:after="0"/>
              <w:ind w:left="675" w:right="0" w:hanging="225"/>
              <w:rPr/>
            </w:pPr>
            <w:r>
              <w:rPr/>
              <w:t>Holding loss arising during the period, net of tax</w:t>
            </w:r>
          </w:p>
        </w:tc>
        <w:tc>
          <w:tcPr>
            <w:tcW w:w="382"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 </w:t>
            </w:r>
          </w:p>
        </w:tc>
        <w:tc>
          <w:tcPr>
            <w:tcW w:w="1241" w:type="dxa"/>
            <w:tcBorders/>
            <w:shd w:fill="auto" w:val="clear"/>
            <w:vAlign w:val="bottom"/>
          </w:tcPr>
          <w:p>
            <w:pPr>
              <w:pStyle w:val="TableContents"/>
              <w:spacing w:before="0" w:after="283"/>
              <w:jc w:val="right"/>
              <w:rPr/>
            </w:pPr>
            <w:r>
              <w:rPr/>
              <w:t>(18</w:t>
            </w:r>
          </w:p>
        </w:tc>
        <w:tc>
          <w:tcPr>
            <w:tcW w:w="193" w:type="dxa"/>
            <w:tcBorders/>
            <w:shd w:fill="auto" w:val="clear"/>
            <w:vAlign w:val="bottom"/>
          </w:tcPr>
          <w:p>
            <w:pPr>
              <w:pStyle w:val="TableContents"/>
              <w:spacing w:before="0" w:after="283"/>
              <w:rPr/>
            </w:pPr>
            <w:r>
              <w:rPr/>
              <w:t>)</w:t>
            </w:r>
          </w:p>
        </w:tc>
        <w:tc>
          <w:tcPr>
            <w:tcW w:w="41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45" w:type="dxa"/>
            <w:tcBorders/>
            <w:shd w:fill="auto" w:val="clear"/>
            <w:vAlign w:val="bottom"/>
          </w:tcPr>
          <w:p>
            <w:pPr>
              <w:pStyle w:val="TableContents"/>
              <w:spacing w:before="0" w:after="283"/>
              <w:jc w:val="right"/>
              <w:rPr/>
            </w:pPr>
            <w:r>
              <w:rPr/>
              <w:t></w:t>
            </w:r>
          </w:p>
        </w:tc>
        <w:tc>
          <w:tcPr>
            <w:tcW w:w="142" w:type="dxa"/>
            <w:tcBorders/>
            <w:shd w:fill="auto" w:val="clear"/>
            <w:vAlign w:val="bottom"/>
          </w:tcPr>
          <w:p>
            <w:pPr>
              <w:pStyle w:val="TableContents"/>
              <w:spacing w:before="0" w:after="283"/>
              <w:rPr/>
            </w:pPr>
            <w:r>
              <w:rPr/>
              <w:t> </w:t>
            </w:r>
          </w:p>
        </w:tc>
      </w:tr>
      <w:tr>
        <w:trPr/>
        <w:tc>
          <w:tcPr>
            <w:tcW w:w="6080" w:type="dxa"/>
            <w:tcBorders/>
            <w:shd w:fill="CCEEFF" w:val="clear"/>
            <w:vAlign w:val="bottom"/>
          </w:tcPr>
          <w:p>
            <w:pPr>
              <w:pStyle w:val="TableContents"/>
              <w:spacing w:before="0" w:after="0"/>
              <w:ind w:left="450" w:right="0" w:hanging="225"/>
              <w:rPr/>
            </w:pPr>
            <w:r>
              <w:rPr/>
              <w:t>Unrealized foreign currency translation losses</w:t>
            </w:r>
          </w:p>
        </w:tc>
        <w:tc>
          <w:tcPr>
            <w:tcW w:w="382"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 </w:t>
            </w:r>
          </w:p>
        </w:tc>
        <w:tc>
          <w:tcPr>
            <w:tcW w:w="1241" w:type="dxa"/>
            <w:tcBorders/>
            <w:shd w:fill="CCEEFF" w:val="clear"/>
            <w:vAlign w:val="bottom"/>
          </w:tcPr>
          <w:p>
            <w:pPr>
              <w:pStyle w:val="TableContents"/>
              <w:spacing w:before="0" w:after="283"/>
              <w:jc w:val="right"/>
              <w:rPr/>
            </w:pPr>
            <w:r>
              <w:rPr/>
              <w:t>(539</w:t>
            </w:r>
          </w:p>
        </w:tc>
        <w:tc>
          <w:tcPr>
            <w:tcW w:w="193" w:type="dxa"/>
            <w:tcBorders/>
            <w:shd w:fill="CCEEFF" w:val="clear"/>
            <w:vAlign w:val="bottom"/>
          </w:tcPr>
          <w:p>
            <w:pPr>
              <w:pStyle w:val="TableContents"/>
              <w:spacing w:before="0" w:after="283"/>
              <w:rPr/>
            </w:pPr>
            <w:r>
              <w:rPr/>
              <w:t>)</w:t>
            </w:r>
          </w:p>
        </w:tc>
        <w:tc>
          <w:tcPr>
            <w:tcW w:w="416"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 </w:t>
            </w:r>
          </w:p>
        </w:tc>
        <w:tc>
          <w:tcPr>
            <w:tcW w:w="1245" w:type="dxa"/>
            <w:tcBorders/>
            <w:shd w:fill="CCEEFF" w:val="clear"/>
            <w:vAlign w:val="bottom"/>
          </w:tcPr>
          <w:p>
            <w:pPr>
              <w:pStyle w:val="TableContents"/>
              <w:spacing w:before="0" w:after="283"/>
              <w:jc w:val="right"/>
              <w:rPr/>
            </w:pPr>
            <w:r>
              <w:rPr/>
              <w:t>(1,290</w:t>
            </w:r>
          </w:p>
        </w:tc>
        <w:tc>
          <w:tcPr>
            <w:tcW w:w="142" w:type="dxa"/>
            <w:tcBorders/>
            <w:shd w:fill="CCEEFF" w:val="clear"/>
            <w:vAlign w:val="bottom"/>
          </w:tcPr>
          <w:p>
            <w:pPr>
              <w:pStyle w:val="TableContents"/>
              <w:spacing w:before="0" w:after="283"/>
              <w:rPr/>
            </w:pPr>
            <w:r>
              <w:rPr/>
              <w:t>)</w:t>
            </w:r>
          </w:p>
        </w:tc>
      </w:tr>
      <w:tr>
        <w:trPr/>
        <w:tc>
          <w:tcPr>
            <w:tcW w:w="6080"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4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3" w:type="dxa"/>
            <w:tcBorders/>
            <w:shd w:fill="auto" w:val="clear"/>
            <w:vAlign w:val="center"/>
          </w:tcPr>
          <w:p>
            <w:pPr>
              <w:pStyle w:val="TableContents"/>
              <w:spacing w:before="0" w:after="283"/>
              <w:rPr/>
            </w:pPr>
            <w:r>
              <w:rPr/>
              <w:t> </w:t>
            </w:r>
          </w:p>
        </w:tc>
        <w:tc>
          <w:tcPr>
            <w:tcW w:w="416" w:type="dxa"/>
            <w:tcBorders/>
            <w:shd w:fill="auto" w:val="clear"/>
            <w:vAlign w:val="center"/>
          </w:tcPr>
          <w:p>
            <w:pPr>
              <w:pStyle w:val="TableContents"/>
              <w:spacing w:before="0" w:after="283"/>
              <w:rPr/>
            </w:pPr>
            <w:r>
              <w:rPr/>
              <w:t> </w:t>
            </w:r>
          </w:p>
        </w:tc>
        <w:tc>
          <w:tcPr>
            <w:tcW w:w="14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080" w:type="dxa"/>
            <w:tcBorders/>
            <w:shd w:fill="auto" w:val="clear"/>
            <w:vAlign w:val="bottom"/>
          </w:tcPr>
          <w:p>
            <w:pPr>
              <w:pStyle w:val="TableContents"/>
              <w:spacing w:before="0" w:after="0"/>
              <w:ind w:left="450" w:right="0" w:hanging="225"/>
              <w:rPr/>
            </w:pPr>
            <w:r>
              <w:rPr/>
              <w:t>Other comprehensive loss</w:t>
            </w:r>
          </w:p>
        </w:tc>
        <w:tc>
          <w:tcPr>
            <w:tcW w:w="382"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 </w:t>
            </w:r>
          </w:p>
        </w:tc>
        <w:tc>
          <w:tcPr>
            <w:tcW w:w="1241" w:type="dxa"/>
            <w:tcBorders/>
            <w:shd w:fill="auto" w:val="clear"/>
            <w:vAlign w:val="bottom"/>
          </w:tcPr>
          <w:p>
            <w:pPr>
              <w:pStyle w:val="TableContents"/>
              <w:spacing w:before="0" w:after="283"/>
              <w:jc w:val="right"/>
              <w:rPr/>
            </w:pPr>
            <w:r>
              <w:rPr/>
              <w:t>(499</w:t>
            </w:r>
          </w:p>
        </w:tc>
        <w:tc>
          <w:tcPr>
            <w:tcW w:w="193" w:type="dxa"/>
            <w:tcBorders/>
            <w:shd w:fill="auto" w:val="clear"/>
            <w:vAlign w:val="bottom"/>
          </w:tcPr>
          <w:p>
            <w:pPr>
              <w:pStyle w:val="TableContents"/>
              <w:spacing w:before="0" w:after="283"/>
              <w:rPr/>
            </w:pPr>
            <w:r>
              <w:rPr/>
              <w:t>)</w:t>
            </w:r>
          </w:p>
        </w:tc>
        <w:tc>
          <w:tcPr>
            <w:tcW w:w="416"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 </w:t>
            </w:r>
          </w:p>
        </w:tc>
        <w:tc>
          <w:tcPr>
            <w:tcW w:w="1245" w:type="dxa"/>
            <w:tcBorders/>
            <w:shd w:fill="auto" w:val="clear"/>
            <w:vAlign w:val="bottom"/>
          </w:tcPr>
          <w:p>
            <w:pPr>
              <w:pStyle w:val="TableContents"/>
              <w:spacing w:before="0" w:after="283"/>
              <w:jc w:val="right"/>
              <w:rPr/>
            </w:pPr>
            <w:r>
              <w:rPr/>
              <w:t>(1,344</w:t>
            </w:r>
          </w:p>
        </w:tc>
        <w:tc>
          <w:tcPr>
            <w:tcW w:w="142" w:type="dxa"/>
            <w:tcBorders/>
            <w:shd w:fill="auto" w:val="clear"/>
            <w:vAlign w:val="bottom"/>
          </w:tcPr>
          <w:p>
            <w:pPr>
              <w:pStyle w:val="TableContents"/>
              <w:spacing w:before="0" w:after="283"/>
              <w:rPr/>
            </w:pPr>
            <w:r>
              <w:rPr/>
              <w:t>)</w:t>
            </w:r>
          </w:p>
        </w:tc>
      </w:tr>
      <w:tr>
        <w:trPr/>
        <w:tc>
          <w:tcPr>
            <w:tcW w:w="6080"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4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3" w:type="dxa"/>
            <w:tcBorders/>
            <w:shd w:fill="auto" w:val="clear"/>
            <w:vAlign w:val="center"/>
          </w:tcPr>
          <w:p>
            <w:pPr>
              <w:pStyle w:val="TableContents"/>
              <w:spacing w:before="0" w:after="283"/>
              <w:rPr/>
            </w:pPr>
            <w:r>
              <w:rPr/>
              <w:t> </w:t>
            </w:r>
          </w:p>
        </w:tc>
        <w:tc>
          <w:tcPr>
            <w:tcW w:w="416" w:type="dxa"/>
            <w:tcBorders/>
            <w:shd w:fill="auto" w:val="clear"/>
            <w:vAlign w:val="center"/>
          </w:tcPr>
          <w:p>
            <w:pPr>
              <w:pStyle w:val="TableContents"/>
              <w:spacing w:before="0" w:after="283"/>
              <w:rPr/>
            </w:pPr>
            <w:r>
              <w:rPr/>
              <w:t> </w:t>
            </w:r>
          </w:p>
        </w:tc>
        <w:tc>
          <w:tcPr>
            <w:tcW w:w="14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080" w:type="dxa"/>
            <w:tcBorders/>
            <w:shd w:fill="CCEEFF" w:val="clear"/>
            <w:vAlign w:val="bottom"/>
          </w:tcPr>
          <w:p>
            <w:pPr>
              <w:pStyle w:val="TableContents"/>
              <w:spacing w:before="0" w:after="0"/>
              <w:ind w:left="225" w:right="0" w:hanging="225"/>
              <w:rPr/>
            </w:pPr>
            <w:r>
              <w:rPr/>
              <w:t>Comprehensive income</w:t>
            </w:r>
          </w:p>
        </w:tc>
        <w:tc>
          <w:tcPr>
            <w:tcW w:w="382"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241" w:type="dxa"/>
            <w:tcBorders/>
            <w:shd w:fill="CCEEFF" w:val="clear"/>
            <w:vAlign w:val="bottom"/>
          </w:tcPr>
          <w:p>
            <w:pPr>
              <w:pStyle w:val="TableContents"/>
              <w:spacing w:before="0" w:after="283"/>
              <w:jc w:val="right"/>
              <w:rPr/>
            </w:pPr>
            <w:r>
              <w:rPr/>
              <w:t>13,109</w:t>
            </w:r>
          </w:p>
        </w:tc>
        <w:tc>
          <w:tcPr>
            <w:tcW w:w="193"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245" w:type="dxa"/>
            <w:tcBorders/>
            <w:shd w:fill="CCEEFF" w:val="clear"/>
            <w:vAlign w:val="bottom"/>
          </w:tcPr>
          <w:p>
            <w:pPr>
              <w:pStyle w:val="TableContents"/>
              <w:spacing w:before="0" w:after="283"/>
              <w:jc w:val="right"/>
              <w:rPr/>
            </w:pPr>
            <w:r>
              <w:rPr/>
              <w:t>10,854</w:t>
            </w:r>
          </w:p>
        </w:tc>
        <w:tc>
          <w:tcPr>
            <w:tcW w:w="142" w:type="dxa"/>
            <w:tcBorders/>
            <w:shd w:fill="CCEEFF" w:val="clear"/>
            <w:vAlign w:val="bottom"/>
          </w:tcPr>
          <w:p>
            <w:pPr>
              <w:pStyle w:val="TableContents"/>
              <w:spacing w:before="0" w:after="283"/>
              <w:rPr/>
            </w:pPr>
            <w:r>
              <w:rPr/>
              <w:t> </w:t>
            </w:r>
          </w:p>
        </w:tc>
      </w:tr>
      <w:tr>
        <w:trPr/>
        <w:tc>
          <w:tcPr>
            <w:tcW w:w="6080"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4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3" w:type="dxa"/>
            <w:tcBorders/>
            <w:shd w:fill="auto" w:val="clear"/>
            <w:vAlign w:val="center"/>
          </w:tcPr>
          <w:p>
            <w:pPr>
              <w:pStyle w:val="TableContents"/>
              <w:spacing w:before="0" w:after="283"/>
              <w:rPr/>
            </w:pPr>
            <w:r>
              <w:rPr/>
              <w:t> </w:t>
            </w:r>
          </w:p>
        </w:tc>
        <w:tc>
          <w:tcPr>
            <w:tcW w:w="416" w:type="dxa"/>
            <w:tcBorders/>
            <w:shd w:fill="auto" w:val="clear"/>
            <w:vAlign w:val="center"/>
          </w:tcPr>
          <w:p>
            <w:pPr>
              <w:pStyle w:val="TableContents"/>
              <w:spacing w:before="0" w:after="283"/>
              <w:rPr/>
            </w:pPr>
            <w:r>
              <w:rPr/>
              <w:t> </w:t>
            </w:r>
          </w:p>
        </w:tc>
        <w:tc>
          <w:tcPr>
            <w:tcW w:w="14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CONSOLIDATED STATEMENTS OF CASH FLOWS</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044"/>
        <w:gridCol w:w="383"/>
        <w:gridCol w:w="233"/>
        <w:gridCol w:w="1288"/>
        <w:gridCol w:w="179"/>
        <w:gridCol w:w="410"/>
        <w:gridCol w:w="233"/>
        <w:gridCol w:w="1290"/>
        <w:gridCol w:w="145"/>
      </w:tblGrid>
      <w:tr>
        <w:trPr/>
        <w:tc>
          <w:tcPr>
            <w:tcW w:w="604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3633"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March 31,</w:t>
            </w:r>
          </w:p>
        </w:tc>
        <w:tc>
          <w:tcPr>
            <w:tcW w:w="145" w:type="dxa"/>
            <w:tcBorders/>
            <w:shd w:fill="auto"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2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52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5" w:type="dxa"/>
            <w:tcBorders/>
            <w:shd w:fill="auto"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3633" w:type="dxa"/>
            <w:gridSpan w:val="6"/>
            <w:tcBorders/>
            <w:shd w:fill="auto" w:val="clear"/>
            <w:vAlign w:val="bottom"/>
          </w:tcPr>
          <w:p>
            <w:pPr>
              <w:pStyle w:val="TableContents"/>
              <w:spacing w:before="0" w:after="283"/>
              <w:jc w:val="center"/>
              <w:rPr>
                <w:b/>
              </w:rPr>
            </w:pPr>
            <w:r>
              <w:rPr>
                <w:b/>
              </w:rPr>
              <w:t>(in thousands)</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225" w:right="0" w:hanging="225"/>
              <w:rPr>
                <w:b/>
              </w:rPr>
            </w:pPr>
            <w:r>
              <w:rPr>
                <w:b/>
              </w:rPr>
              <w:t>Cash flows from operating activities: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8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9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0"/>
              <w:ind w:left="225" w:right="0" w:hanging="225"/>
              <w:rPr/>
            </w:pPr>
            <w:r>
              <w:rPr/>
              <w:t>Net income</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w:t>
            </w:r>
          </w:p>
        </w:tc>
        <w:tc>
          <w:tcPr>
            <w:tcW w:w="1288" w:type="dxa"/>
            <w:tcBorders/>
            <w:shd w:fill="auto" w:val="clear"/>
            <w:vAlign w:val="bottom"/>
          </w:tcPr>
          <w:p>
            <w:pPr>
              <w:pStyle w:val="TableContents"/>
              <w:spacing w:before="0" w:after="283"/>
              <w:jc w:val="right"/>
              <w:rPr/>
            </w:pPr>
            <w:r>
              <w:rPr/>
              <w:t>13,608</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w:t>
            </w:r>
          </w:p>
        </w:tc>
        <w:tc>
          <w:tcPr>
            <w:tcW w:w="1290" w:type="dxa"/>
            <w:tcBorders/>
            <w:shd w:fill="auto" w:val="clear"/>
            <w:vAlign w:val="bottom"/>
          </w:tcPr>
          <w:p>
            <w:pPr>
              <w:pStyle w:val="TableContents"/>
              <w:spacing w:before="0" w:after="283"/>
              <w:jc w:val="right"/>
              <w:rPr/>
            </w:pPr>
            <w:r>
              <w:rPr/>
              <w:t>12,198</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225" w:right="0" w:hanging="225"/>
              <w:rPr/>
            </w:pPr>
            <w:r>
              <w:rPr/>
              <w:t>Adjustments to reconcile net income to net cash provided by operating activities: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8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9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0"/>
              <w:ind w:left="450" w:right="0" w:hanging="225"/>
              <w:rPr/>
            </w:pPr>
            <w:r>
              <w:rPr/>
              <w:t>Depreciation and amortization</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jc w:val="right"/>
              <w:rPr/>
            </w:pPr>
            <w:r>
              <w:rPr/>
              <w:t>4,823</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jc w:val="right"/>
              <w:rPr/>
            </w:pPr>
            <w:r>
              <w:rPr/>
              <w:t>5,994</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450" w:right="0" w:hanging="225"/>
              <w:rPr/>
            </w:pPr>
            <w:r>
              <w:rPr/>
              <w:t>Deferred income taxes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88" w:type="dxa"/>
            <w:tcBorders/>
            <w:shd w:fill="CCEEFF" w:val="clear"/>
            <w:vAlign w:val="bottom"/>
          </w:tcPr>
          <w:p>
            <w:pPr>
              <w:pStyle w:val="TableContents"/>
              <w:spacing w:before="0" w:after="283"/>
              <w:jc w:val="right"/>
              <w:rPr/>
            </w:pPr>
            <w:r>
              <w:rPr/>
              <w:t>928</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90" w:type="dxa"/>
            <w:tcBorders/>
            <w:shd w:fill="CCEEFF" w:val="clear"/>
            <w:vAlign w:val="bottom"/>
          </w:tcPr>
          <w:p>
            <w:pPr>
              <w:pStyle w:val="TableContents"/>
              <w:spacing w:before="0" w:after="283"/>
              <w:jc w:val="right"/>
              <w:rPr/>
            </w:pPr>
            <w:r>
              <w:rPr/>
              <w:t>251</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0"/>
              <w:ind w:left="450" w:right="0" w:hanging="225"/>
              <w:rPr/>
            </w:pPr>
            <w:r>
              <w:rPr/>
              <w:t>Loss from discontinued operations</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jc w:val="right"/>
              <w:rPr/>
            </w:pPr>
            <w:r>
              <w:rPr/>
              <w:t>149</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jc w:val="right"/>
              <w:rPr/>
            </w:pPr>
            <w:r>
              <w:rPr/>
              <w:t>227</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450" w:right="0" w:hanging="225"/>
              <w:rPr/>
            </w:pPr>
            <w:r>
              <w:rPr/>
              <w:t>Restructuring recoveries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88" w:type="dxa"/>
            <w:tcBorders/>
            <w:shd w:fill="CCEEFF" w:val="clear"/>
            <w:vAlign w:val="bottom"/>
          </w:tcPr>
          <w:p>
            <w:pPr>
              <w:pStyle w:val="TableContents"/>
              <w:spacing w:before="0" w:after="283"/>
              <w:jc w:val="right"/>
              <w:rPr/>
            </w:pPr>
            <w:r>
              <w:rPr/>
              <w:t>(18</w:t>
            </w:r>
          </w:p>
        </w:tc>
        <w:tc>
          <w:tcPr>
            <w:tcW w:w="179"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90" w:type="dxa"/>
            <w:tcBorders/>
            <w:shd w:fill="CCEEFF" w:val="clear"/>
            <w:vAlign w:val="bottom"/>
          </w:tcPr>
          <w:p>
            <w:pPr>
              <w:pStyle w:val="TableContents"/>
              <w:spacing w:before="0" w:after="283"/>
              <w:jc w:val="right"/>
              <w:rPr/>
            </w:pPr>
            <w:r>
              <w:rPr/>
              <w:t>(290</w:t>
            </w:r>
          </w:p>
        </w:tc>
        <w:tc>
          <w:tcPr>
            <w:tcW w:w="145" w:type="dxa"/>
            <w:tcBorders/>
            <w:shd w:fill="CCEEFF" w:val="clear"/>
            <w:vAlign w:val="bottom"/>
          </w:tcPr>
          <w:p>
            <w:pPr>
              <w:pStyle w:val="TableContents"/>
              <w:spacing w:before="0" w:after="283"/>
              <w:rPr/>
            </w:pPr>
            <w:r>
              <w:rPr/>
              <w:t>)</w:t>
            </w:r>
          </w:p>
        </w:tc>
      </w:tr>
      <w:tr>
        <w:trPr/>
        <w:tc>
          <w:tcPr>
            <w:tcW w:w="6044" w:type="dxa"/>
            <w:tcBorders/>
            <w:shd w:fill="auto" w:val="clear"/>
            <w:vAlign w:val="bottom"/>
          </w:tcPr>
          <w:p>
            <w:pPr>
              <w:pStyle w:val="TableContents"/>
              <w:spacing w:before="0" w:after="0"/>
              <w:ind w:left="450" w:right="0" w:hanging="225"/>
              <w:rPr/>
            </w:pPr>
            <w:r>
              <w:rPr/>
              <w:t>Gains on dispositions of property and other assets</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 </w:t>
            </w:r>
          </w:p>
        </w:tc>
        <w:tc>
          <w:tcPr>
            <w:tcW w:w="1288" w:type="dxa"/>
            <w:tcBorders/>
            <w:shd w:fill="auto" w:val="clear"/>
            <w:vAlign w:val="bottom"/>
          </w:tcPr>
          <w:p>
            <w:pPr>
              <w:pStyle w:val="TableContents"/>
              <w:spacing w:before="0" w:after="283"/>
              <w:jc w:val="right"/>
              <w:rPr/>
            </w:pPr>
            <w:r>
              <w:rPr/>
              <w:t>(3,476</w:t>
            </w:r>
          </w:p>
        </w:tc>
        <w:tc>
          <w:tcPr>
            <w:tcW w:w="179"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 </w:t>
            </w:r>
          </w:p>
        </w:tc>
        <w:tc>
          <w:tcPr>
            <w:tcW w:w="1290" w:type="dxa"/>
            <w:tcBorders/>
            <w:shd w:fill="auto" w:val="clear"/>
            <w:vAlign w:val="bottom"/>
          </w:tcPr>
          <w:p>
            <w:pPr>
              <w:pStyle w:val="TableContents"/>
              <w:spacing w:before="0" w:after="283"/>
              <w:jc w:val="right"/>
              <w:rPr/>
            </w:pPr>
            <w:r>
              <w:rPr/>
              <w:t>(182</w:t>
            </w:r>
          </w:p>
        </w:tc>
        <w:tc>
          <w:tcPr>
            <w:tcW w:w="145" w:type="dxa"/>
            <w:tcBorders/>
            <w:shd w:fill="auto" w:val="clear"/>
            <w:vAlign w:val="bottom"/>
          </w:tcPr>
          <w:p>
            <w:pPr>
              <w:pStyle w:val="TableContents"/>
              <w:spacing w:before="0" w:after="283"/>
              <w:rPr/>
            </w:pPr>
            <w:r>
              <w:rPr/>
              <w:t>)</w:t>
            </w:r>
          </w:p>
        </w:tc>
      </w:tr>
      <w:tr>
        <w:trPr/>
        <w:tc>
          <w:tcPr>
            <w:tcW w:w="6044" w:type="dxa"/>
            <w:tcBorders/>
            <w:shd w:fill="CCEEFF" w:val="clear"/>
            <w:vAlign w:val="bottom"/>
          </w:tcPr>
          <w:p>
            <w:pPr>
              <w:pStyle w:val="TableContents"/>
              <w:spacing w:before="0" w:after="0"/>
              <w:ind w:left="450" w:right="0" w:hanging="225"/>
              <w:rPr/>
            </w:pPr>
            <w:r>
              <w:rPr/>
              <w:t>Share-based compensation expense</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88" w:type="dxa"/>
            <w:tcBorders/>
            <w:shd w:fill="CCEEFF" w:val="clear"/>
            <w:vAlign w:val="bottom"/>
          </w:tcPr>
          <w:p>
            <w:pPr>
              <w:pStyle w:val="TableContents"/>
              <w:spacing w:before="0" w:after="283"/>
              <w:jc w:val="right"/>
              <w:rPr/>
            </w:pPr>
            <w:r>
              <w:rPr/>
              <w:t>2,021</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90" w:type="dxa"/>
            <w:tcBorders/>
            <w:shd w:fill="CCEEFF" w:val="clear"/>
            <w:vAlign w:val="bottom"/>
          </w:tcPr>
          <w:p>
            <w:pPr>
              <w:pStyle w:val="TableContents"/>
              <w:spacing w:before="0" w:after="283"/>
              <w:jc w:val="right"/>
              <w:rPr/>
            </w:pPr>
            <w:r>
              <w:rPr/>
              <w:t>2,084</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0"/>
              <w:ind w:left="450" w:right="0" w:hanging="225"/>
              <w:rPr/>
            </w:pPr>
            <w:r>
              <w:rPr/>
              <w:t>Tax benefits from share-based compensation arrangements</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jc w:val="right"/>
              <w:rPr/>
            </w:pPr>
            <w:r>
              <w:rPr/>
              <w:t>3,001</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jc w:val="right"/>
              <w:rPr/>
            </w:pPr>
            <w:r>
              <w:rPr/>
              <w:t>123</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450" w:right="0" w:hanging="225"/>
              <w:rPr/>
            </w:pPr>
            <w:r>
              <w:rPr/>
              <w:t>Excess tax benefits from share-based compensation arrangements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88" w:type="dxa"/>
            <w:tcBorders/>
            <w:shd w:fill="CCEEFF" w:val="clear"/>
            <w:vAlign w:val="bottom"/>
          </w:tcPr>
          <w:p>
            <w:pPr>
              <w:pStyle w:val="TableContents"/>
              <w:spacing w:before="0" w:after="283"/>
              <w:jc w:val="right"/>
              <w:rPr/>
            </w:pPr>
            <w:r>
              <w:rPr/>
              <w:t>(2,063</w:t>
            </w:r>
          </w:p>
        </w:tc>
        <w:tc>
          <w:tcPr>
            <w:tcW w:w="179"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90" w:type="dxa"/>
            <w:tcBorders/>
            <w:shd w:fill="CCEEFF" w:val="clear"/>
            <w:vAlign w:val="bottom"/>
          </w:tcPr>
          <w:p>
            <w:pPr>
              <w:pStyle w:val="TableContents"/>
              <w:spacing w:before="0" w:after="283"/>
              <w:jc w:val="right"/>
              <w:rPr/>
            </w:pPr>
            <w:r>
              <w:rPr/>
              <w:t></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0"/>
              <w:ind w:left="450" w:right="0" w:hanging="225"/>
              <w:rPr/>
            </w:pPr>
            <w:r>
              <w:rPr/>
              <w:t>Other non-cash items, net</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jc w:val="right"/>
              <w:rPr/>
            </w:pPr>
            <w:r>
              <w:rPr/>
              <w:t>953</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jc w:val="right"/>
              <w:rPr/>
            </w:pPr>
            <w:r>
              <w:rPr/>
              <w:t>1,136</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450" w:right="0" w:hanging="225"/>
              <w:rPr/>
            </w:pPr>
            <w:r>
              <w:rPr/>
              <w:t>Change in operating assets and liabilities: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8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9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0"/>
              <w:ind w:left="675" w:right="0" w:hanging="225"/>
              <w:rPr/>
            </w:pPr>
            <w:r>
              <w:rPr/>
              <w:t>Receivables</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 </w:t>
            </w:r>
          </w:p>
        </w:tc>
        <w:tc>
          <w:tcPr>
            <w:tcW w:w="1288" w:type="dxa"/>
            <w:tcBorders/>
            <w:shd w:fill="auto" w:val="clear"/>
            <w:vAlign w:val="bottom"/>
          </w:tcPr>
          <w:p>
            <w:pPr>
              <w:pStyle w:val="TableContents"/>
              <w:spacing w:before="0" w:after="283"/>
              <w:jc w:val="right"/>
              <w:rPr/>
            </w:pPr>
            <w:r>
              <w:rPr/>
              <w:t>(13,522</w:t>
            </w:r>
          </w:p>
        </w:tc>
        <w:tc>
          <w:tcPr>
            <w:tcW w:w="179"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 </w:t>
            </w:r>
          </w:p>
        </w:tc>
        <w:tc>
          <w:tcPr>
            <w:tcW w:w="1290" w:type="dxa"/>
            <w:tcBorders/>
            <w:shd w:fill="auto" w:val="clear"/>
            <w:vAlign w:val="bottom"/>
          </w:tcPr>
          <w:p>
            <w:pPr>
              <w:pStyle w:val="TableContents"/>
              <w:spacing w:before="0" w:after="283"/>
              <w:jc w:val="right"/>
              <w:rPr/>
            </w:pPr>
            <w:r>
              <w:rPr/>
              <w:t>(24,174</w:t>
            </w:r>
          </w:p>
        </w:tc>
        <w:tc>
          <w:tcPr>
            <w:tcW w:w="145" w:type="dxa"/>
            <w:tcBorders/>
            <w:shd w:fill="auto" w:val="clear"/>
            <w:vAlign w:val="bottom"/>
          </w:tcPr>
          <w:p>
            <w:pPr>
              <w:pStyle w:val="TableContents"/>
              <w:spacing w:before="0" w:after="283"/>
              <w:rPr/>
            </w:pPr>
            <w:r>
              <w:rPr/>
              <w:t>)</w:t>
            </w:r>
          </w:p>
        </w:tc>
      </w:tr>
      <w:tr>
        <w:trPr/>
        <w:tc>
          <w:tcPr>
            <w:tcW w:w="6044" w:type="dxa"/>
            <w:tcBorders/>
            <w:shd w:fill="CCEEFF" w:val="clear"/>
            <w:vAlign w:val="bottom"/>
          </w:tcPr>
          <w:p>
            <w:pPr>
              <w:pStyle w:val="TableContents"/>
              <w:spacing w:before="0" w:after="0"/>
              <w:ind w:left="675" w:right="0" w:hanging="225"/>
              <w:rPr/>
            </w:pPr>
            <w:r>
              <w:rPr/>
              <w:t>Inventories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88" w:type="dxa"/>
            <w:tcBorders/>
            <w:shd w:fill="CCEEFF" w:val="clear"/>
            <w:vAlign w:val="bottom"/>
          </w:tcPr>
          <w:p>
            <w:pPr>
              <w:pStyle w:val="TableContents"/>
              <w:spacing w:before="0" w:after="283"/>
              <w:jc w:val="right"/>
              <w:rPr/>
            </w:pPr>
            <w:r>
              <w:rPr/>
              <w:t>224</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90" w:type="dxa"/>
            <w:tcBorders/>
            <w:shd w:fill="CCEEFF" w:val="clear"/>
            <w:vAlign w:val="bottom"/>
          </w:tcPr>
          <w:p>
            <w:pPr>
              <w:pStyle w:val="TableContents"/>
              <w:spacing w:before="0" w:after="283"/>
              <w:jc w:val="right"/>
              <w:rPr/>
            </w:pPr>
            <w:r>
              <w:rPr/>
              <w:t>(351</w:t>
            </w:r>
          </w:p>
        </w:tc>
        <w:tc>
          <w:tcPr>
            <w:tcW w:w="145" w:type="dxa"/>
            <w:tcBorders/>
            <w:shd w:fill="CCEEFF" w:val="clear"/>
            <w:vAlign w:val="bottom"/>
          </w:tcPr>
          <w:p>
            <w:pPr>
              <w:pStyle w:val="TableContents"/>
              <w:spacing w:before="0" w:after="283"/>
              <w:rPr/>
            </w:pPr>
            <w:r>
              <w:rPr/>
              <w:t>)</w:t>
            </w:r>
          </w:p>
        </w:tc>
      </w:tr>
      <w:tr>
        <w:trPr/>
        <w:tc>
          <w:tcPr>
            <w:tcW w:w="6044" w:type="dxa"/>
            <w:tcBorders/>
            <w:shd w:fill="auto" w:val="clear"/>
            <w:vAlign w:val="bottom"/>
          </w:tcPr>
          <w:p>
            <w:pPr>
              <w:pStyle w:val="TableContents"/>
              <w:spacing w:before="0" w:after="0"/>
              <w:ind w:left="675" w:right="0" w:hanging="225"/>
              <w:rPr/>
            </w:pPr>
            <w:r>
              <w:rPr/>
              <w:t>Accounts payable</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jc w:val="right"/>
              <w:rPr/>
            </w:pPr>
            <w:r>
              <w:rPr/>
              <w:t>6,088</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jc w:val="right"/>
              <w:rPr/>
            </w:pPr>
            <w:r>
              <w:rPr/>
              <w:t>15,099</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675" w:right="0" w:hanging="225"/>
              <w:rPr/>
            </w:pPr>
            <w:r>
              <w:rPr/>
              <w:t>Restructuring liability</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88" w:type="dxa"/>
            <w:tcBorders/>
            <w:shd w:fill="CCEEFF" w:val="clear"/>
            <w:vAlign w:val="bottom"/>
          </w:tcPr>
          <w:p>
            <w:pPr>
              <w:pStyle w:val="TableContents"/>
              <w:spacing w:before="0" w:after="283"/>
              <w:jc w:val="right"/>
              <w:rPr/>
            </w:pPr>
            <w:r>
              <w:rPr/>
              <w:t>(352</w:t>
            </w:r>
          </w:p>
        </w:tc>
        <w:tc>
          <w:tcPr>
            <w:tcW w:w="179"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90" w:type="dxa"/>
            <w:tcBorders/>
            <w:shd w:fill="CCEEFF" w:val="clear"/>
            <w:vAlign w:val="bottom"/>
          </w:tcPr>
          <w:p>
            <w:pPr>
              <w:pStyle w:val="TableContents"/>
              <w:spacing w:before="0" w:after="283"/>
              <w:jc w:val="right"/>
              <w:rPr/>
            </w:pPr>
            <w:r>
              <w:rPr/>
              <w:t>(792</w:t>
            </w:r>
          </w:p>
        </w:tc>
        <w:tc>
          <w:tcPr>
            <w:tcW w:w="145" w:type="dxa"/>
            <w:tcBorders/>
            <w:shd w:fill="CCEEFF" w:val="clear"/>
            <w:vAlign w:val="bottom"/>
          </w:tcPr>
          <w:p>
            <w:pPr>
              <w:pStyle w:val="TableContents"/>
              <w:spacing w:before="0" w:after="283"/>
              <w:rPr/>
            </w:pPr>
            <w:r>
              <w:rPr/>
              <w:t>)</w:t>
            </w:r>
          </w:p>
        </w:tc>
      </w:tr>
      <w:tr>
        <w:trPr/>
        <w:tc>
          <w:tcPr>
            <w:tcW w:w="6044" w:type="dxa"/>
            <w:tcBorders/>
            <w:shd w:fill="auto" w:val="clear"/>
            <w:vAlign w:val="bottom"/>
          </w:tcPr>
          <w:p>
            <w:pPr>
              <w:pStyle w:val="TableContents"/>
              <w:spacing w:before="0" w:after="0"/>
              <w:ind w:left="675" w:right="0" w:hanging="225"/>
              <w:rPr/>
            </w:pPr>
            <w:r>
              <w:rPr/>
              <w:t>Other assets and liabilities, net</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 </w:t>
            </w:r>
          </w:p>
        </w:tc>
        <w:tc>
          <w:tcPr>
            <w:tcW w:w="1288" w:type="dxa"/>
            <w:tcBorders/>
            <w:shd w:fill="auto" w:val="clear"/>
            <w:vAlign w:val="bottom"/>
          </w:tcPr>
          <w:p>
            <w:pPr>
              <w:pStyle w:val="TableContents"/>
              <w:spacing w:before="0" w:after="283"/>
              <w:jc w:val="right"/>
              <w:rPr/>
            </w:pPr>
            <w:r>
              <w:rPr/>
              <w:t>(6,579</w:t>
            </w:r>
          </w:p>
        </w:tc>
        <w:tc>
          <w:tcPr>
            <w:tcW w:w="179"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 </w:t>
            </w:r>
          </w:p>
        </w:tc>
        <w:tc>
          <w:tcPr>
            <w:tcW w:w="1290" w:type="dxa"/>
            <w:tcBorders/>
            <w:shd w:fill="auto" w:val="clear"/>
            <w:vAlign w:val="bottom"/>
          </w:tcPr>
          <w:p>
            <w:pPr>
              <w:pStyle w:val="TableContents"/>
              <w:spacing w:before="0" w:after="283"/>
              <w:jc w:val="right"/>
              <w:rPr/>
            </w:pPr>
            <w:r>
              <w:rPr/>
              <w:t>(623</w:t>
            </w:r>
          </w:p>
        </w:tc>
        <w:tc>
          <w:tcPr>
            <w:tcW w:w="145" w:type="dxa"/>
            <w:tcBorders/>
            <w:shd w:fill="auto" w:val="clear"/>
            <w:vAlign w:val="bottom"/>
          </w:tcPr>
          <w:p>
            <w:pPr>
              <w:pStyle w:val="TableContents"/>
              <w:spacing w:before="0" w:after="283"/>
              <w:rPr/>
            </w:pPr>
            <w:r>
              <w:rPr/>
              <w:t>)</w:t>
            </w:r>
          </w:p>
        </w:tc>
      </w:tr>
      <w:tr>
        <w:trPr/>
        <w:tc>
          <w:tcPr>
            <w:tcW w:w="6044"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5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225" w:right="0" w:hanging="225"/>
              <w:rPr/>
            </w:pPr>
            <w:r>
              <w:rPr/>
              <w:t>Net cash provided by operating activities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88" w:type="dxa"/>
            <w:tcBorders/>
            <w:shd w:fill="CCEEFF" w:val="clear"/>
            <w:vAlign w:val="bottom"/>
          </w:tcPr>
          <w:p>
            <w:pPr>
              <w:pStyle w:val="TableContents"/>
              <w:spacing w:before="0" w:after="283"/>
              <w:jc w:val="right"/>
              <w:rPr/>
            </w:pPr>
            <w:r>
              <w:rPr/>
              <w:t>5,785</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90" w:type="dxa"/>
            <w:tcBorders/>
            <w:shd w:fill="CCEEFF" w:val="clear"/>
            <w:vAlign w:val="bottom"/>
          </w:tcPr>
          <w:p>
            <w:pPr>
              <w:pStyle w:val="TableContents"/>
              <w:spacing w:before="0" w:after="283"/>
              <w:jc w:val="right"/>
              <w:rPr/>
            </w:pPr>
            <w:r>
              <w:rPr/>
              <w:t>10,700</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5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6044" w:type="dxa"/>
            <w:tcBorders/>
            <w:shd w:fill="auto" w:val="clear"/>
            <w:vAlign w:val="bottom"/>
          </w:tcPr>
          <w:p>
            <w:pPr>
              <w:pStyle w:val="TableContents"/>
              <w:spacing w:before="0" w:after="0"/>
              <w:ind w:left="225" w:right="0" w:hanging="225"/>
              <w:rPr/>
            </w:pPr>
            <w:r>
              <w:rPr/>
              <w:t> </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0"/>
              <w:ind w:left="225" w:right="0" w:hanging="225"/>
              <w:rPr>
                <w:b/>
              </w:rPr>
            </w:pPr>
            <w:r>
              <w:rPr>
                <w:b/>
              </w:rPr>
              <w:t>Cash flows from investing activities:</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225" w:right="0" w:hanging="225"/>
              <w:rPr/>
            </w:pPr>
            <w:r>
              <w:rPr/>
              <w:t>Capital expenditures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88" w:type="dxa"/>
            <w:tcBorders/>
            <w:shd w:fill="CCEEFF" w:val="clear"/>
            <w:vAlign w:val="bottom"/>
          </w:tcPr>
          <w:p>
            <w:pPr>
              <w:pStyle w:val="TableContents"/>
              <w:spacing w:before="0" w:after="283"/>
              <w:jc w:val="right"/>
              <w:rPr/>
            </w:pPr>
            <w:r>
              <w:rPr/>
              <w:t>(6,070</w:t>
            </w:r>
          </w:p>
        </w:tc>
        <w:tc>
          <w:tcPr>
            <w:tcW w:w="179"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90" w:type="dxa"/>
            <w:tcBorders/>
            <w:shd w:fill="CCEEFF" w:val="clear"/>
            <w:vAlign w:val="bottom"/>
          </w:tcPr>
          <w:p>
            <w:pPr>
              <w:pStyle w:val="TableContents"/>
              <w:spacing w:before="0" w:after="283"/>
              <w:jc w:val="right"/>
              <w:rPr/>
            </w:pPr>
            <w:r>
              <w:rPr/>
              <w:t>(3,474</w:t>
            </w:r>
          </w:p>
        </w:tc>
        <w:tc>
          <w:tcPr>
            <w:tcW w:w="145" w:type="dxa"/>
            <w:tcBorders/>
            <w:shd w:fill="CCEEFF" w:val="clear"/>
            <w:vAlign w:val="bottom"/>
          </w:tcPr>
          <w:p>
            <w:pPr>
              <w:pStyle w:val="TableContents"/>
              <w:spacing w:before="0" w:after="283"/>
              <w:rPr/>
            </w:pPr>
            <w:r>
              <w:rPr/>
              <w:t>)</w:t>
            </w:r>
          </w:p>
        </w:tc>
      </w:tr>
      <w:tr>
        <w:trPr/>
        <w:tc>
          <w:tcPr>
            <w:tcW w:w="6044" w:type="dxa"/>
            <w:tcBorders/>
            <w:shd w:fill="auto" w:val="clear"/>
            <w:vAlign w:val="bottom"/>
          </w:tcPr>
          <w:p>
            <w:pPr>
              <w:pStyle w:val="TableContents"/>
              <w:spacing w:before="0" w:after="0"/>
              <w:ind w:left="225" w:right="0" w:hanging="225"/>
              <w:rPr/>
            </w:pPr>
            <w:r>
              <w:rPr/>
              <w:t>Proceeds from dispositions of property and other assets</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jc w:val="right"/>
              <w:rPr/>
            </w:pPr>
            <w:r>
              <w:rPr/>
              <w:t>13,264</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jc w:val="right"/>
              <w:rPr/>
            </w:pPr>
            <w:r>
              <w:rPr/>
              <w:t>8,768</w:t>
            </w:r>
          </w:p>
        </w:tc>
        <w:tc>
          <w:tcPr>
            <w:tcW w:w="145" w:type="dxa"/>
            <w:tcBorders/>
            <w:shd w:fill="auto" w:val="clear"/>
            <w:vAlign w:val="bottom"/>
          </w:tcPr>
          <w:p>
            <w:pPr>
              <w:pStyle w:val="TableContents"/>
              <w:spacing w:before="0" w:after="283"/>
              <w:rPr/>
            </w:pPr>
            <w:r>
              <w:rPr/>
              <w:t> </w:t>
            </w:r>
          </w:p>
        </w:tc>
      </w:tr>
      <w:tr>
        <w:trPr/>
        <w:tc>
          <w:tcPr>
            <w:tcW w:w="6044"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5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225" w:right="0" w:hanging="225"/>
              <w:rPr/>
            </w:pPr>
            <w:r>
              <w:rPr/>
              <w:t>Net cash provided by investing activities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88" w:type="dxa"/>
            <w:tcBorders/>
            <w:shd w:fill="CCEEFF" w:val="clear"/>
            <w:vAlign w:val="bottom"/>
          </w:tcPr>
          <w:p>
            <w:pPr>
              <w:pStyle w:val="TableContents"/>
              <w:spacing w:before="0" w:after="283"/>
              <w:jc w:val="right"/>
              <w:rPr/>
            </w:pPr>
            <w:r>
              <w:rPr/>
              <w:t>7,194</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90" w:type="dxa"/>
            <w:tcBorders/>
            <w:shd w:fill="CCEEFF" w:val="clear"/>
            <w:vAlign w:val="bottom"/>
          </w:tcPr>
          <w:p>
            <w:pPr>
              <w:pStyle w:val="TableContents"/>
              <w:spacing w:before="0" w:after="283"/>
              <w:jc w:val="right"/>
              <w:rPr/>
            </w:pPr>
            <w:r>
              <w:rPr/>
              <w:t>5,294</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5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6044" w:type="dxa"/>
            <w:tcBorders/>
            <w:shd w:fill="auto" w:val="clear"/>
            <w:vAlign w:val="bottom"/>
          </w:tcPr>
          <w:p>
            <w:pPr>
              <w:pStyle w:val="TableContents"/>
              <w:spacing w:before="0" w:after="0"/>
              <w:ind w:left="225" w:right="0" w:hanging="225"/>
              <w:rPr/>
            </w:pPr>
            <w:r>
              <w:rPr/>
              <w:t> </w:t>
            </w:r>
          </w:p>
        </w:tc>
        <w:tc>
          <w:tcPr>
            <w:tcW w:w="4161" w:type="dxa"/>
            <w:gridSpan w:val="8"/>
            <w:tcBorders/>
            <w:shd w:fill="auto" w:val="clear"/>
          </w:tcPr>
          <w:p>
            <w:pPr>
              <w:pStyle w:val="TableContents"/>
              <w:spacing w:before="0" w:after="283"/>
              <w:rPr>
                <w:sz w:val="4"/>
                <w:szCs w:val="4"/>
              </w:rPr>
            </w:pPr>
            <w:r>
              <w:rPr>
                <w:sz w:val="4"/>
                <w:szCs w:val="4"/>
              </w:rPr>
            </w:r>
          </w:p>
        </w:tc>
      </w:tr>
      <w:tr>
        <w:trPr/>
        <w:tc>
          <w:tcPr>
            <w:tcW w:w="6044" w:type="dxa"/>
            <w:tcBorders/>
            <w:shd w:fill="auto" w:val="clear"/>
            <w:vAlign w:val="bottom"/>
          </w:tcPr>
          <w:p>
            <w:pPr>
              <w:pStyle w:val="TableContents"/>
              <w:spacing w:before="0" w:after="0"/>
              <w:ind w:left="225" w:right="0" w:hanging="225"/>
              <w:rPr>
                <w:b/>
              </w:rPr>
            </w:pPr>
            <w:r>
              <w:rPr>
                <w:b/>
              </w:rPr>
              <w:t>Cash flows from financing activities:</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225" w:right="0" w:hanging="225"/>
              <w:rPr/>
            </w:pPr>
            <w:r>
              <w:rPr/>
              <w:t>Payments on debt and capital lease obligations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88" w:type="dxa"/>
            <w:tcBorders/>
            <w:shd w:fill="CCEEFF" w:val="clear"/>
            <w:vAlign w:val="bottom"/>
          </w:tcPr>
          <w:p>
            <w:pPr>
              <w:pStyle w:val="TableContents"/>
              <w:spacing w:before="0" w:after="283"/>
              <w:jc w:val="right"/>
              <w:rPr/>
            </w:pPr>
            <w:r>
              <w:rPr/>
              <w:t>(533</w:t>
            </w:r>
          </w:p>
        </w:tc>
        <w:tc>
          <w:tcPr>
            <w:tcW w:w="179"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90" w:type="dxa"/>
            <w:tcBorders/>
            <w:shd w:fill="CCEEFF" w:val="clear"/>
            <w:vAlign w:val="bottom"/>
          </w:tcPr>
          <w:p>
            <w:pPr>
              <w:pStyle w:val="TableContents"/>
              <w:spacing w:before="0" w:after="283"/>
              <w:jc w:val="right"/>
              <w:rPr/>
            </w:pPr>
            <w:r>
              <w:rPr/>
              <w:t>(2,605</w:t>
            </w:r>
          </w:p>
        </w:tc>
        <w:tc>
          <w:tcPr>
            <w:tcW w:w="145" w:type="dxa"/>
            <w:tcBorders/>
            <w:shd w:fill="CCEEFF" w:val="clear"/>
            <w:vAlign w:val="bottom"/>
          </w:tcPr>
          <w:p>
            <w:pPr>
              <w:pStyle w:val="TableContents"/>
              <w:spacing w:before="0" w:after="283"/>
              <w:rPr/>
            </w:pPr>
            <w:r>
              <w:rPr/>
              <w:t>)</w:t>
            </w:r>
          </w:p>
        </w:tc>
      </w:tr>
      <w:tr>
        <w:trPr/>
        <w:tc>
          <w:tcPr>
            <w:tcW w:w="6044" w:type="dxa"/>
            <w:tcBorders/>
            <w:shd w:fill="auto" w:val="clear"/>
            <w:vAlign w:val="bottom"/>
          </w:tcPr>
          <w:p>
            <w:pPr>
              <w:pStyle w:val="TableContents"/>
              <w:spacing w:before="0" w:after="0"/>
              <w:ind w:left="225" w:right="0" w:hanging="225"/>
              <w:rPr/>
            </w:pPr>
            <w:r>
              <w:rPr/>
              <w:t>Dividends paid on common stock</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 </w:t>
            </w:r>
          </w:p>
        </w:tc>
        <w:tc>
          <w:tcPr>
            <w:tcW w:w="1288" w:type="dxa"/>
            <w:tcBorders/>
            <w:shd w:fill="auto" w:val="clear"/>
            <w:vAlign w:val="bottom"/>
          </w:tcPr>
          <w:p>
            <w:pPr>
              <w:pStyle w:val="TableContents"/>
              <w:spacing w:before="0" w:after="283"/>
              <w:jc w:val="right"/>
              <w:rPr/>
            </w:pPr>
            <w:r>
              <w:rPr/>
              <w:t>(881</w:t>
            </w:r>
          </w:p>
        </w:tc>
        <w:tc>
          <w:tcPr>
            <w:tcW w:w="179"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 </w:t>
            </w:r>
          </w:p>
        </w:tc>
        <w:tc>
          <w:tcPr>
            <w:tcW w:w="1290" w:type="dxa"/>
            <w:tcBorders/>
            <w:shd w:fill="auto" w:val="clear"/>
            <w:vAlign w:val="bottom"/>
          </w:tcPr>
          <w:p>
            <w:pPr>
              <w:pStyle w:val="TableContents"/>
              <w:spacing w:before="0" w:after="283"/>
              <w:jc w:val="right"/>
              <w:rPr/>
            </w:pPr>
            <w:r>
              <w:rPr/>
              <w:t>(881</w:t>
            </w:r>
          </w:p>
        </w:tc>
        <w:tc>
          <w:tcPr>
            <w:tcW w:w="145" w:type="dxa"/>
            <w:tcBorders/>
            <w:shd w:fill="auto" w:val="clear"/>
            <w:vAlign w:val="bottom"/>
          </w:tcPr>
          <w:p>
            <w:pPr>
              <w:pStyle w:val="TableContents"/>
              <w:spacing w:before="0" w:after="283"/>
              <w:rPr/>
            </w:pPr>
            <w:r>
              <w:rPr/>
              <w:t>)</w:t>
            </w:r>
          </w:p>
        </w:tc>
      </w:tr>
      <w:tr>
        <w:trPr/>
        <w:tc>
          <w:tcPr>
            <w:tcW w:w="6044" w:type="dxa"/>
            <w:tcBorders/>
            <w:shd w:fill="CCEEFF" w:val="clear"/>
            <w:vAlign w:val="bottom"/>
          </w:tcPr>
          <w:p>
            <w:pPr>
              <w:pStyle w:val="TableContents"/>
              <w:spacing w:before="0" w:after="0"/>
              <w:ind w:left="225" w:right="0" w:hanging="225"/>
              <w:rPr/>
            </w:pPr>
            <w:r>
              <w:rPr/>
              <w:t>Common stock purchased for treasury</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88" w:type="dxa"/>
            <w:tcBorders/>
            <w:shd w:fill="CCEEFF" w:val="clear"/>
            <w:vAlign w:val="bottom"/>
          </w:tcPr>
          <w:p>
            <w:pPr>
              <w:pStyle w:val="TableContents"/>
              <w:spacing w:before="0" w:after="283"/>
              <w:jc w:val="right"/>
              <w:rPr/>
            </w:pPr>
            <w:r>
              <w:rPr/>
              <w:t>(13,290</w:t>
            </w:r>
          </w:p>
        </w:tc>
        <w:tc>
          <w:tcPr>
            <w:tcW w:w="179"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90" w:type="dxa"/>
            <w:tcBorders/>
            <w:shd w:fill="CCEEFF" w:val="clear"/>
            <w:vAlign w:val="bottom"/>
          </w:tcPr>
          <w:p>
            <w:pPr>
              <w:pStyle w:val="TableContents"/>
              <w:spacing w:before="0" w:after="283"/>
              <w:jc w:val="right"/>
              <w:rPr/>
            </w:pPr>
            <w:r>
              <w:rPr/>
              <w:t></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0"/>
              <w:ind w:left="225" w:right="0" w:hanging="225"/>
              <w:rPr/>
            </w:pPr>
            <w:r>
              <w:rPr/>
              <w:t>Excess tax benefits from share-based compensation arrangements</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jc w:val="right"/>
              <w:rPr/>
            </w:pPr>
            <w:r>
              <w:rPr/>
              <w:t>2,063</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jc w:val="right"/>
              <w:rPr/>
            </w:pPr>
            <w:r>
              <w:rPr/>
              <w:t></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225" w:right="0" w:hanging="225"/>
              <w:rPr/>
            </w:pPr>
            <w:r>
              <w:rPr/>
              <w:t>Proceeds from exercise of stock options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88" w:type="dxa"/>
            <w:tcBorders/>
            <w:shd w:fill="CCEEFF" w:val="clear"/>
            <w:vAlign w:val="bottom"/>
          </w:tcPr>
          <w:p>
            <w:pPr>
              <w:pStyle w:val="TableContents"/>
              <w:spacing w:before="0" w:after="283"/>
              <w:jc w:val="right"/>
              <w:rPr/>
            </w:pPr>
            <w:r>
              <w:rPr/>
              <w:t>1,873</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90" w:type="dxa"/>
            <w:tcBorders/>
            <w:shd w:fill="CCEEFF" w:val="clear"/>
            <w:vAlign w:val="bottom"/>
          </w:tcPr>
          <w:p>
            <w:pPr>
              <w:pStyle w:val="TableContents"/>
              <w:spacing w:before="0" w:after="283"/>
              <w:jc w:val="right"/>
              <w:rPr/>
            </w:pPr>
            <w:r>
              <w:rPr/>
              <w:t>1,525</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5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6044" w:type="dxa"/>
            <w:tcBorders/>
            <w:shd w:fill="auto" w:val="clear"/>
            <w:vAlign w:val="bottom"/>
          </w:tcPr>
          <w:p>
            <w:pPr>
              <w:pStyle w:val="TableContents"/>
              <w:spacing w:before="0" w:after="0"/>
              <w:ind w:left="225" w:right="0" w:hanging="225"/>
              <w:rPr/>
            </w:pPr>
            <w:r>
              <w:rPr/>
              <w:t>Net cash used in financing activities</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 </w:t>
            </w:r>
          </w:p>
        </w:tc>
        <w:tc>
          <w:tcPr>
            <w:tcW w:w="1288" w:type="dxa"/>
            <w:tcBorders/>
            <w:shd w:fill="auto" w:val="clear"/>
            <w:vAlign w:val="bottom"/>
          </w:tcPr>
          <w:p>
            <w:pPr>
              <w:pStyle w:val="TableContents"/>
              <w:spacing w:before="0" w:after="283"/>
              <w:jc w:val="right"/>
              <w:rPr/>
            </w:pPr>
            <w:r>
              <w:rPr/>
              <w:t>(10,768</w:t>
            </w:r>
          </w:p>
        </w:tc>
        <w:tc>
          <w:tcPr>
            <w:tcW w:w="179"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 </w:t>
            </w:r>
          </w:p>
        </w:tc>
        <w:tc>
          <w:tcPr>
            <w:tcW w:w="1290" w:type="dxa"/>
            <w:tcBorders/>
            <w:shd w:fill="auto" w:val="clear"/>
            <w:vAlign w:val="bottom"/>
          </w:tcPr>
          <w:p>
            <w:pPr>
              <w:pStyle w:val="TableContents"/>
              <w:spacing w:before="0" w:after="283"/>
              <w:jc w:val="right"/>
              <w:rPr/>
            </w:pPr>
            <w:r>
              <w:rPr/>
              <w:t>(1,961</w:t>
            </w:r>
          </w:p>
        </w:tc>
        <w:tc>
          <w:tcPr>
            <w:tcW w:w="145" w:type="dxa"/>
            <w:tcBorders/>
            <w:shd w:fill="auto" w:val="clear"/>
            <w:vAlign w:val="bottom"/>
          </w:tcPr>
          <w:p>
            <w:pPr>
              <w:pStyle w:val="TableContents"/>
              <w:spacing w:before="0" w:after="283"/>
              <w:rPr/>
            </w:pPr>
            <w:r>
              <w:rPr/>
              <w:t>)</w:t>
            </w:r>
          </w:p>
        </w:tc>
      </w:tr>
      <w:tr>
        <w:trPr/>
        <w:tc>
          <w:tcPr>
            <w:tcW w:w="6044"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5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6044" w:type="dxa"/>
            <w:tcBorders/>
            <w:shd w:fill="auto" w:val="clear"/>
            <w:vAlign w:val="bottom"/>
          </w:tcPr>
          <w:p>
            <w:pPr>
              <w:pStyle w:val="TableContents"/>
              <w:spacing w:before="0" w:after="0"/>
              <w:ind w:left="225" w:right="0" w:hanging="225"/>
              <w:rPr/>
            </w:pPr>
            <w:r>
              <w:rPr/>
              <w:t> </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225" w:right="0" w:hanging="225"/>
              <w:rPr/>
            </w:pPr>
            <w:r>
              <w:rPr/>
              <w:t>Effect of exchange rate changes on cash and cash equivalents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88" w:type="dxa"/>
            <w:tcBorders/>
            <w:shd w:fill="CCEEFF" w:val="clear"/>
            <w:vAlign w:val="bottom"/>
          </w:tcPr>
          <w:p>
            <w:pPr>
              <w:pStyle w:val="TableContents"/>
              <w:spacing w:before="0" w:after="283"/>
              <w:jc w:val="right"/>
              <w:rPr/>
            </w:pPr>
            <w:r>
              <w:rPr/>
              <w:t>(107</w:t>
            </w:r>
          </w:p>
        </w:tc>
        <w:tc>
          <w:tcPr>
            <w:tcW w:w="179"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1290" w:type="dxa"/>
            <w:tcBorders/>
            <w:shd w:fill="CCEEFF" w:val="clear"/>
            <w:vAlign w:val="bottom"/>
          </w:tcPr>
          <w:p>
            <w:pPr>
              <w:pStyle w:val="TableContents"/>
              <w:spacing w:before="0" w:after="283"/>
              <w:jc w:val="right"/>
              <w:rPr/>
            </w:pPr>
            <w:r>
              <w:rPr/>
              <w:t>(156</w:t>
            </w:r>
          </w:p>
        </w:tc>
        <w:tc>
          <w:tcPr>
            <w:tcW w:w="145" w:type="dxa"/>
            <w:tcBorders/>
            <w:shd w:fill="CCEEFF" w:val="clear"/>
            <w:vAlign w:val="bottom"/>
          </w:tcPr>
          <w:p>
            <w:pPr>
              <w:pStyle w:val="TableContents"/>
              <w:spacing w:before="0" w:after="283"/>
              <w:rPr/>
            </w:pPr>
            <w:r>
              <w:rPr/>
              <w:t>)</w:t>
            </w:r>
          </w:p>
        </w:tc>
      </w:tr>
      <w:tr>
        <w:trPr/>
        <w:tc>
          <w:tcPr>
            <w:tcW w:w="6044"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5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6044" w:type="dxa"/>
            <w:tcBorders/>
            <w:shd w:fill="auto" w:val="clear"/>
            <w:vAlign w:val="bottom"/>
          </w:tcPr>
          <w:p>
            <w:pPr>
              <w:pStyle w:val="TableContents"/>
              <w:spacing w:before="0" w:after="0"/>
              <w:ind w:left="225" w:right="0" w:hanging="225"/>
              <w:rPr/>
            </w:pPr>
            <w:r>
              <w:rPr/>
              <w:t> </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0"/>
              <w:ind w:left="225" w:right="0" w:hanging="225"/>
              <w:rPr/>
            </w:pPr>
            <w:r>
              <w:rPr/>
              <w:t>Net increase in cash and cash equivalents</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jc w:val="right"/>
              <w:rPr/>
            </w:pPr>
            <w:r>
              <w:rPr/>
              <w:t>2,104</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jc w:val="right"/>
              <w:rPr/>
            </w:pPr>
            <w:r>
              <w:rPr/>
              <w:t>13,877</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225" w:right="0" w:hanging="225"/>
              <w:rPr/>
            </w:pPr>
            <w:r>
              <w:rPr/>
              <w:t>Cash and cash equivalents, beginning of year</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88" w:type="dxa"/>
            <w:tcBorders/>
            <w:shd w:fill="CCEEFF" w:val="clear"/>
            <w:vAlign w:val="bottom"/>
          </w:tcPr>
          <w:p>
            <w:pPr>
              <w:pStyle w:val="TableContents"/>
              <w:spacing w:before="0" w:after="283"/>
              <w:jc w:val="right"/>
              <w:rPr/>
            </w:pPr>
            <w:r>
              <w:rPr/>
              <w:t>152,601</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90" w:type="dxa"/>
            <w:tcBorders/>
            <w:shd w:fill="CCEEFF" w:val="clear"/>
            <w:vAlign w:val="bottom"/>
          </w:tcPr>
          <w:p>
            <w:pPr>
              <w:pStyle w:val="TableContents"/>
              <w:spacing w:before="0" w:after="283"/>
              <w:jc w:val="right"/>
              <w:rPr/>
            </w:pPr>
            <w:r>
              <w:rPr/>
              <w:t>115,050</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5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5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6044" w:type="dxa"/>
            <w:tcBorders/>
            <w:shd w:fill="auto" w:val="clear"/>
            <w:vAlign w:val="bottom"/>
          </w:tcPr>
          <w:p>
            <w:pPr>
              <w:pStyle w:val="TableContents"/>
              <w:spacing w:before="0" w:after="0"/>
              <w:ind w:left="225" w:right="0" w:hanging="225"/>
              <w:rPr>
                <w:b/>
              </w:rPr>
            </w:pPr>
            <w:r>
              <w:rPr>
                <w:b/>
              </w:rPr>
              <w:t>Cash and cash equivalents, end of period</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w:t>
            </w:r>
          </w:p>
        </w:tc>
        <w:tc>
          <w:tcPr>
            <w:tcW w:w="1288" w:type="dxa"/>
            <w:tcBorders/>
            <w:shd w:fill="auto" w:val="clear"/>
            <w:vAlign w:val="bottom"/>
          </w:tcPr>
          <w:p>
            <w:pPr>
              <w:pStyle w:val="TableContents"/>
              <w:spacing w:before="0" w:after="283"/>
              <w:jc w:val="right"/>
              <w:rPr/>
            </w:pPr>
            <w:r>
              <w:rPr/>
              <w:t>154,705</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w:t>
            </w:r>
          </w:p>
        </w:tc>
        <w:tc>
          <w:tcPr>
            <w:tcW w:w="1290" w:type="dxa"/>
            <w:tcBorders/>
            <w:shd w:fill="auto" w:val="clear"/>
            <w:vAlign w:val="bottom"/>
          </w:tcPr>
          <w:p>
            <w:pPr>
              <w:pStyle w:val="TableContents"/>
              <w:spacing w:before="0" w:after="283"/>
              <w:jc w:val="right"/>
              <w:rPr/>
            </w:pPr>
            <w:r>
              <w:rPr/>
              <w:t>128,927</w:t>
            </w:r>
          </w:p>
        </w:tc>
        <w:tc>
          <w:tcPr>
            <w:tcW w:w="145" w:type="dxa"/>
            <w:tcBorders/>
            <w:shd w:fill="auto" w:val="clear"/>
            <w:vAlign w:val="bottom"/>
          </w:tcPr>
          <w:p>
            <w:pPr>
              <w:pStyle w:val="TableContents"/>
              <w:spacing w:before="0" w:after="283"/>
              <w:rPr/>
            </w:pPr>
            <w:r>
              <w:rPr/>
              <w:t> </w:t>
            </w:r>
          </w:p>
        </w:tc>
      </w:tr>
      <w:tr>
        <w:trPr/>
        <w:tc>
          <w:tcPr>
            <w:tcW w:w="6044"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5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5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6044" w:type="dxa"/>
            <w:tcBorders/>
            <w:shd w:fill="auto" w:val="clear"/>
            <w:vAlign w:val="bottom"/>
          </w:tcPr>
          <w:p>
            <w:pPr>
              <w:pStyle w:val="TableContents"/>
              <w:spacing w:before="0" w:after="0"/>
              <w:ind w:left="225" w:right="0" w:hanging="225"/>
              <w:rPr/>
            </w:pPr>
            <w:r>
              <w:rPr/>
              <w:t> </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225" w:right="0" w:hanging="225"/>
              <w:rPr>
                <w:b/>
              </w:rPr>
            </w:pPr>
            <w:r>
              <w:rPr>
                <w:b/>
              </w:rPr>
              <w:t>Supplemental disclosure of cash flow information</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8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129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bottom"/>
          </w:tcPr>
          <w:p>
            <w:pPr>
              <w:pStyle w:val="TableContents"/>
              <w:spacing w:before="0" w:after="0"/>
              <w:ind w:left="450" w:right="0" w:hanging="225"/>
              <w:rPr/>
            </w:pPr>
            <w:r>
              <w:rPr/>
              <w:t>Cash paid during the period for:</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8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29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675" w:right="0" w:hanging="225"/>
              <w:rPr/>
            </w:pPr>
            <w:r>
              <w:rPr/>
              <w:t>Income taxes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w:t>
            </w:r>
          </w:p>
        </w:tc>
        <w:tc>
          <w:tcPr>
            <w:tcW w:w="1288" w:type="dxa"/>
            <w:tcBorders/>
            <w:shd w:fill="CCEEFF" w:val="clear"/>
            <w:vAlign w:val="bottom"/>
          </w:tcPr>
          <w:p>
            <w:pPr>
              <w:pStyle w:val="TableContents"/>
              <w:spacing w:before="0" w:after="283"/>
              <w:jc w:val="right"/>
              <w:rPr/>
            </w:pPr>
            <w:r>
              <w:rPr/>
              <w:t>2,798</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w:t>
            </w:r>
          </w:p>
        </w:tc>
        <w:tc>
          <w:tcPr>
            <w:tcW w:w="1290" w:type="dxa"/>
            <w:tcBorders/>
            <w:shd w:fill="CCEEFF" w:val="clear"/>
            <w:vAlign w:val="bottom"/>
          </w:tcPr>
          <w:p>
            <w:pPr>
              <w:pStyle w:val="TableContents"/>
              <w:spacing w:before="0" w:after="283"/>
              <w:jc w:val="right"/>
              <w:rPr/>
            </w:pPr>
            <w:r>
              <w:rPr/>
              <w:t>3,707</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5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5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6044" w:type="dxa"/>
            <w:tcBorders/>
            <w:shd w:fill="auto" w:val="clear"/>
            <w:vAlign w:val="bottom"/>
          </w:tcPr>
          <w:p>
            <w:pPr>
              <w:pStyle w:val="TableContents"/>
              <w:spacing w:before="0" w:after="0"/>
              <w:ind w:left="675" w:right="0" w:hanging="225"/>
              <w:rPr/>
            </w:pPr>
            <w:r>
              <w:rPr/>
              <w:t>Interest</w:t>
            </w:r>
          </w:p>
        </w:tc>
        <w:tc>
          <w:tcPr>
            <w:tcW w:w="383"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w:t>
            </w:r>
          </w:p>
        </w:tc>
        <w:tc>
          <w:tcPr>
            <w:tcW w:w="1288" w:type="dxa"/>
            <w:tcBorders/>
            <w:shd w:fill="auto" w:val="clear"/>
            <w:vAlign w:val="bottom"/>
          </w:tcPr>
          <w:p>
            <w:pPr>
              <w:pStyle w:val="TableContents"/>
              <w:spacing w:before="0" w:after="283"/>
              <w:jc w:val="right"/>
              <w:rPr/>
            </w:pPr>
            <w:r>
              <w:rPr/>
              <w:t>310</w:t>
            </w:r>
          </w:p>
        </w:tc>
        <w:tc>
          <w:tcPr>
            <w:tcW w:w="179"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w:t>
            </w:r>
          </w:p>
        </w:tc>
        <w:tc>
          <w:tcPr>
            <w:tcW w:w="1290" w:type="dxa"/>
            <w:tcBorders/>
            <w:shd w:fill="auto" w:val="clear"/>
            <w:vAlign w:val="bottom"/>
          </w:tcPr>
          <w:p>
            <w:pPr>
              <w:pStyle w:val="TableContents"/>
              <w:spacing w:before="0" w:after="283"/>
              <w:jc w:val="right"/>
              <w:rPr/>
            </w:pPr>
            <w:r>
              <w:rPr/>
              <w:t>621</w:t>
            </w:r>
          </w:p>
        </w:tc>
        <w:tc>
          <w:tcPr>
            <w:tcW w:w="145" w:type="dxa"/>
            <w:tcBorders/>
            <w:shd w:fill="auto" w:val="clear"/>
            <w:vAlign w:val="bottom"/>
          </w:tcPr>
          <w:p>
            <w:pPr>
              <w:pStyle w:val="TableContents"/>
              <w:spacing w:before="0" w:after="283"/>
              <w:rPr/>
            </w:pPr>
            <w:r>
              <w:rPr/>
              <w:t> </w:t>
            </w:r>
          </w:p>
        </w:tc>
      </w:tr>
      <w:tr>
        <w:trPr/>
        <w:tc>
          <w:tcPr>
            <w:tcW w:w="6044"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5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5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6044" w:type="dxa"/>
            <w:tcBorders/>
            <w:shd w:fill="CCEEFF" w:val="clear"/>
            <w:vAlign w:val="bottom"/>
          </w:tcPr>
          <w:p>
            <w:pPr>
              <w:pStyle w:val="TableContents"/>
              <w:spacing w:before="0" w:after="0"/>
              <w:ind w:left="450" w:right="0" w:hanging="225"/>
              <w:rPr/>
            </w:pPr>
            <w:r>
              <w:rPr/>
              <w:t>Equipment acquired under capital leases</w:t>
            </w:r>
          </w:p>
        </w:tc>
        <w:tc>
          <w:tcPr>
            <w:tcW w:w="383"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w:t>
            </w:r>
          </w:p>
        </w:tc>
        <w:tc>
          <w:tcPr>
            <w:tcW w:w="1288" w:type="dxa"/>
            <w:tcBorders/>
            <w:shd w:fill="CCEEFF" w:val="clear"/>
            <w:vAlign w:val="bottom"/>
          </w:tcPr>
          <w:p>
            <w:pPr>
              <w:pStyle w:val="TableContents"/>
              <w:spacing w:before="0" w:after="283"/>
              <w:jc w:val="right"/>
              <w:rPr/>
            </w:pPr>
            <w:r>
              <w:rPr/>
              <w:t>272</w:t>
            </w:r>
          </w:p>
        </w:tc>
        <w:tc>
          <w:tcPr>
            <w:tcW w:w="179"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w:t>
            </w:r>
          </w:p>
        </w:tc>
        <w:tc>
          <w:tcPr>
            <w:tcW w:w="1290" w:type="dxa"/>
            <w:tcBorders/>
            <w:shd w:fill="CCEEFF" w:val="clear"/>
            <w:vAlign w:val="bottom"/>
          </w:tcPr>
          <w:p>
            <w:pPr>
              <w:pStyle w:val="TableContents"/>
              <w:spacing w:before="0" w:after="283"/>
              <w:jc w:val="right"/>
              <w:rPr/>
            </w:pPr>
            <w:r>
              <w:rPr/>
              <w:t>170</w:t>
            </w:r>
          </w:p>
        </w:tc>
        <w:tc>
          <w:tcPr>
            <w:tcW w:w="145" w:type="dxa"/>
            <w:tcBorders/>
            <w:shd w:fill="CCEEFF" w:val="clear"/>
            <w:vAlign w:val="bottom"/>
          </w:tcPr>
          <w:p>
            <w:pPr>
              <w:pStyle w:val="TableContents"/>
              <w:spacing w:before="0" w:after="283"/>
              <w:rPr/>
            </w:pPr>
            <w:r>
              <w:rPr/>
              <w:t> </w:t>
            </w:r>
          </w:p>
        </w:tc>
      </w:tr>
      <w:tr>
        <w:trPr/>
        <w:tc>
          <w:tcPr>
            <w:tcW w:w="6044" w:type="dxa"/>
            <w:tcBorders/>
            <w:shd w:fill="auto" w:val="clear"/>
            <w:vAlign w:val="center"/>
          </w:tcPr>
          <w:p>
            <w:pPr>
              <w:pStyle w:val="TableContents"/>
              <w:spacing w:before="0" w:after="0"/>
              <w:ind w:left="225" w:right="0" w:hanging="225"/>
              <w:rPr/>
            </w:pPr>
            <w:r>
              <w:rPr/>
              <w:t> </w:t>
            </w:r>
          </w:p>
        </w:tc>
        <w:tc>
          <w:tcPr>
            <w:tcW w:w="383" w:type="dxa"/>
            <w:tcBorders/>
            <w:shd w:fill="auto" w:val="clear"/>
            <w:vAlign w:val="center"/>
          </w:tcPr>
          <w:p>
            <w:pPr>
              <w:pStyle w:val="TableContents"/>
              <w:spacing w:before="0" w:after="283"/>
              <w:rPr/>
            </w:pPr>
            <w:r>
              <w:rPr/>
              <w:t> </w:t>
            </w:r>
          </w:p>
        </w:tc>
        <w:tc>
          <w:tcPr>
            <w:tcW w:w="15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5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br/>
        <w:t>NOTES TO CONSOLIDATED FINANCIAL STATEMENTS</w:t>
        <w:br/>
        <w:t>(Unaudited)</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 Basis of Preparation and Principles of Consolidation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accompanying unaudited consolidated financial statements of Viad Corp (Viad or the Company) have been prepared in accordance with accounting principles generally accepted in the United States of America for interim financial information and with the instructions to Form 10-Q and Article 10 of Regulation S-X. Accordingly, they do not include all of the information and footnotes required for complete financial statements. In the opinion of management, all adjustments (consisting of normal recurring accruals) considered necessary for a fair presentation have been included. Operating results for the three months ended March 31, 2006 are not necessarily indicative of the results that may be expected for the year ending December 31, 2006. Certain prior period amounts have been reclassified to conform to the current period presentation. </w:t>
      </w:r>
    </w:p>
    <w:p>
      <w:pPr>
        <w:pStyle w:val="TextBody"/>
        <w:spacing w:before="120" w:after="283"/>
        <w:jc w:val="left"/>
        <w:rPr/>
      </w:pPr>
      <w:r>
        <w:rPr/>
        <w:t>     </w:t>
      </w:r>
      <w:r>
        <w:rPr>
          <w:rFonts w:ascii="Times New Roman;Times;serif" w:hAnsi="Times New Roman;Times;serif"/>
          <w:sz w:val="17"/>
        </w:rPr>
        <w:t xml:space="preserve">For further information, refer to the consolidated financial statements and related footnotes for the year ended December 31, 2005, included in the Companys Form 10-K (File No. 001-11015), filed with the Securities and Exchange Commission (SEC) on March 1, 2006. </w:t>
      </w:r>
    </w:p>
    <w:p>
      <w:pPr>
        <w:pStyle w:val="TextBody"/>
        <w:spacing w:before="120" w:after="283"/>
        <w:jc w:val="left"/>
        <w:rPr/>
      </w:pPr>
      <w:r>
        <w:rPr/>
        <w:t>     </w:t>
      </w:r>
      <w:r>
        <w:rPr>
          <w:rFonts w:ascii="Times New Roman;Times;serif" w:hAnsi="Times New Roman;Times;serif"/>
          <w:sz w:val="17"/>
        </w:rPr>
        <w:t xml:space="preserve">The consolidated financial statements include the accounts of Viad and all of its subsidiaries. All significant intercompany account balances and transactions between Viad and its subsidiaries have been eliminated in consolidation. Viads reporting segments consist of: GES Exposition Services, Inc. (GES), Exhibitgroup/Giltspur (Exhibitgroup) and Travel and Recreation Services.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2. Share-Based Compensation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grants share-based compensation awards pursuant to the Viad Corp Omnibus Incentive Plan (the Omnibus Plan) which was adopted by Viads stockholders in 1997. The Omnibus Plan provides for the following types of awards to officers, directors and certain key employees: (a) incentive and non-qualified stock options; (b) restricted stock; (c) performance-based awards; and (d) stock appreciation rights. The number of shares of common stock available for grant under the Omnibus Plan in each calendar year is limited to two percent of the total number of shares of common stock outstanding as of the first day of each year, provided that any shares available for grant in a particular year which are not, in fact, granted in that year will be added to the shares available for grant in any subsequent year. Viad issues shares related to its share-based compensation awards from its Employee Equity Trust and from shares held in treasury. Viad has the authority to repurchase common stock for the purpose of replacing common stock issued upon exercise of stock options and in connection with other stock compensation plans. There were no repurchases of common stock under this program during the three months ended March 31, 2006 or 2005. </w:t>
      </w:r>
    </w:p>
    <w:p>
      <w:pPr>
        <w:pStyle w:val="TextBody"/>
        <w:spacing w:before="120" w:after="283"/>
        <w:jc w:val="left"/>
        <w:rPr/>
      </w:pPr>
      <w:r>
        <w:rPr/>
        <w:t>     </w:t>
      </w:r>
      <w:r>
        <w:rPr>
          <w:rFonts w:ascii="Times New Roman;Times;serif" w:hAnsi="Times New Roman;Times;serif"/>
          <w:sz w:val="17"/>
        </w:rPr>
        <w:t xml:space="preserve">In December 2004, the Financial Accounting Standards Board (FASB) issued Statement of Financial Accounting Standards (SFAS) No. 123 (revised 2004), Share-Based Payment, which requires that compensation cost related to all share-based payment arrangements, including employee stock options, be recognized in the financial statements based on the fair value method of accounting. In addition, SFAS No. 123(R) requires that excess tax benefits related to share-based payment arrangements be classified as cash inflows from financing activities and cash outflows from operating activities. SFAS No. 123(R) is a revision of SFAS No. 123, Accounting for Stock-Based Compensation, and supercedes Accounting Principles Board (APB) Opinion No. 25, Accounting for Stock Issued to Employees, and related interpretations. </w:t>
      </w:r>
    </w:p>
    <w:p>
      <w:pPr>
        <w:pStyle w:val="TextBody"/>
        <w:spacing w:before="120" w:after="283"/>
        <w:jc w:val="left"/>
        <w:rPr/>
      </w:pPr>
      <w:r>
        <w:rPr/>
        <w:t>     </w:t>
      </w:r>
      <w:r>
        <w:rPr>
          <w:rFonts w:ascii="Times New Roman;Times;serif" w:hAnsi="Times New Roman;Times;serif"/>
          <w:sz w:val="17"/>
        </w:rPr>
        <w:t xml:space="preserve">As originally permitted by SFAS No. 123, Viad had previously elected to apply the guidance in APB Opinion No. 25, which allowed companies to use the intrinsic value method of accounting to measure the value of share-based payment transactions with employees. Based on this method, Viad had not previously recognized the compensation cost related to employee stock options in the financial statements as the stock options granted had an exercise price equal to the fair market value of the underlying common stock on the date of grant. Effective January 1, 2006, Viad adopted the provisions of SFAS No. 123(R) using the modified prospective application method. Accordingly, prior period amounts have not been restated. Under the modified prospective application method, the compensation cost related to the unvested portion of all awards (including stock options) granted prior to the adoption of SFAS No. 123(R), and all new awards, are recognized in the financial statements over the requisite service period based on the fair value of the awards. </w:t>
      </w:r>
    </w:p>
    <w:p>
      <w:pPr>
        <w:pStyle w:val="TextBody"/>
        <w:spacing w:before="120" w:after="283"/>
        <w:jc w:val="left"/>
        <w:rPr/>
      </w:pPr>
      <w:r>
        <w:rPr/>
        <w:t>     </w:t>
      </w:r>
      <w:r>
        <w:rPr>
          <w:rFonts w:ascii="Times New Roman;Times;serif" w:hAnsi="Times New Roman;Times;serif"/>
          <w:sz w:val="17"/>
        </w:rPr>
        <w:t xml:space="preserve">During the three months ended March 31, 2006 and 2005, the total share-based compensation expense recognized in the financial statements was $2.0 million and $2.1 million, respectively. Furthermore, the total tax benefits related to such costs were $772,000 and $823,000, respectively. There were no share-based compensation costs which were capitalized. </w:t>
      </w:r>
    </w:p>
    <w:p>
      <w:pPr>
        <w:pStyle w:val="TextBody"/>
        <w:jc w:val="center"/>
        <w:rPr>
          <w:rFonts w:ascii="Times New Roman;Times;serif" w:hAnsi="Times New Roman;Times;serif"/>
          <w:sz w:val="17"/>
        </w:rPr>
      </w:pPr>
      <w:r>
        <w:rPr>
          <w:rFonts w:ascii="Times New Roman;Times;serif" w:hAnsi="Times New Roman;Times;serif"/>
          <w:sz w:val="17"/>
        </w:rPr>
        <w:t xml:space="preserve">Page 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During the three months ended March 31, 2006, the adoption of SFAS No. 123(R) resulted in incremental share-based compensation expense (and a reduction of income before taxes) of $443,000. Furthermore, net income was reduced by $326,000, and both diluted and basic income per share were reduced by $0.01 per share. Also in connection with the adoption of SFAS No. 123(R), Viad presented $2.1 million of excess tax benefits from share-based compensation arrangements as a cash outflow from operating activities and a cash inflow from financing activities during the three months ended March 31, 2006. </w:t>
      </w:r>
    </w:p>
    <w:p>
      <w:pPr>
        <w:pStyle w:val="TextBody"/>
        <w:spacing w:before="120" w:after="283"/>
        <w:jc w:val="left"/>
        <w:rPr/>
      </w:pPr>
      <w:r>
        <w:rPr/>
        <w:t>     </w:t>
      </w:r>
      <w:r>
        <w:rPr>
          <w:rFonts w:ascii="Times New Roman;Times;serif" w:hAnsi="Times New Roman;Times;serif"/>
          <w:sz w:val="17"/>
        </w:rPr>
        <w:t xml:space="preserve">As noted above, prior to the adoption of SFAS No. 123(R), Viad used the intrinsic value method of accounting prescribed by APB Opinion No. 25. Assuming Viad had recognized compensation cost during the three months ended March 31, 2005 related to all share-based compensation awards (including stock options) in accordance with the fair value method of accounting under SFAS No. 123, net income and diluted and basic income per share would have been as presented below. Compensation cost calculated under SFAS No. 123 is recognized over the vesting period and is net of estimated forfeitures and tax effects. </w:t>
      </w:r>
    </w:p>
    <w:tbl>
      <w:tblPr>
        <w:tblW w:w="5000" w:type="pct"/>
        <w:jc w:val="center"/>
        <w:tblInd w:w="0" w:type="dxa"/>
        <w:tblCellMar>
          <w:top w:w="0" w:type="dxa"/>
          <w:left w:w="0" w:type="dxa"/>
          <w:bottom w:w="0" w:type="dxa"/>
          <w:right w:w="0" w:type="dxa"/>
        </w:tblCellMar>
      </w:tblPr>
      <w:tblGrid>
        <w:gridCol w:w="7457"/>
        <w:gridCol w:w="421"/>
        <w:gridCol w:w="368"/>
        <w:gridCol w:w="1805"/>
        <w:gridCol w:w="154"/>
      </w:tblGrid>
      <w:tr>
        <w:trPr/>
        <w:tc>
          <w:tcPr>
            <w:tcW w:w="745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80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745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2173" w:type="dxa"/>
            <w:gridSpan w:val="2"/>
            <w:tcBorders/>
            <w:shd w:fill="auto" w:val="clear"/>
            <w:vAlign w:val="bottom"/>
          </w:tcPr>
          <w:p>
            <w:pPr>
              <w:pStyle w:val="TableContents"/>
              <w:spacing w:before="0" w:after="283"/>
              <w:jc w:val="center"/>
              <w:rPr>
                <w:b/>
              </w:rPr>
            </w:pPr>
            <w:r>
              <w:rPr>
                <w:b/>
              </w:rPr>
              <w:t>Three months ended</w:t>
            </w:r>
          </w:p>
        </w:tc>
        <w:tc>
          <w:tcPr>
            <w:tcW w:w="154" w:type="dxa"/>
            <w:tcBorders/>
            <w:shd w:fill="auto" w:val="clear"/>
            <w:vAlign w:val="bottom"/>
          </w:tcPr>
          <w:p>
            <w:pPr>
              <w:pStyle w:val="TableContents"/>
              <w:spacing w:before="0" w:after="283"/>
              <w:rPr/>
            </w:pPr>
            <w:r>
              <w:rPr/>
              <w:t> </w:t>
            </w:r>
          </w:p>
        </w:tc>
      </w:tr>
      <w:tr>
        <w:trPr/>
        <w:tc>
          <w:tcPr>
            <w:tcW w:w="745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217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March 31, 2005</w:t>
            </w:r>
          </w:p>
        </w:tc>
        <w:tc>
          <w:tcPr>
            <w:tcW w:w="154" w:type="dxa"/>
            <w:tcBorders/>
            <w:shd w:fill="auto" w:val="clear"/>
            <w:vAlign w:val="bottom"/>
          </w:tcPr>
          <w:p>
            <w:pPr>
              <w:pStyle w:val="TableContents"/>
              <w:spacing w:before="0" w:after="283"/>
              <w:rPr/>
            </w:pPr>
            <w:r>
              <w:rPr/>
              <w:t> </w:t>
            </w:r>
          </w:p>
        </w:tc>
      </w:tr>
      <w:tr>
        <w:trPr/>
        <w:tc>
          <w:tcPr>
            <w:tcW w:w="745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2173" w:type="dxa"/>
            <w:gridSpan w:val="2"/>
            <w:tcBorders/>
            <w:shd w:fill="auto" w:val="clear"/>
            <w:vAlign w:val="bottom"/>
          </w:tcPr>
          <w:p>
            <w:pPr>
              <w:pStyle w:val="TableContents"/>
              <w:spacing w:before="0" w:after="283"/>
              <w:jc w:val="center"/>
              <w:rPr>
                <w:b/>
              </w:rPr>
            </w:pPr>
            <w:r>
              <w:rPr>
                <w:b/>
              </w:rPr>
              <w:t>(in thousands, except</w:t>
            </w:r>
          </w:p>
        </w:tc>
        <w:tc>
          <w:tcPr>
            <w:tcW w:w="154" w:type="dxa"/>
            <w:tcBorders/>
            <w:shd w:fill="auto" w:val="clear"/>
            <w:vAlign w:val="bottom"/>
          </w:tcPr>
          <w:p>
            <w:pPr>
              <w:pStyle w:val="TableContents"/>
              <w:spacing w:before="0" w:after="283"/>
              <w:rPr/>
            </w:pPr>
            <w:r>
              <w:rPr/>
              <w:t> </w:t>
            </w:r>
          </w:p>
        </w:tc>
      </w:tr>
      <w:tr>
        <w:trPr/>
        <w:tc>
          <w:tcPr>
            <w:tcW w:w="745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2173" w:type="dxa"/>
            <w:gridSpan w:val="2"/>
            <w:tcBorders/>
            <w:shd w:fill="auto" w:val="clear"/>
            <w:vAlign w:val="bottom"/>
          </w:tcPr>
          <w:p>
            <w:pPr>
              <w:pStyle w:val="TableContents"/>
              <w:spacing w:before="0" w:after="283"/>
              <w:jc w:val="center"/>
              <w:rPr>
                <w:b/>
              </w:rPr>
            </w:pPr>
            <w:r>
              <w:rPr>
                <w:b/>
              </w:rPr>
              <w:t>per share data)</w:t>
            </w:r>
          </w:p>
        </w:tc>
        <w:tc>
          <w:tcPr>
            <w:tcW w:w="154" w:type="dxa"/>
            <w:tcBorders/>
            <w:shd w:fill="auto" w:val="clear"/>
            <w:vAlign w:val="bottom"/>
          </w:tcPr>
          <w:p>
            <w:pPr>
              <w:pStyle w:val="TableContents"/>
              <w:spacing w:before="0" w:after="283"/>
              <w:rPr/>
            </w:pPr>
            <w:r>
              <w:rPr/>
              <w:t> </w:t>
            </w:r>
          </w:p>
        </w:tc>
      </w:tr>
      <w:tr>
        <w:trPr/>
        <w:tc>
          <w:tcPr>
            <w:tcW w:w="7457" w:type="dxa"/>
            <w:tcBorders/>
            <w:shd w:fill="CCEEFF" w:val="clear"/>
            <w:vAlign w:val="bottom"/>
          </w:tcPr>
          <w:p>
            <w:pPr>
              <w:pStyle w:val="TableContents"/>
              <w:spacing w:before="0" w:after="0"/>
              <w:ind w:left="225" w:right="0" w:hanging="225"/>
              <w:rPr/>
            </w:pPr>
            <w:r>
              <w:rPr/>
              <w:t>Net income, as reported</w:t>
            </w:r>
          </w:p>
        </w:tc>
        <w:tc>
          <w:tcPr>
            <w:tcW w:w="421"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left"/>
              <w:rPr/>
            </w:pPr>
            <w:r>
              <w:rPr/>
              <w:t>$</w:t>
            </w:r>
          </w:p>
        </w:tc>
        <w:tc>
          <w:tcPr>
            <w:tcW w:w="1805" w:type="dxa"/>
            <w:tcBorders/>
            <w:shd w:fill="CCEEFF" w:val="clear"/>
            <w:vAlign w:val="bottom"/>
          </w:tcPr>
          <w:p>
            <w:pPr>
              <w:pStyle w:val="TableContents"/>
              <w:spacing w:before="0" w:after="283"/>
              <w:jc w:val="right"/>
              <w:rPr/>
            </w:pPr>
            <w:r>
              <w:rPr/>
              <w:t>12,198</w:t>
            </w:r>
          </w:p>
        </w:tc>
        <w:tc>
          <w:tcPr>
            <w:tcW w:w="154" w:type="dxa"/>
            <w:tcBorders/>
            <w:shd w:fill="CCEEFF" w:val="clear"/>
            <w:vAlign w:val="bottom"/>
          </w:tcPr>
          <w:p>
            <w:pPr>
              <w:pStyle w:val="TableContents"/>
              <w:spacing w:before="0" w:after="283"/>
              <w:rPr/>
            </w:pPr>
            <w:r>
              <w:rPr/>
              <w:t> </w:t>
            </w:r>
          </w:p>
        </w:tc>
      </w:tr>
      <w:tr>
        <w:trPr/>
        <w:tc>
          <w:tcPr>
            <w:tcW w:w="7457" w:type="dxa"/>
            <w:tcBorders/>
            <w:shd w:fill="auto" w:val="clear"/>
            <w:vAlign w:val="bottom"/>
          </w:tcPr>
          <w:p>
            <w:pPr>
              <w:pStyle w:val="TableContents"/>
              <w:spacing w:before="0" w:after="0"/>
              <w:ind w:left="225" w:right="0" w:hanging="225"/>
              <w:rPr/>
            </w:pPr>
            <w:r>
              <w:rPr/>
              <w:t>Less: share-based compensation expense determined under fair value based method, net of tax</w:t>
            </w:r>
          </w:p>
        </w:tc>
        <w:tc>
          <w:tcPr>
            <w:tcW w:w="421"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left"/>
              <w:rPr/>
            </w:pPr>
            <w:r>
              <w:rPr/>
              <w:t> </w:t>
            </w:r>
          </w:p>
        </w:tc>
        <w:tc>
          <w:tcPr>
            <w:tcW w:w="1805" w:type="dxa"/>
            <w:tcBorders/>
            <w:shd w:fill="auto" w:val="clear"/>
            <w:vAlign w:val="bottom"/>
          </w:tcPr>
          <w:p>
            <w:pPr>
              <w:pStyle w:val="TableContents"/>
              <w:spacing w:before="0" w:after="283"/>
              <w:jc w:val="right"/>
              <w:rPr/>
            </w:pPr>
            <w:r>
              <w:rPr/>
              <w:t>(401</w:t>
            </w:r>
          </w:p>
        </w:tc>
        <w:tc>
          <w:tcPr>
            <w:tcW w:w="154" w:type="dxa"/>
            <w:tcBorders/>
            <w:shd w:fill="auto" w:val="clear"/>
            <w:vAlign w:val="bottom"/>
          </w:tcPr>
          <w:p>
            <w:pPr>
              <w:pStyle w:val="TableContents"/>
              <w:spacing w:before="0" w:after="283"/>
              <w:rPr/>
            </w:pPr>
            <w:r>
              <w:rPr/>
              <w:t>)</w:t>
            </w:r>
          </w:p>
        </w:tc>
      </w:tr>
      <w:tr>
        <w:trPr/>
        <w:tc>
          <w:tcPr>
            <w:tcW w:w="7457" w:type="dxa"/>
            <w:tcBorders/>
            <w:shd w:fill="auto" w:val="clear"/>
            <w:vAlign w:val="center"/>
          </w:tcPr>
          <w:p>
            <w:pPr>
              <w:pStyle w:val="TableContents"/>
              <w:spacing w:before="0" w:after="0"/>
              <w:ind w:left="225" w:right="0" w:hanging="225"/>
              <w:rPr/>
            </w:pPr>
            <w:r>
              <w:rPr/>
              <w:t> </w:t>
            </w:r>
          </w:p>
        </w:tc>
        <w:tc>
          <w:tcPr>
            <w:tcW w:w="421" w:type="dxa"/>
            <w:tcBorders/>
            <w:shd w:fill="auto" w:val="clear"/>
            <w:vAlign w:val="center"/>
          </w:tcPr>
          <w:p>
            <w:pPr>
              <w:pStyle w:val="TableContents"/>
              <w:spacing w:before="0" w:after="283"/>
              <w:rPr/>
            </w:pPr>
            <w:r>
              <w:rPr/>
              <w:t> </w:t>
            </w:r>
          </w:p>
        </w:tc>
        <w:tc>
          <w:tcPr>
            <w:tcW w:w="21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7457" w:type="dxa"/>
            <w:tcBorders/>
            <w:shd w:fill="CCEEFF" w:val="clear"/>
            <w:vAlign w:val="bottom"/>
          </w:tcPr>
          <w:p>
            <w:pPr>
              <w:pStyle w:val="TableContents"/>
              <w:spacing w:before="0" w:after="0"/>
              <w:ind w:left="225" w:right="0" w:hanging="225"/>
              <w:rPr/>
            </w:pPr>
            <w:r>
              <w:rPr/>
              <w:t>Pro forma net income</w:t>
            </w:r>
          </w:p>
        </w:tc>
        <w:tc>
          <w:tcPr>
            <w:tcW w:w="421"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left"/>
              <w:rPr/>
            </w:pPr>
            <w:r>
              <w:rPr/>
              <w:t>$</w:t>
            </w:r>
          </w:p>
        </w:tc>
        <w:tc>
          <w:tcPr>
            <w:tcW w:w="1805" w:type="dxa"/>
            <w:tcBorders/>
            <w:shd w:fill="CCEEFF" w:val="clear"/>
            <w:vAlign w:val="bottom"/>
          </w:tcPr>
          <w:p>
            <w:pPr>
              <w:pStyle w:val="TableContents"/>
              <w:spacing w:before="0" w:after="283"/>
              <w:jc w:val="right"/>
              <w:rPr/>
            </w:pPr>
            <w:r>
              <w:rPr/>
              <w:t>11,797</w:t>
            </w:r>
          </w:p>
        </w:tc>
        <w:tc>
          <w:tcPr>
            <w:tcW w:w="154" w:type="dxa"/>
            <w:tcBorders/>
            <w:shd w:fill="CCEEFF" w:val="clear"/>
            <w:vAlign w:val="bottom"/>
          </w:tcPr>
          <w:p>
            <w:pPr>
              <w:pStyle w:val="TableContents"/>
              <w:spacing w:before="0" w:after="283"/>
              <w:rPr/>
            </w:pPr>
            <w:r>
              <w:rPr/>
              <w:t> </w:t>
            </w:r>
          </w:p>
        </w:tc>
      </w:tr>
      <w:tr>
        <w:trPr/>
        <w:tc>
          <w:tcPr>
            <w:tcW w:w="7457" w:type="dxa"/>
            <w:tcBorders/>
            <w:shd w:fill="auto" w:val="clear"/>
            <w:vAlign w:val="center"/>
          </w:tcPr>
          <w:p>
            <w:pPr>
              <w:pStyle w:val="TableContents"/>
              <w:spacing w:before="0" w:after="0"/>
              <w:ind w:left="225" w:right="0" w:hanging="225"/>
              <w:rPr/>
            </w:pPr>
            <w:r>
              <w:rPr/>
              <w:t> </w:t>
            </w:r>
          </w:p>
        </w:tc>
        <w:tc>
          <w:tcPr>
            <w:tcW w:w="421" w:type="dxa"/>
            <w:tcBorders/>
            <w:shd w:fill="auto" w:val="clear"/>
            <w:vAlign w:val="center"/>
          </w:tcPr>
          <w:p>
            <w:pPr>
              <w:pStyle w:val="TableContents"/>
              <w:spacing w:before="0" w:after="283"/>
              <w:rPr/>
            </w:pPr>
            <w:r>
              <w:rPr/>
              <w:t> </w:t>
            </w:r>
          </w:p>
        </w:tc>
        <w:tc>
          <w:tcPr>
            <w:tcW w:w="21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7457" w:type="dxa"/>
            <w:tcBorders/>
            <w:shd w:fill="auto" w:val="clear"/>
            <w:vAlign w:val="bottom"/>
          </w:tcPr>
          <w:p>
            <w:pPr>
              <w:pStyle w:val="TableContents"/>
              <w:spacing w:before="0" w:after="0"/>
              <w:ind w:left="225" w:right="0" w:hanging="225"/>
              <w:rPr/>
            </w:pPr>
            <w:r>
              <w:rPr/>
              <w:t>Diluted income per share:</w:t>
            </w:r>
          </w:p>
        </w:tc>
        <w:tc>
          <w:tcPr>
            <w:tcW w:w="421"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80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7457" w:type="dxa"/>
            <w:tcBorders/>
            <w:shd w:fill="CCEEFF" w:val="clear"/>
            <w:vAlign w:val="bottom"/>
          </w:tcPr>
          <w:p>
            <w:pPr>
              <w:pStyle w:val="TableContents"/>
              <w:spacing w:before="0" w:after="0"/>
              <w:ind w:left="450" w:right="0" w:hanging="225"/>
              <w:rPr/>
            </w:pPr>
            <w:r>
              <w:rPr/>
              <w:t>As reported</w:t>
            </w:r>
          </w:p>
        </w:tc>
        <w:tc>
          <w:tcPr>
            <w:tcW w:w="421"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left"/>
              <w:rPr/>
            </w:pPr>
            <w:r>
              <w:rPr/>
              <w:t>$</w:t>
            </w:r>
          </w:p>
        </w:tc>
        <w:tc>
          <w:tcPr>
            <w:tcW w:w="1805" w:type="dxa"/>
            <w:tcBorders/>
            <w:shd w:fill="CCEEFF" w:val="clear"/>
            <w:vAlign w:val="bottom"/>
          </w:tcPr>
          <w:p>
            <w:pPr>
              <w:pStyle w:val="TableContents"/>
              <w:spacing w:before="0" w:after="283"/>
              <w:jc w:val="right"/>
              <w:rPr/>
            </w:pPr>
            <w:r>
              <w:rPr/>
              <w:t>0.55</w:t>
            </w:r>
          </w:p>
        </w:tc>
        <w:tc>
          <w:tcPr>
            <w:tcW w:w="154" w:type="dxa"/>
            <w:tcBorders/>
            <w:shd w:fill="CCEEFF" w:val="clear"/>
            <w:vAlign w:val="bottom"/>
          </w:tcPr>
          <w:p>
            <w:pPr>
              <w:pStyle w:val="TableContents"/>
              <w:spacing w:before="0" w:after="283"/>
              <w:rPr/>
            </w:pPr>
            <w:r>
              <w:rPr/>
              <w:t> </w:t>
            </w:r>
          </w:p>
        </w:tc>
      </w:tr>
      <w:tr>
        <w:trPr/>
        <w:tc>
          <w:tcPr>
            <w:tcW w:w="7457" w:type="dxa"/>
            <w:tcBorders/>
            <w:shd w:fill="auto" w:val="clear"/>
            <w:vAlign w:val="center"/>
          </w:tcPr>
          <w:p>
            <w:pPr>
              <w:pStyle w:val="TableContents"/>
              <w:spacing w:before="0" w:after="0"/>
              <w:ind w:left="225" w:right="0" w:hanging="225"/>
              <w:rPr/>
            </w:pPr>
            <w:r>
              <w:rPr/>
              <w:t> </w:t>
            </w:r>
          </w:p>
        </w:tc>
        <w:tc>
          <w:tcPr>
            <w:tcW w:w="421" w:type="dxa"/>
            <w:tcBorders/>
            <w:shd w:fill="auto" w:val="clear"/>
            <w:vAlign w:val="center"/>
          </w:tcPr>
          <w:p>
            <w:pPr>
              <w:pStyle w:val="TableContents"/>
              <w:spacing w:before="0" w:after="283"/>
              <w:rPr/>
            </w:pPr>
            <w:r>
              <w:rPr/>
              <w:t> </w:t>
            </w:r>
          </w:p>
        </w:tc>
        <w:tc>
          <w:tcPr>
            <w:tcW w:w="21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7457" w:type="dxa"/>
            <w:tcBorders/>
            <w:shd w:fill="auto" w:val="clear"/>
            <w:vAlign w:val="bottom"/>
          </w:tcPr>
          <w:p>
            <w:pPr>
              <w:pStyle w:val="TableContents"/>
              <w:spacing w:before="0" w:after="0"/>
              <w:ind w:left="450" w:right="0" w:hanging="225"/>
              <w:rPr/>
            </w:pPr>
            <w:r>
              <w:rPr/>
              <w:t>Pro forma</w:t>
            </w:r>
          </w:p>
        </w:tc>
        <w:tc>
          <w:tcPr>
            <w:tcW w:w="421"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left"/>
              <w:rPr/>
            </w:pPr>
            <w:r>
              <w:rPr/>
              <w:t>$</w:t>
            </w:r>
          </w:p>
        </w:tc>
        <w:tc>
          <w:tcPr>
            <w:tcW w:w="1805" w:type="dxa"/>
            <w:tcBorders/>
            <w:shd w:fill="auto" w:val="clear"/>
            <w:vAlign w:val="bottom"/>
          </w:tcPr>
          <w:p>
            <w:pPr>
              <w:pStyle w:val="TableContents"/>
              <w:spacing w:before="0" w:after="283"/>
              <w:jc w:val="right"/>
              <w:rPr/>
            </w:pPr>
            <w:r>
              <w:rPr/>
              <w:t>0.54</w:t>
            </w:r>
          </w:p>
        </w:tc>
        <w:tc>
          <w:tcPr>
            <w:tcW w:w="154" w:type="dxa"/>
            <w:tcBorders/>
            <w:shd w:fill="auto" w:val="clear"/>
            <w:vAlign w:val="bottom"/>
          </w:tcPr>
          <w:p>
            <w:pPr>
              <w:pStyle w:val="TableContents"/>
              <w:spacing w:before="0" w:after="283"/>
              <w:rPr/>
            </w:pPr>
            <w:r>
              <w:rPr/>
              <w:t> </w:t>
            </w:r>
          </w:p>
        </w:tc>
      </w:tr>
      <w:tr>
        <w:trPr/>
        <w:tc>
          <w:tcPr>
            <w:tcW w:w="7457" w:type="dxa"/>
            <w:tcBorders/>
            <w:shd w:fill="auto" w:val="clear"/>
            <w:vAlign w:val="center"/>
          </w:tcPr>
          <w:p>
            <w:pPr>
              <w:pStyle w:val="TableContents"/>
              <w:spacing w:before="0" w:after="0"/>
              <w:ind w:left="225" w:right="0" w:hanging="225"/>
              <w:rPr/>
            </w:pPr>
            <w:r>
              <w:rPr/>
              <w:t> </w:t>
            </w:r>
          </w:p>
        </w:tc>
        <w:tc>
          <w:tcPr>
            <w:tcW w:w="421" w:type="dxa"/>
            <w:tcBorders/>
            <w:shd w:fill="auto" w:val="clear"/>
            <w:vAlign w:val="center"/>
          </w:tcPr>
          <w:p>
            <w:pPr>
              <w:pStyle w:val="TableContents"/>
              <w:spacing w:before="0" w:after="283"/>
              <w:rPr/>
            </w:pPr>
            <w:r>
              <w:rPr/>
              <w:t> </w:t>
            </w:r>
          </w:p>
        </w:tc>
        <w:tc>
          <w:tcPr>
            <w:tcW w:w="21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7457" w:type="dxa"/>
            <w:tcBorders/>
            <w:shd w:fill="CCEEFF" w:val="clear"/>
            <w:vAlign w:val="bottom"/>
          </w:tcPr>
          <w:p>
            <w:pPr>
              <w:pStyle w:val="TableContents"/>
              <w:spacing w:before="0" w:after="0"/>
              <w:ind w:left="225" w:right="0" w:hanging="225"/>
              <w:rPr/>
            </w:pPr>
            <w:r>
              <w:rPr/>
              <w:t>Basic income per share:</w:t>
            </w:r>
          </w:p>
        </w:tc>
        <w:tc>
          <w:tcPr>
            <w:tcW w:w="421"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805"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r>
      <w:tr>
        <w:trPr/>
        <w:tc>
          <w:tcPr>
            <w:tcW w:w="7457" w:type="dxa"/>
            <w:tcBorders/>
            <w:shd w:fill="auto" w:val="clear"/>
            <w:vAlign w:val="bottom"/>
          </w:tcPr>
          <w:p>
            <w:pPr>
              <w:pStyle w:val="TableContents"/>
              <w:spacing w:before="0" w:after="0"/>
              <w:ind w:left="450" w:right="0" w:hanging="225"/>
              <w:rPr/>
            </w:pPr>
            <w:r>
              <w:rPr/>
              <w:t>As reported</w:t>
            </w:r>
          </w:p>
        </w:tc>
        <w:tc>
          <w:tcPr>
            <w:tcW w:w="421"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jc w:val="left"/>
              <w:rPr/>
            </w:pPr>
            <w:r>
              <w:rPr/>
              <w:t>$</w:t>
            </w:r>
          </w:p>
        </w:tc>
        <w:tc>
          <w:tcPr>
            <w:tcW w:w="1805" w:type="dxa"/>
            <w:tcBorders/>
            <w:shd w:fill="auto" w:val="clear"/>
            <w:vAlign w:val="bottom"/>
          </w:tcPr>
          <w:p>
            <w:pPr>
              <w:pStyle w:val="TableContents"/>
              <w:spacing w:before="0" w:after="283"/>
              <w:jc w:val="right"/>
              <w:rPr/>
            </w:pPr>
            <w:r>
              <w:rPr/>
              <w:t>0.56</w:t>
            </w:r>
          </w:p>
        </w:tc>
        <w:tc>
          <w:tcPr>
            <w:tcW w:w="154" w:type="dxa"/>
            <w:tcBorders/>
            <w:shd w:fill="auto" w:val="clear"/>
            <w:vAlign w:val="bottom"/>
          </w:tcPr>
          <w:p>
            <w:pPr>
              <w:pStyle w:val="TableContents"/>
              <w:spacing w:before="0" w:after="283"/>
              <w:rPr/>
            </w:pPr>
            <w:r>
              <w:rPr/>
              <w:t> </w:t>
            </w:r>
          </w:p>
        </w:tc>
      </w:tr>
      <w:tr>
        <w:trPr/>
        <w:tc>
          <w:tcPr>
            <w:tcW w:w="7457" w:type="dxa"/>
            <w:tcBorders/>
            <w:shd w:fill="auto" w:val="clear"/>
            <w:vAlign w:val="center"/>
          </w:tcPr>
          <w:p>
            <w:pPr>
              <w:pStyle w:val="TableContents"/>
              <w:spacing w:before="0" w:after="0"/>
              <w:ind w:left="225" w:right="0" w:hanging="225"/>
              <w:rPr/>
            </w:pPr>
            <w:r>
              <w:rPr/>
              <w:t> </w:t>
            </w:r>
          </w:p>
        </w:tc>
        <w:tc>
          <w:tcPr>
            <w:tcW w:w="421" w:type="dxa"/>
            <w:tcBorders/>
            <w:shd w:fill="auto" w:val="clear"/>
            <w:vAlign w:val="center"/>
          </w:tcPr>
          <w:p>
            <w:pPr>
              <w:pStyle w:val="TableContents"/>
              <w:spacing w:before="0" w:after="283"/>
              <w:rPr/>
            </w:pPr>
            <w:r>
              <w:rPr/>
              <w:t> </w:t>
            </w:r>
          </w:p>
        </w:tc>
        <w:tc>
          <w:tcPr>
            <w:tcW w:w="21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7457" w:type="dxa"/>
            <w:tcBorders/>
            <w:shd w:fill="CCEEFF" w:val="clear"/>
            <w:vAlign w:val="bottom"/>
          </w:tcPr>
          <w:p>
            <w:pPr>
              <w:pStyle w:val="TableContents"/>
              <w:spacing w:before="0" w:after="0"/>
              <w:ind w:left="450" w:right="0" w:hanging="225"/>
              <w:rPr/>
            </w:pPr>
            <w:r>
              <w:rPr/>
              <w:t>Pro forma</w:t>
            </w:r>
          </w:p>
        </w:tc>
        <w:tc>
          <w:tcPr>
            <w:tcW w:w="421"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jc w:val="left"/>
              <w:rPr/>
            </w:pPr>
            <w:r>
              <w:rPr/>
              <w:t>$</w:t>
            </w:r>
          </w:p>
        </w:tc>
        <w:tc>
          <w:tcPr>
            <w:tcW w:w="1805" w:type="dxa"/>
            <w:tcBorders/>
            <w:shd w:fill="CCEEFF" w:val="clear"/>
            <w:vAlign w:val="bottom"/>
          </w:tcPr>
          <w:p>
            <w:pPr>
              <w:pStyle w:val="TableContents"/>
              <w:spacing w:before="0" w:after="283"/>
              <w:jc w:val="right"/>
              <w:rPr/>
            </w:pPr>
            <w:r>
              <w:rPr/>
              <w:t>0.54</w:t>
            </w:r>
          </w:p>
        </w:tc>
        <w:tc>
          <w:tcPr>
            <w:tcW w:w="154" w:type="dxa"/>
            <w:tcBorders/>
            <w:shd w:fill="CCEEFF" w:val="clear"/>
            <w:vAlign w:val="bottom"/>
          </w:tcPr>
          <w:p>
            <w:pPr>
              <w:pStyle w:val="TableContents"/>
              <w:spacing w:before="0" w:after="283"/>
              <w:rPr/>
            </w:pPr>
            <w:r>
              <w:rPr/>
              <w:t> </w:t>
            </w:r>
          </w:p>
        </w:tc>
      </w:tr>
      <w:tr>
        <w:trPr/>
        <w:tc>
          <w:tcPr>
            <w:tcW w:w="7457" w:type="dxa"/>
            <w:tcBorders/>
            <w:shd w:fill="auto" w:val="clear"/>
            <w:vAlign w:val="center"/>
          </w:tcPr>
          <w:p>
            <w:pPr>
              <w:pStyle w:val="TableContents"/>
              <w:spacing w:before="0" w:after="0"/>
              <w:ind w:left="225" w:right="0" w:hanging="225"/>
              <w:rPr/>
            </w:pPr>
            <w:r>
              <w:rPr/>
              <w:t> </w:t>
            </w:r>
          </w:p>
        </w:tc>
        <w:tc>
          <w:tcPr>
            <w:tcW w:w="421" w:type="dxa"/>
            <w:tcBorders/>
            <w:shd w:fill="auto" w:val="clear"/>
            <w:vAlign w:val="center"/>
          </w:tcPr>
          <w:p>
            <w:pPr>
              <w:pStyle w:val="TableContents"/>
              <w:spacing w:before="0" w:after="283"/>
              <w:rPr/>
            </w:pPr>
            <w:r>
              <w:rPr/>
              <w:t> </w:t>
            </w:r>
          </w:p>
        </w:tc>
        <w:tc>
          <w:tcPr>
            <w:tcW w:w="21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For purposes of applying SFAS No. 123(R) (and SFAS No. 123 where applicable), the fair value of each stock option grant was estimated on the date of grant using the Black-Scholes option pricing model for the three months ended March 31 with the following assumptions: </w:t>
      </w:r>
    </w:p>
    <w:tbl>
      <w:tblPr>
        <w:tblW w:w="5000" w:type="pct"/>
        <w:jc w:val="center"/>
        <w:tblInd w:w="0" w:type="dxa"/>
        <w:tblCellMar>
          <w:top w:w="0" w:type="dxa"/>
          <w:left w:w="0" w:type="dxa"/>
          <w:bottom w:w="0" w:type="dxa"/>
          <w:right w:w="0" w:type="dxa"/>
        </w:tblCellMar>
      </w:tblPr>
      <w:tblGrid>
        <w:gridCol w:w="6654"/>
        <w:gridCol w:w="458"/>
        <w:gridCol w:w="361"/>
        <w:gridCol w:w="447"/>
        <w:gridCol w:w="506"/>
        <w:gridCol w:w="458"/>
        <w:gridCol w:w="361"/>
        <w:gridCol w:w="447"/>
        <w:gridCol w:w="513"/>
      </w:tblGrid>
      <w:tr>
        <w:trPr/>
        <w:tc>
          <w:tcPr>
            <w:tcW w:w="665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513" w:type="dxa"/>
            <w:tcBorders/>
            <w:shd w:fill="auto" w:val="clear"/>
            <w:vAlign w:val="bottom"/>
          </w:tcPr>
          <w:p>
            <w:pPr>
              <w:pStyle w:val="TableContents"/>
              <w:spacing w:before="0" w:after="283"/>
              <w:rPr/>
            </w:pPr>
            <w:r>
              <w:rPr/>
              <w:t> </w:t>
            </w:r>
          </w:p>
        </w:tc>
      </w:tr>
      <w:tr>
        <w:trPr/>
        <w:tc>
          <w:tcPr>
            <w:tcW w:w="665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31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458" w:type="dxa"/>
            <w:tcBorders/>
            <w:shd w:fill="auto" w:val="clear"/>
            <w:vAlign w:val="bottom"/>
          </w:tcPr>
          <w:p>
            <w:pPr>
              <w:pStyle w:val="TableContents"/>
              <w:spacing w:before="0" w:after="283"/>
              <w:rPr/>
            </w:pPr>
            <w:r>
              <w:rPr/>
              <w:t> </w:t>
            </w:r>
          </w:p>
        </w:tc>
        <w:tc>
          <w:tcPr>
            <w:tcW w:w="1321"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r>
      <w:tr>
        <w:trPr/>
        <w:tc>
          <w:tcPr>
            <w:tcW w:w="6654" w:type="dxa"/>
            <w:tcBorders/>
            <w:shd w:fill="CCEEFF" w:val="clear"/>
            <w:vAlign w:val="bottom"/>
          </w:tcPr>
          <w:p>
            <w:pPr>
              <w:pStyle w:val="TableContents"/>
              <w:spacing w:before="0" w:after="0"/>
              <w:ind w:left="225" w:right="0" w:hanging="225"/>
              <w:rPr/>
            </w:pPr>
            <w:r>
              <w:rPr/>
              <w:t>Estimated fair value of stock options granted</w:t>
            </w:r>
          </w:p>
        </w:tc>
        <w:tc>
          <w:tcPr>
            <w:tcW w:w="458"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w:t>
            </w:r>
          </w:p>
        </w:tc>
        <w:tc>
          <w:tcPr>
            <w:tcW w:w="447" w:type="dxa"/>
            <w:tcBorders/>
            <w:shd w:fill="CCEEFF" w:val="clear"/>
            <w:vAlign w:val="bottom"/>
          </w:tcPr>
          <w:p>
            <w:pPr>
              <w:pStyle w:val="TableContents"/>
              <w:spacing w:before="0" w:after="283"/>
              <w:jc w:val="right"/>
              <w:rPr/>
            </w:pPr>
            <w:r>
              <w:rPr/>
              <w:t>9.29</w:t>
            </w:r>
          </w:p>
        </w:tc>
        <w:tc>
          <w:tcPr>
            <w:tcW w:w="506"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w:t>
            </w:r>
          </w:p>
        </w:tc>
        <w:tc>
          <w:tcPr>
            <w:tcW w:w="447" w:type="dxa"/>
            <w:tcBorders/>
            <w:shd w:fill="CCEEFF" w:val="clear"/>
            <w:vAlign w:val="bottom"/>
          </w:tcPr>
          <w:p>
            <w:pPr>
              <w:pStyle w:val="TableContents"/>
              <w:spacing w:before="0" w:after="283"/>
              <w:jc w:val="right"/>
              <w:rPr/>
            </w:pPr>
            <w:r>
              <w:rPr/>
              <w:t>7.57</w:t>
            </w:r>
          </w:p>
        </w:tc>
        <w:tc>
          <w:tcPr>
            <w:tcW w:w="513" w:type="dxa"/>
            <w:tcBorders/>
            <w:shd w:fill="CCEEFF" w:val="clear"/>
            <w:vAlign w:val="bottom"/>
          </w:tcPr>
          <w:p>
            <w:pPr>
              <w:pStyle w:val="TableContents"/>
              <w:spacing w:before="0" w:after="283"/>
              <w:rPr/>
            </w:pPr>
            <w:r>
              <w:rPr/>
              <w:t> </w:t>
            </w:r>
          </w:p>
        </w:tc>
      </w:tr>
      <w:tr>
        <w:trPr/>
        <w:tc>
          <w:tcPr>
            <w:tcW w:w="6654" w:type="dxa"/>
            <w:tcBorders/>
            <w:shd w:fill="auto" w:val="clear"/>
            <w:vAlign w:val="bottom"/>
          </w:tcPr>
          <w:p>
            <w:pPr>
              <w:pStyle w:val="TableContents"/>
              <w:spacing w:before="0" w:after="0"/>
              <w:ind w:left="225" w:right="0" w:hanging="225"/>
              <w:rPr/>
            </w:pPr>
            <w:r>
              <w:rPr/>
              <w:t>Expected dividend yield</w:t>
            </w:r>
          </w:p>
        </w:tc>
        <w:tc>
          <w:tcPr>
            <w:tcW w:w="458"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pPr>
            <w:r>
              <w:rPr/>
              <w:t> </w:t>
            </w:r>
          </w:p>
        </w:tc>
        <w:tc>
          <w:tcPr>
            <w:tcW w:w="447" w:type="dxa"/>
            <w:tcBorders/>
            <w:shd w:fill="auto" w:val="clear"/>
            <w:vAlign w:val="bottom"/>
          </w:tcPr>
          <w:p>
            <w:pPr>
              <w:pStyle w:val="TableContents"/>
              <w:spacing w:before="0" w:after="283"/>
              <w:jc w:val="right"/>
              <w:rPr/>
            </w:pPr>
            <w:r>
              <w:rPr/>
              <w:t>0.5</w:t>
            </w:r>
          </w:p>
        </w:tc>
        <w:tc>
          <w:tcPr>
            <w:tcW w:w="506" w:type="dxa"/>
            <w:tcBorders/>
            <w:shd w:fill="auto" w:val="clear"/>
            <w:vAlign w:val="bottom"/>
          </w:tcPr>
          <w:p>
            <w:pPr>
              <w:pStyle w:val="TableContents"/>
              <w:spacing w:before="0" w:after="283"/>
              <w:rPr/>
            </w:pPr>
            <w:r>
              <w:rPr/>
              <w:t>%</w:t>
            </w:r>
          </w:p>
        </w:tc>
        <w:tc>
          <w:tcPr>
            <w:tcW w:w="458"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pPr>
            <w:r>
              <w:rPr/>
              <w:t> </w:t>
            </w:r>
          </w:p>
        </w:tc>
        <w:tc>
          <w:tcPr>
            <w:tcW w:w="447" w:type="dxa"/>
            <w:tcBorders/>
            <w:shd w:fill="auto" w:val="clear"/>
            <w:vAlign w:val="bottom"/>
          </w:tcPr>
          <w:p>
            <w:pPr>
              <w:pStyle w:val="TableContents"/>
              <w:spacing w:before="0" w:after="283"/>
              <w:jc w:val="right"/>
              <w:rPr/>
            </w:pPr>
            <w:r>
              <w:rPr/>
              <w:t>0.6</w:t>
            </w:r>
          </w:p>
        </w:tc>
        <w:tc>
          <w:tcPr>
            <w:tcW w:w="513" w:type="dxa"/>
            <w:tcBorders/>
            <w:shd w:fill="auto" w:val="clear"/>
            <w:vAlign w:val="bottom"/>
          </w:tcPr>
          <w:p>
            <w:pPr>
              <w:pStyle w:val="TableContents"/>
              <w:spacing w:before="0" w:after="283"/>
              <w:rPr/>
            </w:pPr>
            <w:r>
              <w:rPr/>
              <w:t>%</w:t>
            </w:r>
          </w:p>
        </w:tc>
      </w:tr>
      <w:tr>
        <w:trPr/>
        <w:tc>
          <w:tcPr>
            <w:tcW w:w="6654" w:type="dxa"/>
            <w:tcBorders/>
            <w:shd w:fill="CCEEFF" w:val="clear"/>
            <w:vAlign w:val="bottom"/>
          </w:tcPr>
          <w:p>
            <w:pPr>
              <w:pStyle w:val="TableContents"/>
              <w:spacing w:before="0" w:after="0"/>
              <w:ind w:left="225" w:right="0" w:hanging="225"/>
              <w:rPr/>
            </w:pPr>
            <w:r>
              <w:rPr/>
              <w:t>Expected volatility</w:t>
            </w:r>
          </w:p>
        </w:tc>
        <w:tc>
          <w:tcPr>
            <w:tcW w:w="458"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 </w:t>
            </w:r>
          </w:p>
        </w:tc>
        <w:tc>
          <w:tcPr>
            <w:tcW w:w="447" w:type="dxa"/>
            <w:tcBorders/>
            <w:shd w:fill="CCEEFF" w:val="clear"/>
            <w:vAlign w:val="bottom"/>
          </w:tcPr>
          <w:p>
            <w:pPr>
              <w:pStyle w:val="TableContents"/>
              <w:spacing w:before="0" w:after="283"/>
              <w:jc w:val="right"/>
              <w:rPr/>
            </w:pPr>
            <w:r>
              <w:rPr/>
              <w:t>24.3</w:t>
            </w:r>
          </w:p>
        </w:tc>
        <w:tc>
          <w:tcPr>
            <w:tcW w:w="506"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 </w:t>
            </w:r>
          </w:p>
        </w:tc>
        <w:tc>
          <w:tcPr>
            <w:tcW w:w="447" w:type="dxa"/>
            <w:tcBorders/>
            <w:shd w:fill="CCEEFF" w:val="clear"/>
            <w:vAlign w:val="bottom"/>
          </w:tcPr>
          <w:p>
            <w:pPr>
              <w:pStyle w:val="TableContents"/>
              <w:spacing w:before="0" w:after="283"/>
              <w:jc w:val="right"/>
              <w:rPr/>
            </w:pPr>
            <w:r>
              <w:rPr/>
              <w:t>26.3</w:t>
            </w:r>
          </w:p>
        </w:tc>
        <w:tc>
          <w:tcPr>
            <w:tcW w:w="513" w:type="dxa"/>
            <w:tcBorders/>
            <w:shd w:fill="CCEEFF" w:val="clear"/>
            <w:vAlign w:val="bottom"/>
          </w:tcPr>
          <w:p>
            <w:pPr>
              <w:pStyle w:val="TableContents"/>
              <w:spacing w:before="0" w:after="283"/>
              <w:rPr/>
            </w:pPr>
            <w:r>
              <w:rPr/>
              <w:t>%</w:t>
            </w:r>
          </w:p>
        </w:tc>
      </w:tr>
      <w:tr>
        <w:trPr/>
        <w:tc>
          <w:tcPr>
            <w:tcW w:w="6654" w:type="dxa"/>
            <w:tcBorders/>
            <w:shd w:fill="auto" w:val="clear"/>
            <w:vAlign w:val="bottom"/>
          </w:tcPr>
          <w:p>
            <w:pPr>
              <w:pStyle w:val="TableContents"/>
              <w:spacing w:before="0" w:after="0"/>
              <w:ind w:left="225" w:right="0" w:hanging="225"/>
              <w:rPr/>
            </w:pPr>
            <w:r>
              <w:rPr/>
              <w:t>Risk-free interest rate</w:t>
            </w:r>
          </w:p>
        </w:tc>
        <w:tc>
          <w:tcPr>
            <w:tcW w:w="458"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pPr>
            <w:r>
              <w:rPr/>
              <w:t> </w:t>
            </w:r>
          </w:p>
        </w:tc>
        <w:tc>
          <w:tcPr>
            <w:tcW w:w="447" w:type="dxa"/>
            <w:tcBorders/>
            <w:shd w:fill="auto" w:val="clear"/>
            <w:vAlign w:val="bottom"/>
          </w:tcPr>
          <w:p>
            <w:pPr>
              <w:pStyle w:val="TableContents"/>
              <w:spacing w:before="0" w:after="283"/>
              <w:jc w:val="right"/>
              <w:rPr/>
            </w:pPr>
            <w:r>
              <w:rPr/>
              <w:t>4.57</w:t>
            </w:r>
          </w:p>
        </w:tc>
        <w:tc>
          <w:tcPr>
            <w:tcW w:w="506" w:type="dxa"/>
            <w:tcBorders/>
            <w:shd w:fill="auto" w:val="clear"/>
            <w:vAlign w:val="bottom"/>
          </w:tcPr>
          <w:p>
            <w:pPr>
              <w:pStyle w:val="TableContents"/>
              <w:spacing w:before="0" w:after="283"/>
              <w:rPr/>
            </w:pPr>
            <w:r>
              <w:rPr/>
              <w:t>%</w:t>
            </w:r>
          </w:p>
        </w:tc>
        <w:tc>
          <w:tcPr>
            <w:tcW w:w="458"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pPr>
            <w:r>
              <w:rPr/>
              <w:t> </w:t>
            </w:r>
          </w:p>
        </w:tc>
        <w:tc>
          <w:tcPr>
            <w:tcW w:w="447" w:type="dxa"/>
            <w:tcBorders/>
            <w:shd w:fill="auto" w:val="clear"/>
            <w:vAlign w:val="bottom"/>
          </w:tcPr>
          <w:p>
            <w:pPr>
              <w:pStyle w:val="TableContents"/>
              <w:spacing w:before="0" w:after="283"/>
              <w:jc w:val="right"/>
              <w:rPr/>
            </w:pPr>
            <w:r>
              <w:rPr/>
              <w:t>3.89</w:t>
            </w:r>
          </w:p>
        </w:tc>
        <w:tc>
          <w:tcPr>
            <w:tcW w:w="513" w:type="dxa"/>
            <w:tcBorders/>
            <w:shd w:fill="auto" w:val="clear"/>
            <w:vAlign w:val="bottom"/>
          </w:tcPr>
          <w:p>
            <w:pPr>
              <w:pStyle w:val="TableContents"/>
              <w:spacing w:before="0" w:after="283"/>
              <w:rPr/>
            </w:pPr>
            <w:r>
              <w:rPr/>
              <w:t>%</w:t>
            </w:r>
          </w:p>
        </w:tc>
      </w:tr>
      <w:tr>
        <w:trPr/>
        <w:tc>
          <w:tcPr>
            <w:tcW w:w="6654" w:type="dxa"/>
            <w:tcBorders/>
            <w:shd w:fill="CCEEFF" w:val="clear"/>
            <w:vAlign w:val="bottom"/>
          </w:tcPr>
          <w:p>
            <w:pPr>
              <w:pStyle w:val="TableContents"/>
              <w:spacing w:before="0" w:after="0"/>
              <w:ind w:left="225" w:right="0" w:hanging="225"/>
              <w:rPr/>
            </w:pPr>
            <w:r>
              <w:rPr/>
              <w:t>Expected life</w:t>
            </w:r>
          </w:p>
        </w:tc>
        <w:tc>
          <w:tcPr>
            <w:tcW w:w="458" w:type="dxa"/>
            <w:tcBorders/>
            <w:shd w:fill="CCEEFF" w:val="clear"/>
            <w:vAlign w:val="bottom"/>
          </w:tcPr>
          <w:p>
            <w:pPr>
              <w:pStyle w:val="TableContents"/>
              <w:spacing w:before="0" w:after="283"/>
              <w:rPr/>
            </w:pPr>
            <w:r>
              <w:rPr/>
              <w:t> </w:t>
            </w:r>
          </w:p>
        </w:tc>
        <w:tc>
          <w:tcPr>
            <w:tcW w:w="1314" w:type="dxa"/>
            <w:gridSpan w:val="3"/>
            <w:tcBorders/>
            <w:shd w:fill="CCEEFF" w:val="clear"/>
            <w:vAlign w:val="bottom"/>
          </w:tcPr>
          <w:p>
            <w:pPr>
              <w:pStyle w:val="TableContents"/>
              <w:spacing w:before="0" w:after="283"/>
              <w:jc w:val="center"/>
              <w:rPr/>
            </w:pPr>
            <w:r>
              <w:rPr/>
              <w:t>5 years</w:t>
            </w:r>
          </w:p>
        </w:tc>
        <w:tc>
          <w:tcPr>
            <w:tcW w:w="458" w:type="dxa"/>
            <w:tcBorders/>
            <w:shd w:fill="CCEEFF" w:val="clear"/>
            <w:vAlign w:val="bottom"/>
          </w:tcPr>
          <w:p>
            <w:pPr>
              <w:pStyle w:val="TableContents"/>
              <w:spacing w:before="0" w:after="283"/>
              <w:rPr/>
            </w:pPr>
            <w:r>
              <w:rPr/>
              <w:t> </w:t>
            </w:r>
          </w:p>
        </w:tc>
        <w:tc>
          <w:tcPr>
            <w:tcW w:w="1321" w:type="dxa"/>
            <w:gridSpan w:val="3"/>
            <w:tcBorders/>
            <w:shd w:fill="CCEEFF" w:val="clear"/>
            <w:vAlign w:val="bottom"/>
          </w:tcPr>
          <w:p>
            <w:pPr>
              <w:pStyle w:val="TableContents"/>
              <w:spacing w:before="0" w:after="283"/>
              <w:jc w:val="center"/>
              <w:rPr/>
            </w:pPr>
            <w:r>
              <w:rPr/>
              <w:t>5 years</w:t>
            </w:r>
          </w:p>
        </w:tc>
      </w:tr>
    </w:tbl>
    <w:p>
      <w:pPr>
        <w:pStyle w:val="TextBody"/>
        <w:spacing w:before="120" w:after="283"/>
        <w:jc w:val="left"/>
        <w:rPr/>
      </w:pPr>
      <w:r>
        <w:rPr/>
        <w:t>     </w:t>
      </w:r>
      <w:r>
        <w:rPr>
          <w:rFonts w:ascii="Times New Roman;Times;serif" w:hAnsi="Times New Roman;Times;serif"/>
          <w:sz w:val="17"/>
        </w:rPr>
        <w:t xml:space="preserve">The expected dividend yield was based on Viads expectation of future dividend payouts. The volatility assumption was based on Viads daily historical stock price volatility during the time period that corresponds to the expected weighted-average life of the option. The expected life (estimated period of time outstanding) of stock options granted was estimated based on historical exercise activity. The risk-free interest rate assumption was based on the interest rate of a U.S. Treasury strip for a five-year term from the date the option was granted. The forfeiture rate is based on the Companys historical average forfeiture rate. </w:t>
      </w:r>
    </w:p>
    <w:p>
      <w:pPr>
        <w:pStyle w:val="TextBody"/>
        <w:spacing w:before="120" w:after="283"/>
        <w:jc w:val="left"/>
        <w:rPr/>
      </w:pPr>
      <w:r>
        <w:rPr/>
        <w:t>     </w:t>
      </w:r>
      <w:r>
        <w:rPr>
          <w:rFonts w:ascii="Times New Roman;Times;serif" w:hAnsi="Times New Roman;Times;serif"/>
          <w:sz w:val="17"/>
        </w:rPr>
        <w:t xml:space="preserve">Stock options granted during the three months ended March 31, 2006 and 2005 were for contractual terms of seven years at exercise prices based on the fair market value of Viads common stock on the grant date. Stock options become exercisable, based on a graded vesting schedule, in annual increments of 20 percent beginning one year after grant date and become fully exercisable after five years from the date of grant. Stock options granted since 1998 contain certain forfeiture and non-compete provisions. Share-based compensation expense related to stock option awards is recognized on the straight-line method over the requisite service period, which is approximately five years. As of March 31, 2006, the total unrecognized costs related to non-vested stock option awards granted was $3.0 million. Viad expects to recognize such costs in the financial statements over a weighted-average period of 2.2 years. </w:t>
      </w:r>
    </w:p>
    <w:p>
      <w:pPr>
        <w:pStyle w:val="TextBody"/>
        <w:jc w:val="center"/>
        <w:rPr>
          <w:rFonts w:ascii="Times New Roman;Times;serif" w:hAnsi="Times New Roman;Times;serif"/>
          <w:sz w:val="17"/>
        </w:rPr>
      </w:pPr>
      <w:r>
        <w:rPr>
          <w:rFonts w:ascii="Times New Roman;Times;serif" w:hAnsi="Times New Roman;Times;serif"/>
          <w:sz w:val="17"/>
        </w:rPr>
        <w:t xml:space="preserve">Page 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Viads stock options generally contain contingent cash settlement features upon a change of control of the Company as defined in the Omnibus Plan. Management believes this cash settlement event is not considered probable, and therefore, the outstanding stock options are accounted for as equity awards and not considered liability awards under SFAS No. 123(R) and related guidance. Although not considered probable, the cash settlement contingency is deemed to be outside the control of Viad. Accordingly, Viads stock options are subject to the provisions of SEC Accounting Series Release No. 268, Presentation in Financial Statements of Redeemable Preferred Stocks and Emerging Issues Task Force Issue No. D-98, Classification and Measurement of Redeemable Securities. This guidance generally specifies that when the redemption of instruments (within its scope) is outside the control of the issuer, certain amounts should be classified outside of permanent equity on the balance sheet. As of March 31, 2006, Viad has not recorded any amounts related to stock options outside of permanent equity as there was no intrinsic value (in-the-money redemption amount) related to Viads stock options on the date of grant. As noted above, the exercise price of Viads stock option grants is based on the fair market value of the underlying common stock on the date of grant. </w:t>
      </w:r>
    </w:p>
    <w:p>
      <w:pPr>
        <w:pStyle w:val="TextBody"/>
        <w:spacing w:before="120" w:after="283"/>
        <w:jc w:val="left"/>
        <w:rPr/>
      </w:pPr>
      <w:r>
        <w:rPr/>
        <w:t>     </w:t>
      </w:r>
      <w:r>
        <w:rPr>
          <w:rFonts w:ascii="Times New Roman;Times;serif" w:hAnsi="Times New Roman;Times;serif"/>
          <w:sz w:val="17"/>
        </w:rPr>
        <w:t xml:space="preserve">The following table summarizes stock option activity during the three months ended March 31, 2006: </w:t>
      </w:r>
    </w:p>
    <w:tbl>
      <w:tblPr>
        <w:tblW w:w="5000" w:type="pct"/>
        <w:jc w:val="center"/>
        <w:tblInd w:w="0" w:type="dxa"/>
        <w:tblCellMar>
          <w:top w:w="0" w:type="dxa"/>
          <w:left w:w="0" w:type="dxa"/>
          <w:bottom w:w="0" w:type="dxa"/>
          <w:right w:w="0" w:type="dxa"/>
        </w:tblCellMar>
      </w:tblPr>
      <w:tblGrid>
        <w:gridCol w:w="4730"/>
        <w:gridCol w:w="362"/>
        <w:gridCol w:w="109"/>
        <w:gridCol w:w="1084"/>
        <w:gridCol w:w="137"/>
        <w:gridCol w:w="362"/>
        <w:gridCol w:w="292"/>
        <w:gridCol w:w="1231"/>
        <w:gridCol w:w="109"/>
        <w:gridCol w:w="361"/>
        <w:gridCol w:w="128"/>
        <w:gridCol w:w="1183"/>
        <w:gridCol w:w="117"/>
      </w:tblGrid>
      <w:tr>
        <w:trPr/>
        <w:tc>
          <w:tcPr>
            <w:tcW w:w="4730"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084"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23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r>
      <w:tr>
        <w:trPr/>
        <w:tc>
          <w:tcPr>
            <w:tcW w:w="4730"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084"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523" w:type="dxa"/>
            <w:gridSpan w:val="2"/>
            <w:tcBorders/>
            <w:shd w:fill="auto" w:val="clear"/>
            <w:vAlign w:val="bottom"/>
          </w:tcPr>
          <w:p>
            <w:pPr>
              <w:pStyle w:val="TableContents"/>
              <w:spacing w:before="0" w:after="283"/>
              <w:jc w:val="center"/>
              <w:rPr>
                <w:b/>
              </w:rPr>
            </w:pPr>
            <w:r>
              <w:rPr>
                <w:b/>
              </w:rPr>
              <w:t>Weighted-</w:t>
            </w:r>
          </w:p>
        </w:tc>
        <w:tc>
          <w:tcPr>
            <w:tcW w:w="10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311" w:type="dxa"/>
            <w:gridSpan w:val="2"/>
            <w:tcBorders/>
            <w:shd w:fill="auto" w:val="clear"/>
            <w:vAlign w:val="bottom"/>
          </w:tcPr>
          <w:p>
            <w:pPr>
              <w:pStyle w:val="TableContents"/>
              <w:spacing w:before="0" w:after="283"/>
              <w:jc w:val="center"/>
              <w:rPr/>
            </w:pPr>
            <w:r>
              <w:rPr/>
              <w:t> </w:t>
            </w:r>
          </w:p>
        </w:tc>
        <w:tc>
          <w:tcPr>
            <w:tcW w:w="117" w:type="dxa"/>
            <w:tcBorders/>
            <w:shd w:fill="auto" w:val="clear"/>
            <w:vAlign w:val="bottom"/>
          </w:tcPr>
          <w:p>
            <w:pPr>
              <w:pStyle w:val="TableContents"/>
              <w:spacing w:before="0" w:after="283"/>
              <w:rPr/>
            </w:pPr>
            <w:r>
              <w:rPr/>
              <w:t> </w:t>
            </w:r>
          </w:p>
        </w:tc>
      </w:tr>
      <w:tr>
        <w:trPr/>
        <w:tc>
          <w:tcPr>
            <w:tcW w:w="4730"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084"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523" w:type="dxa"/>
            <w:gridSpan w:val="2"/>
            <w:tcBorders/>
            <w:shd w:fill="auto" w:val="clear"/>
            <w:vAlign w:val="bottom"/>
          </w:tcPr>
          <w:p>
            <w:pPr>
              <w:pStyle w:val="TableContents"/>
              <w:spacing w:before="0" w:after="283"/>
              <w:jc w:val="center"/>
              <w:rPr>
                <w:b/>
              </w:rPr>
            </w:pPr>
            <w:r>
              <w:rPr>
                <w:b/>
              </w:rPr>
              <w:t>Average</w:t>
            </w:r>
          </w:p>
        </w:tc>
        <w:tc>
          <w:tcPr>
            <w:tcW w:w="10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311" w:type="dxa"/>
            <w:gridSpan w:val="2"/>
            <w:tcBorders/>
            <w:shd w:fill="auto" w:val="clear"/>
            <w:vAlign w:val="bottom"/>
          </w:tcPr>
          <w:p>
            <w:pPr>
              <w:pStyle w:val="TableContents"/>
              <w:spacing w:before="0" w:after="283"/>
              <w:jc w:val="center"/>
              <w:rPr>
                <w:b/>
              </w:rPr>
            </w:pPr>
            <w:r>
              <w:rPr>
                <w:b/>
              </w:rPr>
              <w:t>Options</w:t>
            </w:r>
          </w:p>
        </w:tc>
        <w:tc>
          <w:tcPr>
            <w:tcW w:w="117" w:type="dxa"/>
            <w:tcBorders/>
            <w:shd w:fill="auto" w:val="clear"/>
            <w:vAlign w:val="bottom"/>
          </w:tcPr>
          <w:p>
            <w:pPr>
              <w:pStyle w:val="TableContents"/>
              <w:spacing w:before="0" w:after="283"/>
              <w:rPr/>
            </w:pPr>
            <w:r>
              <w:rPr/>
              <w:t> </w:t>
            </w:r>
          </w:p>
        </w:tc>
      </w:tr>
      <w:tr>
        <w:trPr/>
        <w:tc>
          <w:tcPr>
            <w:tcW w:w="4730"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19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13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52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Exercise Price</w:t>
            </w:r>
          </w:p>
        </w:tc>
        <w:tc>
          <w:tcPr>
            <w:tcW w:w="10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31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Exercisable</w:t>
            </w:r>
          </w:p>
        </w:tc>
        <w:tc>
          <w:tcPr>
            <w:tcW w:w="117" w:type="dxa"/>
            <w:tcBorders/>
            <w:shd w:fill="auto" w:val="clear"/>
            <w:vAlign w:val="bottom"/>
          </w:tcPr>
          <w:p>
            <w:pPr>
              <w:pStyle w:val="TableContents"/>
              <w:spacing w:before="0" w:after="283"/>
              <w:rPr/>
            </w:pPr>
            <w:r>
              <w:rPr/>
              <w:t> </w:t>
            </w:r>
          </w:p>
        </w:tc>
      </w:tr>
      <w:tr>
        <w:trPr/>
        <w:tc>
          <w:tcPr>
            <w:tcW w:w="4730" w:type="dxa"/>
            <w:tcBorders/>
            <w:shd w:fill="CCEEFF" w:val="clear"/>
            <w:vAlign w:val="bottom"/>
          </w:tcPr>
          <w:p>
            <w:pPr>
              <w:pStyle w:val="TableContents"/>
              <w:spacing w:before="0" w:after="0"/>
              <w:ind w:left="225" w:right="0" w:hanging="225"/>
              <w:rPr/>
            </w:pPr>
            <w:r>
              <w:rPr/>
              <w:t>Options outstanding at January 1, 2006</w:t>
            </w:r>
          </w:p>
        </w:tc>
        <w:tc>
          <w:tcPr>
            <w:tcW w:w="36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1084" w:type="dxa"/>
            <w:tcBorders/>
            <w:shd w:fill="CCEEFF" w:val="clear"/>
            <w:vAlign w:val="bottom"/>
          </w:tcPr>
          <w:p>
            <w:pPr>
              <w:pStyle w:val="TableContents"/>
              <w:spacing w:before="0" w:after="283"/>
              <w:jc w:val="right"/>
              <w:rPr/>
            </w:pPr>
            <w:r>
              <w:rPr/>
              <w:t>1,109,770</w:t>
            </w:r>
          </w:p>
        </w:tc>
        <w:tc>
          <w:tcPr>
            <w:tcW w:w="13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jc w:val="left"/>
              <w:rPr/>
            </w:pPr>
            <w:r>
              <w:rPr/>
              <w:t>$</w:t>
            </w:r>
          </w:p>
        </w:tc>
        <w:tc>
          <w:tcPr>
            <w:tcW w:w="1231" w:type="dxa"/>
            <w:tcBorders/>
            <w:shd w:fill="CCEEFF" w:val="clear"/>
            <w:vAlign w:val="bottom"/>
          </w:tcPr>
          <w:p>
            <w:pPr>
              <w:pStyle w:val="TableContents"/>
              <w:spacing w:before="0" w:after="283"/>
              <w:jc w:val="right"/>
              <w:rPr/>
            </w:pPr>
            <w:r>
              <w:rPr/>
              <w:t>23.55</w:t>
            </w:r>
          </w:p>
        </w:tc>
        <w:tc>
          <w:tcPr>
            <w:tcW w:w="109"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pPr>
            <w:r>
              <w:rPr/>
              <w:t>745,732</w:t>
            </w:r>
          </w:p>
        </w:tc>
        <w:tc>
          <w:tcPr>
            <w:tcW w:w="117" w:type="dxa"/>
            <w:tcBorders/>
            <w:shd w:fill="CCEEFF" w:val="clear"/>
            <w:vAlign w:val="bottom"/>
          </w:tcPr>
          <w:p>
            <w:pPr>
              <w:pStyle w:val="TableContents"/>
              <w:spacing w:before="0" w:after="283"/>
              <w:rPr/>
            </w:pPr>
            <w:r>
              <w:rPr/>
              <w:t> </w:t>
            </w:r>
          </w:p>
        </w:tc>
      </w:tr>
      <w:tr>
        <w:trPr/>
        <w:tc>
          <w:tcPr>
            <w:tcW w:w="4730" w:type="dxa"/>
            <w:tcBorders/>
            <w:shd w:fill="auto" w:val="clear"/>
            <w:vAlign w:val="bottom"/>
          </w:tcPr>
          <w:p>
            <w:pPr>
              <w:pStyle w:val="TableContents"/>
              <w:spacing w:before="0" w:after="0"/>
              <w:ind w:left="450" w:right="0" w:hanging="225"/>
              <w:rPr/>
            </w:pPr>
            <w:r>
              <w:rPr/>
              <w:t>Granted</w:t>
            </w:r>
          </w:p>
        </w:tc>
        <w:tc>
          <w:tcPr>
            <w:tcW w:w="36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084" w:type="dxa"/>
            <w:tcBorders/>
            <w:shd w:fill="auto" w:val="clear"/>
            <w:vAlign w:val="bottom"/>
          </w:tcPr>
          <w:p>
            <w:pPr>
              <w:pStyle w:val="TableContents"/>
              <w:spacing w:before="0" w:after="283"/>
              <w:jc w:val="right"/>
              <w:rPr/>
            </w:pPr>
            <w:r>
              <w:rPr/>
              <w:t>21,700</w:t>
            </w:r>
          </w:p>
        </w:tc>
        <w:tc>
          <w:tcPr>
            <w:tcW w:w="13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231" w:type="dxa"/>
            <w:tcBorders/>
            <w:shd w:fill="auto" w:val="clear"/>
            <w:vAlign w:val="bottom"/>
          </w:tcPr>
          <w:p>
            <w:pPr>
              <w:pStyle w:val="TableContents"/>
              <w:spacing w:before="0" w:after="283"/>
              <w:jc w:val="right"/>
              <w:rPr/>
            </w:pPr>
            <w:r>
              <w:rPr/>
              <w:t>31.92</w:t>
            </w:r>
          </w:p>
        </w:tc>
        <w:tc>
          <w:tcPr>
            <w:tcW w:w="10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r>
      <w:tr>
        <w:trPr/>
        <w:tc>
          <w:tcPr>
            <w:tcW w:w="4730" w:type="dxa"/>
            <w:tcBorders/>
            <w:shd w:fill="CCEEFF" w:val="clear"/>
            <w:vAlign w:val="bottom"/>
          </w:tcPr>
          <w:p>
            <w:pPr>
              <w:pStyle w:val="TableContents"/>
              <w:spacing w:before="0" w:after="0"/>
              <w:ind w:left="450" w:right="0" w:hanging="225"/>
              <w:rPr/>
            </w:pPr>
            <w:r>
              <w:rPr/>
              <w:t>Exercised</w:t>
            </w:r>
          </w:p>
        </w:tc>
        <w:tc>
          <w:tcPr>
            <w:tcW w:w="36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jc w:val="left"/>
              <w:rPr/>
            </w:pPr>
            <w:r>
              <w:rPr/>
              <w:t> </w:t>
            </w:r>
          </w:p>
        </w:tc>
        <w:tc>
          <w:tcPr>
            <w:tcW w:w="1084" w:type="dxa"/>
            <w:tcBorders/>
            <w:shd w:fill="CCEEFF" w:val="clear"/>
            <w:vAlign w:val="bottom"/>
          </w:tcPr>
          <w:p>
            <w:pPr>
              <w:pStyle w:val="TableContents"/>
              <w:spacing w:before="0" w:after="283"/>
              <w:jc w:val="right"/>
              <w:rPr/>
            </w:pPr>
            <w:r>
              <w:rPr/>
              <w:t>(35,736</w:t>
            </w:r>
          </w:p>
        </w:tc>
        <w:tc>
          <w:tcPr>
            <w:tcW w:w="137" w:type="dxa"/>
            <w:tcBorders/>
            <w:shd w:fill="CCEEFF" w:val="clear"/>
            <w:vAlign w:val="bottom"/>
          </w:tcPr>
          <w:p>
            <w:pPr>
              <w:pStyle w:val="TableContents"/>
              <w:spacing w:before="0" w:after="283"/>
              <w:rPr/>
            </w:pPr>
            <w:r>
              <w:rPr/>
              <w:t>)</w:t>
            </w:r>
          </w:p>
        </w:tc>
        <w:tc>
          <w:tcPr>
            <w:tcW w:w="362"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1231" w:type="dxa"/>
            <w:tcBorders/>
            <w:shd w:fill="CCEEFF" w:val="clear"/>
            <w:vAlign w:val="bottom"/>
          </w:tcPr>
          <w:p>
            <w:pPr>
              <w:pStyle w:val="TableContents"/>
              <w:spacing w:before="0" w:after="283"/>
              <w:jc w:val="right"/>
              <w:rPr/>
            </w:pPr>
            <w:r>
              <w:rPr/>
              <w:t>24.66</w:t>
            </w:r>
          </w:p>
        </w:tc>
        <w:tc>
          <w:tcPr>
            <w:tcW w:w="109"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r>
      <w:tr>
        <w:trPr/>
        <w:tc>
          <w:tcPr>
            <w:tcW w:w="4730" w:type="dxa"/>
            <w:tcBorders/>
            <w:shd w:fill="auto" w:val="clear"/>
            <w:vAlign w:val="bottom"/>
          </w:tcPr>
          <w:p>
            <w:pPr>
              <w:pStyle w:val="TableContents"/>
              <w:spacing w:before="0" w:after="0"/>
              <w:ind w:left="450" w:right="0" w:hanging="225"/>
              <w:rPr/>
            </w:pPr>
            <w:r>
              <w:rPr/>
              <w:t>Forfeited</w:t>
            </w:r>
          </w:p>
        </w:tc>
        <w:tc>
          <w:tcPr>
            <w:tcW w:w="36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jc w:val="left"/>
              <w:rPr/>
            </w:pPr>
            <w:r>
              <w:rPr/>
              <w:t> </w:t>
            </w:r>
          </w:p>
        </w:tc>
        <w:tc>
          <w:tcPr>
            <w:tcW w:w="1084" w:type="dxa"/>
            <w:tcBorders/>
            <w:shd w:fill="auto" w:val="clear"/>
            <w:vAlign w:val="bottom"/>
          </w:tcPr>
          <w:p>
            <w:pPr>
              <w:pStyle w:val="TableContents"/>
              <w:spacing w:before="0" w:after="283"/>
              <w:jc w:val="right"/>
              <w:rPr/>
            </w:pPr>
            <w:r>
              <w:rPr/>
              <w:t>(11,172</w:t>
            </w:r>
          </w:p>
        </w:tc>
        <w:tc>
          <w:tcPr>
            <w:tcW w:w="137" w:type="dxa"/>
            <w:tcBorders/>
            <w:shd w:fill="auto" w:val="clear"/>
            <w:vAlign w:val="bottom"/>
          </w:tcPr>
          <w:p>
            <w:pPr>
              <w:pStyle w:val="TableContents"/>
              <w:spacing w:before="0" w:after="283"/>
              <w:rPr/>
            </w:pPr>
            <w:r>
              <w:rPr/>
              <w:t>)</w:t>
            </w:r>
          </w:p>
        </w:tc>
        <w:tc>
          <w:tcPr>
            <w:tcW w:w="362"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231" w:type="dxa"/>
            <w:tcBorders/>
            <w:shd w:fill="auto" w:val="clear"/>
            <w:vAlign w:val="bottom"/>
          </w:tcPr>
          <w:p>
            <w:pPr>
              <w:pStyle w:val="TableContents"/>
              <w:spacing w:before="0" w:after="283"/>
              <w:jc w:val="right"/>
              <w:rPr/>
            </w:pPr>
            <w:r>
              <w:rPr/>
              <w:t>24.82</w:t>
            </w:r>
          </w:p>
        </w:tc>
        <w:tc>
          <w:tcPr>
            <w:tcW w:w="10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r>
      <w:tr>
        <w:trPr/>
        <w:tc>
          <w:tcPr>
            <w:tcW w:w="4730" w:type="dxa"/>
            <w:tcBorders/>
            <w:shd w:fill="auto" w:val="clear"/>
            <w:vAlign w:val="center"/>
          </w:tcPr>
          <w:p>
            <w:pPr>
              <w:pStyle w:val="TableContents"/>
              <w:spacing w:before="0" w:after="0"/>
              <w:ind w:left="225" w:right="0" w:hanging="225"/>
              <w:rPr/>
            </w:pPr>
            <w:r>
              <w:rPr/>
              <w:t> </w:t>
            </w:r>
          </w:p>
        </w:tc>
        <w:tc>
          <w:tcPr>
            <w:tcW w:w="362" w:type="dxa"/>
            <w:tcBorders/>
            <w:shd w:fill="auto" w:val="clear"/>
            <w:vAlign w:val="center"/>
          </w:tcPr>
          <w:p>
            <w:pPr>
              <w:pStyle w:val="TableContents"/>
              <w:spacing w:before="0" w:after="283"/>
              <w:rPr/>
            </w:pPr>
            <w:r>
              <w:rPr/>
              <w:t> </w:t>
            </w:r>
          </w:p>
        </w:tc>
        <w:tc>
          <w:tcPr>
            <w:tcW w:w="11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c>
          <w:tcPr>
            <w:tcW w:w="1231" w:type="dxa"/>
            <w:tcBorders/>
            <w:shd w:fill="auto" w:val="clear"/>
            <w:vAlign w:val="center"/>
          </w:tcPr>
          <w:p>
            <w:pPr>
              <w:pStyle w:val="TableContents"/>
              <w:spacing w:before="0" w:after="283"/>
              <w:rPr/>
            </w:pPr>
            <w:r>
              <w:rPr/>
              <w:t> </w:t>
            </w:r>
          </w:p>
        </w:tc>
        <w:tc>
          <w:tcPr>
            <w:tcW w:w="109"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128" w:type="dxa"/>
            <w:tcBorders/>
            <w:shd w:fill="auto" w:val="clear"/>
            <w:vAlign w:val="center"/>
          </w:tcPr>
          <w:p>
            <w:pPr>
              <w:pStyle w:val="TableContents"/>
              <w:spacing w:before="0" w:after="283"/>
              <w:rPr/>
            </w:pPr>
            <w:r>
              <w:rPr/>
              <w:t> </w:t>
            </w:r>
          </w:p>
        </w:tc>
        <w:tc>
          <w:tcPr>
            <w:tcW w:w="1183" w:type="dxa"/>
            <w:tcBorders/>
            <w:shd w:fill="auto" w:val="clear"/>
            <w:vAlign w:val="center"/>
          </w:tcPr>
          <w:p>
            <w:pPr>
              <w:pStyle w:val="TableContents"/>
              <w:spacing w:before="0" w:after="283"/>
              <w:rPr/>
            </w:pPr>
            <w:r>
              <w:rPr/>
              <w:t> </w:t>
            </w:r>
          </w:p>
        </w:tc>
        <w:tc>
          <w:tcPr>
            <w:tcW w:w="117" w:type="dxa"/>
            <w:tcBorders/>
            <w:shd w:fill="auto" w:val="clear"/>
            <w:vAlign w:val="center"/>
          </w:tcPr>
          <w:p>
            <w:pPr>
              <w:pStyle w:val="TableContents"/>
              <w:spacing w:before="0" w:after="283"/>
              <w:rPr/>
            </w:pPr>
            <w:r>
              <w:rPr/>
              <w:t> </w:t>
            </w:r>
          </w:p>
        </w:tc>
      </w:tr>
      <w:tr>
        <w:trPr/>
        <w:tc>
          <w:tcPr>
            <w:tcW w:w="4730" w:type="dxa"/>
            <w:tcBorders/>
            <w:shd w:fill="CCEEFF" w:val="clear"/>
            <w:vAlign w:val="bottom"/>
          </w:tcPr>
          <w:p>
            <w:pPr>
              <w:pStyle w:val="TableContents"/>
              <w:spacing w:before="0" w:after="0"/>
              <w:ind w:left="225" w:right="0" w:hanging="225"/>
              <w:rPr/>
            </w:pPr>
            <w:r>
              <w:rPr/>
              <w:t>Options outstanding at March 31, 2006</w:t>
            </w:r>
          </w:p>
        </w:tc>
        <w:tc>
          <w:tcPr>
            <w:tcW w:w="36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1084" w:type="dxa"/>
            <w:tcBorders/>
            <w:shd w:fill="CCEEFF" w:val="clear"/>
            <w:vAlign w:val="bottom"/>
          </w:tcPr>
          <w:p>
            <w:pPr>
              <w:pStyle w:val="TableContents"/>
              <w:spacing w:before="0" w:after="283"/>
              <w:jc w:val="right"/>
              <w:rPr/>
            </w:pPr>
            <w:r>
              <w:rPr/>
              <w:t>1,084,562</w:t>
            </w:r>
          </w:p>
        </w:tc>
        <w:tc>
          <w:tcPr>
            <w:tcW w:w="13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1231" w:type="dxa"/>
            <w:tcBorders/>
            <w:shd w:fill="CCEEFF" w:val="clear"/>
            <w:vAlign w:val="bottom"/>
          </w:tcPr>
          <w:p>
            <w:pPr>
              <w:pStyle w:val="TableContents"/>
              <w:spacing w:before="0" w:after="283"/>
              <w:jc w:val="right"/>
              <w:rPr/>
            </w:pPr>
            <w:r>
              <w:rPr/>
              <w:t>23.67</w:t>
            </w:r>
          </w:p>
        </w:tc>
        <w:tc>
          <w:tcPr>
            <w:tcW w:w="109"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pPr>
            <w:r>
              <w:rPr/>
              <w:t>818,732</w:t>
            </w:r>
          </w:p>
        </w:tc>
        <w:tc>
          <w:tcPr>
            <w:tcW w:w="117" w:type="dxa"/>
            <w:tcBorders/>
            <w:shd w:fill="CCEEFF" w:val="clear"/>
            <w:vAlign w:val="bottom"/>
          </w:tcPr>
          <w:p>
            <w:pPr>
              <w:pStyle w:val="TableContents"/>
              <w:spacing w:before="0" w:after="283"/>
              <w:rPr/>
            </w:pPr>
            <w:r>
              <w:rPr/>
              <w:t> </w:t>
            </w:r>
          </w:p>
        </w:tc>
      </w:tr>
      <w:tr>
        <w:trPr/>
        <w:tc>
          <w:tcPr>
            <w:tcW w:w="4730" w:type="dxa"/>
            <w:tcBorders/>
            <w:shd w:fill="auto" w:val="clear"/>
            <w:vAlign w:val="center"/>
          </w:tcPr>
          <w:p>
            <w:pPr>
              <w:pStyle w:val="TableContents"/>
              <w:spacing w:before="0" w:after="0"/>
              <w:ind w:left="225" w:right="0" w:hanging="225"/>
              <w:rPr/>
            </w:pPr>
            <w:r>
              <w:rPr/>
              <w:t> </w:t>
            </w:r>
          </w:p>
        </w:tc>
        <w:tc>
          <w:tcPr>
            <w:tcW w:w="362" w:type="dxa"/>
            <w:tcBorders/>
            <w:shd w:fill="auto" w:val="clear"/>
            <w:vAlign w:val="center"/>
          </w:tcPr>
          <w:p>
            <w:pPr>
              <w:pStyle w:val="TableContents"/>
              <w:spacing w:before="0" w:after="283"/>
              <w:rPr/>
            </w:pPr>
            <w:r>
              <w:rPr/>
              <w:t> </w:t>
            </w:r>
          </w:p>
        </w:tc>
        <w:tc>
          <w:tcPr>
            <w:tcW w:w="119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c>
          <w:tcPr>
            <w:tcW w:w="1231" w:type="dxa"/>
            <w:tcBorders/>
            <w:shd w:fill="auto" w:val="clear"/>
            <w:vAlign w:val="center"/>
          </w:tcPr>
          <w:p>
            <w:pPr>
              <w:pStyle w:val="TableContents"/>
              <w:spacing w:before="0" w:after="283"/>
              <w:rPr/>
            </w:pPr>
            <w:r>
              <w:rPr/>
              <w:t> </w:t>
            </w:r>
          </w:p>
        </w:tc>
        <w:tc>
          <w:tcPr>
            <w:tcW w:w="109"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128" w:type="dxa"/>
            <w:tcBorders/>
            <w:shd w:fill="auto" w:val="clear"/>
            <w:vAlign w:val="center"/>
          </w:tcPr>
          <w:p>
            <w:pPr>
              <w:pStyle w:val="TableContents"/>
              <w:spacing w:before="0" w:after="283"/>
              <w:rPr/>
            </w:pPr>
            <w:r>
              <w:rPr/>
              <w:t> </w:t>
            </w:r>
          </w:p>
        </w:tc>
        <w:tc>
          <w:tcPr>
            <w:tcW w:w="1183" w:type="dxa"/>
            <w:tcBorders/>
            <w:shd w:fill="auto" w:val="clear"/>
            <w:vAlign w:val="center"/>
          </w:tcPr>
          <w:p>
            <w:pPr>
              <w:pStyle w:val="TableContents"/>
              <w:spacing w:before="0" w:after="283"/>
              <w:rPr/>
            </w:pPr>
            <w:r>
              <w:rPr/>
              <w:t> </w:t>
            </w:r>
          </w:p>
        </w:tc>
        <w:tc>
          <w:tcPr>
            <w:tcW w:w="117"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following table summarizes information concerning stock options outstanding and exercisable as of March 31, 2006: </w:t>
      </w:r>
    </w:p>
    <w:tbl>
      <w:tblPr>
        <w:tblW w:w="11033" w:type="dxa"/>
        <w:jc w:val="center"/>
        <w:tblInd w:w="0" w:type="dxa"/>
        <w:tblCellMar>
          <w:top w:w="0" w:type="dxa"/>
          <w:left w:w="0" w:type="dxa"/>
          <w:bottom w:w="0" w:type="dxa"/>
          <w:right w:w="0" w:type="dxa"/>
        </w:tblCellMar>
      </w:tblPr>
      <w:tblGrid>
        <w:gridCol w:w="2525"/>
        <w:gridCol w:w="60"/>
        <w:gridCol w:w="61"/>
        <w:gridCol w:w="996"/>
        <w:gridCol w:w="61"/>
        <w:gridCol w:w="61"/>
        <w:gridCol w:w="962"/>
        <w:gridCol w:w="963"/>
        <w:gridCol w:w="61"/>
        <w:gridCol w:w="61"/>
        <w:gridCol w:w="383"/>
        <w:gridCol w:w="1542"/>
        <w:gridCol w:w="60"/>
        <w:gridCol w:w="60"/>
        <w:gridCol w:w="73"/>
        <w:gridCol w:w="973"/>
        <w:gridCol w:w="73"/>
        <w:gridCol w:w="73"/>
        <w:gridCol w:w="383"/>
        <w:gridCol w:w="1542"/>
        <w:gridCol w:w="60"/>
      </w:tblGrid>
      <w:tr>
        <w:trPr/>
        <w:tc>
          <w:tcPr>
            <w:tcW w:w="252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6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252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51"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Options Outstanding</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117"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Options Exercisable</w:t>
            </w:r>
          </w:p>
        </w:tc>
        <w:tc>
          <w:tcPr>
            <w:tcW w:w="60" w:type="dxa"/>
            <w:tcBorders/>
            <w:shd w:fill="auto" w:val="clear"/>
            <w:vAlign w:val="bottom"/>
          </w:tcPr>
          <w:p>
            <w:pPr>
              <w:pStyle w:val="TableContents"/>
              <w:spacing w:before="0" w:after="283"/>
              <w:rPr/>
            </w:pPr>
            <w:r>
              <w:rPr/>
              <w:t> </w:t>
            </w:r>
          </w:p>
        </w:tc>
      </w:tr>
      <w:tr>
        <w:trPr/>
        <w:tc>
          <w:tcPr>
            <w:tcW w:w="252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25" w:type="dxa"/>
            <w:gridSpan w:val="2"/>
            <w:tcBorders/>
            <w:shd w:fill="auto" w:val="clear"/>
            <w:vAlign w:val="bottom"/>
          </w:tcPr>
          <w:p>
            <w:pPr>
              <w:pStyle w:val="TableContents"/>
              <w:spacing w:before="0" w:after="283"/>
              <w:jc w:val="center"/>
              <w:rPr>
                <w:b/>
              </w:rPr>
            </w:pPr>
            <w:r>
              <w:rPr>
                <w:b/>
              </w:rPr>
              <w:t>Weighted-Average</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25" w:type="dxa"/>
            <w:gridSpan w:val="2"/>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925" w:type="dxa"/>
            <w:gridSpan w:val="2"/>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rPr/>
            </w:pPr>
            <w:r>
              <w:rPr/>
              <w:t> </w:t>
            </w:r>
          </w:p>
        </w:tc>
      </w:tr>
      <w:tr>
        <w:trPr/>
        <w:tc>
          <w:tcPr>
            <w:tcW w:w="252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25" w:type="dxa"/>
            <w:gridSpan w:val="2"/>
            <w:tcBorders/>
            <w:shd w:fill="auto" w:val="clear"/>
            <w:vAlign w:val="bottom"/>
          </w:tcPr>
          <w:p>
            <w:pPr>
              <w:pStyle w:val="TableContents"/>
              <w:spacing w:before="0" w:after="283"/>
              <w:jc w:val="center"/>
              <w:rPr>
                <w:b/>
              </w:rPr>
            </w:pPr>
            <w:r>
              <w:rPr>
                <w:b/>
              </w:rPr>
              <w:t>Remaining</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25" w:type="dxa"/>
            <w:gridSpan w:val="2"/>
            <w:tcBorders/>
            <w:shd w:fill="auto" w:val="clear"/>
            <w:vAlign w:val="bottom"/>
          </w:tcPr>
          <w:p>
            <w:pPr>
              <w:pStyle w:val="TableContents"/>
              <w:spacing w:before="0" w:after="283"/>
              <w:jc w:val="center"/>
              <w:rPr>
                <w:b/>
              </w:rPr>
            </w:pPr>
            <w:r>
              <w:rPr>
                <w:b/>
              </w:rPr>
              <w:t>Weighted-Average</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925" w:type="dxa"/>
            <w:gridSpan w:val="2"/>
            <w:tcBorders/>
            <w:shd w:fill="auto" w:val="clear"/>
            <w:vAlign w:val="bottom"/>
          </w:tcPr>
          <w:p>
            <w:pPr>
              <w:pStyle w:val="TableContents"/>
              <w:spacing w:before="0" w:after="283"/>
              <w:jc w:val="center"/>
              <w:rPr>
                <w:b/>
              </w:rPr>
            </w:pPr>
            <w:r>
              <w:rPr>
                <w:b/>
              </w:rPr>
              <w:t>Weighted-Average</w:t>
            </w:r>
          </w:p>
        </w:tc>
        <w:tc>
          <w:tcPr>
            <w:tcW w:w="60" w:type="dxa"/>
            <w:tcBorders/>
            <w:shd w:fill="auto" w:val="clear"/>
            <w:vAlign w:val="bottom"/>
          </w:tcPr>
          <w:p>
            <w:pPr>
              <w:pStyle w:val="TableContents"/>
              <w:spacing w:before="0" w:after="283"/>
              <w:rPr/>
            </w:pPr>
            <w:r>
              <w:rPr/>
              <w:t> </w:t>
            </w:r>
          </w:p>
        </w:tc>
      </w:tr>
      <w:tr>
        <w:trPr/>
        <w:tc>
          <w:tcPr>
            <w:tcW w:w="2525" w:type="dxa"/>
            <w:tcBorders>
              <w:bottom w:val="single" w:sz="2" w:space="0" w:color="000000"/>
            </w:tcBorders>
            <w:shd w:fill="auto" w:val="clear"/>
            <w:tcMar>
              <w:bottom w:w="28" w:type="dxa"/>
            </w:tcMar>
            <w:vAlign w:val="bottom"/>
          </w:tcPr>
          <w:p>
            <w:pPr>
              <w:pStyle w:val="TableContents"/>
              <w:spacing w:before="0" w:after="283"/>
              <w:jc w:val="left"/>
              <w:rPr>
                <w:b/>
              </w:rPr>
            </w:pPr>
            <w:r>
              <w:rPr>
                <w:b/>
              </w:rPr>
              <w:t>Range of Exercise Prices</w:t>
            </w:r>
          </w:p>
        </w:tc>
        <w:tc>
          <w:tcPr>
            <w:tcW w:w="60" w:type="dxa"/>
            <w:tcBorders/>
            <w:shd w:fill="auto" w:val="clear"/>
            <w:vAlign w:val="bottom"/>
          </w:tcPr>
          <w:p>
            <w:pPr>
              <w:pStyle w:val="TableContents"/>
              <w:spacing w:before="0" w:after="283"/>
              <w:rPr/>
            </w:pPr>
            <w:r>
              <w:rPr/>
              <w:t> </w:t>
            </w:r>
          </w:p>
        </w:tc>
        <w:tc>
          <w:tcPr>
            <w:tcW w:w="105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2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Contractual Life</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2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Exercise Price</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92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Exercise Price</w:t>
            </w:r>
          </w:p>
        </w:tc>
        <w:tc>
          <w:tcPr>
            <w:tcW w:w="60" w:type="dxa"/>
            <w:tcBorders/>
            <w:shd w:fill="auto" w:val="clear"/>
            <w:vAlign w:val="bottom"/>
          </w:tcPr>
          <w:p>
            <w:pPr>
              <w:pStyle w:val="TableContents"/>
              <w:spacing w:before="0" w:after="283"/>
              <w:rPr/>
            </w:pPr>
            <w:r>
              <w:rPr/>
              <w:t> </w:t>
            </w:r>
          </w:p>
        </w:tc>
      </w:tr>
      <w:tr>
        <w:trPr/>
        <w:tc>
          <w:tcPr>
            <w:tcW w:w="2525" w:type="dxa"/>
            <w:tcBorders/>
            <w:shd w:fill="CCEEFF" w:val="clear"/>
            <w:vAlign w:val="bottom"/>
          </w:tcPr>
          <w:p>
            <w:pPr>
              <w:pStyle w:val="TableContents"/>
              <w:spacing w:before="0" w:after="0"/>
              <w:ind w:left="225" w:right="0" w:hanging="225"/>
              <w:rPr/>
            </w:pPr>
            <w:r>
              <w:rPr/>
              <w:t>$13.24 to $19.57</w:t>
            </w:r>
          </w:p>
        </w:tc>
        <w:tc>
          <w:tcPr>
            <w:tcW w:w="60"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213,485</w:t>
            </w:r>
          </w:p>
        </w:tc>
        <w:tc>
          <w:tcPr>
            <w:tcW w:w="61"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986" w:type="dxa"/>
            <w:gridSpan w:val="3"/>
            <w:tcBorders/>
            <w:shd w:fill="CCEEFF" w:val="clear"/>
            <w:vAlign w:val="bottom"/>
          </w:tcPr>
          <w:p>
            <w:pPr>
              <w:pStyle w:val="TableContents"/>
              <w:spacing w:before="0" w:after="283"/>
              <w:jc w:val="center"/>
              <w:rPr/>
            </w:pPr>
            <w:r>
              <w:rPr/>
              <w:t>4.7 years</w:t>
            </w:r>
          </w:p>
        </w:tc>
        <w:tc>
          <w:tcPr>
            <w:tcW w:w="61"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left"/>
              <w:rPr/>
            </w:pPr>
            <w:r>
              <w:rPr/>
              <w:t>$</w:t>
            </w:r>
          </w:p>
        </w:tc>
        <w:tc>
          <w:tcPr>
            <w:tcW w:w="1542" w:type="dxa"/>
            <w:tcBorders/>
            <w:shd w:fill="CCEEFF" w:val="clear"/>
            <w:vAlign w:val="bottom"/>
          </w:tcPr>
          <w:p>
            <w:pPr>
              <w:pStyle w:val="TableContents"/>
              <w:spacing w:before="0" w:after="283"/>
              <w:jc w:val="right"/>
              <w:rPr/>
            </w:pPr>
            <w:r>
              <w:rPr/>
              <w:t>18.15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973" w:type="dxa"/>
            <w:tcBorders/>
            <w:shd w:fill="CCEEFF" w:val="clear"/>
            <w:vAlign w:val="bottom"/>
          </w:tcPr>
          <w:p>
            <w:pPr>
              <w:pStyle w:val="TableContents"/>
              <w:spacing w:before="0" w:after="283"/>
              <w:jc w:val="right"/>
              <w:rPr/>
            </w:pPr>
            <w:r>
              <w:rPr/>
              <w:t>213,485</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left"/>
              <w:rPr/>
            </w:pPr>
            <w:r>
              <w:rPr/>
              <w:t>$</w:t>
            </w:r>
          </w:p>
        </w:tc>
        <w:tc>
          <w:tcPr>
            <w:tcW w:w="1542" w:type="dxa"/>
            <w:tcBorders/>
            <w:shd w:fill="CCEEFF" w:val="clear"/>
            <w:vAlign w:val="bottom"/>
          </w:tcPr>
          <w:p>
            <w:pPr>
              <w:pStyle w:val="TableContents"/>
              <w:spacing w:before="0" w:after="283"/>
              <w:jc w:val="right"/>
              <w:rPr/>
            </w:pPr>
            <w:r>
              <w:rPr/>
              <w:t>18.15</w:t>
            </w:r>
          </w:p>
        </w:tc>
        <w:tc>
          <w:tcPr>
            <w:tcW w:w="60" w:type="dxa"/>
            <w:tcBorders/>
            <w:shd w:fill="CCEEFF" w:val="clear"/>
            <w:vAlign w:val="bottom"/>
          </w:tcPr>
          <w:p>
            <w:pPr>
              <w:pStyle w:val="TableContents"/>
              <w:spacing w:before="0" w:after="283"/>
              <w:rPr/>
            </w:pPr>
            <w:r>
              <w:rPr/>
              <w:t> </w:t>
            </w:r>
          </w:p>
        </w:tc>
      </w:tr>
      <w:tr>
        <w:trPr/>
        <w:tc>
          <w:tcPr>
            <w:tcW w:w="2525" w:type="dxa"/>
            <w:tcBorders/>
            <w:shd w:fill="auto" w:val="clear"/>
            <w:vAlign w:val="bottom"/>
          </w:tcPr>
          <w:p>
            <w:pPr>
              <w:pStyle w:val="TableContents"/>
              <w:spacing w:before="0" w:after="0"/>
              <w:ind w:left="225" w:right="0" w:hanging="225"/>
              <w:rPr/>
            </w:pPr>
            <w:r>
              <w:rPr/>
              <w:t>$19.65 to $23.82</w:t>
            </w:r>
          </w:p>
        </w:tc>
        <w:tc>
          <w:tcPr>
            <w:tcW w:w="6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198,961</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86" w:type="dxa"/>
            <w:gridSpan w:val="3"/>
            <w:tcBorders/>
            <w:shd w:fill="auto" w:val="clear"/>
            <w:vAlign w:val="bottom"/>
          </w:tcPr>
          <w:p>
            <w:pPr>
              <w:pStyle w:val="TableContents"/>
              <w:spacing w:before="0" w:after="283"/>
              <w:jc w:val="center"/>
              <w:rPr/>
            </w:pPr>
            <w:r>
              <w:rPr/>
              <w:t>4.2 years</w:t>
            </w:r>
          </w:p>
        </w:tc>
        <w:tc>
          <w:tcPr>
            <w:tcW w:w="61"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jc w:val="right"/>
              <w:rPr/>
            </w:pPr>
            <w:r>
              <w:rPr/>
              <w:t>22.22</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jc w:val="right"/>
              <w:rPr/>
            </w:pPr>
            <w:r>
              <w:rPr/>
              <w:t>198,587</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jc w:val="right"/>
              <w:rPr/>
            </w:pPr>
            <w:r>
              <w:rPr/>
              <w:t>22.22</w:t>
            </w:r>
          </w:p>
        </w:tc>
        <w:tc>
          <w:tcPr>
            <w:tcW w:w="60" w:type="dxa"/>
            <w:tcBorders/>
            <w:shd w:fill="auto" w:val="clear"/>
            <w:vAlign w:val="bottom"/>
          </w:tcPr>
          <w:p>
            <w:pPr>
              <w:pStyle w:val="TableContents"/>
              <w:spacing w:before="0" w:after="283"/>
              <w:rPr/>
            </w:pPr>
            <w:r>
              <w:rPr/>
              <w:t> </w:t>
            </w:r>
          </w:p>
        </w:tc>
      </w:tr>
      <w:tr>
        <w:trPr/>
        <w:tc>
          <w:tcPr>
            <w:tcW w:w="2525" w:type="dxa"/>
            <w:tcBorders/>
            <w:shd w:fill="CCEEFF" w:val="clear"/>
            <w:vAlign w:val="bottom"/>
          </w:tcPr>
          <w:p>
            <w:pPr>
              <w:pStyle w:val="TableContents"/>
              <w:spacing w:before="0" w:after="0"/>
              <w:ind w:left="225" w:right="0" w:hanging="225"/>
              <w:rPr/>
            </w:pPr>
            <w:r>
              <w:rPr/>
              <w:t>$24.05 to $24.22</w:t>
            </w:r>
          </w:p>
        </w:tc>
        <w:tc>
          <w:tcPr>
            <w:tcW w:w="60"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245,713</w:t>
            </w:r>
          </w:p>
        </w:tc>
        <w:tc>
          <w:tcPr>
            <w:tcW w:w="61"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986" w:type="dxa"/>
            <w:gridSpan w:val="3"/>
            <w:tcBorders/>
            <w:shd w:fill="CCEEFF" w:val="clear"/>
            <w:vAlign w:val="bottom"/>
          </w:tcPr>
          <w:p>
            <w:pPr>
              <w:pStyle w:val="TableContents"/>
              <w:spacing w:before="0" w:after="283"/>
              <w:jc w:val="center"/>
              <w:rPr/>
            </w:pPr>
            <w:r>
              <w:rPr/>
              <w:t>4.9 years</w:t>
            </w:r>
          </w:p>
        </w:tc>
        <w:tc>
          <w:tcPr>
            <w:tcW w:w="61"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42" w:type="dxa"/>
            <w:tcBorders/>
            <w:shd w:fill="CCEEFF" w:val="clear"/>
            <w:vAlign w:val="bottom"/>
          </w:tcPr>
          <w:p>
            <w:pPr>
              <w:pStyle w:val="TableContents"/>
              <w:spacing w:before="0" w:after="283"/>
              <w:jc w:val="right"/>
              <w:rPr/>
            </w:pPr>
            <w:r>
              <w:rPr/>
              <w:t>24.12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973" w:type="dxa"/>
            <w:tcBorders/>
            <w:shd w:fill="CCEEFF" w:val="clear"/>
            <w:vAlign w:val="bottom"/>
          </w:tcPr>
          <w:p>
            <w:pPr>
              <w:pStyle w:val="TableContents"/>
              <w:spacing w:before="0" w:after="283"/>
              <w:jc w:val="right"/>
              <w:rPr/>
            </w:pPr>
            <w:r>
              <w:rPr/>
              <w:t>181,246</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42" w:type="dxa"/>
            <w:tcBorders/>
            <w:shd w:fill="CCEEFF" w:val="clear"/>
            <w:vAlign w:val="bottom"/>
          </w:tcPr>
          <w:p>
            <w:pPr>
              <w:pStyle w:val="TableContents"/>
              <w:spacing w:before="0" w:after="283"/>
              <w:jc w:val="right"/>
              <w:rPr/>
            </w:pPr>
            <w:r>
              <w:rPr/>
              <w:t>24.09</w:t>
            </w:r>
          </w:p>
        </w:tc>
        <w:tc>
          <w:tcPr>
            <w:tcW w:w="60" w:type="dxa"/>
            <w:tcBorders/>
            <w:shd w:fill="CCEEFF" w:val="clear"/>
            <w:vAlign w:val="bottom"/>
          </w:tcPr>
          <w:p>
            <w:pPr>
              <w:pStyle w:val="TableContents"/>
              <w:spacing w:before="0" w:after="283"/>
              <w:rPr/>
            </w:pPr>
            <w:r>
              <w:rPr/>
              <w:t> </w:t>
            </w:r>
          </w:p>
        </w:tc>
      </w:tr>
      <w:tr>
        <w:trPr/>
        <w:tc>
          <w:tcPr>
            <w:tcW w:w="2525" w:type="dxa"/>
            <w:tcBorders/>
            <w:shd w:fill="auto" w:val="clear"/>
            <w:vAlign w:val="bottom"/>
          </w:tcPr>
          <w:p>
            <w:pPr>
              <w:pStyle w:val="TableContents"/>
              <w:spacing w:before="0" w:after="0"/>
              <w:ind w:left="225" w:right="0" w:hanging="225"/>
              <w:rPr/>
            </w:pPr>
            <w:r>
              <w:rPr/>
              <w:t>$25.02 to $26.31</w:t>
            </w:r>
          </w:p>
        </w:tc>
        <w:tc>
          <w:tcPr>
            <w:tcW w:w="6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304,306</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86" w:type="dxa"/>
            <w:gridSpan w:val="3"/>
            <w:tcBorders/>
            <w:shd w:fill="auto" w:val="clear"/>
            <w:vAlign w:val="bottom"/>
          </w:tcPr>
          <w:p>
            <w:pPr>
              <w:pStyle w:val="TableContents"/>
              <w:spacing w:before="0" w:after="283"/>
              <w:jc w:val="center"/>
              <w:rPr/>
            </w:pPr>
            <w:r>
              <w:rPr/>
              <w:t>5.9 years</w:t>
            </w:r>
          </w:p>
        </w:tc>
        <w:tc>
          <w:tcPr>
            <w:tcW w:w="61"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jc w:val="right"/>
              <w:rPr/>
            </w:pPr>
            <w:r>
              <w:rPr/>
              <w:t>26.20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jc w:val="right"/>
              <w:rPr/>
            </w:pPr>
            <w:r>
              <w:rPr/>
              <w:t>156,866</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jc w:val="right"/>
              <w:rPr/>
            </w:pPr>
            <w:r>
              <w:rPr/>
              <w:t>26.10</w:t>
            </w:r>
          </w:p>
        </w:tc>
        <w:tc>
          <w:tcPr>
            <w:tcW w:w="60" w:type="dxa"/>
            <w:tcBorders/>
            <w:shd w:fill="auto" w:val="clear"/>
            <w:vAlign w:val="bottom"/>
          </w:tcPr>
          <w:p>
            <w:pPr>
              <w:pStyle w:val="TableContents"/>
              <w:spacing w:before="0" w:after="283"/>
              <w:rPr/>
            </w:pPr>
            <w:r>
              <w:rPr/>
              <w:t> </w:t>
            </w:r>
          </w:p>
        </w:tc>
      </w:tr>
      <w:tr>
        <w:trPr/>
        <w:tc>
          <w:tcPr>
            <w:tcW w:w="2525" w:type="dxa"/>
            <w:tcBorders/>
            <w:shd w:fill="CCEEFF" w:val="clear"/>
            <w:vAlign w:val="bottom"/>
          </w:tcPr>
          <w:p>
            <w:pPr>
              <w:pStyle w:val="TableContents"/>
              <w:spacing w:before="0" w:after="0"/>
              <w:ind w:left="225" w:right="0" w:hanging="225"/>
              <w:rPr/>
            </w:pPr>
            <w:r>
              <w:rPr/>
              <w:t>$26.37 to $31.92</w:t>
            </w:r>
          </w:p>
        </w:tc>
        <w:tc>
          <w:tcPr>
            <w:tcW w:w="60"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122,097</w:t>
            </w:r>
          </w:p>
        </w:tc>
        <w:tc>
          <w:tcPr>
            <w:tcW w:w="61"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986" w:type="dxa"/>
            <w:gridSpan w:val="3"/>
            <w:tcBorders/>
            <w:shd w:fill="CCEEFF" w:val="clear"/>
            <w:vAlign w:val="bottom"/>
          </w:tcPr>
          <w:p>
            <w:pPr>
              <w:pStyle w:val="TableContents"/>
              <w:spacing w:before="0" w:after="283"/>
              <w:jc w:val="center"/>
              <w:rPr/>
            </w:pPr>
            <w:r>
              <w:rPr/>
              <w:t>4.6 years</w:t>
            </w:r>
          </w:p>
        </w:tc>
        <w:tc>
          <w:tcPr>
            <w:tcW w:w="61"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42" w:type="dxa"/>
            <w:tcBorders/>
            <w:shd w:fill="CCEEFF" w:val="clear"/>
            <w:vAlign w:val="bottom"/>
          </w:tcPr>
          <w:p>
            <w:pPr>
              <w:pStyle w:val="TableContents"/>
              <w:spacing w:before="0" w:after="283"/>
              <w:jc w:val="right"/>
              <w:rPr/>
            </w:pPr>
            <w:r>
              <w:rPr/>
              <w:t>28.43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973" w:type="dxa"/>
            <w:tcBorders/>
            <w:shd w:fill="CCEEFF" w:val="clear"/>
            <w:vAlign w:val="bottom"/>
          </w:tcPr>
          <w:p>
            <w:pPr>
              <w:pStyle w:val="TableContents"/>
              <w:spacing w:before="0" w:after="283"/>
              <w:jc w:val="right"/>
              <w:rPr/>
            </w:pPr>
            <w:r>
              <w:rPr/>
              <w:t>68,548</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542" w:type="dxa"/>
            <w:tcBorders/>
            <w:shd w:fill="CCEEFF" w:val="clear"/>
            <w:vAlign w:val="bottom"/>
          </w:tcPr>
          <w:p>
            <w:pPr>
              <w:pStyle w:val="TableContents"/>
              <w:spacing w:before="0" w:after="283"/>
              <w:jc w:val="right"/>
              <w:rPr/>
            </w:pPr>
            <w:r>
              <w:rPr/>
              <w:t>27.99</w:t>
            </w:r>
          </w:p>
        </w:tc>
        <w:tc>
          <w:tcPr>
            <w:tcW w:w="60" w:type="dxa"/>
            <w:tcBorders/>
            <w:shd w:fill="CCEEFF" w:val="clear"/>
            <w:vAlign w:val="bottom"/>
          </w:tcPr>
          <w:p>
            <w:pPr>
              <w:pStyle w:val="TableContents"/>
              <w:spacing w:before="0" w:after="283"/>
              <w:rPr/>
            </w:pPr>
            <w:r>
              <w:rPr/>
              <w:t> </w:t>
            </w:r>
          </w:p>
        </w:tc>
      </w:tr>
      <w:tr>
        <w:trPr/>
        <w:tc>
          <w:tcPr>
            <w:tcW w:w="2525"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1"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962" w:type="dxa"/>
            <w:tcBorders/>
            <w:shd w:fill="auto" w:val="clear"/>
            <w:vAlign w:val="center"/>
          </w:tcPr>
          <w:p>
            <w:pPr>
              <w:pStyle w:val="TableContents"/>
              <w:spacing w:before="0" w:after="283"/>
              <w:rPr/>
            </w:pPr>
            <w:r>
              <w:rPr/>
              <w:t> </w:t>
            </w:r>
          </w:p>
        </w:tc>
        <w:tc>
          <w:tcPr>
            <w:tcW w:w="963"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542"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542"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r>
      <w:tr>
        <w:trPr/>
        <w:tc>
          <w:tcPr>
            <w:tcW w:w="2525" w:type="dxa"/>
            <w:tcBorders/>
            <w:shd w:fill="auto" w:val="clear"/>
            <w:vAlign w:val="bottom"/>
          </w:tcPr>
          <w:p>
            <w:pPr>
              <w:pStyle w:val="TableContents"/>
              <w:spacing w:before="0" w:after="0"/>
              <w:ind w:left="225" w:right="0" w:hanging="225"/>
              <w:rPr/>
            </w:pPr>
            <w:r>
              <w:rPr/>
              <w:t> </w:t>
            </w:r>
          </w:p>
        </w:tc>
        <w:tc>
          <w:tcPr>
            <w:tcW w:w="8508" w:type="dxa"/>
            <w:gridSpan w:val="20"/>
            <w:tcBorders/>
            <w:shd w:fill="auto" w:val="clear"/>
          </w:tcPr>
          <w:p>
            <w:pPr>
              <w:pStyle w:val="TableContents"/>
              <w:spacing w:before="0" w:after="283"/>
              <w:rPr>
                <w:sz w:val="4"/>
                <w:szCs w:val="4"/>
              </w:rPr>
            </w:pPr>
            <w:r>
              <w:rPr>
                <w:sz w:val="4"/>
                <w:szCs w:val="4"/>
              </w:rPr>
            </w:r>
          </w:p>
        </w:tc>
      </w:tr>
      <w:tr>
        <w:trPr/>
        <w:tc>
          <w:tcPr>
            <w:tcW w:w="2525" w:type="dxa"/>
            <w:tcBorders/>
            <w:shd w:fill="auto" w:val="clear"/>
            <w:vAlign w:val="bottom"/>
          </w:tcPr>
          <w:p>
            <w:pPr>
              <w:pStyle w:val="TableContents"/>
              <w:spacing w:before="0" w:after="0"/>
              <w:ind w:left="225" w:right="0" w:hanging="225"/>
              <w:rPr/>
            </w:pPr>
            <w:r>
              <w:rPr/>
              <w:t>$13.24 to $31.92</w:t>
            </w:r>
          </w:p>
        </w:tc>
        <w:tc>
          <w:tcPr>
            <w:tcW w:w="6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1,084,562</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86" w:type="dxa"/>
            <w:gridSpan w:val="3"/>
            <w:tcBorders/>
            <w:shd w:fill="auto" w:val="clear"/>
            <w:vAlign w:val="bottom"/>
          </w:tcPr>
          <w:p>
            <w:pPr>
              <w:pStyle w:val="TableContents"/>
              <w:spacing w:before="0" w:after="283"/>
              <w:jc w:val="center"/>
              <w:rPr/>
            </w:pPr>
            <w:r>
              <w:rPr/>
              <w:t>5.0 years</w:t>
            </w:r>
          </w:p>
        </w:tc>
        <w:tc>
          <w:tcPr>
            <w:tcW w:w="61"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jc w:val="right"/>
              <w:rPr/>
            </w:pPr>
            <w:r>
              <w:rPr/>
              <w:t>23.67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jc w:val="right"/>
              <w:rPr/>
            </w:pPr>
            <w:r>
              <w:rPr/>
              <w:t>818,732</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jc w:val="right"/>
              <w:rPr/>
            </w:pPr>
            <w:r>
              <w:rPr/>
              <w:t>22.80</w:t>
            </w:r>
          </w:p>
        </w:tc>
        <w:tc>
          <w:tcPr>
            <w:tcW w:w="60" w:type="dxa"/>
            <w:tcBorders/>
            <w:shd w:fill="auto" w:val="clear"/>
            <w:vAlign w:val="bottom"/>
          </w:tcPr>
          <w:p>
            <w:pPr>
              <w:pStyle w:val="TableContents"/>
              <w:spacing w:before="0" w:after="283"/>
              <w:rPr/>
            </w:pPr>
            <w:r>
              <w:rPr/>
              <w:t> </w:t>
            </w:r>
          </w:p>
        </w:tc>
      </w:tr>
      <w:tr>
        <w:trPr/>
        <w:tc>
          <w:tcPr>
            <w:tcW w:w="2525"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1"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962" w:type="dxa"/>
            <w:tcBorders/>
            <w:shd w:fill="auto" w:val="clear"/>
            <w:vAlign w:val="center"/>
          </w:tcPr>
          <w:p>
            <w:pPr>
              <w:pStyle w:val="TableContents"/>
              <w:spacing w:before="0" w:after="283"/>
              <w:rPr/>
            </w:pPr>
            <w:r>
              <w:rPr/>
              <w:t> </w:t>
            </w:r>
          </w:p>
        </w:tc>
        <w:tc>
          <w:tcPr>
            <w:tcW w:w="963"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542"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542"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In addition to the above, Viad had stock options outstanding which were granted to employees of MoneyGram International, Inc. prior to the spin-off of that company as described in Note 15. As of March 31, 2006, there were 106,438 of such options outstanding at weighted-average exercise prices of $17.51 to $28.15. Of the total amount outstanding, 77,851 were exercisable at weighted-average exercise prices of $17.51 to $28.15. The weighted-average remaining contractual life of these options was 5.2 years. During the three months ended March 31, 2006, a total of 43,797 options were exercised by employees of MoneyGram International, Inc. at weighted-average exercise prices of $19.57 to $28.15. </w:t>
      </w:r>
    </w:p>
    <w:p>
      <w:pPr>
        <w:pStyle w:val="TextBody"/>
        <w:spacing w:before="120" w:after="283"/>
        <w:jc w:val="left"/>
        <w:rPr/>
      </w:pPr>
      <w:r>
        <w:rPr/>
        <w:t>     </w:t>
      </w:r>
      <w:r>
        <w:rPr>
          <w:rFonts w:ascii="Times New Roman;Times;serif" w:hAnsi="Times New Roman;Times;serif"/>
          <w:sz w:val="17"/>
        </w:rPr>
        <w:t xml:space="preserve">The aggregate intrinsic value related to stock options outstanding as of March 31, 2006 was $11.5 million. The aggregate intrinsic value is based on the weighted-average exercise price and Viads closing stock price of $34.28 as of March 31, 2006. The total intrinsic value of stock option awards exercised during the three months ended March 31, 2006 and 2005 was $1.1 million and $1.5 million, respectively. The fair value of stock options that vested during the three months ended March 31, 2006 and 2005 was $1.9 million and $1.6 million, respectively. During the three months ended March 31, 2006 and 2005, Viad received cash proceeds from the exercise of stock options of $1.9 million and $1.5 million, respectively. The actual tax benefits realized for the tax deductions related to the exercise of stock options and vesting of restricted stock and performance-based awards was $3.0 million and $123,000, respectively. </w:t>
      </w:r>
    </w:p>
    <w:p>
      <w:pPr>
        <w:pStyle w:val="TextBody"/>
        <w:spacing w:before="120" w:after="283"/>
        <w:jc w:val="left"/>
        <w:rPr/>
      </w:pPr>
      <w:r>
        <w:rPr/>
        <w:t>     </w:t>
      </w:r>
      <w:r>
        <w:rPr>
          <w:rFonts w:ascii="Times New Roman;Times;serif" w:hAnsi="Times New Roman;Times;serif"/>
          <w:sz w:val="17"/>
        </w:rPr>
        <w:t xml:space="preserve">Restricted stock awards of 142,350 and 98,300 shares were granted during the three months ended March 31, 2006 and 2005, respectively, at weighted-average grant date fair values (based on the fair market value on the date of grant) of $32.63 and $26.31, respectively. The fair value of restricted stock that vested during the three months ended March 31, 2006 and 2005 was $759,000 and $873,000, respectively. All restricted stock awards vest three years from the date of grant. Share-based compensation expense related to restricted stock awards is recognized on the straight-line method over the requisite service period, which is approximately three </w:t>
      </w:r>
    </w:p>
    <w:p>
      <w:pPr>
        <w:pStyle w:val="TextBody"/>
        <w:jc w:val="center"/>
        <w:rPr>
          <w:rFonts w:ascii="Times New Roman;Times;serif" w:hAnsi="Times New Roman;Times;serif"/>
          <w:sz w:val="17"/>
        </w:rPr>
      </w:pPr>
      <w:r>
        <w:rPr>
          <w:rFonts w:ascii="Times New Roman;Times;serif" w:hAnsi="Times New Roman;Times;serif"/>
          <w:sz w:val="17"/>
        </w:rPr>
        <w:t xml:space="preserve">Page 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years. As of March 31, 2006, the total unrecognized costs related to non-vested restricted stock awards granted was $6.5 million. Viad expects to recognize such costs in the financial statements over a weighted-average period of 1.5 years. </w:t>
      </w:r>
    </w:p>
    <w:p>
      <w:pPr>
        <w:pStyle w:val="TextBody"/>
        <w:spacing w:before="120" w:after="283"/>
        <w:jc w:val="left"/>
        <w:rPr/>
      </w:pPr>
      <w:r>
        <w:rPr/>
        <w:t>     </w:t>
      </w:r>
      <w:r>
        <w:rPr>
          <w:rFonts w:ascii="Times New Roman;Times;serif" w:hAnsi="Times New Roman;Times;serif"/>
          <w:sz w:val="17"/>
        </w:rPr>
        <w:t xml:space="preserve">During the three months ended March 31, 2006 and 2005, Viad also granted performance-based restricted stock (PBRS) awards of 58,200 and 81,800 shares, respectively, at weighted-average grant date fair values (based on the fair market value on the date of grant) of $32.60 and $26.31, respectively. The fair value of PBRS that vested during the three months ended March 31, 2006 and 2005 was $1.2 million and $558,000, respectively. PBRS vests when certain incentive performance targets established in the year of grant are achieved at target levels. PBRS awards are subject to a graded vesting schedule whereby one third of the earned shares vest after the first year, another third after two years and the balance after three years from the date of grant. Share-based compensation expense related to PBRS awards is recognized based on an accelerated multiple-award approach over the requisite service period, which is approximately three years. As of March 31, 2006, the total unrecognized costs related to non-vested PBRS awards granted was $2.5 million. Viad expects to recognize such costs in the financial statements over a weighted-average period of 1.2 years. </w:t>
      </w:r>
    </w:p>
    <w:p>
      <w:pPr>
        <w:pStyle w:val="TextBody"/>
        <w:spacing w:before="120" w:after="283"/>
        <w:jc w:val="left"/>
        <w:rPr/>
      </w:pPr>
      <w:r>
        <w:rPr/>
        <w:t>     </w:t>
      </w:r>
      <w:r>
        <w:rPr>
          <w:rFonts w:ascii="Times New Roman;Times;serif" w:hAnsi="Times New Roman;Times;serif"/>
          <w:sz w:val="17"/>
        </w:rPr>
        <w:t xml:space="preserve">Certain performance-driven restricted stock (PDRS) awards granted in 2002 and 2001 vested during the three months ended March 31, 2006 and 2005 based on achievement of certain long-term incentive performance targets. The fair value of PDRS that vested during the three months ended March 31, 2006 and 2005 was $313,000 and $1.4 million, respectively. </w:t>
      </w:r>
    </w:p>
    <w:p>
      <w:pPr>
        <w:pStyle w:val="TextBody"/>
        <w:spacing w:before="120" w:after="283"/>
        <w:jc w:val="left"/>
        <w:rPr/>
      </w:pPr>
      <w:r>
        <w:rPr/>
        <w:t>     </w:t>
      </w:r>
      <w:r>
        <w:rPr>
          <w:rFonts w:ascii="Times New Roman;Times;serif" w:hAnsi="Times New Roman;Times;serif"/>
          <w:sz w:val="17"/>
        </w:rPr>
        <w:t xml:space="preserve">There were no share-based compensation awards settled in cash during the three months ended March 31, 2006 or 2005. Future vesting of restricted stock and PBRS is generally subject to continued employment with Viad or its subsidiaries. Holders of restricted stock and PBRS have the right to receive dividends and vote the shares, but may not sell, assign, transfer, pledge or otherwise encumber the stock, except to the extent restrictions have lapsed. The following table summarizes restricted stock, PBRS and PDRS activity during the three months ended March 31, 2006: </w:t>
      </w:r>
    </w:p>
    <w:tbl>
      <w:tblPr>
        <w:tblW w:w="5000" w:type="pct"/>
        <w:jc w:val="center"/>
        <w:tblInd w:w="0" w:type="dxa"/>
        <w:tblCellMar>
          <w:top w:w="0" w:type="dxa"/>
          <w:left w:w="0" w:type="dxa"/>
          <w:bottom w:w="0" w:type="dxa"/>
          <w:right w:w="0" w:type="dxa"/>
        </w:tblCellMar>
      </w:tblPr>
      <w:tblGrid>
        <w:gridCol w:w="873"/>
        <w:gridCol w:w="79"/>
        <w:gridCol w:w="63"/>
        <w:gridCol w:w="811"/>
        <w:gridCol w:w="98"/>
        <w:gridCol w:w="79"/>
        <w:gridCol w:w="385"/>
        <w:gridCol w:w="1544"/>
        <w:gridCol w:w="63"/>
        <w:gridCol w:w="79"/>
        <w:gridCol w:w="63"/>
        <w:gridCol w:w="811"/>
        <w:gridCol w:w="98"/>
        <w:gridCol w:w="79"/>
        <w:gridCol w:w="385"/>
        <w:gridCol w:w="1544"/>
        <w:gridCol w:w="62"/>
        <w:gridCol w:w="79"/>
        <w:gridCol w:w="63"/>
        <w:gridCol w:w="767"/>
        <w:gridCol w:w="98"/>
        <w:gridCol w:w="79"/>
        <w:gridCol w:w="385"/>
        <w:gridCol w:w="1544"/>
        <w:gridCol w:w="74"/>
      </w:tblGrid>
      <w:tr>
        <w:trPr/>
        <w:tc>
          <w:tcPr>
            <w:tcW w:w="87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rPr/>
            </w:pPr>
            <w:r>
              <w:rPr/>
              <w:t> </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67"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r>
      <w:tr>
        <w:trPr/>
        <w:tc>
          <w:tcPr>
            <w:tcW w:w="87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980"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Restricted Stock</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980"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PBRS</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936"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PDRS</w:t>
            </w:r>
          </w:p>
        </w:tc>
        <w:tc>
          <w:tcPr>
            <w:tcW w:w="74" w:type="dxa"/>
            <w:tcBorders/>
            <w:shd w:fill="auto" w:val="clear"/>
            <w:vAlign w:val="bottom"/>
          </w:tcPr>
          <w:p>
            <w:pPr>
              <w:pStyle w:val="TableContents"/>
              <w:spacing w:before="0" w:after="283"/>
              <w:rPr/>
            </w:pPr>
            <w:r>
              <w:rPr/>
              <w:t> </w:t>
            </w:r>
          </w:p>
        </w:tc>
      </w:tr>
      <w:tr>
        <w:trPr/>
        <w:tc>
          <w:tcPr>
            <w:tcW w:w="87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shd w:fill="auto" w:val="clear"/>
            <w:vAlign w:val="bottom"/>
          </w:tcPr>
          <w:p>
            <w:pPr>
              <w:pStyle w:val="TableContents"/>
              <w:spacing w:before="0" w:after="283"/>
              <w:jc w:val="center"/>
              <w:rPr>
                <w:b/>
              </w:rPr>
            </w:pPr>
            <w:r>
              <w:rPr>
                <w:b/>
              </w:rPr>
              <w:t>Weighted-Average</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shd w:fill="auto" w:val="clear"/>
            <w:vAlign w:val="bottom"/>
          </w:tcPr>
          <w:p>
            <w:pPr>
              <w:pStyle w:val="TableContents"/>
              <w:spacing w:before="0" w:after="283"/>
              <w:jc w:val="center"/>
              <w:rPr>
                <w:b/>
              </w:rPr>
            </w:pPr>
            <w:r>
              <w:rPr>
                <w:b/>
              </w:rPr>
              <w:t>Weighted-Average</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67"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shd w:fill="auto" w:val="clear"/>
            <w:vAlign w:val="bottom"/>
          </w:tcPr>
          <w:p>
            <w:pPr>
              <w:pStyle w:val="TableContents"/>
              <w:spacing w:before="0" w:after="283"/>
              <w:jc w:val="center"/>
              <w:rPr>
                <w:b/>
              </w:rPr>
            </w:pPr>
            <w:r>
              <w:rPr>
                <w:b/>
              </w:rPr>
              <w:t>Weighted-Average</w:t>
            </w:r>
          </w:p>
        </w:tc>
        <w:tc>
          <w:tcPr>
            <w:tcW w:w="74" w:type="dxa"/>
            <w:tcBorders/>
            <w:shd w:fill="auto" w:val="clear"/>
            <w:vAlign w:val="bottom"/>
          </w:tcPr>
          <w:p>
            <w:pPr>
              <w:pStyle w:val="TableContents"/>
              <w:spacing w:before="0" w:after="283"/>
              <w:rPr/>
            </w:pPr>
            <w:r>
              <w:rPr/>
              <w:t> </w:t>
            </w:r>
          </w:p>
        </w:tc>
      </w:tr>
      <w:tr>
        <w:trPr/>
        <w:tc>
          <w:tcPr>
            <w:tcW w:w="87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shd w:fill="auto" w:val="clear"/>
            <w:vAlign w:val="bottom"/>
          </w:tcPr>
          <w:p>
            <w:pPr>
              <w:pStyle w:val="TableContents"/>
              <w:spacing w:before="0" w:after="283"/>
              <w:jc w:val="center"/>
              <w:rPr>
                <w:b/>
              </w:rPr>
            </w:pPr>
            <w:r>
              <w:rPr>
                <w:b/>
              </w:rPr>
              <w:t>Grant Date</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shd w:fill="auto" w:val="clear"/>
            <w:vAlign w:val="bottom"/>
          </w:tcPr>
          <w:p>
            <w:pPr>
              <w:pStyle w:val="TableContents"/>
              <w:spacing w:before="0" w:after="283"/>
              <w:jc w:val="center"/>
              <w:rPr>
                <w:b/>
              </w:rPr>
            </w:pPr>
            <w:r>
              <w:rPr>
                <w:b/>
              </w:rPr>
              <w:t>Grant Date</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67"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shd w:fill="auto" w:val="clear"/>
            <w:vAlign w:val="bottom"/>
          </w:tcPr>
          <w:p>
            <w:pPr>
              <w:pStyle w:val="TableContents"/>
              <w:spacing w:before="0" w:after="283"/>
              <w:jc w:val="center"/>
              <w:rPr>
                <w:b/>
              </w:rPr>
            </w:pPr>
            <w:r>
              <w:rPr>
                <w:b/>
              </w:rPr>
              <w:t>Grant Date</w:t>
            </w:r>
          </w:p>
        </w:tc>
        <w:tc>
          <w:tcPr>
            <w:tcW w:w="74" w:type="dxa"/>
            <w:tcBorders/>
            <w:shd w:fill="auto" w:val="clear"/>
            <w:vAlign w:val="bottom"/>
          </w:tcPr>
          <w:p>
            <w:pPr>
              <w:pStyle w:val="TableContents"/>
              <w:spacing w:before="0" w:after="283"/>
              <w:rPr/>
            </w:pPr>
            <w:r>
              <w:rPr/>
              <w:t> </w:t>
            </w:r>
          </w:p>
        </w:tc>
      </w:tr>
      <w:tr>
        <w:trPr/>
        <w:tc>
          <w:tcPr>
            <w:tcW w:w="87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87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Fair Value</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87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Fair Value</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83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92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Fair Value</w:t>
            </w:r>
          </w:p>
        </w:tc>
        <w:tc>
          <w:tcPr>
            <w:tcW w:w="74" w:type="dxa"/>
            <w:tcBorders/>
            <w:shd w:fill="auto" w:val="clear"/>
            <w:vAlign w:val="bottom"/>
          </w:tcPr>
          <w:p>
            <w:pPr>
              <w:pStyle w:val="TableContents"/>
              <w:spacing w:before="0" w:after="283"/>
              <w:rPr/>
            </w:pPr>
            <w:r>
              <w:rPr/>
              <w:t> </w:t>
            </w:r>
          </w:p>
        </w:tc>
      </w:tr>
      <w:tr>
        <w:trPr/>
        <w:tc>
          <w:tcPr>
            <w:tcW w:w="873" w:type="dxa"/>
            <w:tcBorders/>
            <w:shd w:fill="CCEEFF" w:val="clear"/>
            <w:vAlign w:val="bottom"/>
          </w:tcPr>
          <w:p>
            <w:pPr>
              <w:pStyle w:val="TableContents"/>
              <w:spacing w:before="0" w:after="0"/>
              <w:ind w:left="225" w:right="0" w:hanging="225"/>
              <w:rPr/>
            </w:pPr>
            <w:r>
              <w:rPr/>
              <w:t>Balance at January 1, 2006</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165,050</w:t>
            </w:r>
          </w:p>
        </w:tc>
        <w:tc>
          <w:tcPr>
            <w:tcW w:w="9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left"/>
              <w:rPr/>
            </w:pPr>
            <w:r>
              <w:rPr/>
              <w:t>$</w:t>
            </w:r>
          </w:p>
        </w:tc>
        <w:tc>
          <w:tcPr>
            <w:tcW w:w="1544" w:type="dxa"/>
            <w:tcBorders/>
            <w:shd w:fill="CCEEFF" w:val="clear"/>
            <w:vAlign w:val="bottom"/>
          </w:tcPr>
          <w:p>
            <w:pPr>
              <w:pStyle w:val="TableContents"/>
              <w:spacing w:before="0" w:after="283"/>
              <w:jc w:val="right"/>
              <w:rPr/>
            </w:pPr>
            <w:r>
              <w:rPr/>
              <w:t>24.38</w:t>
            </w:r>
          </w:p>
        </w:tc>
        <w:tc>
          <w:tcPr>
            <w:tcW w:w="63"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114,682</w:t>
            </w:r>
          </w:p>
        </w:tc>
        <w:tc>
          <w:tcPr>
            <w:tcW w:w="9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left"/>
              <w:rPr/>
            </w:pPr>
            <w:r>
              <w:rPr/>
              <w:t>$</w:t>
            </w:r>
          </w:p>
        </w:tc>
        <w:tc>
          <w:tcPr>
            <w:tcW w:w="1544" w:type="dxa"/>
            <w:tcBorders/>
            <w:shd w:fill="CCEEFF" w:val="clear"/>
            <w:vAlign w:val="bottom"/>
          </w:tcPr>
          <w:p>
            <w:pPr>
              <w:pStyle w:val="TableContents"/>
              <w:spacing w:before="0" w:after="283"/>
              <w:jc w:val="right"/>
              <w:rPr/>
            </w:pPr>
            <w:r>
              <w:rPr/>
              <w:t>25.04</w:t>
            </w:r>
          </w:p>
        </w:tc>
        <w:tc>
          <w:tcPr>
            <w:tcW w:w="6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767" w:type="dxa"/>
            <w:tcBorders/>
            <w:shd w:fill="CCEEFF" w:val="clear"/>
            <w:vAlign w:val="bottom"/>
          </w:tcPr>
          <w:p>
            <w:pPr>
              <w:pStyle w:val="TableContents"/>
              <w:spacing w:before="0" w:after="283"/>
              <w:jc w:val="right"/>
              <w:rPr/>
            </w:pPr>
            <w:r>
              <w:rPr/>
              <w:t>13,734</w:t>
            </w:r>
          </w:p>
        </w:tc>
        <w:tc>
          <w:tcPr>
            <w:tcW w:w="9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left"/>
              <w:rPr/>
            </w:pPr>
            <w:r>
              <w:rPr/>
              <w:t>$</w:t>
            </w:r>
          </w:p>
        </w:tc>
        <w:tc>
          <w:tcPr>
            <w:tcW w:w="1544" w:type="dxa"/>
            <w:tcBorders/>
            <w:shd w:fill="CCEEFF" w:val="clear"/>
            <w:vAlign w:val="bottom"/>
          </w:tcPr>
          <w:p>
            <w:pPr>
              <w:pStyle w:val="TableContents"/>
              <w:spacing w:before="0" w:after="283"/>
              <w:jc w:val="right"/>
              <w:rPr/>
            </w:pPr>
            <w:r>
              <w:rPr/>
              <w:t>22.76</w:t>
            </w:r>
          </w:p>
        </w:tc>
        <w:tc>
          <w:tcPr>
            <w:tcW w:w="74" w:type="dxa"/>
            <w:tcBorders/>
            <w:shd w:fill="CCEEFF" w:val="clear"/>
            <w:vAlign w:val="bottom"/>
          </w:tcPr>
          <w:p>
            <w:pPr>
              <w:pStyle w:val="TableContents"/>
              <w:spacing w:before="0" w:after="283"/>
              <w:rPr/>
            </w:pPr>
            <w:r>
              <w:rPr/>
              <w:t> </w:t>
            </w:r>
          </w:p>
        </w:tc>
      </w:tr>
      <w:tr>
        <w:trPr/>
        <w:tc>
          <w:tcPr>
            <w:tcW w:w="873" w:type="dxa"/>
            <w:tcBorders/>
            <w:shd w:fill="auto" w:val="clear"/>
            <w:vAlign w:val="bottom"/>
          </w:tcPr>
          <w:p>
            <w:pPr>
              <w:pStyle w:val="TableContents"/>
              <w:spacing w:before="0" w:after="0"/>
              <w:ind w:left="225" w:right="0" w:hanging="225"/>
              <w:rPr/>
            </w:pPr>
            <w:r>
              <w:rPr/>
              <w:t>Granted</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142,350</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jc w:val="right"/>
              <w:rPr/>
            </w:pPr>
            <w:r>
              <w:rPr/>
              <w:t>32.63</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58,200</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jc w:val="right"/>
              <w:rPr/>
            </w:pPr>
            <w:r>
              <w:rPr/>
              <w:t>32.60</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67" w:type="dxa"/>
            <w:tcBorders/>
            <w:shd w:fill="auto" w:val="clear"/>
            <w:vAlign w:val="bottom"/>
          </w:tcPr>
          <w:p>
            <w:pPr>
              <w:pStyle w:val="TableContents"/>
              <w:spacing w:before="0" w:after="283"/>
              <w:jc w:val="right"/>
              <w:rPr/>
            </w:pPr>
            <w:r>
              <w:rPr/>
              <w:t></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jc w:val="right"/>
              <w:rPr/>
            </w:pPr>
            <w:r>
              <w:rPr/>
              <w:t></w:t>
            </w:r>
          </w:p>
        </w:tc>
        <w:tc>
          <w:tcPr>
            <w:tcW w:w="74" w:type="dxa"/>
            <w:tcBorders/>
            <w:shd w:fill="auto" w:val="clear"/>
            <w:vAlign w:val="bottom"/>
          </w:tcPr>
          <w:p>
            <w:pPr>
              <w:pStyle w:val="TableContents"/>
              <w:spacing w:before="0" w:after="283"/>
              <w:rPr/>
            </w:pPr>
            <w:r>
              <w:rPr/>
              <w:t> </w:t>
            </w:r>
          </w:p>
        </w:tc>
      </w:tr>
      <w:tr>
        <w:trPr/>
        <w:tc>
          <w:tcPr>
            <w:tcW w:w="873" w:type="dxa"/>
            <w:tcBorders/>
            <w:shd w:fill="CCEEFF" w:val="clear"/>
            <w:vAlign w:val="bottom"/>
          </w:tcPr>
          <w:p>
            <w:pPr>
              <w:pStyle w:val="TableContents"/>
              <w:spacing w:before="0" w:after="0"/>
              <w:ind w:left="225" w:right="0" w:hanging="225"/>
              <w:rPr/>
            </w:pPr>
            <w:r>
              <w:rPr/>
              <w:t>Vested</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(38,800</w:t>
            </w:r>
          </w:p>
        </w:tc>
        <w:tc>
          <w:tcPr>
            <w:tcW w:w="98"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4" w:type="dxa"/>
            <w:tcBorders/>
            <w:shd w:fill="CCEEFF" w:val="clear"/>
            <w:vAlign w:val="bottom"/>
          </w:tcPr>
          <w:p>
            <w:pPr>
              <w:pStyle w:val="TableContents"/>
              <w:spacing w:before="0" w:after="283"/>
              <w:jc w:val="right"/>
              <w:rPr/>
            </w:pPr>
            <w:r>
              <w:rPr/>
              <w:t>19.57</w:t>
            </w:r>
          </w:p>
        </w:tc>
        <w:tc>
          <w:tcPr>
            <w:tcW w:w="63"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(51,752</w:t>
            </w:r>
          </w:p>
        </w:tc>
        <w:tc>
          <w:tcPr>
            <w:tcW w:w="98"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4" w:type="dxa"/>
            <w:tcBorders/>
            <w:shd w:fill="CCEEFF" w:val="clear"/>
            <w:vAlign w:val="bottom"/>
          </w:tcPr>
          <w:p>
            <w:pPr>
              <w:pStyle w:val="TableContents"/>
              <w:spacing w:before="0" w:after="283"/>
              <w:jc w:val="right"/>
              <w:rPr/>
            </w:pPr>
            <w:r>
              <w:rPr/>
              <w:t>23.94</w:t>
            </w:r>
          </w:p>
        </w:tc>
        <w:tc>
          <w:tcPr>
            <w:tcW w:w="6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jc w:val="left"/>
              <w:rPr/>
            </w:pPr>
            <w:r>
              <w:rPr/>
              <w:t> </w:t>
            </w:r>
          </w:p>
        </w:tc>
        <w:tc>
          <w:tcPr>
            <w:tcW w:w="767" w:type="dxa"/>
            <w:tcBorders/>
            <w:shd w:fill="CCEEFF" w:val="clear"/>
            <w:vAlign w:val="bottom"/>
          </w:tcPr>
          <w:p>
            <w:pPr>
              <w:pStyle w:val="TableContents"/>
              <w:spacing w:before="0" w:after="283"/>
              <w:jc w:val="right"/>
              <w:rPr/>
            </w:pPr>
            <w:r>
              <w:rPr/>
              <w:t>(13,734</w:t>
            </w:r>
          </w:p>
        </w:tc>
        <w:tc>
          <w:tcPr>
            <w:tcW w:w="98"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4" w:type="dxa"/>
            <w:tcBorders/>
            <w:shd w:fill="CCEEFF" w:val="clear"/>
            <w:vAlign w:val="bottom"/>
          </w:tcPr>
          <w:p>
            <w:pPr>
              <w:pStyle w:val="TableContents"/>
              <w:spacing w:before="0" w:after="283"/>
              <w:jc w:val="right"/>
              <w:rPr/>
            </w:pPr>
            <w:r>
              <w:rPr/>
              <w:t>22.76</w:t>
            </w:r>
          </w:p>
        </w:tc>
        <w:tc>
          <w:tcPr>
            <w:tcW w:w="74" w:type="dxa"/>
            <w:tcBorders/>
            <w:shd w:fill="CCEEFF" w:val="clear"/>
            <w:vAlign w:val="bottom"/>
          </w:tcPr>
          <w:p>
            <w:pPr>
              <w:pStyle w:val="TableContents"/>
              <w:spacing w:before="0" w:after="283"/>
              <w:rPr/>
            </w:pPr>
            <w:r>
              <w:rPr/>
              <w:t> </w:t>
            </w:r>
          </w:p>
        </w:tc>
      </w:tr>
      <w:tr>
        <w:trPr/>
        <w:tc>
          <w:tcPr>
            <w:tcW w:w="873" w:type="dxa"/>
            <w:tcBorders/>
            <w:shd w:fill="auto" w:val="clear"/>
            <w:vAlign w:val="bottom"/>
          </w:tcPr>
          <w:p>
            <w:pPr>
              <w:pStyle w:val="TableContents"/>
              <w:spacing w:before="0" w:after="0"/>
              <w:ind w:left="225" w:right="0" w:hanging="225"/>
              <w:rPr/>
            </w:pPr>
            <w:r>
              <w:rPr/>
              <w:t>Forfeited</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jc w:val="left"/>
              <w:rPr/>
            </w:pPr>
            <w:r>
              <w:rPr/>
              <w:t> </w:t>
            </w:r>
          </w:p>
        </w:tc>
        <w:tc>
          <w:tcPr>
            <w:tcW w:w="811" w:type="dxa"/>
            <w:tcBorders/>
            <w:shd w:fill="auto" w:val="clear"/>
            <w:vAlign w:val="bottom"/>
          </w:tcPr>
          <w:p>
            <w:pPr>
              <w:pStyle w:val="TableContents"/>
              <w:spacing w:before="0" w:after="283"/>
              <w:jc w:val="right"/>
              <w:rPr/>
            </w:pPr>
            <w:r>
              <w:rPr/>
              <w:t>(16,625</w:t>
            </w:r>
          </w:p>
        </w:tc>
        <w:tc>
          <w:tcPr>
            <w:tcW w:w="98"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jc w:val="right"/>
              <w:rPr/>
            </w:pPr>
            <w:r>
              <w:rPr/>
              <w:t>28.77</w:t>
            </w:r>
          </w:p>
        </w:tc>
        <w:tc>
          <w:tcPr>
            <w:tcW w:w="63"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jc w:val="left"/>
              <w:rPr/>
            </w:pPr>
            <w:r>
              <w:rPr/>
              <w:t> </w:t>
            </w:r>
          </w:p>
        </w:tc>
        <w:tc>
          <w:tcPr>
            <w:tcW w:w="811" w:type="dxa"/>
            <w:tcBorders/>
            <w:shd w:fill="auto" w:val="clear"/>
            <w:vAlign w:val="bottom"/>
          </w:tcPr>
          <w:p>
            <w:pPr>
              <w:pStyle w:val="TableContents"/>
              <w:spacing w:before="0" w:after="283"/>
              <w:jc w:val="right"/>
              <w:rPr/>
            </w:pPr>
            <w:r>
              <w:rPr/>
              <w:t>(11,116</w:t>
            </w:r>
          </w:p>
        </w:tc>
        <w:tc>
          <w:tcPr>
            <w:tcW w:w="98"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jc w:val="right"/>
              <w:rPr/>
            </w:pPr>
            <w:r>
              <w:rPr/>
              <w:t>29.03</w:t>
            </w:r>
          </w:p>
        </w:tc>
        <w:tc>
          <w:tcPr>
            <w:tcW w:w="6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767" w:type="dxa"/>
            <w:tcBorders/>
            <w:shd w:fill="auto" w:val="clear"/>
            <w:vAlign w:val="bottom"/>
          </w:tcPr>
          <w:p>
            <w:pPr>
              <w:pStyle w:val="TableContents"/>
              <w:spacing w:before="0" w:after="283"/>
              <w:jc w:val="right"/>
              <w:rPr/>
            </w:pPr>
            <w:r>
              <w:rPr/>
              <w:t></w:t>
            </w:r>
          </w:p>
        </w:tc>
        <w:tc>
          <w:tcPr>
            <w:tcW w:w="98"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4" w:type="dxa"/>
            <w:tcBorders/>
            <w:shd w:fill="auto" w:val="clear"/>
            <w:vAlign w:val="bottom"/>
          </w:tcPr>
          <w:p>
            <w:pPr>
              <w:pStyle w:val="TableContents"/>
              <w:spacing w:before="0" w:after="283"/>
              <w:jc w:val="right"/>
              <w:rPr/>
            </w:pPr>
            <w:r>
              <w:rPr/>
              <w:t></w:t>
            </w:r>
          </w:p>
        </w:tc>
        <w:tc>
          <w:tcPr>
            <w:tcW w:w="74" w:type="dxa"/>
            <w:tcBorders/>
            <w:shd w:fill="auto" w:val="clear"/>
            <w:vAlign w:val="bottom"/>
          </w:tcPr>
          <w:p>
            <w:pPr>
              <w:pStyle w:val="TableContents"/>
              <w:spacing w:before="0" w:after="283"/>
              <w:rPr/>
            </w:pPr>
            <w:r>
              <w:rPr/>
              <w:t> </w:t>
            </w:r>
          </w:p>
        </w:tc>
      </w:tr>
      <w:tr>
        <w:trPr/>
        <w:tc>
          <w:tcPr>
            <w:tcW w:w="873" w:type="dxa"/>
            <w:tcBorders/>
            <w:shd w:fill="auto" w:val="clear"/>
            <w:vAlign w:val="center"/>
          </w:tcPr>
          <w:p>
            <w:pPr>
              <w:pStyle w:val="TableContents"/>
              <w:spacing w:before="0" w:after="0"/>
              <w:ind w:left="225" w:right="0" w:hanging="225"/>
              <w:rPr/>
            </w:pPr>
            <w:r>
              <w:rPr/>
              <w:t> </w:t>
            </w:r>
          </w:p>
        </w:tc>
        <w:tc>
          <w:tcPr>
            <w:tcW w:w="79" w:type="dxa"/>
            <w:tcBorders/>
            <w:shd w:fill="auto" w:val="clear"/>
            <w:vAlign w:val="center"/>
          </w:tcPr>
          <w:p>
            <w:pPr>
              <w:pStyle w:val="TableContents"/>
              <w:spacing w:before="0" w:after="283"/>
              <w:rPr/>
            </w:pPr>
            <w:r>
              <w:rPr/>
              <w:t> </w:t>
            </w:r>
          </w:p>
        </w:tc>
        <w:tc>
          <w:tcPr>
            <w:tcW w:w="8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8"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4"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8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8"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4" w:type="dxa"/>
            <w:tcBorders/>
            <w:shd w:fill="auto" w:val="clear"/>
            <w:vAlign w:val="center"/>
          </w:tcPr>
          <w:p>
            <w:pPr>
              <w:pStyle w:val="TableContents"/>
              <w:spacing w:before="0" w:after="283"/>
              <w:rPr/>
            </w:pPr>
            <w:r>
              <w:rPr/>
              <w:t> </w:t>
            </w:r>
          </w:p>
        </w:tc>
        <w:tc>
          <w:tcPr>
            <w:tcW w:w="6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8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8"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r>
      <w:tr>
        <w:trPr/>
        <w:tc>
          <w:tcPr>
            <w:tcW w:w="873" w:type="dxa"/>
            <w:tcBorders/>
            <w:shd w:fill="CCEEFF" w:val="clear"/>
            <w:vAlign w:val="bottom"/>
          </w:tcPr>
          <w:p>
            <w:pPr>
              <w:pStyle w:val="TableContents"/>
              <w:spacing w:before="0" w:after="0"/>
              <w:ind w:left="225" w:right="0" w:hanging="225"/>
              <w:rPr/>
            </w:pPr>
            <w:r>
              <w:rPr/>
              <w:t>Balance at March 31, 2006</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251,975</w:t>
            </w:r>
          </w:p>
        </w:tc>
        <w:tc>
          <w:tcPr>
            <w:tcW w:w="9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4" w:type="dxa"/>
            <w:tcBorders/>
            <w:shd w:fill="CCEEFF" w:val="clear"/>
            <w:vAlign w:val="bottom"/>
          </w:tcPr>
          <w:p>
            <w:pPr>
              <w:pStyle w:val="TableContents"/>
              <w:spacing w:before="0" w:after="283"/>
              <w:jc w:val="right"/>
              <w:rPr/>
            </w:pPr>
            <w:r>
              <w:rPr/>
              <w:t>29.49</w:t>
            </w:r>
          </w:p>
        </w:tc>
        <w:tc>
          <w:tcPr>
            <w:tcW w:w="63"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110,014</w:t>
            </w:r>
          </w:p>
        </w:tc>
        <w:tc>
          <w:tcPr>
            <w:tcW w:w="9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4" w:type="dxa"/>
            <w:tcBorders/>
            <w:shd w:fill="CCEEFF" w:val="clear"/>
            <w:vAlign w:val="bottom"/>
          </w:tcPr>
          <w:p>
            <w:pPr>
              <w:pStyle w:val="TableContents"/>
              <w:spacing w:before="0" w:after="283"/>
              <w:jc w:val="right"/>
              <w:rPr/>
            </w:pPr>
            <w:r>
              <w:rPr/>
              <w:t>29.15</w:t>
            </w:r>
          </w:p>
        </w:tc>
        <w:tc>
          <w:tcPr>
            <w:tcW w:w="6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767" w:type="dxa"/>
            <w:tcBorders/>
            <w:shd w:fill="CCEEFF" w:val="clear"/>
            <w:vAlign w:val="bottom"/>
          </w:tcPr>
          <w:p>
            <w:pPr>
              <w:pStyle w:val="TableContents"/>
              <w:spacing w:before="0" w:after="283"/>
              <w:jc w:val="right"/>
              <w:rPr/>
            </w:pPr>
            <w:r>
              <w:rPr/>
              <w:t></w:t>
            </w:r>
          </w:p>
        </w:tc>
        <w:tc>
          <w:tcPr>
            <w:tcW w:w="98"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4" w:type="dxa"/>
            <w:tcBorders/>
            <w:shd w:fill="CCEEFF" w:val="clear"/>
            <w:vAlign w:val="bottom"/>
          </w:tcPr>
          <w:p>
            <w:pPr>
              <w:pStyle w:val="TableContents"/>
              <w:spacing w:before="0" w:after="283"/>
              <w:jc w:val="right"/>
              <w:rPr/>
            </w:pPr>
            <w:r>
              <w:rPr/>
              <w:t></w:t>
            </w:r>
          </w:p>
        </w:tc>
        <w:tc>
          <w:tcPr>
            <w:tcW w:w="74" w:type="dxa"/>
            <w:tcBorders/>
            <w:shd w:fill="CCEEFF" w:val="clear"/>
            <w:vAlign w:val="bottom"/>
          </w:tcPr>
          <w:p>
            <w:pPr>
              <w:pStyle w:val="TableContents"/>
              <w:spacing w:before="0" w:after="283"/>
              <w:rPr/>
            </w:pPr>
            <w:r>
              <w:rPr/>
              <w:t> </w:t>
            </w:r>
          </w:p>
        </w:tc>
      </w:tr>
      <w:tr>
        <w:trPr/>
        <w:tc>
          <w:tcPr>
            <w:tcW w:w="873" w:type="dxa"/>
            <w:tcBorders/>
            <w:shd w:fill="auto" w:val="clear"/>
            <w:vAlign w:val="center"/>
          </w:tcPr>
          <w:p>
            <w:pPr>
              <w:pStyle w:val="TableContents"/>
              <w:spacing w:before="0" w:after="0"/>
              <w:ind w:left="225" w:right="0" w:hanging="225"/>
              <w:rPr/>
            </w:pPr>
            <w:r>
              <w:rPr/>
              <w:t> </w:t>
            </w:r>
          </w:p>
        </w:tc>
        <w:tc>
          <w:tcPr>
            <w:tcW w:w="79" w:type="dxa"/>
            <w:tcBorders/>
            <w:shd w:fill="auto" w:val="clear"/>
            <w:vAlign w:val="center"/>
          </w:tcPr>
          <w:p>
            <w:pPr>
              <w:pStyle w:val="TableContents"/>
              <w:spacing w:before="0" w:after="283"/>
              <w:rPr/>
            </w:pPr>
            <w:r>
              <w:rPr/>
              <w:t> </w:t>
            </w:r>
          </w:p>
        </w:tc>
        <w:tc>
          <w:tcPr>
            <w:tcW w:w="8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8"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4"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8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8"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4" w:type="dxa"/>
            <w:tcBorders/>
            <w:shd w:fill="auto" w:val="clear"/>
            <w:vAlign w:val="center"/>
          </w:tcPr>
          <w:p>
            <w:pPr>
              <w:pStyle w:val="TableContents"/>
              <w:spacing w:before="0" w:after="283"/>
              <w:rPr/>
            </w:pPr>
            <w:r>
              <w:rPr/>
              <w:t> </w:t>
            </w:r>
          </w:p>
        </w:tc>
        <w:tc>
          <w:tcPr>
            <w:tcW w:w="6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8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8"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During the three months ended March 31, 2006 and 2005, Viad granted performance unit incentive plan (PUP) awards to key employees pursuant to the Omnibus Plan. PUP awards are earned based on the level of achievement of predefined performance goals over the performance period which is three years. To the extent earned, the PUP awards will be settled in cash based on the market price of Viads common stock. PUP units granted during the three months ended March 31, 2006 and 2005 were 84,080 and 130,900, respectively. The aggregate liability related to PUP awards is recorded at estimated fair value based on the number of awards expected to vest, and is remeasured on each balance sheet date until the time of cash settlement. As of March 31, 2006, Viad had recorded a liability of $2.9 million related to the PUP program. Share-based compensation expense related to PUP awards is recognized ratably over the requisite service period, which is approximately three years. There were no PUP awards which vested during the three months ended March 31, 2006 or 2005. Furthermore, there were no cash settlements related to PUP awards during such periods.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3. Impairment Losses and Recoveries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the third quarter of 2005, GESs operations in New Orleans were severely impacted by Hurricane Katrina and related events. As a result, management made an estimate of the damage to GESs New Orleans property and recorded asset impairment and related losses of $843,000. During the three months ended March 31, 2006, Viad recorded insurance recoveries of $843,000 ($508,000 after-tax) related to claims associated with Hurricane Katrina. The final resolution of these claims remains pending with Viads insurance carriers, and the amounts of additional recoveries, if any, remain uncertain.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4. Gains on Sale of Corporate Assets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January 2005, Viad sold a 50 percent interest in its corporate aircraft to a former subsidiary, MoneyGram International, Inc. (MoneyGram), for $8.6 million in cash. No gain or loss was recorded in connection with the transaction. In January 2006, Viad sold its remaining 50 percent interest in its corporate aircraft and certain related equipment to MoneyGram for $10.0 million in cash, resulting in a gain of $1.7 million. See Note 15. </w:t>
      </w:r>
    </w:p>
    <w:p>
      <w:pPr>
        <w:pStyle w:val="TextBody"/>
        <w:spacing w:before="120" w:after="283"/>
        <w:jc w:val="left"/>
        <w:rPr/>
      </w:pPr>
      <w:r>
        <w:rPr/>
        <w:t>     </w:t>
      </w:r>
      <w:r>
        <w:rPr>
          <w:rFonts w:ascii="Times New Roman;Times;serif" w:hAnsi="Times New Roman;Times;serif"/>
          <w:sz w:val="17"/>
        </w:rPr>
        <w:t xml:space="preserve">Also in January 2006, Viad sold certain undeveloped land in Phoenix, Arizona for $2.9 million in cash to an unrelated third party, resulting in a gain of $1.7 million. </w:t>
      </w:r>
    </w:p>
    <w:p>
      <w:pPr>
        <w:pStyle w:val="TextBody"/>
        <w:jc w:val="center"/>
        <w:rPr>
          <w:rFonts w:ascii="Times New Roman;Times;serif" w:hAnsi="Times New Roman;Times;serif"/>
          <w:sz w:val="17"/>
        </w:rPr>
      </w:pPr>
      <w:r>
        <w:rPr>
          <w:rFonts w:ascii="Times New Roman;Times;serif" w:hAnsi="Times New Roman;Times;serif"/>
          <w:sz w:val="17"/>
        </w:rPr>
        <w:t xml:space="preserve">Page 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5. Inventories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components of inventories were as follows: </w:t>
      </w:r>
    </w:p>
    <w:tbl>
      <w:tblPr>
        <w:tblW w:w="5000" w:type="pct"/>
        <w:jc w:val="center"/>
        <w:tblInd w:w="0" w:type="dxa"/>
        <w:tblCellMar>
          <w:top w:w="0" w:type="dxa"/>
          <w:left w:w="0" w:type="dxa"/>
          <w:bottom w:w="0" w:type="dxa"/>
          <w:right w:w="0" w:type="dxa"/>
        </w:tblCellMar>
      </w:tblPr>
      <w:tblGrid>
        <w:gridCol w:w="6451"/>
        <w:gridCol w:w="427"/>
        <w:gridCol w:w="204"/>
        <w:gridCol w:w="1005"/>
        <w:gridCol w:w="118"/>
        <w:gridCol w:w="427"/>
        <w:gridCol w:w="245"/>
        <w:gridCol w:w="1204"/>
        <w:gridCol w:w="124"/>
      </w:tblGrid>
      <w:tr>
        <w:trPr/>
        <w:tc>
          <w:tcPr>
            <w:tcW w:w="6451"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2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6451"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209" w:type="dxa"/>
            <w:gridSpan w:val="2"/>
            <w:tcBorders/>
            <w:shd w:fill="auto" w:val="clear"/>
            <w:vAlign w:val="bottom"/>
          </w:tcPr>
          <w:p>
            <w:pPr>
              <w:pStyle w:val="TableContents"/>
              <w:spacing w:before="0" w:after="283"/>
              <w:jc w:val="center"/>
              <w:rPr>
                <w:b/>
              </w:rPr>
            </w:pPr>
            <w:r>
              <w:rPr>
                <w:b/>
              </w:rPr>
              <w:t>March 31,</w:t>
            </w:r>
          </w:p>
        </w:tc>
        <w:tc>
          <w:tcPr>
            <w:tcW w:w="11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449" w:type="dxa"/>
            <w:gridSpan w:val="2"/>
            <w:tcBorders/>
            <w:shd w:fill="auto" w:val="clear"/>
            <w:vAlign w:val="bottom"/>
          </w:tcPr>
          <w:p>
            <w:pPr>
              <w:pStyle w:val="TableContents"/>
              <w:spacing w:before="0" w:after="283"/>
              <w:jc w:val="center"/>
              <w:rPr>
                <w:b/>
              </w:rPr>
            </w:pPr>
            <w:r>
              <w:rPr>
                <w:b/>
              </w:rPr>
              <w:t>December 31,</w:t>
            </w:r>
          </w:p>
        </w:tc>
        <w:tc>
          <w:tcPr>
            <w:tcW w:w="124" w:type="dxa"/>
            <w:tcBorders/>
            <w:shd w:fill="auto" w:val="clear"/>
            <w:vAlign w:val="bottom"/>
          </w:tcPr>
          <w:p>
            <w:pPr>
              <w:pStyle w:val="TableContents"/>
              <w:spacing w:before="0" w:after="283"/>
              <w:rPr/>
            </w:pPr>
            <w:r>
              <w:rPr/>
              <w:t> </w:t>
            </w:r>
          </w:p>
        </w:tc>
      </w:tr>
      <w:tr>
        <w:trPr/>
        <w:tc>
          <w:tcPr>
            <w:tcW w:w="6451"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20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44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4" w:type="dxa"/>
            <w:tcBorders/>
            <w:shd w:fill="auto" w:val="clear"/>
            <w:vAlign w:val="bottom"/>
          </w:tcPr>
          <w:p>
            <w:pPr>
              <w:pStyle w:val="TableContents"/>
              <w:spacing w:before="0" w:after="283"/>
              <w:rPr/>
            </w:pPr>
            <w:r>
              <w:rPr/>
              <w:t> </w:t>
            </w:r>
          </w:p>
        </w:tc>
      </w:tr>
      <w:tr>
        <w:trPr/>
        <w:tc>
          <w:tcPr>
            <w:tcW w:w="6451"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3203" w:type="dxa"/>
            <w:gridSpan w:val="6"/>
            <w:tcBorders/>
            <w:shd w:fill="auto" w:val="clear"/>
            <w:vAlign w:val="bottom"/>
          </w:tcPr>
          <w:p>
            <w:pPr>
              <w:pStyle w:val="TableContents"/>
              <w:spacing w:before="0" w:after="283"/>
              <w:jc w:val="center"/>
              <w:rPr>
                <w:b/>
              </w:rPr>
            </w:pPr>
            <w:r>
              <w:rPr>
                <w:b/>
              </w:rPr>
              <w:t>(in thousands)</w:t>
            </w:r>
          </w:p>
        </w:tc>
        <w:tc>
          <w:tcPr>
            <w:tcW w:w="124" w:type="dxa"/>
            <w:tcBorders/>
            <w:shd w:fill="auto" w:val="clear"/>
            <w:vAlign w:val="bottom"/>
          </w:tcPr>
          <w:p>
            <w:pPr>
              <w:pStyle w:val="TableContents"/>
              <w:spacing w:before="0" w:after="283"/>
              <w:rPr/>
            </w:pPr>
            <w:r>
              <w:rPr/>
              <w:t> </w:t>
            </w:r>
          </w:p>
        </w:tc>
      </w:tr>
      <w:tr>
        <w:trPr/>
        <w:tc>
          <w:tcPr>
            <w:tcW w:w="6451" w:type="dxa"/>
            <w:tcBorders/>
            <w:shd w:fill="CCEEFF" w:val="clear"/>
            <w:vAlign w:val="bottom"/>
          </w:tcPr>
          <w:p>
            <w:pPr>
              <w:pStyle w:val="TableContents"/>
              <w:spacing w:before="0" w:after="0"/>
              <w:ind w:left="225" w:right="0" w:hanging="225"/>
              <w:rPr/>
            </w:pPr>
            <w:r>
              <w:rPr/>
              <w:t>Raw materials</w:t>
            </w:r>
          </w:p>
        </w:tc>
        <w:tc>
          <w:tcPr>
            <w:tcW w:w="427"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w:t>
            </w:r>
          </w:p>
        </w:tc>
        <w:tc>
          <w:tcPr>
            <w:tcW w:w="1005" w:type="dxa"/>
            <w:tcBorders/>
            <w:shd w:fill="CCEEFF" w:val="clear"/>
            <w:vAlign w:val="bottom"/>
          </w:tcPr>
          <w:p>
            <w:pPr>
              <w:pStyle w:val="TableContents"/>
              <w:spacing w:before="0" w:after="283"/>
              <w:jc w:val="right"/>
              <w:rPr/>
            </w:pPr>
            <w:r>
              <w:rPr/>
              <w:t>23,194</w:t>
            </w:r>
          </w:p>
        </w:tc>
        <w:tc>
          <w:tcPr>
            <w:tcW w:w="11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left"/>
              <w:rPr/>
            </w:pPr>
            <w:r>
              <w:rPr/>
              <w:t>$</w:t>
            </w:r>
          </w:p>
        </w:tc>
        <w:tc>
          <w:tcPr>
            <w:tcW w:w="1204" w:type="dxa"/>
            <w:tcBorders/>
            <w:shd w:fill="CCEEFF" w:val="clear"/>
            <w:vAlign w:val="bottom"/>
          </w:tcPr>
          <w:p>
            <w:pPr>
              <w:pStyle w:val="TableContents"/>
              <w:spacing w:before="0" w:after="283"/>
              <w:jc w:val="right"/>
              <w:rPr/>
            </w:pPr>
            <w:r>
              <w:rPr/>
              <w:t>23,271</w:t>
            </w:r>
          </w:p>
        </w:tc>
        <w:tc>
          <w:tcPr>
            <w:tcW w:w="124" w:type="dxa"/>
            <w:tcBorders/>
            <w:shd w:fill="CCEEFF" w:val="clear"/>
            <w:vAlign w:val="bottom"/>
          </w:tcPr>
          <w:p>
            <w:pPr>
              <w:pStyle w:val="TableContents"/>
              <w:spacing w:before="0" w:after="283"/>
              <w:rPr/>
            </w:pPr>
            <w:r>
              <w:rPr/>
              <w:t> </w:t>
            </w:r>
          </w:p>
        </w:tc>
      </w:tr>
      <w:tr>
        <w:trPr/>
        <w:tc>
          <w:tcPr>
            <w:tcW w:w="6451" w:type="dxa"/>
            <w:tcBorders/>
            <w:shd w:fill="auto" w:val="clear"/>
            <w:vAlign w:val="bottom"/>
          </w:tcPr>
          <w:p>
            <w:pPr>
              <w:pStyle w:val="TableContents"/>
              <w:spacing w:before="0" w:after="0"/>
              <w:ind w:left="225" w:right="0" w:hanging="225"/>
              <w:rPr/>
            </w:pPr>
            <w:r>
              <w:rPr/>
              <w:t>Work in process</w:t>
            </w:r>
          </w:p>
        </w:tc>
        <w:tc>
          <w:tcPr>
            <w:tcW w:w="427"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14,435</w:t>
            </w:r>
          </w:p>
        </w:tc>
        <w:tc>
          <w:tcPr>
            <w:tcW w:w="11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204" w:type="dxa"/>
            <w:tcBorders/>
            <w:shd w:fill="auto" w:val="clear"/>
            <w:vAlign w:val="bottom"/>
          </w:tcPr>
          <w:p>
            <w:pPr>
              <w:pStyle w:val="TableContents"/>
              <w:spacing w:before="0" w:after="283"/>
              <w:jc w:val="right"/>
              <w:rPr/>
            </w:pPr>
            <w:r>
              <w:rPr/>
              <w:t>14,582</w:t>
            </w:r>
          </w:p>
        </w:tc>
        <w:tc>
          <w:tcPr>
            <w:tcW w:w="124" w:type="dxa"/>
            <w:tcBorders/>
            <w:shd w:fill="auto" w:val="clear"/>
            <w:vAlign w:val="bottom"/>
          </w:tcPr>
          <w:p>
            <w:pPr>
              <w:pStyle w:val="TableContents"/>
              <w:spacing w:before="0" w:after="283"/>
              <w:rPr/>
            </w:pPr>
            <w:r>
              <w:rPr/>
              <w:t> </w:t>
            </w:r>
          </w:p>
        </w:tc>
      </w:tr>
      <w:tr>
        <w:trPr/>
        <w:tc>
          <w:tcPr>
            <w:tcW w:w="6451" w:type="dxa"/>
            <w:tcBorders/>
            <w:shd w:fill="auto" w:val="clear"/>
            <w:vAlign w:val="center"/>
          </w:tcPr>
          <w:p>
            <w:pPr>
              <w:pStyle w:val="TableContents"/>
              <w:spacing w:before="0" w:after="0"/>
              <w:ind w:left="225" w:right="0" w:hanging="225"/>
              <w:rPr/>
            </w:pPr>
            <w:r>
              <w:rPr/>
              <w:t> </w:t>
            </w:r>
          </w:p>
        </w:tc>
        <w:tc>
          <w:tcPr>
            <w:tcW w:w="427" w:type="dxa"/>
            <w:tcBorders/>
            <w:shd w:fill="auto" w:val="clear"/>
            <w:vAlign w:val="center"/>
          </w:tcPr>
          <w:p>
            <w:pPr>
              <w:pStyle w:val="TableContents"/>
              <w:spacing w:before="0" w:after="283"/>
              <w:rPr/>
            </w:pPr>
            <w:r>
              <w:rPr/>
              <w:t> </w:t>
            </w:r>
          </w:p>
        </w:tc>
        <w:tc>
          <w:tcPr>
            <w:tcW w:w="12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4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r>
        <w:trPr/>
        <w:tc>
          <w:tcPr>
            <w:tcW w:w="6451" w:type="dxa"/>
            <w:tcBorders/>
            <w:shd w:fill="CCEEFF" w:val="clear"/>
            <w:vAlign w:val="bottom"/>
          </w:tcPr>
          <w:p>
            <w:pPr>
              <w:pStyle w:val="TableContents"/>
              <w:spacing w:before="0" w:after="0"/>
              <w:ind w:left="225" w:right="0" w:hanging="225"/>
              <w:rPr/>
            </w:pPr>
            <w:r>
              <w:rPr/>
              <w:t>Inventories</w:t>
            </w:r>
          </w:p>
        </w:tc>
        <w:tc>
          <w:tcPr>
            <w:tcW w:w="427"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w:t>
            </w:r>
          </w:p>
        </w:tc>
        <w:tc>
          <w:tcPr>
            <w:tcW w:w="1005" w:type="dxa"/>
            <w:tcBorders/>
            <w:shd w:fill="CCEEFF" w:val="clear"/>
            <w:vAlign w:val="bottom"/>
          </w:tcPr>
          <w:p>
            <w:pPr>
              <w:pStyle w:val="TableContents"/>
              <w:spacing w:before="0" w:after="283"/>
              <w:jc w:val="right"/>
              <w:rPr/>
            </w:pPr>
            <w:r>
              <w:rPr/>
              <w:t>37,629</w:t>
            </w:r>
          </w:p>
        </w:tc>
        <w:tc>
          <w:tcPr>
            <w:tcW w:w="11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left"/>
              <w:rPr/>
            </w:pPr>
            <w:r>
              <w:rPr/>
              <w:t>$</w:t>
            </w:r>
          </w:p>
        </w:tc>
        <w:tc>
          <w:tcPr>
            <w:tcW w:w="1204" w:type="dxa"/>
            <w:tcBorders/>
            <w:shd w:fill="CCEEFF" w:val="clear"/>
            <w:vAlign w:val="bottom"/>
          </w:tcPr>
          <w:p>
            <w:pPr>
              <w:pStyle w:val="TableContents"/>
              <w:spacing w:before="0" w:after="283"/>
              <w:jc w:val="right"/>
              <w:rPr/>
            </w:pPr>
            <w:r>
              <w:rPr/>
              <w:t>37,853</w:t>
            </w:r>
          </w:p>
        </w:tc>
        <w:tc>
          <w:tcPr>
            <w:tcW w:w="124" w:type="dxa"/>
            <w:tcBorders/>
            <w:shd w:fill="CCEEFF" w:val="clear"/>
            <w:vAlign w:val="bottom"/>
          </w:tcPr>
          <w:p>
            <w:pPr>
              <w:pStyle w:val="TableContents"/>
              <w:spacing w:before="0" w:after="283"/>
              <w:rPr/>
            </w:pPr>
            <w:r>
              <w:rPr/>
              <w:t> </w:t>
            </w:r>
          </w:p>
        </w:tc>
      </w:tr>
      <w:tr>
        <w:trPr/>
        <w:tc>
          <w:tcPr>
            <w:tcW w:w="6451" w:type="dxa"/>
            <w:tcBorders/>
            <w:shd w:fill="auto" w:val="clear"/>
            <w:vAlign w:val="center"/>
          </w:tcPr>
          <w:p>
            <w:pPr>
              <w:pStyle w:val="TableContents"/>
              <w:spacing w:before="0" w:after="0"/>
              <w:ind w:left="225" w:right="0" w:hanging="225"/>
              <w:rPr/>
            </w:pPr>
            <w:r>
              <w:rPr/>
              <w:t> </w:t>
            </w:r>
          </w:p>
        </w:tc>
        <w:tc>
          <w:tcPr>
            <w:tcW w:w="427" w:type="dxa"/>
            <w:tcBorders/>
            <w:shd w:fill="auto" w:val="clear"/>
            <w:vAlign w:val="center"/>
          </w:tcPr>
          <w:p>
            <w:pPr>
              <w:pStyle w:val="TableContents"/>
              <w:spacing w:before="0" w:after="283"/>
              <w:rPr/>
            </w:pPr>
            <w:r>
              <w:rPr/>
              <w:t> </w:t>
            </w:r>
          </w:p>
        </w:tc>
        <w:tc>
          <w:tcPr>
            <w:tcW w:w="12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4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Note 6. Property and Equipment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Property and equipment consisted of the following: </w:t>
      </w:r>
    </w:p>
    <w:tbl>
      <w:tblPr>
        <w:tblW w:w="5000" w:type="pct"/>
        <w:jc w:val="center"/>
        <w:tblInd w:w="0" w:type="dxa"/>
        <w:tblCellMar>
          <w:top w:w="0" w:type="dxa"/>
          <w:left w:w="0" w:type="dxa"/>
          <w:bottom w:w="0" w:type="dxa"/>
          <w:right w:w="0" w:type="dxa"/>
        </w:tblCellMar>
      </w:tblPr>
      <w:tblGrid>
        <w:gridCol w:w="6467"/>
        <w:gridCol w:w="415"/>
        <w:gridCol w:w="176"/>
        <w:gridCol w:w="1015"/>
        <w:gridCol w:w="140"/>
        <w:gridCol w:w="415"/>
        <w:gridCol w:w="210"/>
        <w:gridCol w:w="1221"/>
        <w:gridCol w:w="146"/>
      </w:tblGrid>
      <w:tr>
        <w:trPr/>
        <w:tc>
          <w:tcPr>
            <w:tcW w:w="6467"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191" w:type="dxa"/>
            <w:gridSpan w:val="2"/>
            <w:tcBorders/>
            <w:shd w:fill="auto" w:val="clear"/>
            <w:vAlign w:val="bottom"/>
          </w:tcPr>
          <w:p>
            <w:pPr>
              <w:pStyle w:val="TableContents"/>
              <w:spacing w:before="0" w:after="283"/>
              <w:jc w:val="center"/>
              <w:rPr>
                <w:b/>
              </w:rPr>
            </w:pPr>
            <w:r>
              <w:rPr>
                <w:b/>
              </w:rPr>
              <w:t>March 31,</w:t>
            </w:r>
          </w:p>
        </w:tc>
        <w:tc>
          <w:tcPr>
            <w:tcW w:w="140"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431" w:type="dxa"/>
            <w:gridSpan w:val="2"/>
            <w:tcBorders/>
            <w:shd w:fill="auto" w:val="clear"/>
            <w:vAlign w:val="bottom"/>
          </w:tcPr>
          <w:p>
            <w:pPr>
              <w:pStyle w:val="TableContents"/>
              <w:spacing w:before="0" w:after="283"/>
              <w:jc w:val="center"/>
              <w:rPr>
                <w:b/>
              </w:rPr>
            </w:pPr>
            <w:r>
              <w:rPr>
                <w:b/>
              </w:rPr>
              <w:t>December 31,</w:t>
            </w:r>
          </w:p>
        </w:tc>
        <w:tc>
          <w:tcPr>
            <w:tcW w:w="146"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19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40"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43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6"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3177" w:type="dxa"/>
            <w:gridSpan w:val="6"/>
            <w:tcBorders/>
            <w:shd w:fill="auto" w:val="clear"/>
            <w:vAlign w:val="bottom"/>
          </w:tcPr>
          <w:p>
            <w:pPr>
              <w:pStyle w:val="TableContents"/>
              <w:spacing w:before="0" w:after="283"/>
              <w:jc w:val="center"/>
              <w:rPr>
                <w:b/>
              </w:rPr>
            </w:pPr>
            <w:r>
              <w:rPr>
                <w:b/>
              </w:rPr>
              <w:t>(in thousands)</w:t>
            </w:r>
          </w:p>
        </w:tc>
        <w:tc>
          <w:tcPr>
            <w:tcW w:w="146"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Land</w:t>
            </w:r>
          </w:p>
        </w:tc>
        <w:tc>
          <w:tcPr>
            <w:tcW w:w="415"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w:t>
            </w:r>
          </w:p>
        </w:tc>
        <w:tc>
          <w:tcPr>
            <w:tcW w:w="1015" w:type="dxa"/>
            <w:tcBorders/>
            <w:shd w:fill="CCEEFF" w:val="clear"/>
            <w:vAlign w:val="bottom"/>
          </w:tcPr>
          <w:p>
            <w:pPr>
              <w:pStyle w:val="TableContents"/>
              <w:spacing w:before="0" w:after="283"/>
              <w:jc w:val="right"/>
              <w:rPr/>
            </w:pPr>
            <w:r>
              <w:rPr/>
              <w:t>24,343</w:t>
            </w:r>
          </w:p>
        </w:tc>
        <w:tc>
          <w:tcPr>
            <w:tcW w:w="140"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24,426</w:t>
            </w:r>
          </w:p>
        </w:tc>
        <w:tc>
          <w:tcPr>
            <w:tcW w:w="146"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Buildings and leasehold improvements</w:t>
            </w:r>
          </w:p>
        </w:tc>
        <w:tc>
          <w:tcPr>
            <w:tcW w:w="415"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80,640</w:t>
            </w:r>
          </w:p>
        </w:tc>
        <w:tc>
          <w:tcPr>
            <w:tcW w:w="140"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80,947</w:t>
            </w:r>
          </w:p>
        </w:tc>
        <w:tc>
          <w:tcPr>
            <w:tcW w:w="146"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Equipment and other</w:t>
            </w:r>
          </w:p>
        </w:tc>
        <w:tc>
          <w:tcPr>
            <w:tcW w:w="415"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229,245</w:t>
            </w:r>
          </w:p>
        </w:tc>
        <w:tc>
          <w:tcPr>
            <w:tcW w:w="140"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237,369</w:t>
            </w:r>
          </w:p>
        </w:tc>
        <w:tc>
          <w:tcPr>
            <w:tcW w:w="146"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225" w:right="0" w:hanging="225"/>
              <w:rPr/>
            </w:pPr>
            <w:r>
              <w:rPr/>
              <w:t> </w:t>
            </w:r>
          </w:p>
        </w:tc>
        <w:tc>
          <w:tcPr>
            <w:tcW w:w="415" w:type="dxa"/>
            <w:tcBorders/>
            <w:shd w:fill="auto" w:val="clear"/>
            <w:vAlign w:val="center"/>
          </w:tcPr>
          <w:p>
            <w:pPr>
              <w:pStyle w:val="TableContents"/>
              <w:spacing w:before="0" w:after="283"/>
              <w:rPr/>
            </w:pPr>
            <w:r>
              <w:rPr/>
              <w:t> </w:t>
            </w:r>
          </w:p>
        </w:tc>
        <w:tc>
          <w:tcPr>
            <w:tcW w:w="11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415" w:type="dxa"/>
            <w:tcBorders/>
            <w:shd w:fill="auto" w:val="clear"/>
            <w:vAlign w:val="center"/>
          </w:tcPr>
          <w:p>
            <w:pPr>
              <w:pStyle w:val="TableContents"/>
              <w:spacing w:before="0" w:after="283"/>
              <w:rPr/>
            </w:pPr>
            <w:r>
              <w:rPr/>
              <w:t> </w:t>
            </w:r>
          </w:p>
        </w:tc>
        <w:tc>
          <w:tcPr>
            <w:tcW w:w="14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415"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334,228</w:t>
            </w:r>
          </w:p>
        </w:tc>
        <w:tc>
          <w:tcPr>
            <w:tcW w:w="140"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342,742</w:t>
            </w:r>
          </w:p>
        </w:tc>
        <w:tc>
          <w:tcPr>
            <w:tcW w:w="146"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Accumulated depreciation</w:t>
            </w:r>
          </w:p>
        </w:tc>
        <w:tc>
          <w:tcPr>
            <w:tcW w:w="415"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 </w:t>
            </w:r>
          </w:p>
        </w:tc>
        <w:tc>
          <w:tcPr>
            <w:tcW w:w="1015" w:type="dxa"/>
            <w:tcBorders/>
            <w:shd w:fill="CCEEFF" w:val="clear"/>
            <w:vAlign w:val="bottom"/>
          </w:tcPr>
          <w:p>
            <w:pPr>
              <w:pStyle w:val="TableContents"/>
              <w:spacing w:before="0" w:after="283"/>
              <w:jc w:val="right"/>
              <w:rPr/>
            </w:pPr>
            <w:r>
              <w:rPr/>
              <w:t>(200,407</w:t>
            </w:r>
          </w:p>
        </w:tc>
        <w:tc>
          <w:tcPr>
            <w:tcW w:w="140" w:type="dxa"/>
            <w:tcBorders/>
            <w:shd w:fill="CCEEFF" w:val="clear"/>
            <w:vAlign w:val="bottom"/>
          </w:tcPr>
          <w:p>
            <w:pPr>
              <w:pStyle w:val="TableContents"/>
              <w:spacing w:before="0" w:after="283"/>
              <w:rPr/>
            </w:pPr>
            <w:r>
              <w:rPr/>
              <w:t>)</w:t>
            </w:r>
          </w:p>
        </w:tc>
        <w:tc>
          <w:tcPr>
            <w:tcW w:w="41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jc w:val="left"/>
              <w:rPr/>
            </w:pPr>
            <w:r>
              <w:rPr/>
              <w:t> </w:t>
            </w:r>
          </w:p>
        </w:tc>
        <w:tc>
          <w:tcPr>
            <w:tcW w:w="1221" w:type="dxa"/>
            <w:tcBorders/>
            <w:shd w:fill="CCEEFF" w:val="clear"/>
            <w:vAlign w:val="bottom"/>
          </w:tcPr>
          <w:p>
            <w:pPr>
              <w:pStyle w:val="TableContents"/>
              <w:spacing w:before="0" w:after="283"/>
              <w:jc w:val="right"/>
              <w:rPr/>
            </w:pPr>
            <w:r>
              <w:rPr/>
              <w:t>(199,704</w:t>
            </w:r>
          </w:p>
        </w:tc>
        <w:tc>
          <w:tcPr>
            <w:tcW w:w="146" w:type="dxa"/>
            <w:tcBorders/>
            <w:shd w:fill="CCEEFF" w:val="clear"/>
            <w:vAlign w:val="bottom"/>
          </w:tcPr>
          <w:p>
            <w:pPr>
              <w:pStyle w:val="TableContents"/>
              <w:spacing w:before="0" w:after="283"/>
              <w:rPr/>
            </w:pPr>
            <w:r>
              <w:rPr/>
              <w:t>)</w:t>
            </w:r>
          </w:p>
        </w:tc>
      </w:tr>
      <w:tr>
        <w:trPr/>
        <w:tc>
          <w:tcPr>
            <w:tcW w:w="6467" w:type="dxa"/>
            <w:tcBorders/>
            <w:shd w:fill="auto" w:val="clear"/>
            <w:vAlign w:val="center"/>
          </w:tcPr>
          <w:p>
            <w:pPr>
              <w:pStyle w:val="TableContents"/>
              <w:spacing w:before="0" w:after="0"/>
              <w:ind w:left="225" w:right="0" w:hanging="225"/>
              <w:rPr/>
            </w:pPr>
            <w:r>
              <w:rPr/>
              <w:t> </w:t>
            </w:r>
          </w:p>
        </w:tc>
        <w:tc>
          <w:tcPr>
            <w:tcW w:w="415" w:type="dxa"/>
            <w:tcBorders/>
            <w:shd w:fill="auto" w:val="clear"/>
            <w:vAlign w:val="center"/>
          </w:tcPr>
          <w:p>
            <w:pPr>
              <w:pStyle w:val="TableContents"/>
              <w:spacing w:before="0" w:after="283"/>
              <w:rPr/>
            </w:pPr>
            <w:r>
              <w:rPr/>
              <w:t> </w:t>
            </w:r>
          </w:p>
        </w:tc>
        <w:tc>
          <w:tcPr>
            <w:tcW w:w="11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415" w:type="dxa"/>
            <w:tcBorders/>
            <w:shd w:fill="auto" w:val="clear"/>
            <w:vAlign w:val="center"/>
          </w:tcPr>
          <w:p>
            <w:pPr>
              <w:pStyle w:val="TableContents"/>
              <w:spacing w:before="0" w:after="283"/>
              <w:rPr/>
            </w:pPr>
            <w:r>
              <w:rPr/>
              <w:t> </w:t>
            </w:r>
          </w:p>
        </w:tc>
        <w:tc>
          <w:tcPr>
            <w:tcW w:w="14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Property and equipment, net</w:t>
            </w:r>
          </w:p>
        </w:tc>
        <w:tc>
          <w:tcPr>
            <w:tcW w:w="415"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w:t>
            </w:r>
          </w:p>
        </w:tc>
        <w:tc>
          <w:tcPr>
            <w:tcW w:w="1015" w:type="dxa"/>
            <w:tcBorders/>
            <w:shd w:fill="auto" w:val="clear"/>
            <w:vAlign w:val="bottom"/>
          </w:tcPr>
          <w:p>
            <w:pPr>
              <w:pStyle w:val="TableContents"/>
              <w:spacing w:before="0" w:after="283"/>
              <w:jc w:val="right"/>
              <w:rPr/>
            </w:pPr>
            <w:r>
              <w:rPr/>
              <w:t>133,821</w:t>
            </w:r>
          </w:p>
        </w:tc>
        <w:tc>
          <w:tcPr>
            <w:tcW w:w="140"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143,038</w:t>
            </w:r>
          </w:p>
        </w:tc>
        <w:tc>
          <w:tcPr>
            <w:tcW w:w="146"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225" w:right="0" w:hanging="225"/>
              <w:rPr/>
            </w:pPr>
            <w:r>
              <w:rPr/>
              <w:t> </w:t>
            </w:r>
          </w:p>
        </w:tc>
        <w:tc>
          <w:tcPr>
            <w:tcW w:w="415" w:type="dxa"/>
            <w:tcBorders/>
            <w:shd w:fill="auto" w:val="clear"/>
            <w:vAlign w:val="center"/>
          </w:tcPr>
          <w:p>
            <w:pPr>
              <w:pStyle w:val="TableContents"/>
              <w:spacing w:before="0" w:after="283"/>
              <w:rPr/>
            </w:pPr>
            <w:r>
              <w:rPr/>
              <w:t> </w:t>
            </w:r>
          </w:p>
        </w:tc>
        <w:tc>
          <w:tcPr>
            <w:tcW w:w="11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415" w:type="dxa"/>
            <w:tcBorders/>
            <w:shd w:fill="auto" w:val="clear"/>
            <w:vAlign w:val="center"/>
          </w:tcPr>
          <w:p>
            <w:pPr>
              <w:pStyle w:val="TableContents"/>
              <w:spacing w:before="0" w:after="283"/>
              <w:rPr/>
            </w:pPr>
            <w:r>
              <w:rPr/>
              <w:t> </w:t>
            </w:r>
          </w:p>
        </w:tc>
        <w:tc>
          <w:tcPr>
            <w:tcW w:w="14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Depreciation expense for the three months ended March 31, 2006 and 2005 was $4.8 million and $5.9 million, respectively.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7. Goodwill and Other Intangible Assets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changes in the carrying amount of goodwill for the three months ended March 31, 2006 were as follows: </w:t>
      </w:r>
    </w:p>
    <w:tbl>
      <w:tblPr>
        <w:tblW w:w="5000" w:type="pct"/>
        <w:jc w:val="center"/>
        <w:tblInd w:w="0" w:type="dxa"/>
        <w:tblCellMar>
          <w:top w:w="0" w:type="dxa"/>
          <w:left w:w="0" w:type="dxa"/>
          <w:bottom w:w="0" w:type="dxa"/>
          <w:right w:w="0" w:type="dxa"/>
        </w:tblCellMar>
      </w:tblPr>
      <w:tblGrid>
        <w:gridCol w:w="5336"/>
        <w:gridCol w:w="409"/>
        <w:gridCol w:w="162"/>
        <w:gridCol w:w="873"/>
        <w:gridCol w:w="133"/>
        <w:gridCol w:w="409"/>
        <w:gridCol w:w="196"/>
        <w:gridCol w:w="967"/>
        <w:gridCol w:w="133"/>
        <w:gridCol w:w="409"/>
        <w:gridCol w:w="162"/>
        <w:gridCol w:w="873"/>
        <w:gridCol w:w="143"/>
      </w:tblGrid>
      <w:tr>
        <w:trPr/>
        <w:tc>
          <w:tcPr>
            <w:tcW w:w="5336"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5336"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163" w:type="dxa"/>
            <w:gridSpan w:val="2"/>
            <w:tcBorders/>
            <w:shd w:fill="auto" w:val="clear"/>
            <w:vAlign w:val="bottom"/>
          </w:tcPr>
          <w:p>
            <w:pPr>
              <w:pStyle w:val="TableContents"/>
              <w:spacing w:before="0" w:after="283"/>
              <w:jc w:val="center"/>
              <w:rPr>
                <w:b/>
              </w:rPr>
            </w:pPr>
            <w:r>
              <w:rPr>
                <w:b/>
              </w:rPr>
              <w:t>Travel and</w:t>
            </w:r>
          </w:p>
        </w:tc>
        <w:tc>
          <w:tcPr>
            <w:tcW w:w="13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035" w:type="dxa"/>
            <w:gridSpan w:val="2"/>
            <w:tcBorders/>
            <w:shd w:fill="auto" w:val="clear"/>
            <w:vAlign w:val="bottom"/>
          </w:tcPr>
          <w:p>
            <w:pPr>
              <w:pStyle w:val="TableContents"/>
              <w:spacing w:before="0" w:after="283"/>
              <w:jc w:val="center"/>
              <w:rPr/>
            </w:pPr>
            <w:r>
              <w:rPr/>
              <w:t> </w:t>
            </w:r>
          </w:p>
        </w:tc>
        <w:tc>
          <w:tcPr>
            <w:tcW w:w="143" w:type="dxa"/>
            <w:tcBorders/>
            <w:shd w:fill="auto" w:val="clear"/>
            <w:vAlign w:val="bottom"/>
          </w:tcPr>
          <w:p>
            <w:pPr>
              <w:pStyle w:val="TableContents"/>
              <w:spacing w:before="0" w:after="283"/>
              <w:rPr/>
            </w:pPr>
            <w:r>
              <w:rPr/>
              <w:t> </w:t>
            </w:r>
          </w:p>
        </w:tc>
      </w:tr>
      <w:tr>
        <w:trPr/>
        <w:tc>
          <w:tcPr>
            <w:tcW w:w="5336"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03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GES</w:t>
            </w:r>
          </w:p>
        </w:tc>
        <w:tc>
          <w:tcPr>
            <w:tcW w:w="13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16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Recreation</w:t>
            </w:r>
          </w:p>
        </w:tc>
        <w:tc>
          <w:tcPr>
            <w:tcW w:w="13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03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c>
          <w:tcPr>
            <w:tcW w:w="143" w:type="dxa"/>
            <w:tcBorders/>
            <w:shd w:fill="auto" w:val="clear"/>
            <w:vAlign w:val="bottom"/>
          </w:tcPr>
          <w:p>
            <w:pPr>
              <w:pStyle w:val="TableContents"/>
              <w:spacing w:before="0" w:after="283"/>
              <w:rPr/>
            </w:pPr>
            <w:r>
              <w:rPr/>
              <w:t> </w:t>
            </w:r>
          </w:p>
        </w:tc>
      </w:tr>
      <w:tr>
        <w:trPr/>
        <w:tc>
          <w:tcPr>
            <w:tcW w:w="5336"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4317" w:type="dxa"/>
            <w:gridSpan w:val="10"/>
            <w:tcBorders/>
            <w:shd w:fill="auto" w:val="clear"/>
            <w:vAlign w:val="bottom"/>
          </w:tcPr>
          <w:p>
            <w:pPr>
              <w:pStyle w:val="TableContents"/>
              <w:spacing w:before="0" w:after="283"/>
              <w:jc w:val="center"/>
              <w:rPr>
                <w:b/>
              </w:rPr>
            </w:pPr>
            <w:r>
              <w:rPr>
                <w:b/>
              </w:rPr>
              <w:t>(in thousands)</w:t>
            </w:r>
          </w:p>
        </w:tc>
        <w:tc>
          <w:tcPr>
            <w:tcW w:w="143" w:type="dxa"/>
            <w:tcBorders/>
            <w:shd w:fill="auto" w:val="clear"/>
            <w:vAlign w:val="bottom"/>
          </w:tcPr>
          <w:p>
            <w:pPr>
              <w:pStyle w:val="TableContents"/>
              <w:spacing w:before="0" w:after="283"/>
              <w:rPr/>
            </w:pPr>
            <w:r>
              <w:rPr/>
              <w:t> </w:t>
            </w:r>
          </w:p>
        </w:tc>
      </w:tr>
      <w:tr>
        <w:trPr/>
        <w:tc>
          <w:tcPr>
            <w:tcW w:w="5336" w:type="dxa"/>
            <w:tcBorders/>
            <w:shd w:fill="CCEEFF" w:val="clear"/>
            <w:vAlign w:val="bottom"/>
          </w:tcPr>
          <w:p>
            <w:pPr>
              <w:pStyle w:val="TableContents"/>
              <w:spacing w:before="0" w:after="0"/>
              <w:ind w:left="225" w:right="0" w:hanging="225"/>
              <w:rPr/>
            </w:pPr>
            <w:r>
              <w:rPr/>
              <w:t>Balance at January 1, 2006</w:t>
            </w:r>
          </w:p>
        </w:tc>
        <w:tc>
          <w:tcPr>
            <w:tcW w:w="40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873" w:type="dxa"/>
            <w:tcBorders/>
            <w:shd w:fill="CCEEFF" w:val="clear"/>
            <w:vAlign w:val="bottom"/>
          </w:tcPr>
          <w:p>
            <w:pPr>
              <w:pStyle w:val="TableContents"/>
              <w:spacing w:before="0" w:after="283"/>
              <w:jc w:val="right"/>
              <w:rPr/>
            </w:pPr>
            <w:r>
              <w:rPr/>
              <w:t>149,526</w:t>
            </w:r>
          </w:p>
        </w:tc>
        <w:tc>
          <w:tcPr>
            <w:tcW w:w="13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967" w:type="dxa"/>
            <w:tcBorders/>
            <w:shd w:fill="CCEEFF" w:val="clear"/>
            <w:vAlign w:val="bottom"/>
          </w:tcPr>
          <w:p>
            <w:pPr>
              <w:pStyle w:val="TableContents"/>
              <w:spacing w:before="0" w:after="283"/>
              <w:jc w:val="right"/>
              <w:rPr/>
            </w:pPr>
            <w:r>
              <w:rPr/>
              <w:t>34,784</w:t>
            </w:r>
          </w:p>
        </w:tc>
        <w:tc>
          <w:tcPr>
            <w:tcW w:w="13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873" w:type="dxa"/>
            <w:tcBorders/>
            <w:shd w:fill="CCEEFF" w:val="clear"/>
            <w:vAlign w:val="bottom"/>
          </w:tcPr>
          <w:p>
            <w:pPr>
              <w:pStyle w:val="TableContents"/>
              <w:spacing w:before="0" w:after="283"/>
              <w:jc w:val="right"/>
              <w:rPr/>
            </w:pPr>
            <w:r>
              <w:rPr/>
              <w:t>184,310</w:t>
            </w:r>
          </w:p>
        </w:tc>
        <w:tc>
          <w:tcPr>
            <w:tcW w:w="143" w:type="dxa"/>
            <w:tcBorders/>
            <w:shd w:fill="CCEEFF" w:val="clear"/>
            <w:vAlign w:val="bottom"/>
          </w:tcPr>
          <w:p>
            <w:pPr>
              <w:pStyle w:val="TableContents"/>
              <w:spacing w:before="0" w:after="283"/>
              <w:rPr/>
            </w:pPr>
            <w:r>
              <w:rPr/>
              <w:t> </w:t>
            </w:r>
          </w:p>
        </w:tc>
      </w:tr>
      <w:tr>
        <w:trPr/>
        <w:tc>
          <w:tcPr>
            <w:tcW w:w="5336" w:type="dxa"/>
            <w:tcBorders/>
            <w:shd w:fill="auto" w:val="clear"/>
            <w:vAlign w:val="bottom"/>
          </w:tcPr>
          <w:p>
            <w:pPr>
              <w:pStyle w:val="TableContents"/>
              <w:spacing w:before="0" w:after="0"/>
              <w:ind w:left="225" w:right="0" w:hanging="225"/>
              <w:rPr/>
            </w:pPr>
            <w:r>
              <w:rPr/>
              <w:t>Foreign currency translation adjustments</w:t>
            </w:r>
          </w:p>
        </w:tc>
        <w:tc>
          <w:tcPr>
            <w:tcW w:w="40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(60</w:t>
            </w:r>
          </w:p>
        </w:tc>
        <w:tc>
          <w:tcPr>
            <w:tcW w:w="133" w:type="dxa"/>
            <w:tcBorders/>
            <w:shd w:fill="auto" w:val="clear"/>
            <w:vAlign w:val="bottom"/>
          </w:tcPr>
          <w:p>
            <w:pPr>
              <w:pStyle w:val="TableContents"/>
              <w:spacing w:before="0" w:after="283"/>
              <w:rPr/>
            </w:pPr>
            <w:r>
              <w:rPr/>
              <w:t>)</w:t>
            </w:r>
          </w:p>
        </w:tc>
        <w:tc>
          <w:tcPr>
            <w:tcW w:w="4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 </w:t>
            </w:r>
          </w:p>
        </w:tc>
        <w:tc>
          <w:tcPr>
            <w:tcW w:w="967" w:type="dxa"/>
            <w:tcBorders/>
            <w:shd w:fill="auto" w:val="clear"/>
            <w:vAlign w:val="bottom"/>
          </w:tcPr>
          <w:p>
            <w:pPr>
              <w:pStyle w:val="TableContents"/>
              <w:spacing w:before="0" w:after="283"/>
              <w:jc w:val="right"/>
              <w:rPr/>
            </w:pPr>
            <w:r>
              <w:rPr/>
              <w:t>(192</w:t>
            </w:r>
          </w:p>
        </w:tc>
        <w:tc>
          <w:tcPr>
            <w:tcW w:w="133" w:type="dxa"/>
            <w:tcBorders/>
            <w:shd w:fill="auto" w:val="clear"/>
            <w:vAlign w:val="bottom"/>
          </w:tcPr>
          <w:p>
            <w:pPr>
              <w:pStyle w:val="TableContents"/>
              <w:spacing w:before="0" w:after="283"/>
              <w:rPr/>
            </w:pPr>
            <w:r>
              <w:rPr/>
              <w:t>)</w:t>
            </w:r>
          </w:p>
        </w:tc>
        <w:tc>
          <w:tcPr>
            <w:tcW w:w="40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(252</w:t>
            </w:r>
          </w:p>
        </w:tc>
        <w:tc>
          <w:tcPr>
            <w:tcW w:w="143" w:type="dxa"/>
            <w:tcBorders/>
            <w:shd w:fill="auto" w:val="clear"/>
            <w:vAlign w:val="bottom"/>
          </w:tcPr>
          <w:p>
            <w:pPr>
              <w:pStyle w:val="TableContents"/>
              <w:spacing w:before="0" w:after="283"/>
              <w:rPr/>
            </w:pPr>
            <w:r>
              <w:rPr/>
              <w:t>)</w:t>
            </w:r>
          </w:p>
        </w:tc>
      </w:tr>
      <w:tr>
        <w:trPr/>
        <w:tc>
          <w:tcPr>
            <w:tcW w:w="5336" w:type="dxa"/>
            <w:tcBorders/>
            <w:shd w:fill="auto" w:val="clear"/>
            <w:vAlign w:val="center"/>
          </w:tcPr>
          <w:p>
            <w:pPr>
              <w:pStyle w:val="TableContents"/>
              <w:spacing w:before="0" w:after="0"/>
              <w:ind w:left="225" w:right="0" w:hanging="225"/>
              <w:rPr/>
            </w:pPr>
            <w:r>
              <w:rPr/>
              <w:t> </w:t>
            </w:r>
          </w:p>
        </w:tc>
        <w:tc>
          <w:tcPr>
            <w:tcW w:w="409" w:type="dxa"/>
            <w:tcBorders/>
            <w:shd w:fill="auto" w:val="clear"/>
            <w:vAlign w:val="center"/>
          </w:tcPr>
          <w:p>
            <w:pPr>
              <w:pStyle w:val="TableContents"/>
              <w:spacing w:before="0" w:after="283"/>
              <w:rPr/>
            </w:pPr>
            <w:r>
              <w:rPr/>
              <w:t> </w:t>
            </w:r>
          </w:p>
        </w:tc>
        <w:tc>
          <w:tcPr>
            <w:tcW w:w="10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11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10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5336" w:type="dxa"/>
            <w:tcBorders/>
            <w:shd w:fill="CCEEFF" w:val="clear"/>
            <w:vAlign w:val="bottom"/>
          </w:tcPr>
          <w:p>
            <w:pPr>
              <w:pStyle w:val="TableContents"/>
              <w:spacing w:before="0" w:after="0"/>
              <w:ind w:left="225" w:right="0" w:hanging="225"/>
              <w:rPr/>
            </w:pPr>
            <w:r>
              <w:rPr/>
              <w:t>Balance at March 31, 2006</w:t>
            </w:r>
          </w:p>
        </w:tc>
        <w:tc>
          <w:tcPr>
            <w:tcW w:w="40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873" w:type="dxa"/>
            <w:tcBorders/>
            <w:shd w:fill="CCEEFF" w:val="clear"/>
            <w:vAlign w:val="bottom"/>
          </w:tcPr>
          <w:p>
            <w:pPr>
              <w:pStyle w:val="TableContents"/>
              <w:spacing w:before="0" w:after="283"/>
              <w:jc w:val="right"/>
              <w:rPr/>
            </w:pPr>
            <w:r>
              <w:rPr/>
              <w:t>149,466</w:t>
            </w:r>
          </w:p>
        </w:tc>
        <w:tc>
          <w:tcPr>
            <w:tcW w:w="13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967" w:type="dxa"/>
            <w:tcBorders/>
            <w:shd w:fill="CCEEFF" w:val="clear"/>
            <w:vAlign w:val="bottom"/>
          </w:tcPr>
          <w:p>
            <w:pPr>
              <w:pStyle w:val="TableContents"/>
              <w:spacing w:before="0" w:after="283"/>
              <w:jc w:val="right"/>
              <w:rPr/>
            </w:pPr>
            <w:r>
              <w:rPr/>
              <w:t>34,592</w:t>
            </w:r>
          </w:p>
        </w:tc>
        <w:tc>
          <w:tcPr>
            <w:tcW w:w="13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873" w:type="dxa"/>
            <w:tcBorders/>
            <w:shd w:fill="CCEEFF" w:val="clear"/>
            <w:vAlign w:val="bottom"/>
          </w:tcPr>
          <w:p>
            <w:pPr>
              <w:pStyle w:val="TableContents"/>
              <w:spacing w:before="0" w:after="283"/>
              <w:jc w:val="right"/>
              <w:rPr/>
            </w:pPr>
            <w:r>
              <w:rPr/>
              <w:t>184,058</w:t>
            </w:r>
          </w:p>
        </w:tc>
        <w:tc>
          <w:tcPr>
            <w:tcW w:w="143" w:type="dxa"/>
            <w:tcBorders/>
            <w:shd w:fill="CCEEFF" w:val="clear"/>
            <w:vAlign w:val="bottom"/>
          </w:tcPr>
          <w:p>
            <w:pPr>
              <w:pStyle w:val="TableContents"/>
              <w:spacing w:before="0" w:after="283"/>
              <w:rPr/>
            </w:pPr>
            <w:r>
              <w:rPr/>
              <w:t> </w:t>
            </w:r>
          </w:p>
        </w:tc>
      </w:tr>
      <w:tr>
        <w:trPr/>
        <w:tc>
          <w:tcPr>
            <w:tcW w:w="5336" w:type="dxa"/>
            <w:tcBorders/>
            <w:shd w:fill="auto" w:val="clear"/>
            <w:vAlign w:val="center"/>
          </w:tcPr>
          <w:p>
            <w:pPr>
              <w:pStyle w:val="TableContents"/>
              <w:spacing w:before="0" w:after="0"/>
              <w:ind w:left="225" w:right="0" w:hanging="225"/>
              <w:rPr/>
            </w:pPr>
            <w:r>
              <w:rPr/>
              <w:t> </w:t>
            </w:r>
          </w:p>
        </w:tc>
        <w:tc>
          <w:tcPr>
            <w:tcW w:w="409" w:type="dxa"/>
            <w:tcBorders/>
            <w:shd w:fill="auto" w:val="clear"/>
            <w:vAlign w:val="center"/>
          </w:tcPr>
          <w:p>
            <w:pPr>
              <w:pStyle w:val="TableContents"/>
              <w:spacing w:before="0" w:after="283"/>
              <w:rPr/>
            </w:pPr>
            <w:r>
              <w:rPr/>
              <w:t> </w:t>
            </w:r>
          </w:p>
        </w:tc>
        <w:tc>
          <w:tcPr>
            <w:tcW w:w="10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11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10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A summary of other intangible assets as of March 31, 2006 is presented below: </w:t>
      </w:r>
    </w:p>
    <w:tbl>
      <w:tblPr>
        <w:tblW w:w="5000" w:type="pct"/>
        <w:jc w:val="center"/>
        <w:tblInd w:w="0" w:type="dxa"/>
        <w:tblCellMar>
          <w:top w:w="0" w:type="dxa"/>
          <w:left w:w="0" w:type="dxa"/>
          <w:bottom w:w="0" w:type="dxa"/>
          <w:right w:w="0" w:type="dxa"/>
        </w:tblCellMar>
      </w:tblPr>
      <w:tblGrid>
        <w:gridCol w:w="4209"/>
        <w:gridCol w:w="311"/>
        <w:gridCol w:w="325"/>
        <w:gridCol w:w="1354"/>
        <w:gridCol w:w="103"/>
        <w:gridCol w:w="311"/>
        <w:gridCol w:w="343"/>
        <w:gridCol w:w="1209"/>
        <w:gridCol w:w="132"/>
        <w:gridCol w:w="311"/>
        <w:gridCol w:w="287"/>
        <w:gridCol w:w="1201"/>
        <w:gridCol w:w="109"/>
      </w:tblGrid>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679" w:type="dxa"/>
            <w:gridSpan w:val="2"/>
            <w:tcBorders/>
            <w:shd w:fill="auto" w:val="clear"/>
            <w:vAlign w:val="bottom"/>
          </w:tcPr>
          <w:p>
            <w:pPr>
              <w:pStyle w:val="TableContents"/>
              <w:spacing w:before="0" w:after="283"/>
              <w:jc w:val="center"/>
              <w:rPr>
                <w:b/>
              </w:rPr>
            </w:pPr>
            <w:r>
              <w:rPr>
                <w:b/>
              </w:rPr>
              <w:t>Gross Carrying</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jc w:val="center"/>
              <w:rPr>
                <w:b/>
              </w:rPr>
            </w:pPr>
            <w:r>
              <w:rPr>
                <w:b/>
              </w:rPr>
              <w:t>Accumulated</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488" w:type="dxa"/>
            <w:gridSpan w:val="2"/>
            <w:tcBorders/>
            <w:shd w:fill="auto" w:val="clear"/>
            <w:vAlign w:val="bottom"/>
          </w:tcPr>
          <w:p>
            <w:pPr>
              <w:pStyle w:val="TableContents"/>
              <w:spacing w:before="0" w:after="283"/>
              <w:jc w:val="center"/>
              <w:rPr>
                <w:b/>
              </w:rPr>
            </w:pPr>
            <w:r>
              <w:rPr>
                <w:b/>
              </w:rPr>
              <w:t>Net Carrying</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67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Amortization</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48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552" w:type="dxa"/>
            <w:gridSpan w:val="2"/>
            <w:tcBorders/>
            <w:shd w:fill="auto" w:val="clear"/>
            <w:vAlign w:val="bottom"/>
          </w:tcPr>
          <w:p>
            <w:pPr>
              <w:pStyle w:val="TableContents"/>
              <w:spacing w:before="0" w:after="283"/>
              <w:jc w:val="center"/>
              <w:rPr>
                <w:b/>
              </w:rPr>
            </w:pPr>
            <w:r>
              <w:rPr>
                <w:b/>
              </w:rPr>
              <w:t>(in thousands)</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Amortized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0"/>
              <w:ind w:left="450" w:right="0" w:hanging="225"/>
              <w:rPr/>
            </w:pPr>
            <w:r>
              <w:rPr/>
              <w:t>Customer lists</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jc w:val="left"/>
              <w:rPr/>
            </w:pPr>
            <w:r>
              <w:rPr/>
              <w:t>$</w:t>
            </w:r>
          </w:p>
        </w:tc>
        <w:tc>
          <w:tcPr>
            <w:tcW w:w="1354" w:type="dxa"/>
            <w:tcBorders/>
            <w:shd w:fill="auto" w:val="clear"/>
            <w:vAlign w:val="bottom"/>
          </w:tcPr>
          <w:p>
            <w:pPr>
              <w:pStyle w:val="TableContents"/>
              <w:spacing w:before="0" w:after="283"/>
              <w:jc w:val="right"/>
              <w:rPr/>
            </w:pPr>
            <w:r>
              <w:rPr/>
              <w:t>900</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jc w:val="left"/>
              <w:rPr/>
            </w:pPr>
            <w:r>
              <w:rPr/>
              <w:t>$</w:t>
            </w:r>
          </w:p>
        </w:tc>
        <w:tc>
          <w:tcPr>
            <w:tcW w:w="1209" w:type="dxa"/>
            <w:tcBorders/>
            <w:shd w:fill="auto" w:val="clear"/>
            <w:vAlign w:val="bottom"/>
          </w:tcPr>
          <w:p>
            <w:pPr>
              <w:pStyle w:val="TableContents"/>
              <w:spacing w:before="0" w:after="283"/>
              <w:jc w:val="right"/>
              <w:rPr/>
            </w:pPr>
            <w:r>
              <w:rPr/>
              <w:t>(345</w:t>
            </w:r>
          </w:p>
        </w:tc>
        <w:tc>
          <w:tcPr>
            <w:tcW w:w="132" w:type="dxa"/>
            <w:tcBorders/>
            <w:shd w:fill="auto" w:val="clear"/>
            <w:vAlign w:val="bottom"/>
          </w:tcPr>
          <w:p>
            <w:pPr>
              <w:pStyle w:val="TableContents"/>
              <w:spacing w:before="0" w:after="283"/>
              <w:rPr/>
            </w:pPr>
            <w:r>
              <w:rPr/>
              <w:t>)</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1201" w:type="dxa"/>
            <w:tcBorders/>
            <w:shd w:fill="auto" w:val="clear"/>
            <w:vAlign w:val="bottom"/>
          </w:tcPr>
          <w:p>
            <w:pPr>
              <w:pStyle w:val="TableContents"/>
              <w:spacing w:before="0" w:after="283"/>
              <w:jc w:val="right"/>
              <w:rPr/>
            </w:pPr>
            <w:r>
              <w:rPr/>
              <w:t>555</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450" w:right="0" w:hanging="225"/>
              <w:rPr/>
            </w:pPr>
            <w:r>
              <w:rPr/>
              <w:t>Other</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jc w:val="right"/>
              <w:rPr/>
            </w:pPr>
            <w:r>
              <w:rPr/>
              <w:t>588</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jc w:val="left"/>
              <w:rPr/>
            </w:pPr>
            <w:r>
              <w:rPr/>
              <w:t> </w:t>
            </w:r>
          </w:p>
        </w:tc>
        <w:tc>
          <w:tcPr>
            <w:tcW w:w="1209" w:type="dxa"/>
            <w:tcBorders/>
            <w:shd w:fill="CCEEFF" w:val="clear"/>
            <w:vAlign w:val="bottom"/>
          </w:tcPr>
          <w:p>
            <w:pPr>
              <w:pStyle w:val="TableContents"/>
              <w:spacing w:before="0" w:after="283"/>
              <w:jc w:val="right"/>
              <w:rPr/>
            </w:pPr>
            <w:r>
              <w:rPr/>
              <w:t>(140</w:t>
            </w:r>
          </w:p>
        </w:tc>
        <w:tc>
          <w:tcPr>
            <w:tcW w:w="132"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pPr>
            <w:r>
              <w:rPr/>
              <w:t>448</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auto" w:val="clear"/>
            <w:vAlign w:val="bottom"/>
          </w:tcPr>
          <w:p>
            <w:pPr>
              <w:pStyle w:val="TableContents"/>
              <w:spacing w:before="0" w:after="0"/>
              <w:ind w:left="225" w:right="0" w:hanging="225"/>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1,488</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jc w:val="left"/>
              <w:rPr/>
            </w:pPr>
            <w:r>
              <w:rPr/>
              <w:t> </w:t>
            </w:r>
          </w:p>
        </w:tc>
        <w:tc>
          <w:tcPr>
            <w:tcW w:w="1209" w:type="dxa"/>
            <w:tcBorders/>
            <w:shd w:fill="auto" w:val="clear"/>
            <w:vAlign w:val="bottom"/>
          </w:tcPr>
          <w:p>
            <w:pPr>
              <w:pStyle w:val="TableContents"/>
              <w:spacing w:before="0" w:after="283"/>
              <w:jc w:val="right"/>
              <w:rPr/>
            </w:pPr>
            <w:r>
              <w:rPr/>
              <w:t>(485</w:t>
            </w:r>
          </w:p>
        </w:tc>
        <w:tc>
          <w:tcPr>
            <w:tcW w:w="132" w:type="dxa"/>
            <w:tcBorders/>
            <w:shd w:fill="auto" w:val="clear"/>
            <w:vAlign w:val="bottom"/>
          </w:tcPr>
          <w:p>
            <w:pPr>
              <w:pStyle w:val="TableContents"/>
              <w:spacing w:before="0" w:after="283"/>
              <w:rPr/>
            </w:pPr>
            <w:r>
              <w:rPr/>
              <w:t>)</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1,003</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auto" w:val="clear"/>
            <w:vAlign w:val="bottom"/>
          </w:tcPr>
          <w:p>
            <w:pPr>
              <w:pStyle w:val="TableContents"/>
              <w:spacing w:before="0" w:after="0"/>
              <w:ind w:left="225" w:right="0" w:hanging="225"/>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Unamortized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bottom"/>
          </w:tcPr>
          <w:p>
            <w:pPr>
              <w:pStyle w:val="TableContents"/>
              <w:spacing w:before="0" w:after="0"/>
              <w:ind w:left="450" w:right="0" w:hanging="225"/>
              <w:rPr/>
            </w:pPr>
            <w:r>
              <w:rPr/>
              <w:t>Trademarks</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4,590</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4,590</w:t>
            </w:r>
          </w:p>
        </w:tc>
        <w:tc>
          <w:tcPr>
            <w:tcW w:w="109" w:type="dxa"/>
            <w:tcBorders/>
            <w:shd w:fill="auto" w:val="clear"/>
            <w:vAlign w:val="bottom"/>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450" w:right="0" w:hanging="225"/>
              <w:rPr/>
            </w:pPr>
            <w:r>
              <w:rPr/>
              <w:t>Pension intangible assets</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1354" w:type="dxa"/>
            <w:tcBorders/>
            <w:shd w:fill="CCEEFF" w:val="clear"/>
            <w:vAlign w:val="bottom"/>
          </w:tcPr>
          <w:p>
            <w:pPr>
              <w:pStyle w:val="TableContents"/>
              <w:spacing w:before="0" w:after="283"/>
              <w:jc w:val="right"/>
              <w:rPr/>
            </w:pPr>
            <w:r>
              <w:rPr/>
              <w:t>573</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201" w:type="dxa"/>
            <w:tcBorders/>
            <w:shd w:fill="CCEEFF" w:val="clear"/>
            <w:vAlign w:val="bottom"/>
          </w:tcPr>
          <w:p>
            <w:pPr>
              <w:pStyle w:val="TableContents"/>
              <w:spacing w:before="0" w:after="283"/>
              <w:jc w:val="right"/>
              <w:rPr/>
            </w:pPr>
            <w:r>
              <w:rPr/>
              <w:t>573</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auto" w:val="clear"/>
            <w:vAlign w:val="bottom"/>
          </w:tcPr>
          <w:p>
            <w:pPr>
              <w:pStyle w:val="TableContents"/>
              <w:spacing w:before="0" w:after="0"/>
              <w:ind w:left="225" w:right="0" w:hanging="225"/>
              <w:rPr/>
            </w:pPr>
            <w:r>
              <w:rPr/>
              <w:t> </w:t>
            </w:r>
          </w:p>
        </w:tc>
        <w:tc>
          <w:tcPr>
            <w:tcW w:w="311"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354" w:type="dxa"/>
            <w:tcBorders/>
            <w:shd w:fill="auto" w:val="clear"/>
            <w:vAlign w:val="bottom"/>
          </w:tcPr>
          <w:p>
            <w:pPr>
              <w:pStyle w:val="TableContents"/>
              <w:spacing w:before="0" w:after="283"/>
              <w:jc w:val="right"/>
              <w:rPr/>
            </w:pPr>
            <w:r>
              <w:rPr/>
              <w:t>5,163</w:t>
            </w:r>
          </w:p>
        </w:tc>
        <w:tc>
          <w:tcPr>
            <w:tcW w:w="103"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201" w:type="dxa"/>
            <w:tcBorders/>
            <w:shd w:fill="auto" w:val="clear"/>
            <w:vAlign w:val="bottom"/>
          </w:tcPr>
          <w:p>
            <w:pPr>
              <w:pStyle w:val="TableContents"/>
              <w:spacing w:before="0" w:after="283"/>
              <w:jc w:val="right"/>
              <w:rPr/>
            </w:pPr>
            <w:r>
              <w:rPr/>
              <w:t>5,163</w:t>
            </w:r>
          </w:p>
        </w:tc>
        <w:tc>
          <w:tcPr>
            <w:tcW w:w="109" w:type="dxa"/>
            <w:tcBorders/>
            <w:shd w:fill="auto"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4209" w:type="dxa"/>
            <w:tcBorders/>
            <w:shd w:fill="CCEEFF" w:val="clear"/>
            <w:vAlign w:val="bottom"/>
          </w:tcPr>
          <w:p>
            <w:pPr>
              <w:pStyle w:val="TableContents"/>
              <w:spacing w:before="0" w:after="0"/>
              <w:ind w:left="225" w:right="0" w:hanging="225"/>
              <w:rPr/>
            </w:pPr>
            <w:r>
              <w:rPr/>
              <w:t>Total</w:t>
            </w:r>
          </w:p>
        </w:tc>
        <w:tc>
          <w:tcPr>
            <w:tcW w:w="311"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jc w:val="left"/>
              <w:rPr/>
            </w:pPr>
            <w:r>
              <w:rPr/>
              <w:t>$</w:t>
            </w:r>
          </w:p>
        </w:tc>
        <w:tc>
          <w:tcPr>
            <w:tcW w:w="1354" w:type="dxa"/>
            <w:tcBorders/>
            <w:shd w:fill="CCEEFF" w:val="clear"/>
            <w:vAlign w:val="bottom"/>
          </w:tcPr>
          <w:p>
            <w:pPr>
              <w:pStyle w:val="TableContents"/>
              <w:spacing w:before="0" w:after="283"/>
              <w:jc w:val="right"/>
              <w:rPr/>
            </w:pPr>
            <w:r>
              <w:rPr/>
              <w:t>6,651</w:t>
            </w:r>
          </w:p>
        </w:tc>
        <w:tc>
          <w:tcPr>
            <w:tcW w:w="103"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(485</w:t>
            </w:r>
          </w:p>
        </w:tc>
        <w:tc>
          <w:tcPr>
            <w:tcW w:w="132" w:type="dxa"/>
            <w:tcBorders/>
            <w:shd w:fill="CCEEFF" w:val="clear"/>
            <w:vAlign w:val="bottom"/>
          </w:tcPr>
          <w:p>
            <w:pPr>
              <w:pStyle w:val="TableContents"/>
              <w:spacing w:before="0" w:after="283"/>
              <w:rPr/>
            </w:pPr>
            <w:r>
              <w:rPr/>
              <w:t>)</w:t>
            </w:r>
          </w:p>
        </w:tc>
        <w:tc>
          <w:tcPr>
            <w:tcW w:w="31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w:t>
            </w:r>
          </w:p>
        </w:tc>
        <w:tc>
          <w:tcPr>
            <w:tcW w:w="1201" w:type="dxa"/>
            <w:tcBorders/>
            <w:shd w:fill="CCEEFF" w:val="clear"/>
            <w:vAlign w:val="bottom"/>
          </w:tcPr>
          <w:p>
            <w:pPr>
              <w:pStyle w:val="TableContents"/>
              <w:spacing w:before="0" w:after="283"/>
              <w:jc w:val="right"/>
              <w:rPr/>
            </w:pPr>
            <w:r>
              <w:rPr/>
              <w:t>6,166</w:t>
            </w:r>
          </w:p>
        </w:tc>
        <w:tc>
          <w:tcPr>
            <w:tcW w:w="109" w:type="dxa"/>
            <w:tcBorders/>
            <w:shd w:fill="CCEEFF" w:val="clear"/>
            <w:vAlign w:val="bottom"/>
          </w:tcPr>
          <w:p>
            <w:pPr>
              <w:pStyle w:val="TableContents"/>
              <w:spacing w:before="0" w:after="283"/>
              <w:rPr/>
            </w:pPr>
            <w:r>
              <w:rPr/>
              <w:t> </w:t>
            </w:r>
          </w:p>
        </w:tc>
      </w:tr>
      <w:tr>
        <w:trPr/>
        <w:tc>
          <w:tcPr>
            <w:tcW w:w="4209" w:type="dxa"/>
            <w:tcBorders/>
            <w:shd w:fill="auto" w:val="clear"/>
            <w:vAlign w:val="center"/>
          </w:tcPr>
          <w:p>
            <w:pPr>
              <w:pStyle w:val="TableContents"/>
              <w:spacing w:before="0" w:after="0"/>
              <w:ind w:left="225" w:right="0" w:hanging="225"/>
              <w:rPr/>
            </w:pPr>
            <w:r>
              <w:rPr/>
              <w:t> </w:t>
            </w:r>
          </w:p>
        </w:tc>
        <w:tc>
          <w:tcPr>
            <w:tcW w:w="311" w:type="dxa"/>
            <w:tcBorders/>
            <w:shd w:fill="auto" w:val="clear"/>
            <w:vAlign w:val="center"/>
          </w:tcPr>
          <w:p>
            <w:pPr>
              <w:pStyle w:val="TableContents"/>
              <w:spacing w:before="0" w:after="283"/>
              <w:rPr/>
            </w:pPr>
            <w:r>
              <w:rPr/>
              <w:t> </w:t>
            </w:r>
          </w:p>
        </w:tc>
        <w:tc>
          <w:tcPr>
            <w:tcW w:w="16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5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14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A summary of other intangible assets as of December 31, 2005 is presented below: </w:t>
      </w:r>
    </w:p>
    <w:tbl>
      <w:tblPr>
        <w:tblW w:w="5000" w:type="pct"/>
        <w:jc w:val="center"/>
        <w:tblInd w:w="0" w:type="dxa"/>
        <w:tblCellMar>
          <w:top w:w="0" w:type="dxa"/>
          <w:left w:w="0" w:type="dxa"/>
          <w:bottom w:w="0" w:type="dxa"/>
          <w:right w:w="0" w:type="dxa"/>
        </w:tblCellMar>
      </w:tblPr>
      <w:tblGrid>
        <w:gridCol w:w="4272"/>
        <w:gridCol w:w="316"/>
        <w:gridCol w:w="324"/>
        <w:gridCol w:w="1352"/>
        <w:gridCol w:w="103"/>
        <w:gridCol w:w="316"/>
        <w:gridCol w:w="324"/>
        <w:gridCol w:w="1150"/>
        <w:gridCol w:w="133"/>
        <w:gridCol w:w="316"/>
        <w:gridCol w:w="286"/>
        <w:gridCol w:w="1200"/>
        <w:gridCol w:w="113"/>
      </w:tblGrid>
      <w:tr>
        <w:trPr/>
        <w:tc>
          <w:tcPr>
            <w:tcW w:w="427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00"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r>
      <w:tr>
        <w:trPr/>
        <w:tc>
          <w:tcPr>
            <w:tcW w:w="427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676" w:type="dxa"/>
            <w:gridSpan w:val="2"/>
            <w:tcBorders/>
            <w:shd w:fill="auto" w:val="clear"/>
            <w:vAlign w:val="bottom"/>
          </w:tcPr>
          <w:p>
            <w:pPr>
              <w:pStyle w:val="TableContents"/>
              <w:spacing w:before="0" w:after="283"/>
              <w:jc w:val="center"/>
              <w:rPr>
                <w:b/>
              </w:rPr>
            </w:pPr>
            <w:r>
              <w:rPr>
                <w:b/>
              </w:rPr>
              <w:t>Gross Carrying</w:t>
            </w:r>
          </w:p>
        </w:tc>
        <w:tc>
          <w:tcPr>
            <w:tcW w:w="10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474" w:type="dxa"/>
            <w:gridSpan w:val="2"/>
            <w:tcBorders/>
            <w:shd w:fill="auto" w:val="clear"/>
            <w:vAlign w:val="bottom"/>
          </w:tcPr>
          <w:p>
            <w:pPr>
              <w:pStyle w:val="TableContents"/>
              <w:spacing w:before="0" w:after="283"/>
              <w:jc w:val="center"/>
              <w:rPr>
                <w:b/>
              </w:rPr>
            </w:pPr>
            <w:r>
              <w:rPr>
                <w:b/>
              </w:rPr>
              <w:t>Accumulated</w:t>
            </w:r>
          </w:p>
        </w:tc>
        <w:tc>
          <w:tcPr>
            <w:tcW w:w="13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486" w:type="dxa"/>
            <w:gridSpan w:val="2"/>
            <w:tcBorders/>
            <w:shd w:fill="auto" w:val="clear"/>
            <w:vAlign w:val="bottom"/>
          </w:tcPr>
          <w:p>
            <w:pPr>
              <w:pStyle w:val="TableContents"/>
              <w:spacing w:before="0" w:after="283"/>
              <w:jc w:val="center"/>
              <w:rPr>
                <w:b/>
              </w:rPr>
            </w:pPr>
            <w:r>
              <w:rPr>
                <w:b/>
              </w:rPr>
              <w:t>Net Carrying</w:t>
            </w:r>
          </w:p>
        </w:tc>
        <w:tc>
          <w:tcPr>
            <w:tcW w:w="113" w:type="dxa"/>
            <w:tcBorders/>
            <w:shd w:fill="auto" w:val="clear"/>
            <w:vAlign w:val="bottom"/>
          </w:tcPr>
          <w:p>
            <w:pPr>
              <w:pStyle w:val="TableContents"/>
              <w:spacing w:before="0" w:after="283"/>
              <w:rPr/>
            </w:pPr>
            <w:r>
              <w:rPr/>
              <w:t> </w:t>
            </w:r>
          </w:p>
        </w:tc>
      </w:tr>
      <w:tr>
        <w:trPr/>
        <w:tc>
          <w:tcPr>
            <w:tcW w:w="427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67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10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47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Amortization</w:t>
            </w:r>
          </w:p>
        </w:tc>
        <w:tc>
          <w:tcPr>
            <w:tcW w:w="13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48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113" w:type="dxa"/>
            <w:tcBorders/>
            <w:shd w:fill="auto" w:val="clear"/>
            <w:vAlign w:val="bottom"/>
          </w:tcPr>
          <w:p>
            <w:pPr>
              <w:pStyle w:val="TableContents"/>
              <w:spacing w:before="0" w:after="283"/>
              <w:rPr/>
            </w:pPr>
            <w:r>
              <w:rPr/>
              <w:t> </w:t>
            </w:r>
          </w:p>
        </w:tc>
      </w:tr>
      <w:tr>
        <w:trPr/>
        <w:tc>
          <w:tcPr>
            <w:tcW w:w="427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5504" w:type="dxa"/>
            <w:gridSpan w:val="10"/>
            <w:tcBorders/>
            <w:shd w:fill="auto" w:val="clear"/>
            <w:vAlign w:val="bottom"/>
          </w:tcPr>
          <w:p>
            <w:pPr>
              <w:pStyle w:val="TableContents"/>
              <w:spacing w:before="0" w:after="283"/>
              <w:jc w:val="center"/>
              <w:rPr>
                <w:b/>
              </w:rPr>
            </w:pPr>
            <w:r>
              <w:rPr>
                <w:b/>
              </w:rPr>
              <w:t>(in thousands)</w:t>
            </w:r>
          </w:p>
        </w:tc>
        <w:tc>
          <w:tcPr>
            <w:tcW w:w="113" w:type="dxa"/>
            <w:tcBorders/>
            <w:shd w:fill="auto" w:val="clear"/>
            <w:vAlign w:val="bottom"/>
          </w:tcPr>
          <w:p>
            <w:pPr>
              <w:pStyle w:val="TableContents"/>
              <w:spacing w:before="0" w:after="283"/>
              <w:rPr/>
            </w:pPr>
            <w:r>
              <w:rPr/>
              <w:t> </w:t>
            </w:r>
          </w:p>
        </w:tc>
      </w:tr>
      <w:tr>
        <w:trPr/>
        <w:tc>
          <w:tcPr>
            <w:tcW w:w="4272" w:type="dxa"/>
            <w:tcBorders/>
            <w:shd w:fill="CCEEFF" w:val="clear"/>
            <w:vAlign w:val="bottom"/>
          </w:tcPr>
          <w:p>
            <w:pPr>
              <w:pStyle w:val="TableContents"/>
              <w:spacing w:before="0" w:after="0"/>
              <w:ind w:left="225" w:right="0" w:hanging="225"/>
              <w:rPr/>
            </w:pPr>
            <w:r>
              <w:rPr/>
              <w:t>Amortized intangible assets:</w:t>
            </w:r>
          </w:p>
        </w:tc>
        <w:tc>
          <w:tcPr>
            <w:tcW w:w="316"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200"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r>
      <w:tr>
        <w:trPr/>
        <w:tc>
          <w:tcPr>
            <w:tcW w:w="4272" w:type="dxa"/>
            <w:tcBorders/>
            <w:shd w:fill="auto" w:val="clear"/>
            <w:vAlign w:val="bottom"/>
          </w:tcPr>
          <w:p>
            <w:pPr>
              <w:pStyle w:val="TableContents"/>
              <w:spacing w:before="0" w:after="0"/>
              <w:ind w:left="450" w:right="0" w:hanging="225"/>
              <w:rPr/>
            </w:pPr>
            <w:r>
              <w:rPr/>
              <w:t>Customer lists</w:t>
            </w:r>
          </w:p>
        </w:tc>
        <w:tc>
          <w:tcPr>
            <w:tcW w:w="31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jc w:val="left"/>
              <w:rPr/>
            </w:pPr>
            <w:r>
              <w:rPr/>
              <w:t>$</w:t>
            </w:r>
          </w:p>
        </w:tc>
        <w:tc>
          <w:tcPr>
            <w:tcW w:w="1352" w:type="dxa"/>
            <w:tcBorders/>
            <w:shd w:fill="auto" w:val="clear"/>
            <w:vAlign w:val="bottom"/>
          </w:tcPr>
          <w:p>
            <w:pPr>
              <w:pStyle w:val="TableContents"/>
              <w:spacing w:before="0" w:after="283"/>
              <w:jc w:val="right"/>
              <w:rPr/>
            </w:pPr>
            <w:r>
              <w:rPr/>
              <w:t>904</w:t>
            </w:r>
          </w:p>
        </w:tc>
        <w:tc>
          <w:tcPr>
            <w:tcW w:w="10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jc w:val="left"/>
              <w:rPr/>
            </w:pPr>
            <w:r>
              <w:rPr/>
              <w:t>$</w:t>
            </w:r>
          </w:p>
        </w:tc>
        <w:tc>
          <w:tcPr>
            <w:tcW w:w="1150" w:type="dxa"/>
            <w:tcBorders/>
            <w:shd w:fill="auto" w:val="clear"/>
            <w:vAlign w:val="bottom"/>
          </w:tcPr>
          <w:p>
            <w:pPr>
              <w:pStyle w:val="TableContents"/>
              <w:spacing w:before="0" w:after="283"/>
              <w:jc w:val="right"/>
              <w:rPr/>
            </w:pPr>
            <w:r>
              <w:rPr/>
              <w:t>(301</w:t>
            </w:r>
          </w:p>
        </w:tc>
        <w:tc>
          <w:tcPr>
            <w:tcW w:w="133" w:type="dxa"/>
            <w:tcBorders/>
            <w:shd w:fill="auto" w:val="clear"/>
            <w:vAlign w:val="bottom"/>
          </w:tcPr>
          <w:p>
            <w:pPr>
              <w:pStyle w:val="TableContents"/>
              <w:spacing w:before="0" w:after="283"/>
              <w:rPr/>
            </w:pPr>
            <w:r>
              <w:rPr/>
              <w:t>)</w:t>
            </w:r>
          </w:p>
        </w:tc>
        <w:tc>
          <w:tcPr>
            <w:tcW w:w="3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left"/>
              <w:rPr/>
            </w:pPr>
            <w:r>
              <w:rPr/>
              <w:t>$</w:t>
            </w:r>
          </w:p>
        </w:tc>
        <w:tc>
          <w:tcPr>
            <w:tcW w:w="1200" w:type="dxa"/>
            <w:tcBorders/>
            <w:shd w:fill="auto" w:val="clear"/>
            <w:vAlign w:val="bottom"/>
          </w:tcPr>
          <w:p>
            <w:pPr>
              <w:pStyle w:val="TableContents"/>
              <w:spacing w:before="0" w:after="283"/>
              <w:jc w:val="right"/>
              <w:rPr/>
            </w:pPr>
            <w:r>
              <w:rPr/>
              <w:t>603</w:t>
            </w:r>
          </w:p>
        </w:tc>
        <w:tc>
          <w:tcPr>
            <w:tcW w:w="113" w:type="dxa"/>
            <w:tcBorders/>
            <w:shd w:fill="auto" w:val="clear"/>
            <w:vAlign w:val="bottom"/>
          </w:tcPr>
          <w:p>
            <w:pPr>
              <w:pStyle w:val="TableContents"/>
              <w:spacing w:before="0" w:after="283"/>
              <w:rPr/>
            </w:pPr>
            <w:r>
              <w:rPr/>
              <w:t> </w:t>
            </w:r>
          </w:p>
        </w:tc>
      </w:tr>
      <w:tr>
        <w:trPr/>
        <w:tc>
          <w:tcPr>
            <w:tcW w:w="4272" w:type="dxa"/>
            <w:tcBorders/>
            <w:shd w:fill="CCEEFF" w:val="clear"/>
            <w:vAlign w:val="bottom"/>
          </w:tcPr>
          <w:p>
            <w:pPr>
              <w:pStyle w:val="TableContents"/>
              <w:spacing w:before="0" w:after="0"/>
              <w:ind w:left="450" w:right="0" w:hanging="225"/>
              <w:rPr/>
            </w:pPr>
            <w:r>
              <w:rPr/>
              <w:t>Other</w:t>
            </w:r>
          </w:p>
        </w:tc>
        <w:tc>
          <w:tcPr>
            <w:tcW w:w="316"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jc w:val="right"/>
              <w:rPr/>
            </w:pPr>
            <w:r>
              <w:rPr/>
              <w:t>590</w:t>
            </w:r>
          </w:p>
        </w:tc>
        <w:tc>
          <w:tcPr>
            <w:tcW w:w="103"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jc w:val="left"/>
              <w:rPr/>
            </w:pPr>
            <w:r>
              <w:rPr/>
              <w:t> </w:t>
            </w:r>
          </w:p>
        </w:tc>
        <w:tc>
          <w:tcPr>
            <w:tcW w:w="1150" w:type="dxa"/>
            <w:tcBorders/>
            <w:shd w:fill="CCEEFF" w:val="clear"/>
            <w:vAlign w:val="bottom"/>
          </w:tcPr>
          <w:p>
            <w:pPr>
              <w:pStyle w:val="TableContents"/>
              <w:spacing w:before="0" w:after="283"/>
              <w:jc w:val="right"/>
              <w:rPr/>
            </w:pPr>
            <w:r>
              <w:rPr/>
              <w:t>(118</w:t>
            </w:r>
          </w:p>
        </w:tc>
        <w:tc>
          <w:tcPr>
            <w:tcW w:w="133" w:type="dxa"/>
            <w:tcBorders/>
            <w:shd w:fill="CCEEFF" w:val="clear"/>
            <w:vAlign w:val="bottom"/>
          </w:tcPr>
          <w:p>
            <w:pPr>
              <w:pStyle w:val="TableContents"/>
              <w:spacing w:before="0" w:after="283"/>
              <w:rPr/>
            </w:pPr>
            <w:r>
              <w:rPr/>
              <w:t>)</w:t>
            </w:r>
          </w:p>
        </w:tc>
        <w:tc>
          <w:tcPr>
            <w:tcW w:w="316"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200" w:type="dxa"/>
            <w:tcBorders/>
            <w:shd w:fill="CCEEFF" w:val="clear"/>
            <w:vAlign w:val="bottom"/>
          </w:tcPr>
          <w:p>
            <w:pPr>
              <w:pStyle w:val="TableContents"/>
              <w:spacing w:before="0" w:after="283"/>
              <w:jc w:val="right"/>
              <w:rPr/>
            </w:pPr>
            <w:r>
              <w:rPr/>
              <w:t>472</w:t>
            </w:r>
          </w:p>
        </w:tc>
        <w:tc>
          <w:tcPr>
            <w:tcW w:w="113" w:type="dxa"/>
            <w:tcBorders/>
            <w:shd w:fill="CCEEFF" w:val="clear"/>
            <w:vAlign w:val="bottom"/>
          </w:tcPr>
          <w:p>
            <w:pPr>
              <w:pStyle w:val="TableContents"/>
              <w:spacing w:before="0" w:after="283"/>
              <w:rPr/>
            </w:pPr>
            <w:r>
              <w:rPr/>
              <w:t> </w:t>
            </w:r>
          </w:p>
        </w:tc>
      </w:tr>
      <w:tr>
        <w:trPr/>
        <w:tc>
          <w:tcPr>
            <w:tcW w:w="4272" w:type="dxa"/>
            <w:tcBorders/>
            <w:shd w:fill="auto" w:val="clear"/>
            <w:vAlign w:val="center"/>
          </w:tcPr>
          <w:p>
            <w:pPr>
              <w:pStyle w:val="TableContents"/>
              <w:spacing w:before="0" w:after="0"/>
              <w:ind w:left="225" w:right="0" w:hanging="225"/>
              <w:rPr/>
            </w:pPr>
            <w:r>
              <w:rPr/>
              <w:t> </w:t>
            </w:r>
          </w:p>
        </w:tc>
        <w:tc>
          <w:tcPr>
            <w:tcW w:w="316" w:type="dxa"/>
            <w:tcBorders/>
            <w:shd w:fill="auto" w:val="clear"/>
            <w:vAlign w:val="center"/>
          </w:tcPr>
          <w:p>
            <w:pPr>
              <w:pStyle w:val="TableContents"/>
              <w:spacing w:before="0" w:after="283"/>
              <w:rPr/>
            </w:pPr>
            <w:r>
              <w:rPr/>
              <w:t> </w:t>
            </w:r>
          </w:p>
        </w:tc>
        <w:tc>
          <w:tcPr>
            <w:tcW w:w="16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14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14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r>
      <w:tr>
        <w:trPr/>
        <w:tc>
          <w:tcPr>
            <w:tcW w:w="4272" w:type="dxa"/>
            <w:tcBorders/>
            <w:shd w:fill="auto" w:val="clear"/>
            <w:vAlign w:val="bottom"/>
          </w:tcPr>
          <w:p>
            <w:pPr>
              <w:pStyle w:val="TableContents"/>
              <w:spacing w:before="0" w:after="0"/>
              <w:ind w:left="225" w:right="0" w:hanging="225"/>
              <w:rPr/>
            </w:pPr>
            <w:r>
              <w:rPr/>
              <w:t> </w:t>
            </w:r>
          </w:p>
        </w:tc>
        <w:tc>
          <w:tcPr>
            <w:tcW w:w="31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jc w:val="right"/>
              <w:rPr/>
            </w:pPr>
            <w:r>
              <w:rPr/>
              <w:t>1,494</w:t>
            </w:r>
          </w:p>
        </w:tc>
        <w:tc>
          <w:tcPr>
            <w:tcW w:w="10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jc w:val="left"/>
              <w:rPr/>
            </w:pPr>
            <w:r>
              <w:rPr/>
              <w:t> </w:t>
            </w:r>
          </w:p>
        </w:tc>
        <w:tc>
          <w:tcPr>
            <w:tcW w:w="1150" w:type="dxa"/>
            <w:tcBorders/>
            <w:shd w:fill="auto" w:val="clear"/>
            <w:vAlign w:val="bottom"/>
          </w:tcPr>
          <w:p>
            <w:pPr>
              <w:pStyle w:val="TableContents"/>
              <w:spacing w:before="0" w:after="283"/>
              <w:jc w:val="right"/>
              <w:rPr/>
            </w:pPr>
            <w:r>
              <w:rPr/>
              <w:t>(419</w:t>
            </w:r>
          </w:p>
        </w:tc>
        <w:tc>
          <w:tcPr>
            <w:tcW w:w="133" w:type="dxa"/>
            <w:tcBorders/>
            <w:shd w:fill="auto" w:val="clear"/>
            <w:vAlign w:val="bottom"/>
          </w:tcPr>
          <w:p>
            <w:pPr>
              <w:pStyle w:val="TableContents"/>
              <w:spacing w:before="0" w:after="283"/>
              <w:rPr/>
            </w:pPr>
            <w:r>
              <w:rPr/>
              <w:t>)</w:t>
            </w:r>
          </w:p>
        </w:tc>
        <w:tc>
          <w:tcPr>
            <w:tcW w:w="3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00" w:type="dxa"/>
            <w:tcBorders/>
            <w:shd w:fill="auto" w:val="clear"/>
            <w:vAlign w:val="bottom"/>
          </w:tcPr>
          <w:p>
            <w:pPr>
              <w:pStyle w:val="TableContents"/>
              <w:spacing w:before="0" w:after="283"/>
              <w:jc w:val="right"/>
              <w:rPr/>
            </w:pPr>
            <w:r>
              <w:rPr/>
              <w:t>1,075</w:t>
            </w:r>
          </w:p>
        </w:tc>
        <w:tc>
          <w:tcPr>
            <w:tcW w:w="113" w:type="dxa"/>
            <w:tcBorders/>
            <w:shd w:fill="auto" w:val="clear"/>
            <w:vAlign w:val="bottom"/>
          </w:tcPr>
          <w:p>
            <w:pPr>
              <w:pStyle w:val="TableContents"/>
              <w:spacing w:before="0" w:after="283"/>
              <w:rPr/>
            </w:pPr>
            <w:r>
              <w:rPr/>
              <w:t> </w:t>
            </w:r>
          </w:p>
        </w:tc>
      </w:tr>
      <w:tr>
        <w:trPr/>
        <w:tc>
          <w:tcPr>
            <w:tcW w:w="4272" w:type="dxa"/>
            <w:tcBorders/>
            <w:shd w:fill="auto" w:val="clear"/>
            <w:vAlign w:val="center"/>
          </w:tcPr>
          <w:p>
            <w:pPr>
              <w:pStyle w:val="TableContents"/>
              <w:spacing w:before="0" w:after="0"/>
              <w:ind w:left="225" w:right="0" w:hanging="225"/>
              <w:rPr/>
            </w:pPr>
            <w:r>
              <w:rPr/>
              <w:t> </w:t>
            </w:r>
          </w:p>
        </w:tc>
        <w:tc>
          <w:tcPr>
            <w:tcW w:w="316" w:type="dxa"/>
            <w:tcBorders/>
            <w:shd w:fill="auto" w:val="clear"/>
            <w:vAlign w:val="center"/>
          </w:tcPr>
          <w:p>
            <w:pPr>
              <w:pStyle w:val="TableContents"/>
              <w:spacing w:before="0" w:after="283"/>
              <w:rPr/>
            </w:pPr>
            <w:r>
              <w:rPr/>
              <w:t> </w:t>
            </w:r>
          </w:p>
        </w:tc>
        <w:tc>
          <w:tcPr>
            <w:tcW w:w="16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14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14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r>
      <w:tr>
        <w:trPr/>
        <w:tc>
          <w:tcPr>
            <w:tcW w:w="4272" w:type="dxa"/>
            <w:tcBorders/>
            <w:shd w:fill="auto" w:val="clear"/>
            <w:vAlign w:val="bottom"/>
          </w:tcPr>
          <w:p>
            <w:pPr>
              <w:pStyle w:val="TableContents"/>
              <w:spacing w:before="0" w:after="0"/>
              <w:ind w:left="225" w:right="0" w:hanging="225"/>
              <w:rPr/>
            </w:pPr>
            <w:r>
              <w:rPr/>
              <w:t> </w:t>
            </w:r>
          </w:p>
        </w:tc>
        <w:tc>
          <w:tcPr>
            <w:tcW w:w="31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00"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r>
      <w:tr>
        <w:trPr/>
        <w:tc>
          <w:tcPr>
            <w:tcW w:w="4272" w:type="dxa"/>
            <w:tcBorders/>
            <w:shd w:fill="CCEEFF" w:val="clear"/>
            <w:vAlign w:val="bottom"/>
          </w:tcPr>
          <w:p>
            <w:pPr>
              <w:pStyle w:val="TableContents"/>
              <w:spacing w:before="0" w:after="0"/>
              <w:ind w:left="225" w:right="0" w:hanging="225"/>
              <w:rPr/>
            </w:pPr>
            <w:r>
              <w:rPr/>
              <w:t>Unamortized intangible assets:</w:t>
            </w:r>
          </w:p>
        </w:tc>
        <w:tc>
          <w:tcPr>
            <w:tcW w:w="316"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200"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r>
      <w:tr>
        <w:trPr/>
        <w:tc>
          <w:tcPr>
            <w:tcW w:w="4272" w:type="dxa"/>
            <w:tcBorders/>
            <w:shd w:fill="auto" w:val="clear"/>
            <w:vAlign w:val="bottom"/>
          </w:tcPr>
          <w:p>
            <w:pPr>
              <w:pStyle w:val="TableContents"/>
              <w:spacing w:before="0" w:after="0"/>
              <w:ind w:left="450" w:right="0" w:hanging="225"/>
              <w:rPr/>
            </w:pPr>
            <w:r>
              <w:rPr/>
              <w:t>Trademarks</w:t>
            </w:r>
          </w:p>
        </w:tc>
        <w:tc>
          <w:tcPr>
            <w:tcW w:w="31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jc w:val="right"/>
              <w:rPr/>
            </w:pPr>
            <w:r>
              <w:rPr/>
              <w:t>4,590</w:t>
            </w:r>
          </w:p>
        </w:tc>
        <w:tc>
          <w:tcPr>
            <w:tcW w:w="10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w:t>
            </w:r>
          </w:p>
        </w:tc>
        <w:tc>
          <w:tcPr>
            <w:tcW w:w="13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00" w:type="dxa"/>
            <w:tcBorders/>
            <w:shd w:fill="auto" w:val="clear"/>
            <w:vAlign w:val="bottom"/>
          </w:tcPr>
          <w:p>
            <w:pPr>
              <w:pStyle w:val="TableContents"/>
              <w:spacing w:before="0" w:after="283"/>
              <w:jc w:val="right"/>
              <w:rPr/>
            </w:pPr>
            <w:r>
              <w:rPr/>
              <w:t>4,590</w:t>
            </w:r>
          </w:p>
        </w:tc>
        <w:tc>
          <w:tcPr>
            <w:tcW w:w="113" w:type="dxa"/>
            <w:tcBorders/>
            <w:shd w:fill="auto" w:val="clear"/>
            <w:vAlign w:val="bottom"/>
          </w:tcPr>
          <w:p>
            <w:pPr>
              <w:pStyle w:val="TableContents"/>
              <w:spacing w:before="0" w:after="283"/>
              <w:rPr/>
            </w:pPr>
            <w:r>
              <w:rPr/>
              <w:t> </w:t>
            </w:r>
          </w:p>
        </w:tc>
      </w:tr>
      <w:tr>
        <w:trPr/>
        <w:tc>
          <w:tcPr>
            <w:tcW w:w="4272" w:type="dxa"/>
            <w:tcBorders/>
            <w:shd w:fill="CCEEFF" w:val="clear"/>
            <w:vAlign w:val="bottom"/>
          </w:tcPr>
          <w:p>
            <w:pPr>
              <w:pStyle w:val="TableContents"/>
              <w:spacing w:before="0" w:after="0"/>
              <w:ind w:left="450" w:right="0" w:hanging="225"/>
              <w:rPr/>
            </w:pPr>
            <w:r>
              <w:rPr/>
              <w:t>Pension intangible assets</w:t>
            </w:r>
          </w:p>
        </w:tc>
        <w:tc>
          <w:tcPr>
            <w:tcW w:w="316"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jc w:val="right"/>
              <w:rPr/>
            </w:pPr>
            <w:r>
              <w:rPr/>
              <w:t>573</w:t>
            </w:r>
          </w:p>
        </w:tc>
        <w:tc>
          <w:tcPr>
            <w:tcW w:w="103"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1150" w:type="dxa"/>
            <w:tcBorders/>
            <w:shd w:fill="CCEEFF" w:val="clear"/>
            <w:vAlign w:val="bottom"/>
          </w:tcPr>
          <w:p>
            <w:pPr>
              <w:pStyle w:val="TableContents"/>
              <w:spacing w:before="0" w:after="283"/>
              <w:jc w:val="right"/>
              <w:rPr/>
            </w:pPr>
            <w:r>
              <w:rPr/>
              <w:t></w:t>
            </w:r>
          </w:p>
        </w:tc>
        <w:tc>
          <w:tcPr>
            <w:tcW w:w="133"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200" w:type="dxa"/>
            <w:tcBorders/>
            <w:shd w:fill="CCEEFF" w:val="clear"/>
            <w:vAlign w:val="bottom"/>
          </w:tcPr>
          <w:p>
            <w:pPr>
              <w:pStyle w:val="TableContents"/>
              <w:spacing w:before="0" w:after="283"/>
              <w:jc w:val="right"/>
              <w:rPr/>
            </w:pPr>
            <w:r>
              <w:rPr/>
              <w:t>573</w:t>
            </w:r>
          </w:p>
        </w:tc>
        <w:tc>
          <w:tcPr>
            <w:tcW w:w="113" w:type="dxa"/>
            <w:tcBorders/>
            <w:shd w:fill="CCEEFF" w:val="clear"/>
            <w:vAlign w:val="bottom"/>
          </w:tcPr>
          <w:p>
            <w:pPr>
              <w:pStyle w:val="TableContents"/>
              <w:spacing w:before="0" w:after="283"/>
              <w:rPr/>
            </w:pPr>
            <w:r>
              <w:rPr/>
              <w:t> </w:t>
            </w:r>
          </w:p>
        </w:tc>
      </w:tr>
      <w:tr>
        <w:trPr/>
        <w:tc>
          <w:tcPr>
            <w:tcW w:w="4272" w:type="dxa"/>
            <w:tcBorders/>
            <w:shd w:fill="auto" w:val="clear"/>
            <w:vAlign w:val="center"/>
          </w:tcPr>
          <w:p>
            <w:pPr>
              <w:pStyle w:val="TableContents"/>
              <w:spacing w:before="0" w:after="0"/>
              <w:ind w:left="225" w:right="0" w:hanging="225"/>
              <w:rPr/>
            </w:pPr>
            <w:r>
              <w:rPr/>
              <w:t> </w:t>
            </w:r>
          </w:p>
        </w:tc>
        <w:tc>
          <w:tcPr>
            <w:tcW w:w="316" w:type="dxa"/>
            <w:tcBorders/>
            <w:shd w:fill="auto" w:val="clear"/>
            <w:vAlign w:val="center"/>
          </w:tcPr>
          <w:p>
            <w:pPr>
              <w:pStyle w:val="TableContents"/>
              <w:spacing w:before="0" w:after="283"/>
              <w:rPr/>
            </w:pPr>
            <w:r>
              <w:rPr/>
              <w:t> </w:t>
            </w:r>
          </w:p>
        </w:tc>
        <w:tc>
          <w:tcPr>
            <w:tcW w:w="16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14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14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r>
      <w:tr>
        <w:trPr/>
        <w:tc>
          <w:tcPr>
            <w:tcW w:w="4272" w:type="dxa"/>
            <w:tcBorders/>
            <w:shd w:fill="auto" w:val="clear"/>
            <w:vAlign w:val="bottom"/>
          </w:tcPr>
          <w:p>
            <w:pPr>
              <w:pStyle w:val="TableContents"/>
              <w:spacing w:before="0" w:after="0"/>
              <w:ind w:left="225" w:right="0" w:hanging="225"/>
              <w:rPr/>
            </w:pPr>
            <w:r>
              <w:rPr/>
              <w:t> </w:t>
            </w:r>
          </w:p>
        </w:tc>
        <w:tc>
          <w:tcPr>
            <w:tcW w:w="31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jc w:val="right"/>
              <w:rPr/>
            </w:pPr>
            <w:r>
              <w:rPr/>
              <w:t>5,163</w:t>
            </w:r>
          </w:p>
        </w:tc>
        <w:tc>
          <w:tcPr>
            <w:tcW w:w="10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1150" w:type="dxa"/>
            <w:tcBorders/>
            <w:shd w:fill="auto" w:val="clear"/>
            <w:vAlign w:val="bottom"/>
          </w:tcPr>
          <w:p>
            <w:pPr>
              <w:pStyle w:val="TableContents"/>
              <w:spacing w:before="0" w:after="283"/>
              <w:jc w:val="right"/>
              <w:rPr/>
            </w:pPr>
            <w:r>
              <w:rPr/>
              <w:t></w:t>
            </w:r>
          </w:p>
        </w:tc>
        <w:tc>
          <w:tcPr>
            <w:tcW w:w="133"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00" w:type="dxa"/>
            <w:tcBorders/>
            <w:shd w:fill="auto" w:val="clear"/>
            <w:vAlign w:val="bottom"/>
          </w:tcPr>
          <w:p>
            <w:pPr>
              <w:pStyle w:val="TableContents"/>
              <w:spacing w:before="0" w:after="283"/>
              <w:jc w:val="right"/>
              <w:rPr/>
            </w:pPr>
            <w:r>
              <w:rPr/>
              <w:t>5,163</w:t>
            </w:r>
          </w:p>
        </w:tc>
        <w:tc>
          <w:tcPr>
            <w:tcW w:w="113" w:type="dxa"/>
            <w:tcBorders/>
            <w:shd w:fill="auto" w:val="clear"/>
            <w:vAlign w:val="bottom"/>
          </w:tcPr>
          <w:p>
            <w:pPr>
              <w:pStyle w:val="TableContents"/>
              <w:spacing w:before="0" w:after="283"/>
              <w:rPr/>
            </w:pPr>
            <w:r>
              <w:rPr/>
              <w:t> </w:t>
            </w:r>
          </w:p>
        </w:tc>
      </w:tr>
      <w:tr>
        <w:trPr/>
        <w:tc>
          <w:tcPr>
            <w:tcW w:w="4272" w:type="dxa"/>
            <w:tcBorders/>
            <w:shd w:fill="auto" w:val="clear"/>
            <w:vAlign w:val="center"/>
          </w:tcPr>
          <w:p>
            <w:pPr>
              <w:pStyle w:val="TableContents"/>
              <w:spacing w:before="0" w:after="0"/>
              <w:ind w:left="225" w:right="0" w:hanging="225"/>
              <w:rPr/>
            </w:pPr>
            <w:r>
              <w:rPr/>
              <w:t> </w:t>
            </w:r>
          </w:p>
        </w:tc>
        <w:tc>
          <w:tcPr>
            <w:tcW w:w="316" w:type="dxa"/>
            <w:tcBorders/>
            <w:shd w:fill="auto" w:val="clear"/>
            <w:vAlign w:val="center"/>
          </w:tcPr>
          <w:p>
            <w:pPr>
              <w:pStyle w:val="TableContents"/>
              <w:spacing w:before="0" w:after="283"/>
              <w:rPr/>
            </w:pPr>
            <w:r>
              <w:rPr/>
              <w:t> </w:t>
            </w:r>
          </w:p>
        </w:tc>
        <w:tc>
          <w:tcPr>
            <w:tcW w:w="16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14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14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r>
      <w:tr>
        <w:trPr/>
        <w:tc>
          <w:tcPr>
            <w:tcW w:w="4272" w:type="dxa"/>
            <w:tcBorders/>
            <w:shd w:fill="CCEEFF" w:val="clear"/>
            <w:vAlign w:val="bottom"/>
          </w:tcPr>
          <w:p>
            <w:pPr>
              <w:pStyle w:val="TableContents"/>
              <w:spacing w:before="0" w:after="0"/>
              <w:ind w:left="225" w:right="0" w:hanging="225"/>
              <w:rPr/>
            </w:pPr>
            <w:r>
              <w:rPr/>
              <w:t>Total</w:t>
            </w:r>
          </w:p>
        </w:tc>
        <w:tc>
          <w:tcPr>
            <w:tcW w:w="316"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jc w:val="left"/>
              <w:rPr/>
            </w:pPr>
            <w:r>
              <w:rPr/>
              <w:t>$</w:t>
            </w:r>
          </w:p>
        </w:tc>
        <w:tc>
          <w:tcPr>
            <w:tcW w:w="1352" w:type="dxa"/>
            <w:tcBorders/>
            <w:shd w:fill="CCEEFF" w:val="clear"/>
            <w:vAlign w:val="bottom"/>
          </w:tcPr>
          <w:p>
            <w:pPr>
              <w:pStyle w:val="TableContents"/>
              <w:spacing w:before="0" w:after="283"/>
              <w:jc w:val="right"/>
              <w:rPr/>
            </w:pPr>
            <w:r>
              <w:rPr/>
              <w:t>6,657</w:t>
            </w:r>
          </w:p>
        </w:tc>
        <w:tc>
          <w:tcPr>
            <w:tcW w:w="103"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jc w:val="left"/>
              <w:rPr/>
            </w:pPr>
            <w:r>
              <w:rPr/>
              <w:t>$</w:t>
            </w:r>
          </w:p>
        </w:tc>
        <w:tc>
          <w:tcPr>
            <w:tcW w:w="1150" w:type="dxa"/>
            <w:tcBorders/>
            <w:shd w:fill="CCEEFF" w:val="clear"/>
            <w:vAlign w:val="bottom"/>
          </w:tcPr>
          <w:p>
            <w:pPr>
              <w:pStyle w:val="TableContents"/>
              <w:spacing w:before="0" w:after="283"/>
              <w:jc w:val="right"/>
              <w:rPr/>
            </w:pPr>
            <w:r>
              <w:rPr/>
              <w:t>(419</w:t>
            </w:r>
          </w:p>
        </w:tc>
        <w:tc>
          <w:tcPr>
            <w:tcW w:w="133" w:type="dxa"/>
            <w:tcBorders/>
            <w:shd w:fill="CCEEFF" w:val="clear"/>
            <w:vAlign w:val="bottom"/>
          </w:tcPr>
          <w:p>
            <w:pPr>
              <w:pStyle w:val="TableContents"/>
              <w:spacing w:before="0" w:after="283"/>
              <w:rPr/>
            </w:pPr>
            <w:r>
              <w:rPr/>
              <w:t>)</w:t>
            </w:r>
          </w:p>
        </w:tc>
        <w:tc>
          <w:tcPr>
            <w:tcW w:w="316"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left"/>
              <w:rPr/>
            </w:pPr>
            <w:r>
              <w:rPr/>
              <w:t>$</w:t>
            </w:r>
          </w:p>
        </w:tc>
        <w:tc>
          <w:tcPr>
            <w:tcW w:w="1200" w:type="dxa"/>
            <w:tcBorders/>
            <w:shd w:fill="CCEEFF" w:val="clear"/>
            <w:vAlign w:val="bottom"/>
          </w:tcPr>
          <w:p>
            <w:pPr>
              <w:pStyle w:val="TableContents"/>
              <w:spacing w:before="0" w:after="283"/>
              <w:jc w:val="right"/>
              <w:rPr/>
            </w:pPr>
            <w:r>
              <w:rPr/>
              <w:t>6,238</w:t>
            </w:r>
          </w:p>
        </w:tc>
        <w:tc>
          <w:tcPr>
            <w:tcW w:w="113" w:type="dxa"/>
            <w:tcBorders/>
            <w:shd w:fill="CCEEFF" w:val="clear"/>
            <w:vAlign w:val="bottom"/>
          </w:tcPr>
          <w:p>
            <w:pPr>
              <w:pStyle w:val="TableContents"/>
              <w:spacing w:before="0" w:after="283"/>
              <w:rPr/>
            </w:pPr>
            <w:r>
              <w:rPr/>
              <w:t> </w:t>
            </w:r>
          </w:p>
        </w:tc>
      </w:tr>
      <w:tr>
        <w:trPr/>
        <w:tc>
          <w:tcPr>
            <w:tcW w:w="4272" w:type="dxa"/>
            <w:tcBorders/>
            <w:shd w:fill="auto" w:val="clear"/>
            <w:vAlign w:val="center"/>
          </w:tcPr>
          <w:p>
            <w:pPr>
              <w:pStyle w:val="TableContents"/>
              <w:spacing w:before="0" w:after="0"/>
              <w:ind w:left="225" w:right="0" w:hanging="225"/>
              <w:rPr/>
            </w:pPr>
            <w:r>
              <w:rPr/>
              <w:t> </w:t>
            </w:r>
          </w:p>
        </w:tc>
        <w:tc>
          <w:tcPr>
            <w:tcW w:w="316" w:type="dxa"/>
            <w:tcBorders/>
            <w:shd w:fill="auto" w:val="clear"/>
            <w:vAlign w:val="center"/>
          </w:tcPr>
          <w:p>
            <w:pPr>
              <w:pStyle w:val="TableContents"/>
              <w:spacing w:before="0" w:after="283"/>
              <w:rPr/>
            </w:pPr>
            <w:r>
              <w:rPr/>
              <w:t> </w:t>
            </w:r>
          </w:p>
        </w:tc>
        <w:tc>
          <w:tcPr>
            <w:tcW w:w="16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14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148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Intangible asset amortization expense for the three months ended March 31, 2006 and 2005 was $69,000 and $58,000, respectively. The estimated weighted-average amortization period of amortized intangible assets is 2.2 years. Estimated amortization expense related to the other intangible assets for the remainder of 2006 and succeeding years is expected to be $190,000 (2006), $298,000 (2007), $344,000 (2008) and $171,000 (2009).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8. Accrued Liabilities and Other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Other current liabilities consisted of the following: </w:t>
      </w:r>
    </w:p>
    <w:tbl>
      <w:tblPr>
        <w:tblW w:w="5000" w:type="pct"/>
        <w:jc w:val="center"/>
        <w:tblInd w:w="0" w:type="dxa"/>
        <w:tblCellMar>
          <w:top w:w="0" w:type="dxa"/>
          <w:left w:w="0" w:type="dxa"/>
          <w:bottom w:w="0" w:type="dxa"/>
          <w:right w:w="0" w:type="dxa"/>
        </w:tblCellMar>
      </w:tblPr>
      <w:tblGrid>
        <w:gridCol w:w="6479"/>
        <w:gridCol w:w="417"/>
        <w:gridCol w:w="187"/>
        <w:gridCol w:w="1018"/>
        <w:gridCol w:w="117"/>
        <w:gridCol w:w="417"/>
        <w:gridCol w:w="223"/>
        <w:gridCol w:w="1225"/>
        <w:gridCol w:w="122"/>
      </w:tblGrid>
      <w:tr>
        <w:trPr/>
        <w:tc>
          <w:tcPr>
            <w:tcW w:w="6479"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6479"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1205" w:type="dxa"/>
            <w:gridSpan w:val="2"/>
            <w:tcBorders/>
            <w:shd w:fill="auto" w:val="clear"/>
            <w:vAlign w:val="bottom"/>
          </w:tcPr>
          <w:p>
            <w:pPr>
              <w:pStyle w:val="TableContents"/>
              <w:spacing w:before="0" w:after="283"/>
              <w:jc w:val="center"/>
              <w:rPr>
                <w:b/>
              </w:rPr>
            </w:pPr>
            <w:r>
              <w:rPr>
                <w:b/>
              </w:rPr>
              <w:t>March 31,</w:t>
            </w:r>
          </w:p>
        </w:tc>
        <w:tc>
          <w:tcPr>
            <w:tcW w:w="117"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1448" w:type="dxa"/>
            <w:gridSpan w:val="2"/>
            <w:tcBorders/>
            <w:shd w:fill="auto" w:val="clear"/>
            <w:vAlign w:val="bottom"/>
          </w:tcPr>
          <w:p>
            <w:pPr>
              <w:pStyle w:val="TableContents"/>
              <w:spacing w:before="0" w:after="283"/>
              <w:jc w:val="center"/>
              <w:rPr>
                <w:b/>
              </w:rPr>
            </w:pPr>
            <w:r>
              <w:rPr>
                <w:b/>
              </w:rPr>
              <w:t>December 31,</w:t>
            </w:r>
          </w:p>
        </w:tc>
        <w:tc>
          <w:tcPr>
            <w:tcW w:w="122" w:type="dxa"/>
            <w:tcBorders/>
            <w:shd w:fill="auto" w:val="clear"/>
            <w:vAlign w:val="bottom"/>
          </w:tcPr>
          <w:p>
            <w:pPr>
              <w:pStyle w:val="TableContents"/>
              <w:spacing w:before="0" w:after="283"/>
              <w:rPr/>
            </w:pPr>
            <w:r>
              <w:rPr/>
              <w:t> </w:t>
            </w:r>
          </w:p>
        </w:tc>
      </w:tr>
      <w:tr>
        <w:trPr/>
        <w:tc>
          <w:tcPr>
            <w:tcW w:w="6479"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120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7"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144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2" w:type="dxa"/>
            <w:tcBorders/>
            <w:shd w:fill="auto" w:val="clear"/>
            <w:vAlign w:val="bottom"/>
          </w:tcPr>
          <w:p>
            <w:pPr>
              <w:pStyle w:val="TableContents"/>
              <w:spacing w:before="0" w:after="283"/>
              <w:rPr/>
            </w:pPr>
            <w:r>
              <w:rPr/>
              <w:t> </w:t>
            </w:r>
          </w:p>
        </w:tc>
      </w:tr>
      <w:tr>
        <w:trPr/>
        <w:tc>
          <w:tcPr>
            <w:tcW w:w="6479"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3187" w:type="dxa"/>
            <w:gridSpan w:val="6"/>
            <w:tcBorders/>
            <w:shd w:fill="auto" w:val="clear"/>
            <w:vAlign w:val="bottom"/>
          </w:tcPr>
          <w:p>
            <w:pPr>
              <w:pStyle w:val="TableContents"/>
              <w:spacing w:before="0" w:after="283"/>
              <w:jc w:val="center"/>
              <w:rPr>
                <w:b/>
              </w:rPr>
            </w:pPr>
            <w:r>
              <w:rPr>
                <w:b/>
              </w:rPr>
              <w:t>(in thousands)</w:t>
            </w:r>
          </w:p>
        </w:tc>
        <w:tc>
          <w:tcPr>
            <w:tcW w:w="122" w:type="dxa"/>
            <w:tcBorders/>
            <w:shd w:fill="auto" w:val="clear"/>
            <w:vAlign w:val="bottom"/>
          </w:tcPr>
          <w:p>
            <w:pPr>
              <w:pStyle w:val="TableContents"/>
              <w:spacing w:before="0" w:after="283"/>
              <w:rPr/>
            </w:pPr>
            <w:r>
              <w:rPr/>
              <w:t> </w:t>
            </w:r>
          </w:p>
        </w:tc>
      </w:tr>
      <w:tr>
        <w:trPr/>
        <w:tc>
          <w:tcPr>
            <w:tcW w:w="6479" w:type="dxa"/>
            <w:tcBorders/>
            <w:shd w:fill="CCEEFF" w:val="clear"/>
            <w:vAlign w:val="bottom"/>
          </w:tcPr>
          <w:p>
            <w:pPr>
              <w:pStyle w:val="TableContents"/>
              <w:spacing w:before="0" w:after="0"/>
              <w:ind w:left="225" w:right="0" w:hanging="225"/>
              <w:rPr/>
            </w:pPr>
            <w:r>
              <w:rPr/>
              <w:t>Accrued income taxes</w:t>
            </w:r>
          </w:p>
        </w:tc>
        <w:tc>
          <w:tcPr>
            <w:tcW w:w="417"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jc w:val="left"/>
              <w:rPr/>
            </w:pPr>
            <w:r>
              <w:rPr/>
              <w:t>$</w:t>
            </w:r>
          </w:p>
        </w:tc>
        <w:tc>
          <w:tcPr>
            <w:tcW w:w="1018" w:type="dxa"/>
            <w:tcBorders/>
            <w:shd w:fill="CCEEFF" w:val="clear"/>
            <w:vAlign w:val="bottom"/>
          </w:tcPr>
          <w:p>
            <w:pPr>
              <w:pStyle w:val="TableContents"/>
              <w:spacing w:before="0" w:after="283"/>
              <w:jc w:val="right"/>
              <w:rPr/>
            </w:pPr>
            <w:r>
              <w:rPr/>
              <w:t>39,662</w:t>
            </w:r>
          </w:p>
        </w:tc>
        <w:tc>
          <w:tcPr>
            <w:tcW w:w="117"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w:t>
            </w:r>
          </w:p>
        </w:tc>
        <w:tc>
          <w:tcPr>
            <w:tcW w:w="1225" w:type="dxa"/>
            <w:tcBorders/>
            <w:shd w:fill="CCEEFF" w:val="clear"/>
            <w:vAlign w:val="bottom"/>
          </w:tcPr>
          <w:p>
            <w:pPr>
              <w:pStyle w:val="TableContents"/>
              <w:spacing w:before="0" w:after="283"/>
              <w:jc w:val="right"/>
              <w:rPr/>
            </w:pPr>
            <w:r>
              <w:rPr/>
              <w:t>37,973</w:t>
            </w:r>
          </w:p>
        </w:tc>
        <w:tc>
          <w:tcPr>
            <w:tcW w:w="122" w:type="dxa"/>
            <w:tcBorders/>
            <w:shd w:fill="CCEEFF" w:val="clear"/>
            <w:vAlign w:val="bottom"/>
          </w:tcPr>
          <w:p>
            <w:pPr>
              <w:pStyle w:val="TableContents"/>
              <w:spacing w:before="0" w:after="283"/>
              <w:rPr/>
            </w:pPr>
            <w:r>
              <w:rPr/>
              <w:t> </w:t>
            </w:r>
          </w:p>
        </w:tc>
      </w:tr>
      <w:tr>
        <w:trPr/>
        <w:tc>
          <w:tcPr>
            <w:tcW w:w="6479" w:type="dxa"/>
            <w:tcBorders/>
            <w:shd w:fill="auto" w:val="clear"/>
            <w:vAlign w:val="bottom"/>
          </w:tcPr>
          <w:p>
            <w:pPr>
              <w:pStyle w:val="TableContents"/>
              <w:spacing w:before="0" w:after="0"/>
              <w:ind w:left="225" w:right="0" w:hanging="225"/>
              <w:rPr/>
            </w:pPr>
            <w:r>
              <w:rPr/>
              <w:t>Customer deposits</w:t>
            </w:r>
          </w:p>
        </w:tc>
        <w:tc>
          <w:tcPr>
            <w:tcW w:w="41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pPr>
            <w:r>
              <w:rPr/>
              <w:t>32,571</w:t>
            </w:r>
          </w:p>
        </w:tc>
        <w:tc>
          <w:tcPr>
            <w:tcW w:w="117"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jc w:val="right"/>
              <w:rPr/>
            </w:pPr>
            <w:r>
              <w:rPr/>
              <w:t>33,527</w:t>
            </w:r>
          </w:p>
        </w:tc>
        <w:tc>
          <w:tcPr>
            <w:tcW w:w="122" w:type="dxa"/>
            <w:tcBorders/>
            <w:shd w:fill="auto" w:val="clear"/>
            <w:vAlign w:val="bottom"/>
          </w:tcPr>
          <w:p>
            <w:pPr>
              <w:pStyle w:val="TableContents"/>
              <w:spacing w:before="0" w:after="283"/>
              <w:rPr/>
            </w:pPr>
            <w:r>
              <w:rPr/>
              <w:t> </w:t>
            </w:r>
          </w:p>
        </w:tc>
      </w:tr>
      <w:tr>
        <w:trPr/>
        <w:tc>
          <w:tcPr>
            <w:tcW w:w="6479" w:type="dxa"/>
            <w:tcBorders/>
            <w:shd w:fill="CCEEFF" w:val="clear"/>
            <w:vAlign w:val="bottom"/>
          </w:tcPr>
          <w:p>
            <w:pPr>
              <w:pStyle w:val="TableContents"/>
              <w:spacing w:before="0" w:after="0"/>
              <w:ind w:left="225" w:right="0" w:hanging="225"/>
              <w:rPr/>
            </w:pPr>
            <w:r>
              <w:rPr/>
              <w:t>Accrued compensation</w:t>
            </w:r>
          </w:p>
        </w:tc>
        <w:tc>
          <w:tcPr>
            <w:tcW w:w="417"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pPr>
            <w:r>
              <w:rPr/>
              <w:t>13,642</w:t>
            </w:r>
          </w:p>
        </w:tc>
        <w:tc>
          <w:tcPr>
            <w:tcW w:w="117"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25" w:type="dxa"/>
            <w:tcBorders/>
            <w:shd w:fill="CCEEFF" w:val="clear"/>
            <w:vAlign w:val="bottom"/>
          </w:tcPr>
          <w:p>
            <w:pPr>
              <w:pStyle w:val="TableContents"/>
              <w:spacing w:before="0" w:after="283"/>
              <w:jc w:val="right"/>
              <w:rPr/>
            </w:pPr>
            <w:r>
              <w:rPr/>
              <w:t>17,545</w:t>
            </w:r>
          </w:p>
        </w:tc>
        <w:tc>
          <w:tcPr>
            <w:tcW w:w="122" w:type="dxa"/>
            <w:tcBorders/>
            <w:shd w:fill="CCEEFF" w:val="clear"/>
            <w:vAlign w:val="bottom"/>
          </w:tcPr>
          <w:p>
            <w:pPr>
              <w:pStyle w:val="TableContents"/>
              <w:spacing w:before="0" w:after="283"/>
              <w:rPr/>
            </w:pPr>
            <w:r>
              <w:rPr/>
              <w:t> </w:t>
            </w:r>
          </w:p>
        </w:tc>
      </w:tr>
      <w:tr>
        <w:trPr/>
        <w:tc>
          <w:tcPr>
            <w:tcW w:w="6479" w:type="dxa"/>
            <w:tcBorders/>
            <w:shd w:fill="auto" w:val="clear"/>
            <w:vAlign w:val="bottom"/>
          </w:tcPr>
          <w:p>
            <w:pPr>
              <w:pStyle w:val="TableContents"/>
              <w:spacing w:before="0" w:after="0"/>
              <w:ind w:left="225" w:right="0" w:hanging="225"/>
              <w:rPr/>
            </w:pPr>
            <w:r>
              <w:rPr/>
              <w:t>Liabilities associated with previously sold operations</w:t>
            </w:r>
          </w:p>
        </w:tc>
        <w:tc>
          <w:tcPr>
            <w:tcW w:w="41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pPr>
            <w:r>
              <w:rPr/>
              <w:t>11,827</w:t>
            </w:r>
          </w:p>
        </w:tc>
        <w:tc>
          <w:tcPr>
            <w:tcW w:w="117"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jc w:val="right"/>
              <w:rPr/>
            </w:pPr>
            <w:r>
              <w:rPr/>
              <w:t>11,827</w:t>
            </w:r>
          </w:p>
        </w:tc>
        <w:tc>
          <w:tcPr>
            <w:tcW w:w="122" w:type="dxa"/>
            <w:tcBorders/>
            <w:shd w:fill="auto" w:val="clear"/>
            <w:vAlign w:val="bottom"/>
          </w:tcPr>
          <w:p>
            <w:pPr>
              <w:pStyle w:val="TableContents"/>
              <w:spacing w:before="0" w:after="283"/>
              <w:rPr/>
            </w:pPr>
            <w:r>
              <w:rPr/>
              <w:t> </w:t>
            </w:r>
          </w:p>
        </w:tc>
      </w:tr>
      <w:tr>
        <w:trPr/>
        <w:tc>
          <w:tcPr>
            <w:tcW w:w="6479" w:type="dxa"/>
            <w:tcBorders/>
            <w:shd w:fill="CCEEFF" w:val="clear"/>
            <w:vAlign w:val="bottom"/>
          </w:tcPr>
          <w:p>
            <w:pPr>
              <w:pStyle w:val="TableContents"/>
              <w:spacing w:before="0" w:after="0"/>
              <w:ind w:left="225" w:right="0" w:hanging="225"/>
              <w:rPr/>
            </w:pPr>
            <w:r>
              <w:rPr/>
              <w:t>Self-insured liability accrual</w:t>
            </w:r>
          </w:p>
        </w:tc>
        <w:tc>
          <w:tcPr>
            <w:tcW w:w="417"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pPr>
            <w:r>
              <w:rPr/>
              <w:t>7,589</w:t>
            </w:r>
          </w:p>
        </w:tc>
        <w:tc>
          <w:tcPr>
            <w:tcW w:w="117"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25" w:type="dxa"/>
            <w:tcBorders/>
            <w:shd w:fill="CCEEFF" w:val="clear"/>
            <w:vAlign w:val="bottom"/>
          </w:tcPr>
          <w:p>
            <w:pPr>
              <w:pStyle w:val="TableContents"/>
              <w:spacing w:before="0" w:after="283"/>
              <w:jc w:val="right"/>
              <w:rPr/>
            </w:pPr>
            <w:r>
              <w:rPr/>
              <w:t>8,045</w:t>
            </w:r>
          </w:p>
        </w:tc>
        <w:tc>
          <w:tcPr>
            <w:tcW w:w="122" w:type="dxa"/>
            <w:tcBorders/>
            <w:shd w:fill="CCEEFF" w:val="clear"/>
            <w:vAlign w:val="bottom"/>
          </w:tcPr>
          <w:p>
            <w:pPr>
              <w:pStyle w:val="TableContents"/>
              <w:spacing w:before="0" w:after="283"/>
              <w:rPr/>
            </w:pPr>
            <w:r>
              <w:rPr/>
              <w:t> </w:t>
            </w:r>
          </w:p>
        </w:tc>
      </w:tr>
      <w:tr>
        <w:trPr/>
        <w:tc>
          <w:tcPr>
            <w:tcW w:w="6479" w:type="dxa"/>
            <w:tcBorders/>
            <w:shd w:fill="auto" w:val="clear"/>
            <w:vAlign w:val="bottom"/>
          </w:tcPr>
          <w:p>
            <w:pPr>
              <w:pStyle w:val="TableContents"/>
              <w:spacing w:before="0" w:after="0"/>
              <w:ind w:left="225" w:right="0" w:hanging="225"/>
              <w:rPr/>
            </w:pPr>
            <w:r>
              <w:rPr/>
              <w:t>Accrued restructuring</w:t>
            </w:r>
          </w:p>
        </w:tc>
        <w:tc>
          <w:tcPr>
            <w:tcW w:w="41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pPr>
            <w:r>
              <w:rPr/>
              <w:t>1,748</w:t>
            </w:r>
          </w:p>
        </w:tc>
        <w:tc>
          <w:tcPr>
            <w:tcW w:w="117"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jc w:val="right"/>
              <w:rPr/>
            </w:pPr>
            <w:r>
              <w:rPr/>
              <w:t>1,735</w:t>
            </w:r>
          </w:p>
        </w:tc>
        <w:tc>
          <w:tcPr>
            <w:tcW w:w="122" w:type="dxa"/>
            <w:tcBorders/>
            <w:shd w:fill="auto" w:val="clear"/>
            <w:vAlign w:val="bottom"/>
          </w:tcPr>
          <w:p>
            <w:pPr>
              <w:pStyle w:val="TableContents"/>
              <w:spacing w:before="0" w:after="283"/>
              <w:rPr/>
            </w:pPr>
            <w:r>
              <w:rPr/>
              <w:t> </w:t>
            </w:r>
          </w:p>
        </w:tc>
      </w:tr>
      <w:tr>
        <w:trPr/>
        <w:tc>
          <w:tcPr>
            <w:tcW w:w="6479" w:type="dxa"/>
            <w:tcBorders/>
            <w:shd w:fill="CCEEFF" w:val="clear"/>
            <w:vAlign w:val="bottom"/>
          </w:tcPr>
          <w:p>
            <w:pPr>
              <w:pStyle w:val="TableContents"/>
              <w:spacing w:before="0" w:after="0"/>
              <w:ind w:left="225" w:right="0" w:hanging="225"/>
              <w:rPr/>
            </w:pPr>
            <w:r>
              <w:rPr/>
              <w:t>Accrued dividends</w:t>
            </w:r>
          </w:p>
        </w:tc>
        <w:tc>
          <w:tcPr>
            <w:tcW w:w="417"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pPr>
            <w:r>
              <w:rPr/>
              <w:t>1,032</w:t>
            </w:r>
          </w:p>
        </w:tc>
        <w:tc>
          <w:tcPr>
            <w:tcW w:w="117"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25" w:type="dxa"/>
            <w:tcBorders/>
            <w:shd w:fill="CCEEFF" w:val="clear"/>
            <w:vAlign w:val="bottom"/>
          </w:tcPr>
          <w:p>
            <w:pPr>
              <w:pStyle w:val="TableContents"/>
              <w:spacing w:before="0" w:after="283"/>
              <w:jc w:val="right"/>
              <w:rPr/>
            </w:pPr>
            <w:r>
              <w:rPr/>
              <w:t>1,044</w:t>
            </w:r>
          </w:p>
        </w:tc>
        <w:tc>
          <w:tcPr>
            <w:tcW w:w="122" w:type="dxa"/>
            <w:tcBorders/>
            <w:shd w:fill="CCEEFF" w:val="clear"/>
            <w:vAlign w:val="bottom"/>
          </w:tcPr>
          <w:p>
            <w:pPr>
              <w:pStyle w:val="TableContents"/>
              <w:spacing w:before="0" w:after="283"/>
              <w:rPr/>
            </w:pPr>
            <w:r>
              <w:rPr/>
              <w:t> </w:t>
            </w:r>
          </w:p>
        </w:tc>
      </w:tr>
      <w:tr>
        <w:trPr/>
        <w:tc>
          <w:tcPr>
            <w:tcW w:w="6479" w:type="dxa"/>
            <w:tcBorders/>
            <w:shd w:fill="auto" w:val="clear"/>
            <w:vAlign w:val="bottom"/>
          </w:tcPr>
          <w:p>
            <w:pPr>
              <w:pStyle w:val="TableContents"/>
              <w:spacing w:before="0" w:after="0"/>
              <w:ind w:left="225" w:right="0" w:hanging="225"/>
              <w:rPr/>
            </w:pPr>
            <w:r>
              <w:rPr/>
              <w:t>Other</w:t>
            </w:r>
          </w:p>
        </w:tc>
        <w:tc>
          <w:tcPr>
            <w:tcW w:w="41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pPr>
            <w:r>
              <w:rPr/>
              <w:t>23,237</w:t>
            </w:r>
          </w:p>
        </w:tc>
        <w:tc>
          <w:tcPr>
            <w:tcW w:w="117"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jc w:val="right"/>
              <w:rPr/>
            </w:pPr>
            <w:r>
              <w:rPr/>
              <w:t>19,802</w:t>
            </w:r>
          </w:p>
        </w:tc>
        <w:tc>
          <w:tcPr>
            <w:tcW w:w="122" w:type="dxa"/>
            <w:tcBorders/>
            <w:shd w:fill="auto" w:val="clear"/>
            <w:vAlign w:val="bottom"/>
          </w:tcPr>
          <w:p>
            <w:pPr>
              <w:pStyle w:val="TableContents"/>
              <w:spacing w:before="0" w:after="283"/>
              <w:rPr/>
            </w:pPr>
            <w:r>
              <w:rPr/>
              <w:t> </w:t>
            </w:r>
          </w:p>
        </w:tc>
      </w:tr>
      <w:tr>
        <w:trPr/>
        <w:tc>
          <w:tcPr>
            <w:tcW w:w="6479" w:type="dxa"/>
            <w:tcBorders/>
            <w:shd w:fill="auto" w:val="clear"/>
            <w:vAlign w:val="center"/>
          </w:tcPr>
          <w:p>
            <w:pPr>
              <w:pStyle w:val="TableContents"/>
              <w:spacing w:before="0" w:after="0"/>
              <w:ind w:left="225" w:right="0" w:hanging="225"/>
              <w:rPr/>
            </w:pPr>
            <w:r>
              <w:rPr/>
              <w:t> </w:t>
            </w:r>
          </w:p>
        </w:tc>
        <w:tc>
          <w:tcPr>
            <w:tcW w:w="417" w:type="dxa"/>
            <w:tcBorders/>
            <w:shd w:fill="auto" w:val="clear"/>
            <w:vAlign w:val="center"/>
          </w:tcPr>
          <w:p>
            <w:pPr>
              <w:pStyle w:val="TableContents"/>
              <w:spacing w:before="0" w:after="283"/>
              <w:rPr/>
            </w:pPr>
            <w:r>
              <w:rPr/>
              <w:t> </w:t>
            </w:r>
          </w:p>
        </w:tc>
        <w:tc>
          <w:tcPr>
            <w:tcW w:w="12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417"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6479" w:type="dxa"/>
            <w:tcBorders/>
            <w:shd w:fill="CCEEFF" w:val="clear"/>
            <w:vAlign w:val="bottom"/>
          </w:tcPr>
          <w:p>
            <w:pPr>
              <w:pStyle w:val="TableContents"/>
              <w:spacing w:before="0" w:after="0"/>
              <w:ind w:left="225" w:right="0" w:hanging="225"/>
              <w:rPr/>
            </w:pPr>
            <w:r>
              <w:rPr/>
              <w:t>Total other current liabilities</w:t>
            </w:r>
          </w:p>
        </w:tc>
        <w:tc>
          <w:tcPr>
            <w:tcW w:w="417"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jc w:val="left"/>
              <w:rPr/>
            </w:pPr>
            <w:r>
              <w:rPr/>
              <w:t>$</w:t>
            </w:r>
          </w:p>
        </w:tc>
        <w:tc>
          <w:tcPr>
            <w:tcW w:w="1018" w:type="dxa"/>
            <w:tcBorders/>
            <w:shd w:fill="CCEEFF" w:val="clear"/>
            <w:vAlign w:val="bottom"/>
          </w:tcPr>
          <w:p>
            <w:pPr>
              <w:pStyle w:val="TableContents"/>
              <w:spacing w:before="0" w:after="283"/>
              <w:jc w:val="right"/>
              <w:rPr/>
            </w:pPr>
            <w:r>
              <w:rPr/>
              <w:t>131,308</w:t>
            </w:r>
          </w:p>
        </w:tc>
        <w:tc>
          <w:tcPr>
            <w:tcW w:w="117"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w:t>
            </w:r>
          </w:p>
        </w:tc>
        <w:tc>
          <w:tcPr>
            <w:tcW w:w="1225" w:type="dxa"/>
            <w:tcBorders/>
            <w:shd w:fill="CCEEFF" w:val="clear"/>
            <w:vAlign w:val="bottom"/>
          </w:tcPr>
          <w:p>
            <w:pPr>
              <w:pStyle w:val="TableContents"/>
              <w:spacing w:before="0" w:after="283"/>
              <w:jc w:val="right"/>
              <w:rPr/>
            </w:pPr>
            <w:r>
              <w:rPr/>
              <w:t>131,498</w:t>
            </w:r>
          </w:p>
        </w:tc>
        <w:tc>
          <w:tcPr>
            <w:tcW w:w="122" w:type="dxa"/>
            <w:tcBorders/>
            <w:shd w:fill="CCEEFF" w:val="clear"/>
            <w:vAlign w:val="bottom"/>
          </w:tcPr>
          <w:p>
            <w:pPr>
              <w:pStyle w:val="TableContents"/>
              <w:spacing w:before="0" w:after="283"/>
              <w:rPr/>
            </w:pPr>
            <w:r>
              <w:rPr/>
              <w:t> </w:t>
            </w:r>
          </w:p>
        </w:tc>
      </w:tr>
      <w:tr>
        <w:trPr/>
        <w:tc>
          <w:tcPr>
            <w:tcW w:w="6479" w:type="dxa"/>
            <w:tcBorders/>
            <w:shd w:fill="auto" w:val="clear"/>
            <w:vAlign w:val="center"/>
          </w:tcPr>
          <w:p>
            <w:pPr>
              <w:pStyle w:val="TableContents"/>
              <w:spacing w:before="0" w:after="0"/>
              <w:ind w:left="225" w:right="0" w:hanging="225"/>
              <w:rPr/>
            </w:pPr>
            <w:r>
              <w:rPr/>
              <w:t> </w:t>
            </w:r>
          </w:p>
        </w:tc>
        <w:tc>
          <w:tcPr>
            <w:tcW w:w="417" w:type="dxa"/>
            <w:tcBorders/>
            <w:shd w:fill="auto" w:val="clear"/>
            <w:vAlign w:val="center"/>
          </w:tcPr>
          <w:p>
            <w:pPr>
              <w:pStyle w:val="TableContents"/>
              <w:spacing w:before="0" w:after="283"/>
              <w:rPr/>
            </w:pPr>
            <w:r>
              <w:rPr/>
              <w:t> </w:t>
            </w:r>
          </w:p>
        </w:tc>
        <w:tc>
          <w:tcPr>
            <w:tcW w:w="12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417" w:type="dxa"/>
            <w:tcBorders/>
            <w:shd w:fill="auto" w:val="clear"/>
            <w:vAlign w:val="center"/>
          </w:tcPr>
          <w:p>
            <w:pPr>
              <w:pStyle w:val="TableContents"/>
              <w:spacing w:before="0" w:after="283"/>
              <w:rPr/>
            </w:pPr>
            <w:r>
              <w:rPr/>
              <w:t> </w:t>
            </w:r>
          </w:p>
        </w:tc>
        <w:tc>
          <w:tcPr>
            <w:tcW w:w="14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For a discussion of income tax liabilities and certain liabilities associated with previously sold operations, see Notes 11 and 14, respectively. </w:t>
      </w:r>
    </w:p>
    <w:p>
      <w:pPr>
        <w:pStyle w:val="TextBody"/>
        <w:spacing w:before="120" w:after="283"/>
        <w:jc w:val="left"/>
        <w:rPr/>
      </w:pPr>
      <w:r>
        <w:rPr/>
        <w:t>     </w:t>
      </w:r>
      <w:r>
        <w:rPr>
          <w:rFonts w:ascii="Times New Roman;Times;serif" w:hAnsi="Times New Roman;Times;serif"/>
          <w:sz w:val="17"/>
        </w:rPr>
        <w:t xml:space="preserve">Other deferred items and insurance liabilities consisted of the following: </w:t>
      </w:r>
    </w:p>
    <w:tbl>
      <w:tblPr>
        <w:tblW w:w="5000" w:type="pct"/>
        <w:jc w:val="center"/>
        <w:tblInd w:w="0" w:type="dxa"/>
        <w:tblCellMar>
          <w:top w:w="0" w:type="dxa"/>
          <w:left w:w="0" w:type="dxa"/>
          <w:bottom w:w="0" w:type="dxa"/>
          <w:right w:w="0" w:type="dxa"/>
        </w:tblCellMar>
      </w:tblPr>
      <w:tblGrid>
        <w:gridCol w:w="6487"/>
        <w:gridCol w:w="423"/>
        <w:gridCol w:w="202"/>
        <w:gridCol w:w="995"/>
        <w:gridCol w:w="117"/>
        <w:gridCol w:w="423"/>
        <w:gridCol w:w="242"/>
        <w:gridCol w:w="1192"/>
        <w:gridCol w:w="124"/>
      </w:tblGrid>
      <w:tr>
        <w:trPr/>
        <w:tc>
          <w:tcPr>
            <w:tcW w:w="6487"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99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9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6487"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197" w:type="dxa"/>
            <w:gridSpan w:val="2"/>
            <w:tcBorders/>
            <w:shd w:fill="auto" w:val="clear"/>
            <w:vAlign w:val="bottom"/>
          </w:tcPr>
          <w:p>
            <w:pPr>
              <w:pStyle w:val="TableContents"/>
              <w:spacing w:before="0" w:after="283"/>
              <w:jc w:val="center"/>
              <w:rPr>
                <w:b/>
              </w:rPr>
            </w:pPr>
            <w:r>
              <w:rPr>
                <w:b/>
              </w:rPr>
              <w:t>March 31,</w:t>
            </w:r>
          </w:p>
        </w:tc>
        <w:tc>
          <w:tcPr>
            <w:tcW w:w="117"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434" w:type="dxa"/>
            <w:gridSpan w:val="2"/>
            <w:tcBorders/>
            <w:shd w:fill="auto" w:val="clear"/>
            <w:vAlign w:val="bottom"/>
          </w:tcPr>
          <w:p>
            <w:pPr>
              <w:pStyle w:val="TableContents"/>
              <w:spacing w:before="0" w:after="283"/>
              <w:jc w:val="center"/>
              <w:rPr>
                <w:b/>
              </w:rPr>
            </w:pPr>
            <w:r>
              <w:rPr>
                <w:b/>
              </w:rPr>
              <w:t>December 31,</w:t>
            </w:r>
          </w:p>
        </w:tc>
        <w:tc>
          <w:tcPr>
            <w:tcW w:w="124" w:type="dxa"/>
            <w:tcBorders/>
            <w:shd w:fill="auto" w:val="clear"/>
            <w:vAlign w:val="bottom"/>
          </w:tcPr>
          <w:p>
            <w:pPr>
              <w:pStyle w:val="TableContents"/>
              <w:spacing w:before="0" w:after="283"/>
              <w:rPr/>
            </w:pPr>
            <w:r>
              <w:rPr/>
              <w:t> </w:t>
            </w:r>
          </w:p>
        </w:tc>
      </w:tr>
      <w:tr>
        <w:trPr/>
        <w:tc>
          <w:tcPr>
            <w:tcW w:w="6487"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19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7"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43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4" w:type="dxa"/>
            <w:tcBorders/>
            <w:shd w:fill="auto" w:val="clear"/>
            <w:vAlign w:val="bottom"/>
          </w:tcPr>
          <w:p>
            <w:pPr>
              <w:pStyle w:val="TableContents"/>
              <w:spacing w:before="0" w:after="283"/>
              <w:rPr/>
            </w:pPr>
            <w:r>
              <w:rPr/>
              <w:t> </w:t>
            </w:r>
          </w:p>
        </w:tc>
      </w:tr>
      <w:tr>
        <w:trPr/>
        <w:tc>
          <w:tcPr>
            <w:tcW w:w="6487"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3171" w:type="dxa"/>
            <w:gridSpan w:val="6"/>
            <w:tcBorders/>
            <w:shd w:fill="auto" w:val="clear"/>
            <w:vAlign w:val="bottom"/>
          </w:tcPr>
          <w:p>
            <w:pPr>
              <w:pStyle w:val="TableContents"/>
              <w:spacing w:before="0" w:after="283"/>
              <w:jc w:val="center"/>
              <w:rPr>
                <w:b/>
              </w:rPr>
            </w:pPr>
            <w:r>
              <w:rPr>
                <w:b/>
              </w:rPr>
              <w:t>(in thousands)</w:t>
            </w:r>
          </w:p>
        </w:tc>
        <w:tc>
          <w:tcPr>
            <w:tcW w:w="124" w:type="dxa"/>
            <w:tcBorders/>
            <w:shd w:fill="auto" w:val="clear"/>
            <w:vAlign w:val="bottom"/>
          </w:tcPr>
          <w:p>
            <w:pPr>
              <w:pStyle w:val="TableContents"/>
              <w:spacing w:before="0" w:after="283"/>
              <w:rPr/>
            </w:pPr>
            <w:r>
              <w:rPr/>
              <w:t> </w:t>
            </w:r>
          </w:p>
        </w:tc>
      </w:tr>
      <w:tr>
        <w:trPr/>
        <w:tc>
          <w:tcPr>
            <w:tcW w:w="6487" w:type="dxa"/>
            <w:tcBorders/>
            <w:shd w:fill="CCEEFF" w:val="clear"/>
            <w:vAlign w:val="bottom"/>
          </w:tcPr>
          <w:p>
            <w:pPr>
              <w:pStyle w:val="TableContents"/>
              <w:spacing w:before="0" w:after="0"/>
              <w:ind w:left="225" w:right="0" w:hanging="225"/>
              <w:rPr/>
            </w:pPr>
            <w:r>
              <w:rPr/>
              <w:t>Self-insured liability accrual</w:t>
            </w:r>
          </w:p>
        </w:tc>
        <w:tc>
          <w:tcPr>
            <w:tcW w:w="42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jc w:val="left"/>
              <w:rPr/>
            </w:pPr>
            <w:r>
              <w:rPr/>
              <w:t>$</w:t>
            </w:r>
          </w:p>
        </w:tc>
        <w:tc>
          <w:tcPr>
            <w:tcW w:w="995" w:type="dxa"/>
            <w:tcBorders/>
            <w:shd w:fill="CCEEFF" w:val="clear"/>
            <w:vAlign w:val="bottom"/>
          </w:tcPr>
          <w:p>
            <w:pPr>
              <w:pStyle w:val="TableContents"/>
              <w:spacing w:before="0" w:after="283"/>
              <w:jc w:val="right"/>
              <w:rPr/>
            </w:pPr>
            <w:r>
              <w:rPr/>
              <w:t>26,008</w:t>
            </w:r>
          </w:p>
        </w:tc>
        <w:tc>
          <w:tcPr>
            <w:tcW w:w="117"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jc w:val="left"/>
              <w:rPr/>
            </w:pPr>
            <w:r>
              <w:rPr/>
              <w:t>$</w:t>
            </w:r>
          </w:p>
        </w:tc>
        <w:tc>
          <w:tcPr>
            <w:tcW w:w="1192" w:type="dxa"/>
            <w:tcBorders/>
            <w:shd w:fill="CCEEFF" w:val="clear"/>
            <w:vAlign w:val="bottom"/>
          </w:tcPr>
          <w:p>
            <w:pPr>
              <w:pStyle w:val="TableContents"/>
              <w:spacing w:before="0" w:after="283"/>
              <w:jc w:val="right"/>
              <w:rPr/>
            </w:pPr>
            <w:r>
              <w:rPr/>
              <w:t>25,882</w:t>
            </w:r>
          </w:p>
        </w:tc>
        <w:tc>
          <w:tcPr>
            <w:tcW w:w="124" w:type="dxa"/>
            <w:tcBorders/>
            <w:shd w:fill="CCEEFF" w:val="clear"/>
            <w:vAlign w:val="bottom"/>
          </w:tcPr>
          <w:p>
            <w:pPr>
              <w:pStyle w:val="TableContents"/>
              <w:spacing w:before="0" w:after="283"/>
              <w:rPr/>
            </w:pPr>
            <w:r>
              <w:rPr/>
              <w:t> </w:t>
            </w:r>
          </w:p>
        </w:tc>
      </w:tr>
      <w:tr>
        <w:trPr/>
        <w:tc>
          <w:tcPr>
            <w:tcW w:w="6487" w:type="dxa"/>
            <w:tcBorders/>
            <w:shd w:fill="auto" w:val="clear"/>
            <w:vAlign w:val="bottom"/>
          </w:tcPr>
          <w:p>
            <w:pPr>
              <w:pStyle w:val="TableContents"/>
              <w:spacing w:before="0" w:after="0"/>
              <w:ind w:left="225" w:right="0" w:hanging="225"/>
              <w:rPr/>
            </w:pPr>
            <w:r>
              <w:rPr/>
              <w:t>Liabilities associated with previously sold operations</w:t>
            </w:r>
          </w:p>
        </w:tc>
        <w:tc>
          <w:tcPr>
            <w:tcW w:w="42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995" w:type="dxa"/>
            <w:tcBorders/>
            <w:shd w:fill="auto" w:val="clear"/>
            <w:vAlign w:val="bottom"/>
          </w:tcPr>
          <w:p>
            <w:pPr>
              <w:pStyle w:val="TableContents"/>
              <w:spacing w:before="0" w:after="283"/>
              <w:jc w:val="right"/>
              <w:rPr/>
            </w:pPr>
            <w:r>
              <w:rPr/>
              <w:t>13,964</w:t>
            </w:r>
          </w:p>
        </w:tc>
        <w:tc>
          <w:tcPr>
            <w:tcW w:w="117"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92" w:type="dxa"/>
            <w:tcBorders/>
            <w:shd w:fill="auto" w:val="clear"/>
            <w:vAlign w:val="bottom"/>
          </w:tcPr>
          <w:p>
            <w:pPr>
              <w:pStyle w:val="TableContents"/>
              <w:spacing w:before="0" w:after="283"/>
              <w:jc w:val="right"/>
              <w:rPr/>
            </w:pPr>
            <w:r>
              <w:rPr/>
              <w:t>14,081</w:t>
            </w:r>
          </w:p>
        </w:tc>
        <w:tc>
          <w:tcPr>
            <w:tcW w:w="124" w:type="dxa"/>
            <w:tcBorders/>
            <w:shd w:fill="auto" w:val="clear"/>
            <w:vAlign w:val="bottom"/>
          </w:tcPr>
          <w:p>
            <w:pPr>
              <w:pStyle w:val="TableContents"/>
              <w:spacing w:before="0" w:after="283"/>
              <w:rPr/>
            </w:pPr>
            <w:r>
              <w:rPr/>
              <w:t> </w:t>
            </w:r>
          </w:p>
        </w:tc>
      </w:tr>
      <w:tr>
        <w:trPr/>
        <w:tc>
          <w:tcPr>
            <w:tcW w:w="6487" w:type="dxa"/>
            <w:tcBorders/>
            <w:shd w:fill="CCEEFF" w:val="clear"/>
            <w:vAlign w:val="bottom"/>
          </w:tcPr>
          <w:p>
            <w:pPr>
              <w:pStyle w:val="TableContents"/>
              <w:spacing w:before="0" w:after="0"/>
              <w:ind w:left="225" w:right="0" w:hanging="225"/>
              <w:rPr/>
            </w:pPr>
            <w:r>
              <w:rPr/>
              <w:t>Accrued restructuring</w:t>
            </w:r>
          </w:p>
        </w:tc>
        <w:tc>
          <w:tcPr>
            <w:tcW w:w="42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995" w:type="dxa"/>
            <w:tcBorders/>
            <w:shd w:fill="CCEEFF" w:val="clear"/>
            <w:vAlign w:val="bottom"/>
          </w:tcPr>
          <w:p>
            <w:pPr>
              <w:pStyle w:val="TableContents"/>
              <w:spacing w:before="0" w:after="283"/>
              <w:jc w:val="right"/>
              <w:rPr/>
            </w:pPr>
            <w:r>
              <w:rPr/>
              <w:t>8,442</w:t>
            </w:r>
          </w:p>
        </w:tc>
        <w:tc>
          <w:tcPr>
            <w:tcW w:w="117"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192" w:type="dxa"/>
            <w:tcBorders/>
            <w:shd w:fill="CCEEFF" w:val="clear"/>
            <w:vAlign w:val="bottom"/>
          </w:tcPr>
          <w:p>
            <w:pPr>
              <w:pStyle w:val="TableContents"/>
              <w:spacing w:before="0" w:after="283"/>
              <w:jc w:val="right"/>
              <w:rPr/>
            </w:pPr>
            <w:r>
              <w:rPr/>
              <w:t>8,825</w:t>
            </w:r>
          </w:p>
        </w:tc>
        <w:tc>
          <w:tcPr>
            <w:tcW w:w="124" w:type="dxa"/>
            <w:tcBorders/>
            <w:shd w:fill="CCEEFF" w:val="clear"/>
            <w:vAlign w:val="bottom"/>
          </w:tcPr>
          <w:p>
            <w:pPr>
              <w:pStyle w:val="TableContents"/>
              <w:spacing w:before="0" w:after="283"/>
              <w:rPr/>
            </w:pPr>
            <w:r>
              <w:rPr/>
              <w:t> </w:t>
            </w:r>
          </w:p>
        </w:tc>
      </w:tr>
      <w:tr>
        <w:trPr/>
        <w:tc>
          <w:tcPr>
            <w:tcW w:w="6487" w:type="dxa"/>
            <w:tcBorders/>
            <w:shd w:fill="auto" w:val="clear"/>
            <w:vAlign w:val="bottom"/>
          </w:tcPr>
          <w:p>
            <w:pPr>
              <w:pStyle w:val="TableContents"/>
              <w:spacing w:before="0" w:after="0"/>
              <w:ind w:left="225" w:right="0" w:hanging="225"/>
              <w:rPr/>
            </w:pPr>
            <w:r>
              <w:rPr/>
              <w:t>Foreign deferred tax liability</w:t>
            </w:r>
          </w:p>
        </w:tc>
        <w:tc>
          <w:tcPr>
            <w:tcW w:w="42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995" w:type="dxa"/>
            <w:tcBorders/>
            <w:shd w:fill="auto" w:val="clear"/>
            <w:vAlign w:val="bottom"/>
          </w:tcPr>
          <w:p>
            <w:pPr>
              <w:pStyle w:val="TableContents"/>
              <w:spacing w:before="0" w:after="283"/>
              <w:jc w:val="right"/>
              <w:rPr/>
            </w:pPr>
            <w:r>
              <w:rPr/>
              <w:t>5,375</w:t>
            </w:r>
          </w:p>
        </w:tc>
        <w:tc>
          <w:tcPr>
            <w:tcW w:w="117"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92" w:type="dxa"/>
            <w:tcBorders/>
            <w:shd w:fill="auto" w:val="clear"/>
            <w:vAlign w:val="bottom"/>
          </w:tcPr>
          <w:p>
            <w:pPr>
              <w:pStyle w:val="TableContents"/>
              <w:spacing w:before="0" w:after="283"/>
              <w:jc w:val="right"/>
              <w:rPr/>
            </w:pPr>
            <w:r>
              <w:rPr/>
              <w:t>5,468</w:t>
            </w:r>
          </w:p>
        </w:tc>
        <w:tc>
          <w:tcPr>
            <w:tcW w:w="124" w:type="dxa"/>
            <w:tcBorders/>
            <w:shd w:fill="auto" w:val="clear"/>
            <w:vAlign w:val="bottom"/>
          </w:tcPr>
          <w:p>
            <w:pPr>
              <w:pStyle w:val="TableContents"/>
              <w:spacing w:before="0" w:after="283"/>
              <w:rPr/>
            </w:pPr>
            <w:r>
              <w:rPr/>
              <w:t> </w:t>
            </w:r>
          </w:p>
        </w:tc>
      </w:tr>
      <w:tr>
        <w:trPr/>
        <w:tc>
          <w:tcPr>
            <w:tcW w:w="6487" w:type="dxa"/>
            <w:tcBorders/>
            <w:shd w:fill="CCEEFF" w:val="clear"/>
            <w:vAlign w:val="bottom"/>
          </w:tcPr>
          <w:p>
            <w:pPr>
              <w:pStyle w:val="TableContents"/>
              <w:spacing w:before="0" w:after="0"/>
              <w:ind w:left="225" w:right="0" w:hanging="225"/>
              <w:rPr/>
            </w:pPr>
            <w:r>
              <w:rPr/>
              <w:t>Deferred gain on sale of property</w:t>
            </w:r>
          </w:p>
        </w:tc>
        <w:tc>
          <w:tcPr>
            <w:tcW w:w="42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995" w:type="dxa"/>
            <w:tcBorders/>
            <w:shd w:fill="CCEEFF" w:val="clear"/>
            <w:vAlign w:val="bottom"/>
          </w:tcPr>
          <w:p>
            <w:pPr>
              <w:pStyle w:val="TableContents"/>
              <w:spacing w:before="0" w:after="283"/>
              <w:jc w:val="right"/>
              <w:rPr/>
            </w:pPr>
            <w:r>
              <w:rPr/>
              <w:t>4,268</w:t>
            </w:r>
          </w:p>
        </w:tc>
        <w:tc>
          <w:tcPr>
            <w:tcW w:w="117"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1192" w:type="dxa"/>
            <w:tcBorders/>
            <w:shd w:fill="CCEEFF" w:val="clear"/>
            <w:vAlign w:val="bottom"/>
          </w:tcPr>
          <w:p>
            <w:pPr>
              <w:pStyle w:val="TableContents"/>
              <w:spacing w:before="0" w:after="283"/>
              <w:jc w:val="right"/>
              <w:rPr/>
            </w:pPr>
            <w:r>
              <w:rPr/>
              <w:t>4,510</w:t>
            </w:r>
          </w:p>
        </w:tc>
        <w:tc>
          <w:tcPr>
            <w:tcW w:w="124" w:type="dxa"/>
            <w:tcBorders/>
            <w:shd w:fill="CCEEFF" w:val="clear"/>
            <w:vAlign w:val="bottom"/>
          </w:tcPr>
          <w:p>
            <w:pPr>
              <w:pStyle w:val="TableContents"/>
              <w:spacing w:before="0" w:after="283"/>
              <w:rPr/>
            </w:pPr>
            <w:r>
              <w:rPr/>
              <w:t> </w:t>
            </w:r>
          </w:p>
        </w:tc>
      </w:tr>
      <w:tr>
        <w:trPr/>
        <w:tc>
          <w:tcPr>
            <w:tcW w:w="6487" w:type="dxa"/>
            <w:tcBorders/>
            <w:shd w:fill="auto" w:val="clear"/>
            <w:vAlign w:val="bottom"/>
          </w:tcPr>
          <w:p>
            <w:pPr>
              <w:pStyle w:val="TableContents"/>
              <w:spacing w:before="0" w:after="0"/>
              <w:ind w:left="225" w:right="0" w:hanging="225"/>
              <w:rPr/>
            </w:pPr>
            <w:r>
              <w:rPr/>
              <w:t>Other</w:t>
            </w:r>
          </w:p>
        </w:tc>
        <w:tc>
          <w:tcPr>
            <w:tcW w:w="42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995" w:type="dxa"/>
            <w:tcBorders/>
            <w:shd w:fill="auto" w:val="clear"/>
            <w:vAlign w:val="bottom"/>
          </w:tcPr>
          <w:p>
            <w:pPr>
              <w:pStyle w:val="TableContents"/>
              <w:spacing w:before="0" w:after="283"/>
              <w:jc w:val="right"/>
              <w:rPr/>
            </w:pPr>
            <w:r>
              <w:rPr/>
              <w:t>12,699</w:t>
            </w:r>
          </w:p>
        </w:tc>
        <w:tc>
          <w:tcPr>
            <w:tcW w:w="117"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92" w:type="dxa"/>
            <w:tcBorders/>
            <w:shd w:fill="auto" w:val="clear"/>
            <w:vAlign w:val="bottom"/>
          </w:tcPr>
          <w:p>
            <w:pPr>
              <w:pStyle w:val="TableContents"/>
              <w:spacing w:before="0" w:after="283"/>
              <w:jc w:val="right"/>
              <w:rPr/>
            </w:pPr>
            <w:r>
              <w:rPr/>
              <w:t>12,823</w:t>
            </w:r>
          </w:p>
        </w:tc>
        <w:tc>
          <w:tcPr>
            <w:tcW w:w="124" w:type="dxa"/>
            <w:tcBorders/>
            <w:shd w:fill="auto" w:val="clear"/>
            <w:vAlign w:val="bottom"/>
          </w:tcPr>
          <w:p>
            <w:pPr>
              <w:pStyle w:val="TableContents"/>
              <w:spacing w:before="0" w:after="283"/>
              <w:rPr/>
            </w:pPr>
            <w:r>
              <w:rPr/>
              <w:t> </w:t>
            </w:r>
          </w:p>
        </w:tc>
      </w:tr>
      <w:tr>
        <w:trPr/>
        <w:tc>
          <w:tcPr>
            <w:tcW w:w="6487" w:type="dxa"/>
            <w:tcBorders/>
            <w:shd w:fill="auto" w:val="clear"/>
            <w:vAlign w:val="center"/>
          </w:tcPr>
          <w:p>
            <w:pPr>
              <w:pStyle w:val="TableContents"/>
              <w:spacing w:before="0" w:after="0"/>
              <w:ind w:left="225" w:right="0" w:hanging="225"/>
              <w:rPr/>
            </w:pPr>
            <w:r>
              <w:rPr/>
              <w:t> </w:t>
            </w:r>
          </w:p>
        </w:tc>
        <w:tc>
          <w:tcPr>
            <w:tcW w:w="423" w:type="dxa"/>
            <w:tcBorders/>
            <w:shd w:fill="auto" w:val="clear"/>
            <w:vAlign w:val="center"/>
          </w:tcPr>
          <w:p>
            <w:pPr>
              <w:pStyle w:val="TableContents"/>
              <w:spacing w:before="0" w:after="283"/>
              <w:rPr/>
            </w:pPr>
            <w:r>
              <w:rPr/>
              <w:t> </w:t>
            </w:r>
          </w:p>
        </w:tc>
        <w:tc>
          <w:tcPr>
            <w:tcW w:w="11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423" w:type="dxa"/>
            <w:tcBorders/>
            <w:shd w:fill="auto" w:val="clear"/>
            <w:vAlign w:val="center"/>
          </w:tcPr>
          <w:p>
            <w:pPr>
              <w:pStyle w:val="TableContents"/>
              <w:spacing w:before="0" w:after="283"/>
              <w:rPr/>
            </w:pPr>
            <w:r>
              <w:rPr/>
              <w:t> </w:t>
            </w:r>
          </w:p>
        </w:tc>
        <w:tc>
          <w:tcPr>
            <w:tcW w:w="14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r>
        <w:trPr/>
        <w:tc>
          <w:tcPr>
            <w:tcW w:w="6487" w:type="dxa"/>
            <w:tcBorders/>
            <w:shd w:fill="CCEEFF" w:val="clear"/>
            <w:vAlign w:val="bottom"/>
          </w:tcPr>
          <w:p>
            <w:pPr>
              <w:pStyle w:val="TableContents"/>
              <w:spacing w:before="0" w:after="0"/>
              <w:ind w:left="225" w:right="0" w:hanging="225"/>
              <w:rPr/>
            </w:pPr>
            <w:r>
              <w:rPr/>
              <w:t>Total other deferred items and insurance liabilities</w:t>
            </w:r>
          </w:p>
        </w:tc>
        <w:tc>
          <w:tcPr>
            <w:tcW w:w="42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jc w:val="left"/>
              <w:rPr/>
            </w:pPr>
            <w:r>
              <w:rPr/>
              <w:t>$</w:t>
            </w:r>
          </w:p>
        </w:tc>
        <w:tc>
          <w:tcPr>
            <w:tcW w:w="995" w:type="dxa"/>
            <w:tcBorders/>
            <w:shd w:fill="CCEEFF" w:val="clear"/>
            <w:vAlign w:val="bottom"/>
          </w:tcPr>
          <w:p>
            <w:pPr>
              <w:pStyle w:val="TableContents"/>
              <w:spacing w:before="0" w:after="283"/>
              <w:jc w:val="right"/>
              <w:rPr/>
            </w:pPr>
            <w:r>
              <w:rPr/>
              <w:t>70,756</w:t>
            </w:r>
          </w:p>
        </w:tc>
        <w:tc>
          <w:tcPr>
            <w:tcW w:w="117"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jc w:val="left"/>
              <w:rPr/>
            </w:pPr>
            <w:r>
              <w:rPr/>
              <w:t>$</w:t>
            </w:r>
          </w:p>
        </w:tc>
        <w:tc>
          <w:tcPr>
            <w:tcW w:w="1192" w:type="dxa"/>
            <w:tcBorders/>
            <w:shd w:fill="CCEEFF" w:val="clear"/>
            <w:vAlign w:val="bottom"/>
          </w:tcPr>
          <w:p>
            <w:pPr>
              <w:pStyle w:val="TableContents"/>
              <w:spacing w:before="0" w:after="283"/>
              <w:jc w:val="right"/>
              <w:rPr/>
            </w:pPr>
            <w:r>
              <w:rPr/>
              <w:t>71,589</w:t>
            </w:r>
          </w:p>
        </w:tc>
        <w:tc>
          <w:tcPr>
            <w:tcW w:w="124" w:type="dxa"/>
            <w:tcBorders/>
            <w:shd w:fill="CCEEFF" w:val="clear"/>
            <w:vAlign w:val="bottom"/>
          </w:tcPr>
          <w:p>
            <w:pPr>
              <w:pStyle w:val="TableContents"/>
              <w:spacing w:before="0" w:after="283"/>
              <w:rPr/>
            </w:pPr>
            <w:r>
              <w:rPr/>
              <w:t> </w:t>
            </w:r>
          </w:p>
        </w:tc>
      </w:tr>
      <w:tr>
        <w:trPr/>
        <w:tc>
          <w:tcPr>
            <w:tcW w:w="6487" w:type="dxa"/>
            <w:tcBorders/>
            <w:shd w:fill="auto" w:val="clear"/>
            <w:vAlign w:val="center"/>
          </w:tcPr>
          <w:p>
            <w:pPr>
              <w:pStyle w:val="TableContents"/>
              <w:spacing w:before="0" w:after="0"/>
              <w:ind w:left="225" w:right="0" w:hanging="225"/>
              <w:rPr/>
            </w:pPr>
            <w:r>
              <w:rPr/>
              <w:t> </w:t>
            </w:r>
          </w:p>
        </w:tc>
        <w:tc>
          <w:tcPr>
            <w:tcW w:w="423" w:type="dxa"/>
            <w:tcBorders/>
            <w:shd w:fill="auto" w:val="clear"/>
            <w:vAlign w:val="center"/>
          </w:tcPr>
          <w:p>
            <w:pPr>
              <w:pStyle w:val="TableContents"/>
              <w:spacing w:before="0" w:after="283"/>
              <w:rPr/>
            </w:pPr>
            <w:r>
              <w:rPr/>
              <w:t> </w:t>
            </w:r>
          </w:p>
        </w:tc>
        <w:tc>
          <w:tcPr>
            <w:tcW w:w="119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423" w:type="dxa"/>
            <w:tcBorders/>
            <w:shd w:fill="auto" w:val="clear"/>
            <w:vAlign w:val="center"/>
          </w:tcPr>
          <w:p>
            <w:pPr>
              <w:pStyle w:val="TableContents"/>
              <w:spacing w:before="0" w:after="283"/>
              <w:rPr/>
            </w:pPr>
            <w:r>
              <w:rPr/>
              <w:t> </w:t>
            </w:r>
          </w:p>
        </w:tc>
        <w:tc>
          <w:tcPr>
            <w:tcW w:w="14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9. Debt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of March 31, 2006, Viads total debt of $17.1 million consisted of $4.9 million of capital lease obligations, $1.3 million of subordinated debentures and a $10.9 million borrowing under the Companys $150 million secured revolving credit agreement which Viad entered into effective June 30, 2004. The term of the credit facility is three years (expiring on June 30, 2007) and borrowings are to be used for general corporate purposes (including permitted acquisitions) and to support up to $75 million of letters of credit. The lenders have a first perfected security interest in all of the personal property of Viad and GES, including 65 percent of the capital stock of top-tier foreign subsidiaries. </w:t>
      </w:r>
    </w:p>
    <w:p>
      <w:pPr>
        <w:pStyle w:val="TextBody"/>
        <w:spacing w:before="120" w:after="283"/>
        <w:jc w:val="left"/>
        <w:rPr/>
      </w:pPr>
      <w:r>
        <w:rPr/>
        <w:t>     </w:t>
      </w:r>
      <w:r>
        <w:rPr>
          <w:rFonts w:ascii="Times New Roman;Times;serif" w:hAnsi="Times New Roman;Times;serif"/>
          <w:sz w:val="17"/>
        </w:rPr>
        <w:t xml:space="preserve">Borrowings under the facility (of which GES is a guarantor) are indexed to the prime rate or the London Interbank Offering Rate, plus appropriate spreads tied to Viads leverage ratio. Commitment fees and letters of credit fees are also tied to Viads leverage ratio. Financial covenants include a minimum consolidated net worth requirement, a fixed-charge coverage ratio and a leverage ratio. Significant other covenants include limitations on: investments, common stock dividends, stock repurchases, additional indebtedness, sales/leases of assets, acquisitions, consolidations or mergers, liens on property, capital expenditures and operating leases. As of March 31, 2006, Viad was in compliance with all covenants. Effective December 30, 2005, Viads credit agreement was amended to permit the Company to repurchase its capital stock at market prices in an amount not to exceed $35 million.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10. Income Per Share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reconciliation of the numerators and denominators of diluted and basic per share computations for income from continuing operations for the three months ended March 31 is as follows: </w:t>
      </w:r>
    </w:p>
    <w:tbl>
      <w:tblPr>
        <w:tblW w:w="5000" w:type="pct"/>
        <w:jc w:val="center"/>
        <w:tblInd w:w="0" w:type="dxa"/>
        <w:tblCellMar>
          <w:top w:w="0" w:type="dxa"/>
          <w:left w:w="0" w:type="dxa"/>
          <w:bottom w:w="0" w:type="dxa"/>
          <w:right w:w="0" w:type="dxa"/>
        </w:tblCellMar>
      </w:tblPr>
      <w:tblGrid>
        <w:gridCol w:w="6125"/>
        <w:gridCol w:w="394"/>
        <w:gridCol w:w="253"/>
        <w:gridCol w:w="1242"/>
        <w:gridCol w:w="148"/>
        <w:gridCol w:w="428"/>
        <w:gridCol w:w="253"/>
        <w:gridCol w:w="1243"/>
        <w:gridCol w:w="119"/>
      </w:tblGrid>
      <w:tr>
        <w:trPr/>
        <w:tc>
          <w:tcPr>
            <w:tcW w:w="612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4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612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49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48"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49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19" w:type="dxa"/>
            <w:tcBorders/>
            <w:shd w:fill="auto" w:val="clear"/>
            <w:vAlign w:val="bottom"/>
          </w:tcPr>
          <w:p>
            <w:pPr>
              <w:pStyle w:val="TableContents"/>
              <w:spacing w:before="0" w:after="283"/>
              <w:rPr/>
            </w:pPr>
            <w:r>
              <w:rPr/>
              <w:t> </w:t>
            </w:r>
          </w:p>
        </w:tc>
      </w:tr>
      <w:tr>
        <w:trPr/>
        <w:tc>
          <w:tcPr>
            <w:tcW w:w="612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3567" w:type="dxa"/>
            <w:gridSpan w:val="6"/>
            <w:tcBorders/>
            <w:shd w:fill="auto" w:val="clear"/>
            <w:vAlign w:val="bottom"/>
          </w:tcPr>
          <w:p>
            <w:pPr>
              <w:pStyle w:val="TableContents"/>
              <w:spacing w:before="0" w:after="283"/>
              <w:jc w:val="center"/>
              <w:rPr>
                <w:b/>
              </w:rPr>
            </w:pPr>
            <w:r>
              <w:rPr>
                <w:b/>
              </w:rPr>
              <w:t>(in thousands, except per share</w:t>
            </w:r>
          </w:p>
        </w:tc>
        <w:tc>
          <w:tcPr>
            <w:tcW w:w="119" w:type="dxa"/>
            <w:tcBorders/>
            <w:shd w:fill="auto" w:val="clear"/>
            <w:vAlign w:val="bottom"/>
          </w:tcPr>
          <w:p>
            <w:pPr>
              <w:pStyle w:val="TableContents"/>
              <w:spacing w:before="0" w:after="283"/>
              <w:rPr/>
            </w:pPr>
            <w:r>
              <w:rPr/>
              <w:t> </w:t>
            </w:r>
          </w:p>
        </w:tc>
      </w:tr>
      <w:tr>
        <w:trPr/>
        <w:tc>
          <w:tcPr>
            <w:tcW w:w="612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3567" w:type="dxa"/>
            <w:gridSpan w:val="6"/>
            <w:tcBorders/>
            <w:shd w:fill="auto" w:val="clear"/>
            <w:vAlign w:val="bottom"/>
          </w:tcPr>
          <w:p>
            <w:pPr>
              <w:pStyle w:val="TableContents"/>
              <w:spacing w:before="0" w:after="283"/>
              <w:jc w:val="center"/>
              <w:rPr>
                <w:b/>
              </w:rPr>
            </w:pPr>
            <w:r>
              <w:rPr>
                <w:b/>
              </w:rPr>
              <w:t>data)</w:t>
            </w:r>
          </w:p>
        </w:tc>
        <w:tc>
          <w:tcPr>
            <w:tcW w:w="119" w:type="dxa"/>
            <w:tcBorders/>
            <w:shd w:fill="auto" w:val="clear"/>
            <w:vAlign w:val="bottom"/>
          </w:tcPr>
          <w:p>
            <w:pPr>
              <w:pStyle w:val="TableContents"/>
              <w:spacing w:before="0" w:after="283"/>
              <w:rPr/>
            </w:pPr>
            <w:r>
              <w:rPr/>
              <w:t> </w:t>
            </w:r>
          </w:p>
        </w:tc>
      </w:tr>
      <w:tr>
        <w:trPr/>
        <w:tc>
          <w:tcPr>
            <w:tcW w:w="6125" w:type="dxa"/>
            <w:tcBorders/>
            <w:shd w:fill="CCEEFF" w:val="clear"/>
            <w:vAlign w:val="bottom"/>
          </w:tcPr>
          <w:p>
            <w:pPr>
              <w:pStyle w:val="TableContents"/>
              <w:spacing w:before="0" w:after="0"/>
              <w:ind w:left="225" w:right="0" w:hanging="225"/>
              <w:rPr/>
            </w:pPr>
            <w:r>
              <w:rPr/>
              <w:t>Income from continuing operations</w:t>
            </w:r>
          </w:p>
        </w:tc>
        <w:tc>
          <w:tcPr>
            <w:tcW w:w="39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242" w:type="dxa"/>
            <w:tcBorders/>
            <w:shd w:fill="CCEEFF" w:val="clear"/>
            <w:vAlign w:val="bottom"/>
          </w:tcPr>
          <w:p>
            <w:pPr>
              <w:pStyle w:val="TableContents"/>
              <w:spacing w:before="0" w:after="283"/>
              <w:jc w:val="right"/>
              <w:rPr/>
            </w:pPr>
            <w:r>
              <w:rPr/>
              <w:t>13,757</w:t>
            </w:r>
          </w:p>
        </w:tc>
        <w:tc>
          <w:tcPr>
            <w:tcW w:w="148"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243" w:type="dxa"/>
            <w:tcBorders/>
            <w:shd w:fill="CCEEFF" w:val="clear"/>
            <w:vAlign w:val="bottom"/>
          </w:tcPr>
          <w:p>
            <w:pPr>
              <w:pStyle w:val="TableContents"/>
              <w:spacing w:before="0" w:after="283"/>
              <w:jc w:val="right"/>
              <w:rPr/>
            </w:pPr>
            <w:r>
              <w:rPr/>
              <w:t>12,425</w:t>
            </w:r>
          </w:p>
        </w:tc>
        <w:tc>
          <w:tcPr>
            <w:tcW w:w="119" w:type="dxa"/>
            <w:tcBorders/>
            <w:shd w:fill="CCEEFF" w:val="clear"/>
            <w:vAlign w:val="bottom"/>
          </w:tcPr>
          <w:p>
            <w:pPr>
              <w:pStyle w:val="TableContents"/>
              <w:spacing w:before="0" w:after="283"/>
              <w:rPr/>
            </w:pPr>
            <w:r>
              <w:rPr/>
              <w:t> </w:t>
            </w:r>
          </w:p>
        </w:tc>
      </w:tr>
      <w:tr>
        <w:trPr/>
        <w:tc>
          <w:tcPr>
            <w:tcW w:w="612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4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14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6125" w:type="dxa"/>
            <w:tcBorders/>
            <w:shd w:fill="auto" w:val="clear"/>
            <w:vAlign w:val="bottom"/>
          </w:tcPr>
          <w:p>
            <w:pPr>
              <w:pStyle w:val="TableContents"/>
              <w:spacing w:before="0" w:after="0"/>
              <w:ind w:left="225" w:right="0" w:hanging="225"/>
              <w:rPr/>
            </w:pPr>
            <w:r>
              <w:rPr/>
              <w:t> </w:t>
            </w:r>
          </w:p>
        </w:tc>
        <w:tc>
          <w:tcPr>
            <w:tcW w:w="4080" w:type="dxa"/>
            <w:gridSpan w:val="8"/>
            <w:tcBorders/>
            <w:shd w:fill="auto" w:val="clear"/>
          </w:tcPr>
          <w:p>
            <w:pPr>
              <w:pStyle w:val="TableContents"/>
              <w:spacing w:before="0" w:after="283"/>
              <w:rPr>
                <w:sz w:val="4"/>
                <w:szCs w:val="4"/>
              </w:rPr>
            </w:pPr>
            <w:r>
              <w:rPr>
                <w:sz w:val="4"/>
                <w:szCs w:val="4"/>
              </w:rPr>
            </w:r>
          </w:p>
        </w:tc>
      </w:tr>
      <w:tr>
        <w:trPr/>
        <w:tc>
          <w:tcPr>
            <w:tcW w:w="6125" w:type="dxa"/>
            <w:tcBorders/>
            <w:shd w:fill="auto" w:val="clear"/>
            <w:vAlign w:val="bottom"/>
          </w:tcPr>
          <w:p>
            <w:pPr>
              <w:pStyle w:val="TableContents"/>
              <w:spacing w:before="0" w:after="0"/>
              <w:ind w:left="225" w:right="0" w:hanging="225"/>
              <w:rPr/>
            </w:pPr>
            <w:r>
              <w:rPr/>
              <w:t>Average outstanding common shares</w:t>
            </w:r>
          </w:p>
        </w:tc>
        <w:tc>
          <w:tcPr>
            <w:tcW w:w="39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42" w:type="dxa"/>
            <w:tcBorders/>
            <w:shd w:fill="auto" w:val="clear"/>
            <w:vAlign w:val="bottom"/>
          </w:tcPr>
          <w:p>
            <w:pPr>
              <w:pStyle w:val="TableContents"/>
              <w:spacing w:before="0" w:after="283"/>
              <w:jc w:val="right"/>
              <w:rPr/>
            </w:pPr>
            <w:r>
              <w:rPr/>
              <w:t>21,812</w:t>
            </w:r>
          </w:p>
        </w:tc>
        <w:tc>
          <w:tcPr>
            <w:tcW w:w="148"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21,917</w:t>
            </w:r>
          </w:p>
        </w:tc>
        <w:tc>
          <w:tcPr>
            <w:tcW w:w="119" w:type="dxa"/>
            <w:tcBorders/>
            <w:shd w:fill="auto" w:val="clear"/>
            <w:vAlign w:val="bottom"/>
          </w:tcPr>
          <w:p>
            <w:pPr>
              <w:pStyle w:val="TableContents"/>
              <w:spacing w:before="0" w:after="283"/>
              <w:rPr/>
            </w:pPr>
            <w:r>
              <w:rPr/>
              <w:t> </w:t>
            </w:r>
          </w:p>
        </w:tc>
      </w:tr>
      <w:tr>
        <w:trPr/>
        <w:tc>
          <w:tcPr>
            <w:tcW w:w="6125" w:type="dxa"/>
            <w:tcBorders/>
            <w:shd w:fill="CCEEFF" w:val="clear"/>
            <w:vAlign w:val="bottom"/>
          </w:tcPr>
          <w:p>
            <w:pPr>
              <w:pStyle w:val="TableContents"/>
              <w:spacing w:before="0" w:after="0"/>
              <w:ind w:left="225" w:right="0" w:hanging="225"/>
              <w:rPr/>
            </w:pPr>
            <w:r>
              <w:rPr/>
              <w:t>Additional dilutive shares related to share-based compensation</w:t>
            </w:r>
          </w:p>
        </w:tc>
        <w:tc>
          <w:tcPr>
            <w:tcW w:w="39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pPr>
            <w:r>
              <w:rPr/>
              <w:t>390</w:t>
            </w:r>
          </w:p>
        </w:tc>
        <w:tc>
          <w:tcPr>
            <w:tcW w:w="148"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pPr>
            <w:r>
              <w:rPr/>
              <w:t>175</w:t>
            </w:r>
          </w:p>
        </w:tc>
        <w:tc>
          <w:tcPr>
            <w:tcW w:w="119" w:type="dxa"/>
            <w:tcBorders/>
            <w:shd w:fill="CCEEFF" w:val="clear"/>
            <w:vAlign w:val="bottom"/>
          </w:tcPr>
          <w:p>
            <w:pPr>
              <w:pStyle w:val="TableContents"/>
              <w:spacing w:before="0" w:after="283"/>
              <w:rPr/>
            </w:pPr>
            <w:r>
              <w:rPr/>
              <w:t> </w:t>
            </w:r>
          </w:p>
        </w:tc>
      </w:tr>
      <w:tr>
        <w:trPr/>
        <w:tc>
          <w:tcPr>
            <w:tcW w:w="612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4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14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6125" w:type="dxa"/>
            <w:tcBorders/>
            <w:shd w:fill="auto" w:val="clear"/>
            <w:vAlign w:val="bottom"/>
          </w:tcPr>
          <w:p>
            <w:pPr>
              <w:pStyle w:val="TableContents"/>
              <w:spacing w:before="0" w:after="0"/>
              <w:ind w:left="225" w:right="0" w:hanging="225"/>
              <w:rPr/>
            </w:pPr>
            <w:r>
              <w:rPr/>
              <w:t>Average outstanding and potentially dilutive common shares</w:t>
            </w:r>
          </w:p>
        </w:tc>
        <w:tc>
          <w:tcPr>
            <w:tcW w:w="39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42" w:type="dxa"/>
            <w:tcBorders/>
            <w:shd w:fill="auto" w:val="clear"/>
            <w:vAlign w:val="bottom"/>
          </w:tcPr>
          <w:p>
            <w:pPr>
              <w:pStyle w:val="TableContents"/>
              <w:spacing w:before="0" w:after="283"/>
              <w:jc w:val="right"/>
              <w:rPr/>
            </w:pPr>
            <w:r>
              <w:rPr/>
              <w:t>22,202</w:t>
            </w:r>
          </w:p>
        </w:tc>
        <w:tc>
          <w:tcPr>
            <w:tcW w:w="148"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22,092</w:t>
            </w:r>
          </w:p>
        </w:tc>
        <w:tc>
          <w:tcPr>
            <w:tcW w:w="119" w:type="dxa"/>
            <w:tcBorders/>
            <w:shd w:fill="auto" w:val="clear"/>
            <w:vAlign w:val="bottom"/>
          </w:tcPr>
          <w:p>
            <w:pPr>
              <w:pStyle w:val="TableContents"/>
              <w:spacing w:before="0" w:after="283"/>
              <w:rPr/>
            </w:pPr>
            <w:r>
              <w:rPr/>
              <w:t> </w:t>
            </w:r>
          </w:p>
        </w:tc>
      </w:tr>
      <w:tr>
        <w:trPr/>
        <w:tc>
          <w:tcPr>
            <w:tcW w:w="612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4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14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6125" w:type="dxa"/>
            <w:tcBorders/>
            <w:shd w:fill="CCEEFF" w:val="clear"/>
            <w:vAlign w:val="bottom"/>
          </w:tcPr>
          <w:p>
            <w:pPr>
              <w:pStyle w:val="TableContents"/>
              <w:spacing w:before="0" w:after="0"/>
              <w:ind w:left="225" w:right="0" w:hanging="225"/>
              <w:rPr/>
            </w:pPr>
            <w:r>
              <w:rPr/>
              <w:t>Diluted income per share from continuing operations</w:t>
            </w:r>
          </w:p>
        </w:tc>
        <w:tc>
          <w:tcPr>
            <w:tcW w:w="39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242" w:type="dxa"/>
            <w:tcBorders/>
            <w:shd w:fill="CCEEFF" w:val="clear"/>
            <w:vAlign w:val="bottom"/>
          </w:tcPr>
          <w:p>
            <w:pPr>
              <w:pStyle w:val="TableContents"/>
              <w:spacing w:before="0" w:after="283"/>
              <w:jc w:val="right"/>
              <w:rPr/>
            </w:pPr>
            <w:r>
              <w:rPr/>
              <w:t>0.62</w:t>
            </w:r>
          </w:p>
        </w:tc>
        <w:tc>
          <w:tcPr>
            <w:tcW w:w="148"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243" w:type="dxa"/>
            <w:tcBorders/>
            <w:shd w:fill="CCEEFF" w:val="clear"/>
            <w:vAlign w:val="bottom"/>
          </w:tcPr>
          <w:p>
            <w:pPr>
              <w:pStyle w:val="TableContents"/>
              <w:spacing w:before="0" w:after="283"/>
              <w:jc w:val="right"/>
              <w:rPr/>
            </w:pPr>
            <w:r>
              <w:rPr/>
              <w:t>0.56</w:t>
            </w:r>
          </w:p>
        </w:tc>
        <w:tc>
          <w:tcPr>
            <w:tcW w:w="119" w:type="dxa"/>
            <w:tcBorders/>
            <w:shd w:fill="CCEEFF" w:val="clear"/>
            <w:vAlign w:val="bottom"/>
          </w:tcPr>
          <w:p>
            <w:pPr>
              <w:pStyle w:val="TableContents"/>
              <w:spacing w:before="0" w:after="283"/>
              <w:rPr/>
            </w:pPr>
            <w:r>
              <w:rPr/>
              <w:t> </w:t>
            </w:r>
          </w:p>
        </w:tc>
      </w:tr>
      <w:tr>
        <w:trPr/>
        <w:tc>
          <w:tcPr>
            <w:tcW w:w="612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4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14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6125" w:type="dxa"/>
            <w:tcBorders/>
            <w:shd w:fill="auto" w:val="clear"/>
            <w:vAlign w:val="bottom"/>
          </w:tcPr>
          <w:p>
            <w:pPr>
              <w:pStyle w:val="TableContents"/>
              <w:spacing w:before="0" w:after="0"/>
              <w:ind w:left="225" w:right="0" w:hanging="225"/>
              <w:rPr/>
            </w:pPr>
            <w:r>
              <w:rPr/>
              <w:t>Basic income per share from continuing operations</w:t>
            </w:r>
          </w:p>
        </w:tc>
        <w:tc>
          <w:tcPr>
            <w:tcW w:w="39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w:t>
            </w:r>
          </w:p>
        </w:tc>
        <w:tc>
          <w:tcPr>
            <w:tcW w:w="1242" w:type="dxa"/>
            <w:tcBorders/>
            <w:shd w:fill="auto" w:val="clear"/>
            <w:vAlign w:val="bottom"/>
          </w:tcPr>
          <w:p>
            <w:pPr>
              <w:pStyle w:val="TableContents"/>
              <w:spacing w:before="0" w:after="283"/>
              <w:jc w:val="right"/>
              <w:rPr/>
            </w:pPr>
            <w:r>
              <w:rPr/>
              <w:t>0.63</w:t>
            </w:r>
          </w:p>
        </w:tc>
        <w:tc>
          <w:tcPr>
            <w:tcW w:w="148"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w:t>
            </w:r>
          </w:p>
        </w:tc>
        <w:tc>
          <w:tcPr>
            <w:tcW w:w="1243" w:type="dxa"/>
            <w:tcBorders/>
            <w:shd w:fill="auto" w:val="clear"/>
            <w:vAlign w:val="bottom"/>
          </w:tcPr>
          <w:p>
            <w:pPr>
              <w:pStyle w:val="TableContents"/>
              <w:spacing w:before="0" w:after="283"/>
              <w:jc w:val="right"/>
              <w:rPr/>
            </w:pPr>
            <w:r>
              <w:rPr/>
              <w:t>0.57</w:t>
            </w:r>
          </w:p>
        </w:tc>
        <w:tc>
          <w:tcPr>
            <w:tcW w:w="119" w:type="dxa"/>
            <w:tcBorders/>
            <w:shd w:fill="auto" w:val="clear"/>
            <w:vAlign w:val="bottom"/>
          </w:tcPr>
          <w:p>
            <w:pPr>
              <w:pStyle w:val="TableContents"/>
              <w:spacing w:before="0" w:after="283"/>
              <w:rPr/>
            </w:pPr>
            <w:r>
              <w:rPr/>
              <w:t> </w:t>
            </w:r>
          </w:p>
        </w:tc>
      </w:tr>
      <w:tr>
        <w:trPr/>
        <w:tc>
          <w:tcPr>
            <w:tcW w:w="612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4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14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Options to purchase 9,000 and 259,000 shares of common stock were outstanding as of March 31, 2006 and 2005, respectively, but were not included in the computation of diluted income per share because the effect would be anti-dilutive.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11. Income Taxes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reconciliation of income tax expense and the amount that would be computed using statutory federal income tax rates for the three months ended March 31 is as follows: </w:t>
      </w:r>
    </w:p>
    <w:tbl>
      <w:tblPr>
        <w:tblW w:w="5000" w:type="pct"/>
        <w:jc w:val="center"/>
        <w:tblInd w:w="0" w:type="dxa"/>
        <w:tblCellMar>
          <w:top w:w="0" w:type="dxa"/>
          <w:left w:w="0" w:type="dxa"/>
          <w:bottom w:w="0" w:type="dxa"/>
          <w:right w:w="0" w:type="dxa"/>
        </w:tblCellMar>
      </w:tblPr>
      <w:tblGrid>
        <w:gridCol w:w="4207"/>
        <w:gridCol w:w="384"/>
        <w:gridCol w:w="175"/>
        <w:gridCol w:w="828"/>
        <w:gridCol w:w="140"/>
        <w:gridCol w:w="384"/>
        <w:gridCol w:w="113"/>
        <w:gridCol w:w="678"/>
        <w:gridCol w:w="291"/>
        <w:gridCol w:w="384"/>
        <w:gridCol w:w="174"/>
        <w:gridCol w:w="828"/>
        <w:gridCol w:w="140"/>
        <w:gridCol w:w="384"/>
        <w:gridCol w:w="113"/>
        <w:gridCol w:w="678"/>
        <w:gridCol w:w="304"/>
      </w:tblGrid>
      <w:tr>
        <w:trPr/>
        <w:tc>
          <w:tcPr>
            <w:tcW w:w="4207"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r>
      <w:tr>
        <w:trPr/>
        <w:tc>
          <w:tcPr>
            <w:tcW w:w="4207"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2318"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291"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2317"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304" w:type="dxa"/>
            <w:tcBorders/>
            <w:shd w:fill="auto" w:val="clear"/>
            <w:vAlign w:val="bottom"/>
          </w:tcPr>
          <w:p>
            <w:pPr>
              <w:pStyle w:val="TableContents"/>
              <w:spacing w:before="0" w:after="283"/>
              <w:rPr/>
            </w:pPr>
            <w:r>
              <w:rPr/>
              <w:t> </w:t>
            </w:r>
          </w:p>
        </w:tc>
      </w:tr>
      <w:tr>
        <w:trPr/>
        <w:tc>
          <w:tcPr>
            <w:tcW w:w="4207"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5310" w:type="dxa"/>
            <w:gridSpan w:val="14"/>
            <w:tcBorders/>
            <w:shd w:fill="auto" w:val="clear"/>
            <w:vAlign w:val="bottom"/>
          </w:tcPr>
          <w:p>
            <w:pPr>
              <w:pStyle w:val="TableContents"/>
              <w:spacing w:before="0" w:after="283"/>
              <w:jc w:val="center"/>
              <w:rPr>
                <w:b/>
              </w:rPr>
            </w:pPr>
            <w:r>
              <w:rPr>
                <w:b/>
              </w:rPr>
              <w:t>(in thousands)</w:t>
            </w:r>
          </w:p>
        </w:tc>
        <w:tc>
          <w:tcPr>
            <w:tcW w:w="304" w:type="dxa"/>
            <w:tcBorders/>
            <w:shd w:fill="auto" w:val="clear"/>
            <w:vAlign w:val="bottom"/>
          </w:tcPr>
          <w:p>
            <w:pPr>
              <w:pStyle w:val="TableContents"/>
              <w:spacing w:before="0" w:after="283"/>
              <w:rPr/>
            </w:pPr>
            <w:r>
              <w:rPr/>
              <w:t> </w:t>
            </w:r>
          </w:p>
        </w:tc>
      </w:tr>
      <w:tr>
        <w:trPr/>
        <w:tc>
          <w:tcPr>
            <w:tcW w:w="4207" w:type="dxa"/>
            <w:tcBorders/>
            <w:shd w:fill="CCEEFF" w:val="clear"/>
            <w:vAlign w:val="bottom"/>
          </w:tcPr>
          <w:p>
            <w:pPr>
              <w:pStyle w:val="TableContents"/>
              <w:spacing w:before="0" w:after="0"/>
              <w:ind w:left="225" w:right="0" w:hanging="225"/>
              <w:rPr/>
            </w:pPr>
            <w:r>
              <w:rPr/>
              <w:t>Computed income tax expense at statutory federal income tax rate of 35%</w:t>
            </w:r>
          </w:p>
        </w:tc>
        <w:tc>
          <w:tcPr>
            <w:tcW w:w="384"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w:t>
            </w:r>
          </w:p>
        </w:tc>
        <w:tc>
          <w:tcPr>
            <w:tcW w:w="828" w:type="dxa"/>
            <w:tcBorders/>
            <w:shd w:fill="CCEEFF" w:val="clear"/>
            <w:vAlign w:val="bottom"/>
          </w:tcPr>
          <w:p>
            <w:pPr>
              <w:pStyle w:val="TableContents"/>
              <w:spacing w:before="0" w:after="283"/>
              <w:jc w:val="right"/>
              <w:rPr/>
            </w:pPr>
            <w:r>
              <w:rPr/>
              <w:t>7,608</w:t>
            </w:r>
          </w:p>
        </w:tc>
        <w:tc>
          <w:tcPr>
            <w:tcW w:w="140"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35.0</w:t>
            </w:r>
          </w:p>
        </w:tc>
        <w:tc>
          <w:tcPr>
            <w:tcW w:w="291" w:type="dxa"/>
            <w:tcBorders/>
            <w:shd w:fill="CCEEFF" w:val="clear"/>
            <w:vAlign w:val="bottom"/>
          </w:tcPr>
          <w:p>
            <w:pPr>
              <w:pStyle w:val="TableContents"/>
              <w:spacing w:before="0" w:after="283"/>
              <w:rPr/>
            </w:pPr>
            <w:r>
              <w:rPr/>
              <w:t>%</w:t>
            </w:r>
          </w:p>
        </w:tc>
        <w:tc>
          <w:tcPr>
            <w:tcW w:w="38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jc w:val="left"/>
              <w:rPr/>
            </w:pPr>
            <w:r>
              <w:rPr/>
              <w:t>$</w:t>
            </w:r>
          </w:p>
        </w:tc>
        <w:tc>
          <w:tcPr>
            <w:tcW w:w="828" w:type="dxa"/>
            <w:tcBorders/>
            <w:shd w:fill="CCEEFF" w:val="clear"/>
            <w:vAlign w:val="bottom"/>
          </w:tcPr>
          <w:p>
            <w:pPr>
              <w:pStyle w:val="TableContents"/>
              <w:spacing w:before="0" w:after="283"/>
              <w:jc w:val="right"/>
              <w:rPr/>
            </w:pPr>
            <w:r>
              <w:rPr/>
              <w:t>7,206</w:t>
            </w:r>
          </w:p>
        </w:tc>
        <w:tc>
          <w:tcPr>
            <w:tcW w:w="140"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35.0</w:t>
            </w:r>
          </w:p>
        </w:tc>
        <w:tc>
          <w:tcPr>
            <w:tcW w:w="304" w:type="dxa"/>
            <w:tcBorders/>
            <w:shd w:fill="CCEEFF" w:val="clear"/>
            <w:vAlign w:val="bottom"/>
          </w:tcPr>
          <w:p>
            <w:pPr>
              <w:pStyle w:val="TableContents"/>
              <w:spacing w:before="0" w:after="283"/>
              <w:rPr/>
            </w:pPr>
            <w:r>
              <w:rPr/>
              <w:t>%</w:t>
            </w:r>
          </w:p>
        </w:tc>
      </w:tr>
      <w:tr>
        <w:trPr/>
        <w:tc>
          <w:tcPr>
            <w:tcW w:w="4207" w:type="dxa"/>
            <w:tcBorders/>
            <w:shd w:fill="auto" w:val="clear"/>
            <w:vAlign w:val="bottom"/>
          </w:tcPr>
          <w:p>
            <w:pPr>
              <w:pStyle w:val="TableContents"/>
              <w:spacing w:before="0" w:after="0"/>
              <w:ind w:left="225" w:right="0" w:hanging="225"/>
              <w:rPr/>
            </w:pPr>
            <w:r>
              <w:rPr/>
              <w:t>State income taxes</w:t>
            </w:r>
          </w:p>
        </w:tc>
        <w:tc>
          <w:tcPr>
            <w:tcW w:w="3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jc w:val="right"/>
              <w:rPr/>
            </w:pPr>
            <w:r>
              <w:rPr/>
              <w:t>2,029</w:t>
            </w:r>
          </w:p>
        </w:tc>
        <w:tc>
          <w:tcPr>
            <w:tcW w:w="140"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9.3</w:t>
            </w:r>
          </w:p>
        </w:tc>
        <w:tc>
          <w:tcPr>
            <w:tcW w:w="291" w:type="dxa"/>
            <w:tcBorders/>
            <w:shd w:fill="auto" w:val="clear"/>
            <w:vAlign w:val="bottom"/>
          </w:tcPr>
          <w:p>
            <w:pPr>
              <w:pStyle w:val="TableContents"/>
              <w:spacing w:before="0" w:after="283"/>
              <w:rPr/>
            </w:pPr>
            <w:r>
              <w:rPr/>
              <w:t>%</w:t>
            </w:r>
          </w:p>
        </w:tc>
        <w:tc>
          <w:tcPr>
            <w:tcW w:w="38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jc w:val="right"/>
              <w:rPr/>
            </w:pPr>
            <w:r>
              <w:rPr/>
              <w:t>1,615</w:t>
            </w:r>
          </w:p>
        </w:tc>
        <w:tc>
          <w:tcPr>
            <w:tcW w:w="140"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7.8</w:t>
            </w:r>
          </w:p>
        </w:tc>
        <w:tc>
          <w:tcPr>
            <w:tcW w:w="304" w:type="dxa"/>
            <w:tcBorders/>
            <w:shd w:fill="auto" w:val="clear"/>
            <w:vAlign w:val="bottom"/>
          </w:tcPr>
          <w:p>
            <w:pPr>
              <w:pStyle w:val="TableContents"/>
              <w:spacing w:before="0" w:after="283"/>
              <w:rPr/>
            </w:pPr>
            <w:r>
              <w:rPr/>
              <w:t>%</w:t>
            </w:r>
          </w:p>
        </w:tc>
      </w:tr>
      <w:tr>
        <w:trPr/>
        <w:tc>
          <w:tcPr>
            <w:tcW w:w="4207" w:type="dxa"/>
            <w:tcBorders/>
            <w:shd w:fill="CCEEFF" w:val="clear"/>
            <w:vAlign w:val="bottom"/>
          </w:tcPr>
          <w:p>
            <w:pPr>
              <w:pStyle w:val="TableContents"/>
              <w:spacing w:before="0" w:after="0"/>
              <w:ind w:left="225" w:right="0" w:hanging="225"/>
              <w:rPr/>
            </w:pPr>
            <w:r>
              <w:rPr/>
              <w:t>Foreign tax refund</w:t>
            </w:r>
          </w:p>
        </w:tc>
        <w:tc>
          <w:tcPr>
            <w:tcW w:w="384"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 </w:t>
            </w:r>
          </w:p>
        </w:tc>
        <w:tc>
          <w:tcPr>
            <w:tcW w:w="828" w:type="dxa"/>
            <w:tcBorders/>
            <w:shd w:fill="CCEEFF" w:val="clear"/>
            <w:vAlign w:val="bottom"/>
          </w:tcPr>
          <w:p>
            <w:pPr>
              <w:pStyle w:val="TableContents"/>
              <w:spacing w:before="0" w:after="283"/>
              <w:jc w:val="right"/>
              <w:rPr/>
            </w:pPr>
            <w:r>
              <w:rPr/>
              <w:t>(1,018</w:t>
            </w:r>
          </w:p>
        </w:tc>
        <w:tc>
          <w:tcPr>
            <w:tcW w:w="140" w:type="dxa"/>
            <w:tcBorders/>
            <w:shd w:fill="CCEEFF" w:val="clear"/>
            <w:vAlign w:val="bottom"/>
          </w:tcPr>
          <w:p>
            <w:pPr>
              <w:pStyle w:val="TableContents"/>
              <w:spacing w:before="0" w:after="283"/>
              <w:rPr/>
            </w:pPr>
            <w:r>
              <w:rPr/>
              <w:t>)</w:t>
            </w:r>
          </w:p>
        </w:tc>
        <w:tc>
          <w:tcPr>
            <w:tcW w:w="38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(4.7</w:t>
            </w:r>
          </w:p>
        </w:tc>
        <w:tc>
          <w:tcPr>
            <w:tcW w:w="291" w:type="dxa"/>
            <w:tcBorders/>
            <w:shd w:fill="CCEEFF" w:val="clear"/>
            <w:vAlign w:val="bottom"/>
          </w:tcPr>
          <w:p>
            <w:pPr>
              <w:pStyle w:val="TableContents"/>
              <w:spacing w:before="0" w:after="283"/>
              <w:rPr/>
            </w:pPr>
            <w:r>
              <w:rPr/>
              <w:t>%)</w:t>
            </w:r>
          </w:p>
        </w:tc>
        <w:tc>
          <w:tcPr>
            <w:tcW w:w="38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828" w:type="dxa"/>
            <w:tcBorders/>
            <w:shd w:fill="CCEEFF" w:val="clear"/>
            <w:vAlign w:val="bottom"/>
          </w:tcPr>
          <w:p>
            <w:pPr>
              <w:pStyle w:val="TableContents"/>
              <w:spacing w:before="0" w:after="283"/>
              <w:jc w:val="right"/>
              <w:rPr/>
            </w:pPr>
            <w:r>
              <w:rPr/>
              <w:t></w:t>
            </w:r>
          </w:p>
        </w:tc>
        <w:tc>
          <w:tcPr>
            <w:tcW w:w="140"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0.0</w:t>
            </w:r>
          </w:p>
        </w:tc>
        <w:tc>
          <w:tcPr>
            <w:tcW w:w="304" w:type="dxa"/>
            <w:tcBorders/>
            <w:shd w:fill="CCEEFF" w:val="clear"/>
            <w:vAlign w:val="bottom"/>
          </w:tcPr>
          <w:p>
            <w:pPr>
              <w:pStyle w:val="TableContents"/>
              <w:spacing w:before="0" w:after="283"/>
              <w:rPr/>
            </w:pPr>
            <w:r>
              <w:rPr/>
              <w:t>%</w:t>
            </w:r>
          </w:p>
        </w:tc>
      </w:tr>
      <w:tr>
        <w:trPr/>
        <w:tc>
          <w:tcPr>
            <w:tcW w:w="4207" w:type="dxa"/>
            <w:tcBorders/>
            <w:shd w:fill="auto" w:val="clear"/>
            <w:vAlign w:val="bottom"/>
          </w:tcPr>
          <w:p>
            <w:pPr>
              <w:pStyle w:val="TableContents"/>
              <w:spacing w:before="0" w:after="0"/>
              <w:ind w:left="225" w:right="0" w:hanging="225"/>
              <w:rPr/>
            </w:pPr>
            <w:r>
              <w:rPr/>
              <w:t>Other, net</w:t>
            </w:r>
          </w:p>
        </w:tc>
        <w:tc>
          <w:tcPr>
            <w:tcW w:w="3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 </w:t>
            </w:r>
          </w:p>
        </w:tc>
        <w:tc>
          <w:tcPr>
            <w:tcW w:w="828" w:type="dxa"/>
            <w:tcBorders/>
            <w:shd w:fill="auto" w:val="clear"/>
            <w:vAlign w:val="bottom"/>
          </w:tcPr>
          <w:p>
            <w:pPr>
              <w:pStyle w:val="TableContents"/>
              <w:spacing w:before="0" w:after="283"/>
              <w:jc w:val="right"/>
              <w:rPr/>
            </w:pPr>
            <w:r>
              <w:rPr/>
              <w:t>(277</w:t>
            </w:r>
          </w:p>
        </w:tc>
        <w:tc>
          <w:tcPr>
            <w:tcW w:w="140" w:type="dxa"/>
            <w:tcBorders/>
            <w:shd w:fill="auto" w:val="clear"/>
            <w:vAlign w:val="bottom"/>
          </w:tcPr>
          <w:p>
            <w:pPr>
              <w:pStyle w:val="TableContents"/>
              <w:spacing w:before="0" w:after="283"/>
              <w:rPr/>
            </w:pPr>
            <w:r>
              <w:rPr/>
              <w:t>)</w:t>
            </w:r>
          </w:p>
        </w:tc>
        <w:tc>
          <w:tcPr>
            <w:tcW w:w="38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(1.2</w:t>
            </w:r>
          </w:p>
        </w:tc>
        <w:tc>
          <w:tcPr>
            <w:tcW w:w="291" w:type="dxa"/>
            <w:tcBorders/>
            <w:shd w:fill="auto" w:val="clear"/>
            <w:vAlign w:val="bottom"/>
          </w:tcPr>
          <w:p>
            <w:pPr>
              <w:pStyle w:val="TableContents"/>
              <w:spacing w:before="0" w:after="283"/>
              <w:rPr/>
            </w:pPr>
            <w:r>
              <w:rPr/>
              <w:t>%)</w:t>
            </w:r>
          </w:p>
        </w:tc>
        <w:tc>
          <w:tcPr>
            <w:tcW w:w="38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jc w:val="right"/>
              <w:rPr/>
            </w:pPr>
            <w:r>
              <w:rPr/>
              <w:t>480</w:t>
            </w:r>
          </w:p>
        </w:tc>
        <w:tc>
          <w:tcPr>
            <w:tcW w:w="140"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2.3</w:t>
            </w:r>
          </w:p>
        </w:tc>
        <w:tc>
          <w:tcPr>
            <w:tcW w:w="304" w:type="dxa"/>
            <w:tcBorders/>
            <w:shd w:fill="auto" w:val="clear"/>
            <w:vAlign w:val="bottom"/>
          </w:tcPr>
          <w:p>
            <w:pPr>
              <w:pStyle w:val="TableContents"/>
              <w:spacing w:before="0" w:after="283"/>
              <w:rPr/>
            </w:pPr>
            <w:r>
              <w:rPr/>
              <w:t>%</w:t>
            </w:r>
          </w:p>
        </w:tc>
      </w:tr>
      <w:tr>
        <w:trPr/>
        <w:tc>
          <w:tcPr>
            <w:tcW w:w="4207"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2609"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c>
          <w:tcPr>
            <w:tcW w:w="384" w:type="dxa"/>
            <w:tcBorders/>
            <w:shd w:fill="auto" w:val="clear"/>
            <w:vAlign w:val="center"/>
          </w:tcPr>
          <w:p>
            <w:pPr>
              <w:pStyle w:val="TableContents"/>
              <w:spacing w:before="0" w:after="283"/>
              <w:rPr/>
            </w:pPr>
            <w:r>
              <w:rPr/>
              <w:t> </w:t>
            </w:r>
          </w:p>
        </w:tc>
        <w:tc>
          <w:tcPr>
            <w:tcW w:w="2621"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r>
      <w:tr>
        <w:trPr/>
        <w:tc>
          <w:tcPr>
            <w:tcW w:w="4207" w:type="dxa"/>
            <w:tcBorders/>
            <w:shd w:fill="CCEEFF" w:val="clear"/>
            <w:vAlign w:val="bottom"/>
          </w:tcPr>
          <w:p>
            <w:pPr>
              <w:pStyle w:val="TableContents"/>
              <w:spacing w:before="0" w:after="0"/>
              <w:ind w:left="225" w:right="0" w:hanging="225"/>
              <w:rPr/>
            </w:pPr>
            <w:r>
              <w:rPr/>
              <w:t> </w:t>
            </w:r>
          </w:p>
        </w:tc>
        <w:tc>
          <w:tcPr>
            <w:tcW w:w="384"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828" w:type="dxa"/>
            <w:tcBorders/>
            <w:shd w:fill="CCEEFF" w:val="clear"/>
            <w:vAlign w:val="bottom"/>
          </w:tcPr>
          <w:p>
            <w:pPr>
              <w:pStyle w:val="TableContents"/>
              <w:spacing w:before="0" w:after="283"/>
              <w:jc w:val="right"/>
              <w:rPr/>
            </w:pPr>
            <w:r>
              <w:rPr/>
              <w:t>8,342</w:t>
            </w:r>
          </w:p>
        </w:tc>
        <w:tc>
          <w:tcPr>
            <w:tcW w:w="140"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38.4</w:t>
            </w:r>
          </w:p>
        </w:tc>
        <w:tc>
          <w:tcPr>
            <w:tcW w:w="291" w:type="dxa"/>
            <w:tcBorders/>
            <w:shd w:fill="CCEEFF" w:val="clear"/>
            <w:vAlign w:val="bottom"/>
          </w:tcPr>
          <w:p>
            <w:pPr>
              <w:pStyle w:val="TableContents"/>
              <w:spacing w:before="0" w:after="283"/>
              <w:rPr/>
            </w:pPr>
            <w:r>
              <w:rPr/>
              <w:t>%</w:t>
            </w:r>
          </w:p>
        </w:tc>
        <w:tc>
          <w:tcPr>
            <w:tcW w:w="38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828" w:type="dxa"/>
            <w:tcBorders/>
            <w:shd w:fill="CCEEFF" w:val="clear"/>
            <w:vAlign w:val="bottom"/>
          </w:tcPr>
          <w:p>
            <w:pPr>
              <w:pStyle w:val="TableContents"/>
              <w:spacing w:before="0" w:after="283"/>
              <w:jc w:val="right"/>
              <w:rPr/>
            </w:pPr>
            <w:r>
              <w:rPr/>
              <w:t>9,301</w:t>
            </w:r>
          </w:p>
        </w:tc>
        <w:tc>
          <w:tcPr>
            <w:tcW w:w="140"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45.1</w:t>
            </w:r>
          </w:p>
        </w:tc>
        <w:tc>
          <w:tcPr>
            <w:tcW w:w="304" w:type="dxa"/>
            <w:tcBorders/>
            <w:shd w:fill="CCEEFF" w:val="clear"/>
            <w:vAlign w:val="bottom"/>
          </w:tcPr>
          <w:p>
            <w:pPr>
              <w:pStyle w:val="TableContents"/>
              <w:spacing w:before="0" w:after="283"/>
              <w:rPr/>
            </w:pPr>
            <w:r>
              <w:rPr/>
              <w:t>%</w:t>
            </w:r>
          </w:p>
        </w:tc>
      </w:tr>
      <w:tr>
        <w:trPr/>
        <w:tc>
          <w:tcPr>
            <w:tcW w:w="4207" w:type="dxa"/>
            <w:tcBorders/>
            <w:shd w:fill="auto" w:val="clear"/>
            <w:vAlign w:val="bottom"/>
          </w:tcPr>
          <w:p>
            <w:pPr>
              <w:pStyle w:val="TableContents"/>
              <w:spacing w:before="0" w:after="0"/>
              <w:ind w:left="225" w:right="0" w:hanging="225"/>
              <w:rPr/>
            </w:pPr>
            <w:r>
              <w:rPr/>
              <w:t>Adjustment to estimated annual effective rate (1)</w:t>
            </w:r>
          </w:p>
        </w:tc>
        <w:tc>
          <w:tcPr>
            <w:tcW w:w="38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 </w:t>
            </w:r>
          </w:p>
        </w:tc>
        <w:tc>
          <w:tcPr>
            <w:tcW w:w="828" w:type="dxa"/>
            <w:tcBorders/>
            <w:shd w:fill="auto" w:val="clear"/>
            <w:vAlign w:val="bottom"/>
          </w:tcPr>
          <w:p>
            <w:pPr>
              <w:pStyle w:val="TableContents"/>
              <w:spacing w:before="0" w:after="283"/>
              <w:jc w:val="right"/>
              <w:rPr/>
            </w:pPr>
            <w:r>
              <w:rPr/>
              <w:t>(363</w:t>
            </w:r>
          </w:p>
        </w:tc>
        <w:tc>
          <w:tcPr>
            <w:tcW w:w="140" w:type="dxa"/>
            <w:tcBorders/>
            <w:shd w:fill="auto" w:val="clear"/>
            <w:vAlign w:val="bottom"/>
          </w:tcPr>
          <w:p>
            <w:pPr>
              <w:pStyle w:val="TableContents"/>
              <w:spacing w:before="0" w:after="283"/>
              <w:rPr/>
            </w:pPr>
            <w:r>
              <w:rPr/>
              <w:t>)</w:t>
            </w:r>
          </w:p>
        </w:tc>
        <w:tc>
          <w:tcPr>
            <w:tcW w:w="38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(1.7</w:t>
            </w:r>
          </w:p>
        </w:tc>
        <w:tc>
          <w:tcPr>
            <w:tcW w:w="291" w:type="dxa"/>
            <w:tcBorders/>
            <w:shd w:fill="auto" w:val="clear"/>
            <w:vAlign w:val="bottom"/>
          </w:tcPr>
          <w:p>
            <w:pPr>
              <w:pStyle w:val="TableContents"/>
              <w:spacing w:before="0" w:after="283"/>
              <w:rPr/>
            </w:pPr>
            <w:r>
              <w:rPr/>
              <w:t>%)</w:t>
            </w:r>
          </w:p>
        </w:tc>
        <w:tc>
          <w:tcPr>
            <w:tcW w:w="38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jc w:val="left"/>
              <w:rPr/>
            </w:pPr>
            <w:r>
              <w:rPr/>
              <w:t> </w:t>
            </w:r>
          </w:p>
        </w:tc>
        <w:tc>
          <w:tcPr>
            <w:tcW w:w="828" w:type="dxa"/>
            <w:tcBorders/>
            <w:shd w:fill="auto" w:val="clear"/>
            <w:vAlign w:val="bottom"/>
          </w:tcPr>
          <w:p>
            <w:pPr>
              <w:pStyle w:val="TableContents"/>
              <w:spacing w:before="0" w:after="283"/>
              <w:jc w:val="right"/>
              <w:rPr/>
            </w:pPr>
            <w:r>
              <w:rPr/>
              <w:t>(1,138</w:t>
            </w:r>
          </w:p>
        </w:tc>
        <w:tc>
          <w:tcPr>
            <w:tcW w:w="140" w:type="dxa"/>
            <w:tcBorders/>
            <w:shd w:fill="auto" w:val="clear"/>
            <w:vAlign w:val="bottom"/>
          </w:tcPr>
          <w:p>
            <w:pPr>
              <w:pStyle w:val="TableContents"/>
              <w:spacing w:before="0" w:after="283"/>
              <w:rPr/>
            </w:pPr>
            <w:r>
              <w:rPr/>
              <w:t>)</w:t>
            </w:r>
          </w:p>
        </w:tc>
        <w:tc>
          <w:tcPr>
            <w:tcW w:w="38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(5.5</w:t>
            </w:r>
          </w:p>
        </w:tc>
        <w:tc>
          <w:tcPr>
            <w:tcW w:w="304" w:type="dxa"/>
            <w:tcBorders/>
            <w:shd w:fill="auto" w:val="clear"/>
            <w:vAlign w:val="bottom"/>
          </w:tcPr>
          <w:p>
            <w:pPr>
              <w:pStyle w:val="TableContents"/>
              <w:spacing w:before="0" w:after="283"/>
              <w:rPr/>
            </w:pPr>
            <w:r>
              <w:rPr/>
              <w:t>%)</w:t>
            </w:r>
          </w:p>
        </w:tc>
      </w:tr>
      <w:tr>
        <w:trPr/>
        <w:tc>
          <w:tcPr>
            <w:tcW w:w="4207"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2609"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c>
          <w:tcPr>
            <w:tcW w:w="384" w:type="dxa"/>
            <w:tcBorders/>
            <w:shd w:fill="auto" w:val="clear"/>
            <w:vAlign w:val="center"/>
          </w:tcPr>
          <w:p>
            <w:pPr>
              <w:pStyle w:val="TableContents"/>
              <w:spacing w:before="0" w:after="283"/>
              <w:rPr/>
            </w:pPr>
            <w:r>
              <w:rPr/>
              <w:t> </w:t>
            </w:r>
          </w:p>
        </w:tc>
        <w:tc>
          <w:tcPr>
            <w:tcW w:w="2621"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r>
      <w:tr>
        <w:trPr/>
        <w:tc>
          <w:tcPr>
            <w:tcW w:w="4207" w:type="dxa"/>
            <w:tcBorders/>
            <w:shd w:fill="CCEEFF" w:val="clear"/>
            <w:vAlign w:val="bottom"/>
          </w:tcPr>
          <w:p>
            <w:pPr>
              <w:pStyle w:val="TableContents"/>
              <w:spacing w:before="0" w:after="0"/>
              <w:ind w:left="225" w:right="0" w:hanging="225"/>
              <w:rPr/>
            </w:pPr>
            <w:r>
              <w:rPr/>
              <w:t>Income tax expense</w:t>
            </w:r>
          </w:p>
        </w:tc>
        <w:tc>
          <w:tcPr>
            <w:tcW w:w="384"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w:t>
            </w:r>
          </w:p>
        </w:tc>
        <w:tc>
          <w:tcPr>
            <w:tcW w:w="828" w:type="dxa"/>
            <w:tcBorders/>
            <w:shd w:fill="CCEEFF" w:val="clear"/>
            <w:vAlign w:val="bottom"/>
          </w:tcPr>
          <w:p>
            <w:pPr>
              <w:pStyle w:val="TableContents"/>
              <w:spacing w:before="0" w:after="283"/>
              <w:jc w:val="right"/>
              <w:rPr/>
            </w:pPr>
            <w:r>
              <w:rPr/>
              <w:t>7,979</w:t>
            </w:r>
          </w:p>
        </w:tc>
        <w:tc>
          <w:tcPr>
            <w:tcW w:w="140"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36.7</w:t>
            </w:r>
          </w:p>
        </w:tc>
        <w:tc>
          <w:tcPr>
            <w:tcW w:w="291" w:type="dxa"/>
            <w:tcBorders/>
            <w:shd w:fill="CCEEFF" w:val="clear"/>
            <w:vAlign w:val="bottom"/>
          </w:tcPr>
          <w:p>
            <w:pPr>
              <w:pStyle w:val="TableContents"/>
              <w:spacing w:before="0" w:after="283"/>
              <w:rPr/>
            </w:pPr>
            <w:r>
              <w:rPr/>
              <w:t>%</w:t>
            </w:r>
          </w:p>
        </w:tc>
        <w:tc>
          <w:tcPr>
            <w:tcW w:w="38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jc w:val="left"/>
              <w:rPr/>
            </w:pPr>
            <w:r>
              <w:rPr/>
              <w:t>$</w:t>
            </w:r>
          </w:p>
        </w:tc>
        <w:tc>
          <w:tcPr>
            <w:tcW w:w="828" w:type="dxa"/>
            <w:tcBorders/>
            <w:shd w:fill="CCEEFF" w:val="clear"/>
            <w:vAlign w:val="bottom"/>
          </w:tcPr>
          <w:p>
            <w:pPr>
              <w:pStyle w:val="TableContents"/>
              <w:spacing w:before="0" w:after="283"/>
              <w:jc w:val="right"/>
              <w:rPr/>
            </w:pPr>
            <w:r>
              <w:rPr/>
              <w:t>8,163</w:t>
            </w:r>
          </w:p>
        </w:tc>
        <w:tc>
          <w:tcPr>
            <w:tcW w:w="140"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678" w:type="dxa"/>
            <w:tcBorders/>
            <w:shd w:fill="CCEEFF" w:val="clear"/>
            <w:vAlign w:val="bottom"/>
          </w:tcPr>
          <w:p>
            <w:pPr>
              <w:pStyle w:val="TableContents"/>
              <w:spacing w:before="0" w:after="283"/>
              <w:jc w:val="right"/>
              <w:rPr/>
            </w:pPr>
            <w:r>
              <w:rPr/>
              <w:t>39.6</w:t>
            </w:r>
          </w:p>
        </w:tc>
        <w:tc>
          <w:tcPr>
            <w:tcW w:w="304" w:type="dxa"/>
            <w:tcBorders/>
            <w:shd w:fill="CCEEFF" w:val="clear"/>
            <w:vAlign w:val="bottom"/>
          </w:tcPr>
          <w:p>
            <w:pPr>
              <w:pStyle w:val="TableContents"/>
              <w:spacing w:before="0" w:after="283"/>
              <w:rPr/>
            </w:pPr>
            <w:r>
              <w:rPr/>
              <w:t>%</w:t>
            </w:r>
          </w:p>
        </w:tc>
      </w:tr>
      <w:tr>
        <w:trPr/>
        <w:tc>
          <w:tcPr>
            <w:tcW w:w="4207"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2609" w:type="dxa"/>
            <w:gridSpan w:val="7"/>
            <w:tcBorders>
              <w:top w:val="double" w:sz="6" w:space="0" w:color="000000"/>
            </w:tcBorders>
            <w:shd w:fill="auto" w:val="clear"/>
            <w:tcMar>
              <w:top w:w="28" w:type="dxa"/>
            </w:tcMar>
            <w:vAlign w:val="center"/>
          </w:tcPr>
          <w:p>
            <w:pPr>
              <w:pStyle w:val="TableContents"/>
              <w:spacing w:before="0" w:after="283"/>
              <w:jc w:val="left"/>
              <w:rPr/>
            </w:pPr>
            <w:r>
              <w:rPr/>
              <w:t> </w:t>
            </w:r>
          </w:p>
        </w:tc>
        <w:tc>
          <w:tcPr>
            <w:tcW w:w="384" w:type="dxa"/>
            <w:tcBorders/>
            <w:shd w:fill="auto" w:val="clear"/>
            <w:vAlign w:val="center"/>
          </w:tcPr>
          <w:p>
            <w:pPr>
              <w:pStyle w:val="TableContents"/>
              <w:spacing w:before="0" w:after="283"/>
              <w:rPr/>
            </w:pPr>
            <w:r>
              <w:rPr/>
              <w:t> </w:t>
            </w:r>
          </w:p>
        </w:tc>
        <w:tc>
          <w:tcPr>
            <w:tcW w:w="2621" w:type="dxa"/>
            <w:gridSpan w:val="7"/>
            <w:tcBorders>
              <w:top w:val="double" w:sz="6" w:space="0" w:color="000000"/>
            </w:tcBorders>
            <w:shd w:fill="auto" w:val="clear"/>
            <w:tcMar>
              <w:top w:w="28" w:type="dxa"/>
            </w:tcMar>
            <w:vAlign w:val="center"/>
          </w:tcPr>
          <w:p>
            <w:pPr>
              <w:pStyle w:val="TableContents"/>
              <w:spacing w:before="0" w:after="283"/>
              <w:jc w:val="left"/>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303"/>
        <w:gridCol w:w="135"/>
        <w:gridCol w:w="9767"/>
      </w:tblGrid>
      <w:tr>
        <w:trPr/>
        <w:tc>
          <w:tcPr>
            <w:tcW w:w="303" w:type="dxa"/>
            <w:tcBorders/>
            <w:shd w:fill="auto" w:val="clear"/>
          </w:tcPr>
          <w:p>
            <w:pPr>
              <w:pStyle w:val="TableContents"/>
              <w:spacing w:before="0" w:after="283"/>
              <w:jc w:val="left"/>
              <w:rPr/>
            </w:pPr>
            <w:r>
              <w:rPr/>
              <w:t>(1)</w:t>
            </w:r>
          </w:p>
        </w:tc>
        <w:tc>
          <w:tcPr>
            <w:tcW w:w="135" w:type="dxa"/>
            <w:tcBorders/>
            <w:shd w:fill="auto" w:val="clear"/>
          </w:tcPr>
          <w:p>
            <w:pPr>
              <w:pStyle w:val="TableContents"/>
              <w:spacing w:before="0" w:after="283"/>
              <w:rPr/>
            </w:pPr>
            <w:r>
              <w:rPr/>
              <w:t> </w:t>
            </w:r>
          </w:p>
        </w:tc>
        <w:tc>
          <w:tcPr>
            <w:tcW w:w="9767" w:type="dxa"/>
            <w:tcBorders/>
            <w:shd w:fill="auto" w:val="clear"/>
          </w:tcPr>
          <w:p>
            <w:pPr>
              <w:pStyle w:val="TableContents"/>
              <w:spacing w:before="0" w:after="283"/>
              <w:rPr/>
            </w:pPr>
            <w:r>
              <w:rPr/>
              <w:t>APB Opinion No. 28, Interim Financial Reporting, requires that income taxes be recorded based on the estimated effective tax rate expected to be applicable for the entire fiscal year.</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Viad is subject to regular and recurring audits by the taxing authorities in the jurisdictions in which the Company conducts or had previously conducted significant operations. Accordingly, the Company has recorded accrued liabilities associated with specific U.S. federal, state and local and foreign tax audit exposures expected to arise in connection with such audits. As of March 31, 2006 and December 31, 2005, Viad had $36.5 million and $36.0 million, respectively, accrued for these exposures. If amounts accrued are less than amounts ultimately assessed by the taxing authorities, Viad would record additional income tax expense in the period in which the assessment is determined. To the extent that the Company has favorable settlements or determines that reserves are no longer needed, such liabilities would be reversed as a reduction of income tax expense (net of federal tax effects, if applicable), or in some cases through discontinued operations, in the period such determination is made. Viads policy is to retain amounts accrued for tax audit exposures until final resolution or settlement with the appropriate taxing authority. Based on tax audits in process and other factors, management currently estimates that tax issues of approximately $9.0 million (exclusive of any federal tax effects) could potentially be resolved or settled during the remainder of 2006 resulting in a decrease of accrued taxes payable. To the extent these tax resolutions or settlements occur, they would result in cash payments and/or the reversal of accrued taxes payable which may include amounts related to previously discontinued operations.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12. Pension and Other Postretirement Benefit Plans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net periodic costs for defined benefit pension plans and other postretirement benefit plans for the three months ended March 31 include the following components: </w:t>
      </w:r>
    </w:p>
    <w:tbl>
      <w:tblPr>
        <w:tblW w:w="5000" w:type="pct"/>
        <w:jc w:val="center"/>
        <w:tblInd w:w="0" w:type="dxa"/>
        <w:tblCellMar>
          <w:top w:w="0" w:type="dxa"/>
          <w:left w:w="0" w:type="dxa"/>
          <w:bottom w:w="0" w:type="dxa"/>
          <w:right w:w="0" w:type="dxa"/>
        </w:tblCellMar>
      </w:tblPr>
      <w:tblGrid>
        <w:gridCol w:w="3942"/>
        <w:gridCol w:w="348"/>
        <w:gridCol w:w="194"/>
        <w:gridCol w:w="738"/>
        <w:gridCol w:w="151"/>
        <w:gridCol w:w="359"/>
        <w:gridCol w:w="194"/>
        <w:gridCol w:w="739"/>
        <w:gridCol w:w="133"/>
        <w:gridCol w:w="348"/>
        <w:gridCol w:w="249"/>
        <w:gridCol w:w="921"/>
        <w:gridCol w:w="189"/>
        <w:gridCol w:w="383"/>
        <w:gridCol w:w="250"/>
        <w:gridCol w:w="924"/>
        <w:gridCol w:w="143"/>
      </w:tblGrid>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916" w:type="dxa"/>
            <w:gridSpan w:val="6"/>
            <w:tcBorders/>
            <w:shd w:fill="auto" w:val="clear"/>
            <w:vAlign w:val="bottom"/>
          </w:tcPr>
          <w:p>
            <w:pPr>
              <w:pStyle w:val="TableContents"/>
              <w:spacing w:before="0" w:after="283"/>
              <w:jc w:val="center"/>
              <w:rPr>
                <w:b/>
              </w:rPr>
            </w:pPr>
            <w:r>
              <w:rPr>
                <w:b/>
              </w:rPr>
              <w:t>Other</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375"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Pension Benefits</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916"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Postretirement Benefits</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93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9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117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17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5772" w:type="dxa"/>
            <w:gridSpan w:val="14"/>
            <w:tcBorders/>
            <w:shd w:fill="auto" w:val="clear"/>
            <w:vAlign w:val="bottom"/>
          </w:tcPr>
          <w:p>
            <w:pPr>
              <w:pStyle w:val="TableContents"/>
              <w:spacing w:before="0" w:after="283"/>
              <w:jc w:val="center"/>
              <w:rPr>
                <w:b/>
              </w:rPr>
            </w:pPr>
            <w:r>
              <w:rPr>
                <w:b/>
              </w:rPr>
              <w:t>(in thousands)</w:t>
            </w:r>
          </w:p>
        </w:tc>
        <w:tc>
          <w:tcPr>
            <w:tcW w:w="143" w:type="dxa"/>
            <w:tcBorders/>
            <w:shd w:fill="auto" w:val="clear"/>
            <w:vAlign w:val="bottom"/>
          </w:tcPr>
          <w:p>
            <w:pPr>
              <w:pStyle w:val="TableContents"/>
              <w:spacing w:before="0" w:after="283"/>
              <w:rPr/>
            </w:pPr>
            <w:r>
              <w:rPr/>
              <w:t> </w:t>
            </w:r>
          </w:p>
        </w:tc>
      </w:tr>
      <w:tr>
        <w:trPr/>
        <w:tc>
          <w:tcPr>
            <w:tcW w:w="3942" w:type="dxa"/>
            <w:tcBorders/>
            <w:shd w:fill="CCEEFF" w:val="clear"/>
            <w:vAlign w:val="bottom"/>
          </w:tcPr>
          <w:p>
            <w:pPr>
              <w:pStyle w:val="TableContents"/>
              <w:spacing w:before="0" w:after="0"/>
              <w:ind w:left="225" w:right="0" w:hanging="225"/>
              <w:rPr/>
            </w:pPr>
            <w:r>
              <w:rPr/>
              <w:t>Service cost</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w:t>
            </w:r>
          </w:p>
        </w:tc>
        <w:tc>
          <w:tcPr>
            <w:tcW w:w="738" w:type="dxa"/>
            <w:tcBorders/>
            <w:shd w:fill="CCEEFF" w:val="clear"/>
            <w:vAlign w:val="bottom"/>
          </w:tcPr>
          <w:p>
            <w:pPr>
              <w:pStyle w:val="TableContents"/>
              <w:spacing w:before="0" w:after="283"/>
              <w:jc w:val="right"/>
              <w:rPr/>
            </w:pPr>
            <w:r>
              <w:rPr/>
              <w:t>52</w:t>
            </w:r>
          </w:p>
        </w:tc>
        <w:tc>
          <w:tcPr>
            <w:tcW w:w="151"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w:t>
            </w:r>
          </w:p>
        </w:tc>
        <w:tc>
          <w:tcPr>
            <w:tcW w:w="739" w:type="dxa"/>
            <w:tcBorders/>
            <w:shd w:fill="CCEEFF" w:val="clear"/>
            <w:vAlign w:val="bottom"/>
          </w:tcPr>
          <w:p>
            <w:pPr>
              <w:pStyle w:val="TableContents"/>
              <w:spacing w:before="0" w:after="283"/>
              <w:jc w:val="right"/>
              <w:rPr/>
            </w:pPr>
            <w:r>
              <w:rPr/>
              <w:t>59</w:t>
            </w:r>
          </w:p>
        </w:tc>
        <w:tc>
          <w:tcPr>
            <w:tcW w:w="133"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921" w:type="dxa"/>
            <w:tcBorders/>
            <w:shd w:fill="CCEEFF" w:val="clear"/>
            <w:vAlign w:val="bottom"/>
          </w:tcPr>
          <w:p>
            <w:pPr>
              <w:pStyle w:val="TableContents"/>
              <w:spacing w:before="0" w:after="283"/>
              <w:jc w:val="right"/>
              <w:rPr/>
            </w:pPr>
            <w:r>
              <w:rPr/>
              <w:t>21</w:t>
            </w:r>
          </w:p>
        </w:tc>
        <w:tc>
          <w:tcPr>
            <w:tcW w:w="189"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924" w:type="dxa"/>
            <w:tcBorders/>
            <w:shd w:fill="CCEEFF" w:val="clear"/>
            <w:vAlign w:val="bottom"/>
          </w:tcPr>
          <w:p>
            <w:pPr>
              <w:pStyle w:val="TableContents"/>
              <w:spacing w:before="0" w:after="283"/>
              <w:jc w:val="right"/>
              <w:rPr/>
            </w:pPr>
            <w:r>
              <w:rPr/>
              <w:t>20</w:t>
            </w:r>
          </w:p>
        </w:tc>
        <w:tc>
          <w:tcPr>
            <w:tcW w:w="143" w:type="dxa"/>
            <w:tcBorders/>
            <w:shd w:fill="CCEEFF" w:val="clear"/>
            <w:vAlign w:val="bottom"/>
          </w:tcPr>
          <w:p>
            <w:pPr>
              <w:pStyle w:val="TableContents"/>
              <w:spacing w:before="0" w:after="283"/>
              <w:rPr/>
            </w:pPr>
            <w:r>
              <w:rPr/>
              <w:t> </w:t>
            </w:r>
          </w:p>
        </w:tc>
      </w:tr>
      <w:tr>
        <w:trPr/>
        <w:tc>
          <w:tcPr>
            <w:tcW w:w="3942" w:type="dxa"/>
            <w:tcBorders/>
            <w:shd w:fill="auto" w:val="clear"/>
            <w:vAlign w:val="bottom"/>
          </w:tcPr>
          <w:p>
            <w:pPr>
              <w:pStyle w:val="TableContents"/>
              <w:spacing w:before="0" w:after="0"/>
              <w:ind w:left="225" w:right="0" w:hanging="225"/>
              <w:rPr/>
            </w:pPr>
            <w:r>
              <w:rPr/>
              <w:t>Interest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pPr>
            <w:r>
              <w:rPr/>
              <w:t>280</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284</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jc w:val="right"/>
              <w:rPr/>
            </w:pPr>
            <w:r>
              <w:rPr/>
              <w:t>322</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24" w:type="dxa"/>
            <w:tcBorders/>
            <w:shd w:fill="auto" w:val="clear"/>
            <w:vAlign w:val="bottom"/>
          </w:tcPr>
          <w:p>
            <w:pPr>
              <w:pStyle w:val="TableContents"/>
              <w:spacing w:before="0" w:after="283"/>
              <w:jc w:val="right"/>
              <w:rPr/>
            </w:pPr>
            <w:r>
              <w:rPr/>
              <w:t>358</w:t>
            </w:r>
          </w:p>
        </w:tc>
        <w:tc>
          <w:tcPr>
            <w:tcW w:w="143" w:type="dxa"/>
            <w:tcBorders/>
            <w:shd w:fill="auto" w:val="clear"/>
            <w:vAlign w:val="bottom"/>
          </w:tcPr>
          <w:p>
            <w:pPr>
              <w:pStyle w:val="TableContents"/>
              <w:spacing w:before="0" w:after="283"/>
              <w:rPr/>
            </w:pPr>
            <w:r>
              <w:rPr/>
              <w:t> </w:t>
            </w:r>
          </w:p>
        </w:tc>
      </w:tr>
      <w:tr>
        <w:trPr/>
        <w:tc>
          <w:tcPr>
            <w:tcW w:w="3942" w:type="dxa"/>
            <w:tcBorders/>
            <w:shd w:fill="CCEEFF" w:val="clear"/>
            <w:vAlign w:val="bottom"/>
          </w:tcPr>
          <w:p>
            <w:pPr>
              <w:pStyle w:val="TableContents"/>
              <w:spacing w:before="0" w:after="0"/>
              <w:ind w:left="225" w:right="0" w:hanging="225"/>
              <w:rPr/>
            </w:pPr>
            <w:r>
              <w:rPr/>
              <w:t>Expected return on plan assets</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 </w:t>
            </w:r>
          </w:p>
        </w:tc>
        <w:tc>
          <w:tcPr>
            <w:tcW w:w="738" w:type="dxa"/>
            <w:tcBorders/>
            <w:shd w:fill="CCEEFF" w:val="clear"/>
            <w:vAlign w:val="bottom"/>
          </w:tcPr>
          <w:p>
            <w:pPr>
              <w:pStyle w:val="TableContents"/>
              <w:spacing w:before="0" w:after="283"/>
              <w:jc w:val="right"/>
              <w:rPr/>
            </w:pPr>
            <w:r>
              <w:rPr/>
              <w:t>(199</w:t>
            </w:r>
          </w:p>
        </w:tc>
        <w:tc>
          <w:tcPr>
            <w:tcW w:w="151"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 </w:t>
            </w:r>
          </w:p>
        </w:tc>
        <w:tc>
          <w:tcPr>
            <w:tcW w:w="739" w:type="dxa"/>
            <w:tcBorders/>
            <w:shd w:fill="CCEEFF" w:val="clear"/>
            <w:vAlign w:val="bottom"/>
          </w:tcPr>
          <w:p>
            <w:pPr>
              <w:pStyle w:val="TableContents"/>
              <w:spacing w:before="0" w:after="283"/>
              <w:jc w:val="right"/>
              <w:rPr/>
            </w:pPr>
            <w:r>
              <w:rPr/>
              <w:t>(217</w:t>
            </w:r>
          </w:p>
        </w:tc>
        <w:tc>
          <w:tcPr>
            <w:tcW w:w="133" w:type="dxa"/>
            <w:tcBorders/>
            <w:shd w:fill="CCEEFF" w:val="clear"/>
            <w:vAlign w:val="bottom"/>
          </w:tcPr>
          <w:p>
            <w:pPr>
              <w:pStyle w:val="TableContents"/>
              <w:spacing w:before="0" w:after="283"/>
              <w:rPr/>
            </w:pPr>
            <w:r>
              <w:rPr/>
              <w:t>)</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 </w:t>
            </w:r>
          </w:p>
        </w:tc>
        <w:tc>
          <w:tcPr>
            <w:tcW w:w="921" w:type="dxa"/>
            <w:tcBorders/>
            <w:shd w:fill="CCEEFF" w:val="clear"/>
            <w:vAlign w:val="bottom"/>
          </w:tcPr>
          <w:p>
            <w:pPr>
              <w:pStyle w:val="TableContents"/>
              <w:spacing w:before="0" w:after="283"/>
              <w:jc w:val="right"/>
              <w:rPr/>
            </w:pPr>
            <w:r>
              <w:rPr/>
              <w:t>(71</w:t>
            </w:r>
          </w:p>
        </w:tc>
        <w:tc>
          <w:tcPr>
            <w:tcW w:w="189" w:type="dxa"/>
            <w:tcBorders/>
            <w:shd w:fill="CCEEFF" w:val="clear"/>
            <w:vAlign w:val="bottom"/>
          </w:tcPr>
          <w:p>
            <w:pPr>
              <w:pStyle w:val="TableContents"/>
              <w:spacing w:before="0" w:after="283"/>
              <w:rPr/>
            </w:pPr>
            <w:r>
              <w:rPr/>
              <w:t>)</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924" w:type="dxa"/>
            <w:tcBorders/>
            <w:shd w:fill="CCEEFF" w:val="clear"/>
            <w:vAlign w:val="bottom"/>
          </w:tcPr>
          <w:p>
            <w:pPr>
              <w:pStyle w:val="TableContents"/>
              <w:spacing w:before="0" w:after="283"/>
              <w:jc w:val="right"/>
              <w:rPr/>
            </w:pPr>
            <w:r>
              <w:rPr/>
              <w:t>(75</w:t>
            </w:r>
          </w:p>
        </w:tc>
        <w:tc>
          <w:tcPr>
            <w:tcW w:w="143" w:type="dxa"/>
            <w:tcBorders/>
            <w:shd w:fill="CCEEFF" w:val="clear"/>
            <w:vAlign w:val="bottom"/>
          </w:tcPr>
          <w:p>
            <w:pPr>
              <w:pStyle w:val="TableContents"/>
              <w:spacing w:before="0" w:after="283"/>
              <w:rPr/>
            </w:pPr>
            <w:r>
              <w:rPr/>
              <w:t>)</w:t>
            </w:r>
          </w:p>
        </w:tc>
      </w:tr>
      <w:tr>
        <w:trPr/>
        <w:tc>
          <w:tcPr>
            <w:tcW w:w="3942" w:type="dxa"/>
            <w:tcBorders/>
            <w:shd w:fill="auto" w:val="clear"/>
            <w:vAlign w:val="bottom"/>
          </w:tcPr>
          <w:p>
            <w:pPr>
              <w:pStyle w:val="TableContents"/>
              <w:spacing w:before="0" w:after="0"/>
              <w:ind w:left="225" w:right="0" w:hanging="225"/>
              <w:rPr/>
            </w:pPr>
            <w:r>
              <w:rPr/>
              <w:t>Amortization of prior service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pPr>
            <w:r>
              <w:rPr/>
              <w:t>52</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52</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 </w:t>
            </w:r>
          </w:p>
        </w:tc>
        <w:tc>
          <w:tcPr>
            <w:tcW w:w="921" w:type="dxa"/>
            <w:tcBorders/>
            <w:shd w:fill="auto" w:val="clear"/>
            <w:vAlign w:val="bottom"/>
          </w:tcPr>
          <w:p>
            <w:pPr>
              <w:pStyle w:val="TableContents"/>
              <w:spacing w:before="0" w:after="283"/>
              <w:jc w:val="right"/>
              <w:rPr/>
            </w:pPr>
            <w:r>
              <w:rPr/>
              <w:t>(290</w:t>
            </w:r>
          </w:p>
        </w:tc>
        <w:tc>
          <w:tcPr>
            <w:tcW w:w="189" w:type="dxa"/>
            <w:tcBorders/>
            <w:shd w:fill="auto" w:val="clear"/>
            <w:vAlign w:val="bottom"/>
          </w:tcPr>
          <w:p>
            <w:pPr>
              <w:pStyle w:val="TableContents"/>
              <w:spacing w:before="0" w:after="283"/>
              <w:rPr/>
            </w:pPr>
            <w:r>
              <w:rPr/>
              <w:t>)</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924" w:type="dxa"/>
            <w:tcBorders/>
            <w:shd w:fill="auto" w:val="clear"/>
            <w:vAlign w:val="bottom"/>
          </w:tcPr>
          <w:p>
            <w:pPr>
              <w:pStyle w:val="TableContents"/>
              <w:spacing w:before="0" w:after="283"/>
              <w:jc w:val="right"/>
              <w:rPr/>
            </w:pPr>
            <w:r>
              <w:rPr/>
              <w:t>(267</w:t>
            </w:r>
          </w:p>
        </w:tc>
        <w:tc>
          <w:tcPr>
            <w:tcW w:w="143" w:type="dxa"/>
            <w:tcBorders/>
            <w:shd w:fill="auto" w:val="clear"/>
            <w:vAlign w:val="bottom"/>
          </w:tcPr>
          <w:p>
            <w:pPr>
              <w:pStyle w:val="TableContents"/>
              <w:spacing w:before="0" w:after="283"/>
              <w:rPr/>
            </w:pPr>
            <w:r>
              <w:rPr/>
              <w:t>)</w:t>
            </w:r>
          </w:p>
        </w:tc>
      </w:tr>
      <w:tr>
        <w:trPr/>
        <w:tc>
          <w:tcPr>
            <w:tcW w:w="3942" w:type="dxa"/>
            <w:tcBorders/>
            <w:shd w:fill="CCEEFF" w:val="clear"/>
            <w:vAlign w:val="bottom"/>
          </w:tcPr>
          <w:p>
            <w:pPr>
              <w:pStyle w:val="TableContents"/>
              <w:spacing w:before="0" w:after="0"/>
              <w:ind w:left="225" w:right="0" w:hanging="225"/>
              <w:rPr/>
            </w:pPr>
            <w:r>
              <w:rPr/>
              <w:t>Recognized net actuarial loss</w:t>
            </w:r>
          </w:p>
        </w:tc>
        <w:tc>
          <w:tcPr>
            <w:tcW w:w="34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38" w:type="dxa"/>
            <w:tcBorders/>
            <w:shd w:fill="CCEEFF" w:val="clear"/>
            <w:vAlign w:val="bottom"/>
          </w:tcPr>
          <w:p>
            <w:pPr>
              <w:pStyle w:val="TableContents"/>
              <w:spacing w:before="0" w:after="283"/>
              <w:jc w:val="right"/>
              <w:rPr/>
            </w:pPr>
            <w:r>
              <w:rPr/>
              <w:t>120</w:t>
            </w:r>
          </w:p>
        </w:tc>
        <w:tc>
          <w:tcPr>
            <w:tcW w:w="151"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pPr>
            <w:r>
              <w:rPr/>
              <w:t>84</w:t>
            </w:r>
          </w:p>
        </w:tc>
        <w:tc>
          <w:tcPr>
            <w:tcW w:w="133"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921" w:type="dxa"/>
            <w:tcBorders/>
            <w:shd w:fill="CCEEFF" w:val="clear"/>
            <w:vAlign w:val="bottom"/>
          </w:tcPr>
          <w:p>
            <w:pPr>
              <w:pStyle w:val="TableContents"/>
              <w:spacing w:before="0" w:after="283"/>
              <w:jc w:val="right"/>
              <w:rPr/>
            </w:pPr>
            <w:r>
              <w:rPr/>
              <w:t>145</w:t>
            </w:r>
          </w:p>
        </w:tc>
        <w:tc>
          <w:tcPr>
            <w:tcW w:w="189"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924" w:type="dxa"/>
            <w:tcBorders/>
            <w:shd w:fill="CCEEFF" w:val="clear"/>
            <w:vAlign w:val="bottom"/>
          </w:tcPr>
          <w:p>
            <w:pPr>
              <w:pStyle w:val="TableContents"/>
              <w:spacing w:before="0" w:after="283"/>
              <w:jc w:val="right"/>
              <w:rPr/>
            </w:pPr>
            <w:r>
              <w:rPr/>
              <w:t>173</w:t>
            </w:r>
          </w:p>
        </w:tc>
        <w:tc>
          <w:tcPr>
            <w:tcW w:w="143" w:type="dxa"/>
            <w:tcBorders/>
            <w:shd w:fill="CCEEFF" w:val="clear"/>
            <w:vAlign w:val="bottom"/>
          </w:tcPr>
          <w:p>
            <w:pPr>
              <w:pStyle w:val="TableContents"/>
              <w:spacing w:before="0" w:after="283"/>
              <w:rPr/>
            </w:pPr>
            <w:r>
              <w:rPr/>
              <w:t> </w:t>
            </w:r>
          </w:p>
        </w:tc>
      </w:tr>
      <w:tr>
        <w:trPr/>
        <w:tc>
          <w:tcPr>
            <w:tcW w:w="3942" w:type="dxa"/>
            <w:tcBorders/>
            <w:shd w:fill="auto" w:val="clear"/>
            <w:vAlign w:val="center"/>
          </w:tcPr>
          <w:p>
            <w:pPr>
              <w:pStyle w:val="TableContents"/>
              <w:spacing w:before="0" w:after="0"/>
              <w:ind w:left="225" w:right="0" w:hanging="225"/>
              <w:rPr/>
            </w:pPr>
            <w:r>
              <w:rPr/>
              <w:t> </w:t>
            </w:r>
          </w:p>
        </w:tc>
        <w:tc>
          <w:tcPr>
            <w:tcW w:w="348" w:type="dxa"/>
            <w:tcBorders/>
            <w:shd w:fill="auto" w:val="clear"/>
            <w:vAlign w:val="center"/>
          </w:tcPr>
          <w:p>
            <w:pPr>
              <w:pStyle w:val="TableContents"/>
              <w:spacing w:before="0" w:after="283"/>
              <w:rPr/>
            </w:pPr>
            <w:r>
              <w:rPr/>
              <w:t> </w:t>
            </w:r>
          </w:p>
        </w:tc>
        <w:tc>
          <w:tcPr>
            <w:tcW w:w="9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9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11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9"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1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3942" w:type="dxa"/>
            <w:tcBorders/>
            <w:shd w:fill="auto" w:val="clear"/>
            <w:vAlign w:val="bottom"/>
          </w:tcPr>
          <w:p>
            <w:pPr>
              <w:pStyle w:val="TableContents"/>
              <w:spacing w:before="0" w:after="0"/>
              <w:ind w:left="225" w:right="0" w:hanging="225"/>
              <w:rPr/>
            </w:pPr>
            <w:r>
              <w:rPr/>
              <w:t>Net periodic benefit cost</w:t>
            </w:r>
          </w:p>
        </w:tc>
        <w:tc>
          <w:tcPr>
            <w:tcW w:w="348"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jc w:val="left"/>
              <w:rPr/>
            </w:pPr>
            <w:r>
              <w:rPr/>
              <w:t>$</w:t>
            </w:r>
          </w:p>
        </w:tc>
        <w:tc>
          <w:tcPr>
            <w:tcW w:w="738" w:type="dxa"/>
            <w:tcBorders/>
            <w:shd w:fill="auto" w:val="clear"/>
            <w:vAlign w:val="bottom"/>
          </w:tcPr>
          <w:p>
            <w:pPr>
              <w:pStyle w:val="TableContents"/>
              <w:spacing w:before="0" w:after="283"/>
              <w:jc w:val="right"/>
              <w:rPr/>
            </w:pPr>
            <w:r>
              <w:rPr/>
              <w:t>305</w:t>
            </w:r>
          </w:p>
        </w:tc>
        <w:tc>
          <w:tcPr>
            <w:tcW w:w="151"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jc w:val="left"/>
              <w:rPr/>
            </w:pPr>
            <w:r>
              <w:rPr/>
              <w:t>$</w:t>
            </w:r>
          </w:p>
        </w:tc>
        <w:tc>
          <w:tcPr>
            <w:tcW w:w="739" w:type="dxa"/>
            <w:tcBorders/>
            <w:shd w:fill="auto" w:val="clear"/>
            <w:vAlign w:val="bottom"/>
          </w:tcPr>
          <w:p>
            <w:pPr>
              <w:pStyle w:val="TableContents"/>
              <w:spacing w:before="0" w:after="283"/>
              <w:jc w:val="right"/>
              <w:rPr/>
            </w:pPr>
            <w:r>
              <w:rPr/>
              <w:t>262</w:t>
            </w:r>
          </w:p>
        </w:tc>
        <w:tc>
          <w:tcPr>
            <w:tcW w:w="133"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w:t>
            </w:r>
          </w:p>
        </w:tc>
        <w:tc>
          <w:tcPr>
            <w:tcW w:w="921" w:type="dxa"/>
            <w:tcBorders/>
            <w:shd w:fill="auto" w:val="clear"/>
            <w:vAlign w:val="bottom"/>
          </w:tcPr>
          <w:p>
            <w:pPr>
              <w:pStyle w:val="TableContents"/>
              <w:spacing w:before="0" w:after="283"/>
              <w:jc w:val="right"/>
              <w:rPr/>
            </w:pPr>
            <w:r>
              <w:rPr/>
              <w:t>127</w:t>
            </w:r>
          </w:p>
        </w:tc>
        <w:tc>
          <w:tcPr>
            <w:tcW w:w="189"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924" w:type="dxa"/>
            <w:tcBorders/>
            <w:shd w:fill="auto" w:val="clear"/>
            <w:vAlign w:val="bottom"/>
          </w:tcPr>
          <w:p>
            <w:pPr>
              <w:pStyle w:val="TableContents"/>
              <w:spacing w:before="0" w:after="283"/>
              <w:jc w:val="right"/>
              <w:rPr/>
            </w:pPr>
            <w:r>
              <w:rPr/>
              <w:t>209</w:t>
            </w:r>
          </w:p>
        </w:tc>
        <w:tc>
          <w:tcPr>
            <w:tcW w:w="143" w:type="dxa"/>
            <w:tcBorders/>
            <w:shd w:fill="auto" w:val="clear"/>
            <w:vAlign w:val="bottom"/>
          </w:tcPr>
          <w:p>
            <w:pPr>
              <w:pStyle w:val="TableContents"/>
              <w:spacing w:before="0" w:after="283"/>
              <w:rPr/>
            </w:pPr>
            <w:r>
              <w:rPr/>
              <w:t> </w:t>
            </w:r>
          </w:p>
        </w:tc>
      </w:tr>
      <w:tr>
        <w:trPr/>
        <w:tc>
          <w:tcPr>
            <w:tcW w:w="3942" w:type="dxa"/>
            <w:tcBorders/>
            <w:shd w:fill="auto" w:val="clear"/>
            <w:vAlign w:val="center"/>
          </w:tcPr>
          <w:p>
            <w:pPr>
              <w:pStyle w:val="TableContents"/>
              <w:spacing w:before="0" w:after="0"/>
              <w:ind w:left="225" w:right="0" w:hanging="225"/>
              <w:rPr/>
            </w:pPr>
            <w:r>
              <w:rPr/>
              <w:t> </w:t>
            </w:r>
          </w:p>
        </w:tc>
        <w:tc>
          <w:tcPr>
            <w:tcW w:w="348" w:type="dxa"/>
            <w:tcBorders/>
            <w:shd w:fill="auto" w:val="clear"/>
            <w:vAlign w:val="center"/>
          </w:tcPr>
          <w:p>
            <w:pPr>
              <w:pStyle w:val="TableContents"/>
              <w:spacing w:before="0" w:after="283"/>
              <w:rPr/>
            </w:pPr>
            <w:r>
              <w:rPr/>
              <w:t> </w:t>
            </w:r>
          </w:p>
        </w:tc>
        <w:tc>
          <w:tcPr>
            <w:tcW w:w="9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9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11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9"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1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Viad expects to contribute approximately $547,000 to its unfunded pension plans and approximately $600,000 to its other postretirement benefit plans in 2006. Viad is not required to contribute to its funded pension plans in 2006. As of March 31, 2006, Viad has contributed $135,000 to its unfunded pension plans and $137,000 to its other postretirement benefit plans.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13. Restructuring Charges and Recoveries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2004, Viad recorded restructuring charges of $853,000 primarily related to planned employee reductions as a result of the spin-off of MoneyGram (see Note 15). All amounts related to this reserve had been paid as of March 31, 2005 and thus, during the three months ended March 31, 2005, the remaining liability of $43,000 was reversed. Viad recorded an additional charge of $850,000 in 2004 as a result of the consolidation of certain leased office space at its corporate headquarters. Viad revised this estimated future obligation during 2005 and recorded an additional charge of $358,000. As of March 31, 2006, $1.0 million of the liability remained of which $188,000 was included in the consolidated balance sheets under the caption Other current liabilities and $831,000 under the caption Other deferred items and insurance liabilities. </w:t>
      </w:r>
    </w:p>
    <w:p>
      <w:pPr>
        <w:pStyle w:val="TextBody"/>
        <w:spacing w:before="120" w:after="283"/>
        <w:jc w:val="left"/>
        <w:rPr/>
      </w:pPr>
      <w:r>
        <w:rPr/>
        <w:t>     </w:t>
      </w:r>
      <w:r>
        <w:rPr>
          <w:rFonts w:ascii="Times New Roman;Times;serif" w:hAnsi="Times New Roman;Times;serif"/>
          <w:sz w:val="17"/>
        </w:rPr>
        <w:t xml:space="preserve">In 2002, Viad approved a restructuring plan related to Exhibitgroup and recorded a charge totaling $20.5 million. The charge consisted of costs associated with the closure and consolidation of certain facilities, severance and other employee benefits and included a provision for the write-down (net of estimated proceeds) of certain inventories and fixed assets, facility closure and lease termination costs (less estimated sublease income) and other exit costs. During the three months ended March 31, 2005, $247,000 of the reserve was reversed as certain costs originally anticipated in the restructuring plan were ultimately not expected to be incurred. As of March 31, 2006, there was a remaining liability of $1.5 million (comprised solely of future lease payment obligations), of which $322,000 and $1.2 million were included in the consolidated balance sheets under the captions Other current liabilities and Other deferred items and insurance liabilities, respectively. Viad had substantially completed the restructuring activities by December 31, 2003; however, payments due under the long-term lease obligations will continue to be made over the remaining terms of the lease agreements. </w:t>
      </w:r>
    </w:p>
    <w:p>
      <w:pPr>
        <w:pStyle w:val="TextBody"/>
        <w:spacing w:before="120" w:after="283"/>
        <w:jc w:val="left"/>
        <w:rPr/>
      </w:pPr>
      <w:r>
        <w:rPr/>
        <w:t>     </w:t>
      </w:r>
      <w:r>
        <w:rPr>
          <w:rFonts w:ascii="Times New Roman;Times;serif" w:hAnsi="Times New Roman;Times;serif"/>
          <w:sz w:val="17"/>
        </w:rPr>
        <w:t xml:space="preserve">In 2001, Viad approved a plan of restructuring and recorded a charge totaling $65.1 million of which $13.6 million related to GES, $47.9 million related to Exhibitgroup and $3.6 million related to corporate activities. The restructuring charge was associated with the closure and consolidation of certain facilities, severance and other employee benefits. All facilities were closed or consolidated and all positions eliminated as of December 31, 2002. During the three months ended March 31, 2006, $18,000 of the reserve was reversed. As of March 31, 2006, a liability remained of $8.7 million (comprised solely of future lease payment obligations), of which $1.4 million and $7.3 million were included in the consolidated balance sheets under the captions Other </w:t>
      </w:r>
    </w:p>
    <w:p>
      <w:pPr>
        <w:pStyle w:val="TextBody"/>
        <w:jc w:val="center"/>
        <w:rPr>
          <w:rFonts w:ascii="Times New Roman;Times;serif" w:hAnsi="Times New Roman;Times;serif"/>
          <w:sz w:val="17"/>
        </w:rPr>
      </w:pPr>
      <w:r>
        <w:rPr>
          <w:rFonts w:ascii="Times New Roman;Times;serif" w:hAnsi="Times New Roman;Times;serif"/>
          <w:sz w:val="17"/>
        </w:rPr>
        <w:t xml:space="preserve">Page 13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current liabilities and Other deferred items and insurance liabilities, respectively. Payments due under the long-term lease obligations will continue to be made over the remaining terms of the lease agreements. </w:t>
      </w:r>
    </w:p>
    <w:p>
      <w:pPr>
        <w:pStyle w:val="TextBody"/>
        <w:spacing w:before="120" w:after="283"/>
        <w:jc w:val="left"/>
        <w:rPr/>
      </w:pPr>
      <w:r>
        <w:rPr/>
        <w:t>     </w:t>
      </w:r>
      <w:r>
        <w:rPr>
          <w:rFonts w:ascii="Times New Roman;Times;serif" w:hAnsi="Times New Roman;Times;serif"/>
          <w:sz w:val="17"/>
        </w:rPr>
        <w:t xml:space="preserve">A summary of the changes in the 2002 and 2001 restructuring charge liability balances as of March 31, 2006 is as follows: </w:t>
      </w:r>
    </w:p>
    <w:tbl>
      <w:tblPr>
        <w:tblW w:w="5000" w:type="pct"/>
        <w:jc w:val="center"/>
        <w:tblInd w:w="0" w:type="dxa"/>
        <w:tblCellMar>
          <w:top w:w="0" w:type="dxa"/>
          <w:left w:w="0" w:type="dxa"/>
          <w:bottom w:w="0" w:type="dxa"/>
          <w:right w:w="0" w:type="dxa"/>
        </w:tblCellMar>
      </w:tblPr>
      <w:tblGrid>
        <w:gridCol w:w="4668"/>
        <w:gridCol w:w="357"/>
        <w:gridCol w:w="290"/>
        <w:gridCol w:w="1225"/>
        <w:gridCol w:w="137"/>
        <w:gridCol w:w="357"/>
        <w:gridCol w:w="290"/>
        <w:gridCol w:w="1225"/>
        <w:gridCol w:w="137"/>
        <w:gridCol w:w="357"/>
        <w:gridCol w:w="171"/>
        <w:gridCol w:w="848"/>
        <w:gridCol w:w="143"/>
      </w:tblGrid>
      <w:tr>
        <w:trPr/>
        <w:tc>
          <w:tcPr>
            <w:tcW w:w="466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2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848"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466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515" w:type="dxa"/>
            <w:gridSpan w:val="2"/>
            <w:tcBorders/>
            <w:shd w:fill="auto" w:val="clear"/>
            <w:vAlign w:val="bottom"/>
          </w:tcPr>
          <w:p>
            <w:pPr>
              <w:pStyle w:val="TableContents"/>
              <w:spacing w:before="0" w:after="283"/>
              <w:jc w:val="center"/>
              <w:rPr>
                <w:b/>
              </w:rPr>
            </w:pPr>
            <w:r>
              <w:rPr>
                <w:b/>
              </w:rPr>
              <w:t>2002</w:t>
            </w:r>
          </w:p>
        </w:tc>
        <w:tc>
          <w:tcPr>
            <w:tcW w:w="137"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515" w:type="dxa"/>
            <w:gridSpan w:val="2"/>
            <w:tcBorders/>
            <w:shd w:fill="auto" w:val="clear"/>
            <w:vAlign w:val="bottom"/>
          </w:tcPr>
          <w:p>
            <w:pPr>
              <w:pStyle w:val="TableContents"/>
              <w:spacing w:before="0" w:after="283"/>
              <w:jc w:val="center"/>
              <w:rPr>
                <w:b/>
              </w:rPr>
            </w:pPr>
            <w:r>
              <w:rPr>
                <w:b/>
              </w:rPr>
              <w:t>2001</w:t>
            </w:r>
          </w:p>
        </w:tc>
        <w:tc>
          <w:tcPr>
            <w:tcW w:w="137"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019" w:type="dxa"/>
            <w:gridSpan w:val="2"/>
            <w:tcBorders/>
            <w:shd w:fill="auto" w:val="clear"/>
            <w:vAlign w:val="bottom"/>
          </w:tcPr>
          <w:p>
            <w:pPr>
              <w:pStyle w:val="TableContents"/>
              <w:spacing w:before="0" w:after="283"/>
              <w:jc w:val="center"/>
              <w:rPr/>
            </w:pPr>
            <w:r>
              <w:rPr/>
              <w:t> </w:t>
            </w:r>
          </w:p>
        </w:tc>
        <w:tc>
          <w:tcPr>
            <w:tcW w:w="143" w:type="dxa"/>
            <w:tcBorders/>
            <w:shd w:fill="auto" w:val="clear"/>
            <w:vAlign w:val="bottom"/>
          </w:tcPr>
          <w:p>
            <w:pPr>
              <w:pStyle w:val="TableContents"/>
              <w:spacing w:before="0" w:after="283"/>
              <w:rPr/>
            </w:pPr>
            <w:r>
              <w:rPr/>
              <w:t> </w:t>
            </w:r>
          </w:p>
        </w:tc>
      </w:tr>
      <w:tr>
        <w:trPr/>
        <w:tc>
          <w:tcPr>
            <w:tcW w:w="466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5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Restructuring</w:t>
            </w:r>
          </w:p>
        </w:tc>
        <w:tc>
          <w:tcPr>
            <w:tcW w:w="137"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5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Restructuring</w:t>
            </w:r>
          </w:p>
        </w:tc>
        <w:tc>
          <w:tcPr>
            <w:tcW w:w="137"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01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c>
          <w:tcPr>
            <w:tcW w:w="143" w:type="dxa"/>
            <w:tcBorders/>
            <w:shd w:fill="auto" w:val="clear"/>
            <w:vAlign w:val="bottom"/>
          </w:tcPr>
          <w:p>
            <w:pPr>
              <w:pStyle w:val="TableContents"/>
              <w:spacing w:before="0" w:after="283"/>
              <w:rPr/>
            </w:pPr>
            <w:r>
              <w:rPr/>
              <w:t> </w:t>
            </w:r>
          </w:p>
        </w:tc>
      </w:tr>
      <w:tr>
        <w:trPr/>
        <w:tc>
          <w:tcPr>
            <w:tcW w:w="466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5037" w:type="dxa"/>
            <w:gridSpan w:val="10"/>
            <w:tcBorders/>
            <w:shd w:fill="auto" w:val="clear"/>
            <w:vAlign w:val="bottom"/>
          </w:tcPr>
          <w:p>
            <w:pPr>
              <w:pStyle w:val="TableContents"/>
              <w:spacing w:before="0" w:after="283"/>
              <w:jc w:val="center"/>
              <w:rPr>
                <w:b/>
              </w:rPr>
            </w:pPr>
            <w:r>
              <w:rPr>
                <w:b/>
              </w:rPr>
              <w:t>(in thousands)</w:t>
            </w:r>
          </w:p>
        </w:tc>
        <w:tc>
          <w:tcPr>
            <w:tcW w:w="143" w:type="dxa"/>
            <w:tcBorders/>
            <w:shd w:fill="auto" w:val="clear"/>
            <w:vAlign w:val="bottom"/>
          </w:tcPr>
          <w:p>
            <w:pPr>
              <w:pStyle w:val="TableContents"/>
              <w:spacing w:before="0" w:after="283"/>
              <w:rPr/>
            </w:pPr>
            <w:r>
              <w:rPr/>
              <w:t> </w:t>
            </w:r>
          </w:p>
        </w:tc>
      </w:tr>
      <w:tr>
        <w:trPr/>
        <w:tc>
          <w:tcPr>
            <w:tcW w:w="4668" w:type="dxa"/>
            <w:tcBorders/>
            <w:shd w:fill="CCEEFF" w:val="clear"/>
            <w:vAlign w:val="bottom"/>
          </w:tcPr>
          <w:p>
            <w:pPr>
              <w:pStyle w:val="TableContents"/>
              <w:spacing w:before="0" w:after="0"/>
              <w:ind w:left="225" w:right="0" w:hanging="225"/>
              <w:rPr/>
            </w:pPr>
            <w:r>
              <w:rPr/>
              <w:t>Balance at January 1, 2006</w:t>
            </w:r>
          </w:p>
        </w:tc>
        <w:tc>
          <w:tcPr>
            <w:tcW w:w="357"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left"/>
              <w:rPr/>
            </w:pPr>
            <w:r>
              <w:rPr/>
              <w:t>$</w:t>
            </w:r>
          </w:p>
        </w:tc>
        <w:tc>
          <w:tcPr>
            <w:tcW w:w="1225" w:type="dxa"/>
            <w:tcBorders/>
            <w:shd w:fill="CCEEFF" w:val="clear"/>
            <w:vAlign w:val="bottom"/>
          </w:tcPr>
          <w:p>
            <w:pPr>
              <w:pStyle w:val="TableContents"/>
              <w:spacing w:before="0" w:after="283"/>
              <w:jc w:val="right"/>
              <w:rPr/>
            </w:pPr>
            <w:r>
              <w:rPr/>
              <w:t>1,574</w:t>
            </w:r>
          </w:p>
        </w:tc>
        <w:tc>
          <w:tcPr>
            <w:tcW w:w="137"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left"/>
              <w:rPr/>
            </w:pPr>
            <w:r>
              <w:rPr/>
              <w:t>$</w:t>
            </w:r>
          </w:p>
        </w:tc>
        <w:tc>
          <w:tcPr>
            <w:tcW w:w="1225" w:type="dxa"/>
            <w:tcBorders/>
            <w:shd w:fill="CCEEFF" w:val="clear"/>
            <w:vAlign w:val="bottom"/>
          </w:tcPr>
          <w:p>
            <w:pPr>
              <w:pStyle w:val="TableContents"/>
              <w:spacing w:before="0" w:after="283"/>
              <w:jc w:val="right"/>
              <w:rPr/>
            </w:pPr>
            <w:r>
              <w:rPr/>
              <w:t>8,986</w:t>
            </w:r>
          </w:p>
        </w:tc>
        <w:tc>
          <w:tcPr>
            <w:tcW w:w="137"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848" w:type="dxa"/>
            <w:tcBorders/>
            <w:shd w:fill="CCEEFF" w:val="clear"/>
            <w:vAlign w:val="bottom"/>
          </w:tcPr>
          <w:p>
            <w:pPr>
              <w:pStyle w:val="TableContents"/>
              <w:spacing w:before="0" w:after="283"/>
              <w:jc w:val="right"/>
              <w:rPr/>
            </w:pPr>
            <w:r>
              <w:rPr/>
              <w:t>10,560</w:t>
            </w:r>
          </w:p>
        </w:tc>
        <w:tc>
          <w:tcPr>
            <w:tcW w:w="143" w:type="dxa"/>
            <w:tcBorders/>
            <w:shd w:fill="CCEEFF" w:val="clear"/>
            <w:vAlign w:val="bottom"/>
          </w:tcPr>
          <w:p>
            <w:pPr>
              <w:pStyle w:val="TableContents"/>
              <w:spacing w:before="0" w:after="283"/>
              <w:rPr/>
            </w:pPr>
            <w:r>
              <w:rPr/>
              <w:t> </w:t>
            </w:r>
          </w:p>
        </w:tc>
      </w:tr>
      <w:tr>
        <w:trPr/>
        <w:tc>
          <w:tcPr>
            <w:tcW w:w="4668" w:type="dxa"/>
            <w:tcBorders/>
            <w:shd w:fill="auto" w:val="clear"/>
            <w:vAlign w:val="bottom"/>
          </w:tcPr>
          <w:p>
            <w:pPr>
              <w:pStyle w:val="TableContents"/>
              <w:spacing w:before="0" w:after="0"/>
              <w:ind w:left="225" w:right="0" w:hanging="225"/>
              <w:rPr/>
            </w:pPr>
            <w:r>
              <w:rPr/>
              <w:t>Cash payments</w:t>
            </w:r>
          </w:p>
        </w:tc>
        <w:tc>
          <w:tcPr>
            <w:tcW w:w="35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left"/>
              <w:rPr/>
            </w:pPr>
            <w:r>
              <w:rPr/>
              <w:t> </w:t>
            </w:r>
          </w:p>
        </w:tc>
        <w:tc>
          <w:tcPr>
            <w:tcW w:w="1225" w:type="dxa"/>
            <w:tcBorders/>
            <w:shd w:fill="auto" w:val="clear"/>
            <w:vAlign w:val="bottom"/>
          </w:tcPr>
          <w:p>
            <w:pPr>
              <w:pStyle w:val="TableContents"/>
              <w:spacing w:before="0" w:after="283"/>
              <w:jc w:val="right"/>
              <w:rPr/>
            </w:pPr>
            <w:r>
              <w:rPr/>
              <w:t>(87</w:t>
            </w:r>
          </w:p>
        </w:tc>
        <w:tc>
          <w:tcPr>
            <w:tcW w:w="137" w:type="dxa"/>
            <w:tcBorders/>
            <w:shd w:fill="auto" w:val="clear"/>
            <w:vAlign w:val="bottom"/>
          </w:tcPr>
          <w:p>
            <w:pPr>
              <w:pStyle w:val="TableContents"/>
              <w:spacing w:before="0" w:after="283"/>
              <w:rPr/>
            </w:pPr>
            <w:r>
              <w:rPr/>
              <w:t>)</w:t>
            </w:r>
          </w:p>
        </w:tc>
        <w:tc>
          <w:tcPr>
            <w:tcW w:w="35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left"/>
              <w:rPr/>
            </w:pPr>
            <w:r>
              <w:rPr/>
              <w:t> </w:t>
            </w:r>
          </w:p>
        </w:tc>
        <w:tc>
          <w:tcPr>
            <w:tcW w:w="1225" w:type="dxa"/>
            <w:tcBorders/>
            <w:shd w:fill="auto" w:val="clear"/>
            <w:vAlign w:val="bottom"/>
          </w:tcPr>
          <w:p>
            <w:pPr>
              <w:pStyle w:val="TableContents"/>
              <w:spacing w:before="0" w:after="283"/>
              <w:jc w:val="right"/>
              <w:rPr/>
            </w:pPr>
            <w:r>
              <w:rPr/>
              <w:t>(265</w:t>
            </w:r>
          </w:p>
        </w:tc>
        <w:tc>
          <w:tcPr>
            <w:tcW w:w="137" w:type="dxa"/>
            <w:tcBorders/>
            <w:shd w:fill="auto" w:val="clear"/>
            <w:vAlign w:val="bottom"/>
          </w:tcPr>
          <w:p>
            <w:pPr>
              <w:pStyle w:val="TableContents"/>
              <w:spacing w:before="0" w:after="283"/>
              <w:rPr/>
            </w:pPr>
            <w:r>
              <w:rPr/>
              <w:t>)</w:t>
            </w:r>
          </w:p>
        </w:tc>
        <w:tc>
          <w:tcPr>
            <w:tcW w:w="357"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 </w:t>
            </w:r>
          </w:p>
        </w:tc>
        <w:tc>
          <w:tcPr>
            <w:tcW w:w="848" w:type="dxa"/>
            <w:tcBorders/>
            <w:shd w:fill="auto" w:val="clear"/>
            <w:vAlign w:val="bottom"/>
          </w:tcPr>
          <w:p>
            <w:pPr>
              <w:pStyle w:val="TableContents"/>
              <w:spacing w:before="0" w:after="283"/>
              <w:jc w:val="right"/>
              <w:rPr/>
            </w:pPr>
            <w:r>
              <w:rPr/>
              <w:t>(352</w:t>
            </w:r>
          </w:p>
        </w:tc>
        <w:tc>
          <w:tcPr>
            <w:tcW w:w="143" w:type="dxa"/>
            <w:tcBorders/>
            <w:shd w:fill="auto" w:val="clear"/>
            <w:vAlign w:val="bottom"/>
          </w:tcPr>
          <w:p>
            <w:pPr>
              <w:pStyle w:val="TableContents"/>
              <w:spacing w:before="0" w:after="283"/>
              <w:rPr/>
            </w:pPr>
            <w:r>
              <w:rPr/>
              <w:t>)</w:t>
            </w:r>
          </w:p>
        </w:tc>
      </w:tr>
      <w:tr>
        <w:trPr/>
        <w:tc>
          <w:tcPr>
            <w:tcW w:w="4668" w:type="dxa"/>
            <w:tcBorders/>
            <w:shd w:fill="CCEEFF" w:val="clear"/>
            <w:vAlign w:val="bottom"/>
          </w:tcPr>
          <w:p>
            <w:pPr>
              <w:pStyle w:val="TableContents"/>
              <w:spacing w:before="0" w:after="0"/>
              <w:ind w:left="225" w:right="0" w:hanging="225"/>
              <w:rPr/>
            </w:pPr>
            <w:r>
              <w:rPr/>
              <w:t>Adjustment to liability</w:t>
            </w:r>
          </w:p>
        </w:tc>
        <w:tc>
          <w:tcPr>
            <w:tcW w:w="357"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225" w:type="dxa"/>
            <w:tcBorders/>
            <w:shd w:fill="CCEEFF" w:val="clear"/>
            <w:vAlign w:val="bottom"/>
          </w:tcPr>
          <w:p>
            <w:pPr>
              <w:pStyle w:val="TableContents"/>
              <w:spacing w:before="0" w:after="283"/>
              <w:jc w:val="right"/>
              <w:rPr/>
            </w:pPr>
            <w:r>
              <w:rPr/>
              <w:t></w:t>
            </w:r>
          </w:p>
        </w:tc>
        <w:tc>
          <w:tcPr>
            <w:tcW w:w="137"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left"/>
              <w:rPr/>
            </w:pPr>
            <w:r>
              <w:rPr/>
              <w:t> </w:t>
            </w:r>
          </w:p>
        </w:tc>
        <w:tc>
          <w:tcPr>
            <w:tcW w:w="1225" w:type="dxa"/>
            <w:tcBorders/>
            <w:shd w:fill="CCEEFF" w:val="clear"/>
            <w:vAlign w:val="bottom"/>
          </w:tcPr>
          <w:p>
            <w:pPr>
              <w:pStyle w:val="TableContents"/>
              <w:spacing w:before="0" w:after="283"/>
              <w:jc w:val="right"/>
              <w:rPr/>
            </w:pPr>
            <w:r>
              <w:rPr/>
              <w:t>(18</w:t>
            </w:r>
          </w:p>
        </w:tc>
        <w:tc>
          <w:tcPr>
            <w:tcW w:w="137" w:type="dxa"/>
            <w:tcBorders/>
            <w:shd w:fill="CCEEFF" w:val="clear"/>
            <w:vAlign w:val="bottom"/>
          </w:tcPr>
          <w:p>
            <w:pPr>
              <w:pStyle w:val="TableContents"/>
              <w:spacing w:before="0" w:after="283"/>
              <w:rPr/>
            </w:pPr>
            <w:r>
              <w:rPr/>
              <w:t>)</w:t>
            </w:r>
          </w:p>
        </w:tc>
        <w:tc>
          <w:tcPr>
            <w:tcW w:w="357"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 </w:t>
            </w:r>
          </w:p>
        </w:tc>
        <w:tc>
          <w:tcPr>
            <w:tcW w:w="848" w:type="dxa"/>
            <w:tcBorders/>
            <w:shd w:fill="CCEEFF" w:val="clear"/>
            <w:vAlign w:val="bottom"/>
          </w:tcPr>
          <w:p>
            <w:pPr>
              <w:pStyle w:val="TableContents"/>
              <w:spacing w:before="0" w:after="283"/>
              <w:jc w:val="right"/>
              <w:rPr/>
            </w:pPr>
            <w:r>
              <w:rPr/>
              <w:t>(18</w:t>
            </w:r>
          </w:p>
        </w:tc>
        <w:tc>
          <w:tcPr>
            <w:tcW w:w="143" w:type="dxa"/>
            <w:tcBorders/>
            <w:shd w:fill="CCEEFF" w:val="clear"/>
            <w:vAlign w:val="bottom"/>
          </w:tcPr>
          <w:p>
            <w:pPr>
              <w:pStyle w:val="TableContents"/>
              <w:spacing w:before="0" w:after="283"/>
              <w:rPr/>
            </w:pPr>
            <w:r>
              <w:rPr/>
              <w:t>)</w:t>
            </w:r>
          </w:p>
        </w:tc>
      </w:tr>
      <w:tr>
        <w:trPr/>
        <w:tc>
          <w:tcPr>
            <w:tcW w:w="4668" w:type="dxa"/>
            <w:tcBorders/>
            <w:shd w:fill="auto" w:val="clear"/>
            <w:vAlign w:val="center"/>
          </w:tcPr>
          <w:p>
            <w:pPr>
              <w:pStyle w:val="TableContents"/>
              <w:spacing w:before="0" w:after="0"/>
              <w:ind w:left="225" w:right="0" w:hanging="225"/>
              <w:rPr/>
            </w:pPr>
            <w:r>
              <w:rPr/>
              <w:t> </w:t>
            </w:r>
          </w:p>
        </w:tc>
        <w:tc>
          <w:tcPr>
            <w:tcW w:w="357" w:type="dxa"/>
            <w:tcBorders/>
            <w:shd w:fill="auto" w:val="clear"/>
            <w:vAlign w:val="center"/>
          </w:tcPr>
          <w:p>
            <w:pPr>
              <w:pStyle w:val="TableContents"/>
              <w:spacing w:before="0" w:after="283"/>
              <w:rPr/>
            </w:pPr>
            <w:r>
              <w:rPr/>
              <w:t> </w:t>
            </w:r>
          </w:p>
        </w:tc>
        <w:tc>
          <w:tcPr>
            <w:tcW w:w="15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57" w:type="dxa"/>
            <w:tcBorders/>
            <w:shd w:fill="auto" w:val="clear"/>
            <w:vAlign w:val="center"/>
          </w:tcPr>
          <w:p>
            <w:pPr>
              <w:pStyle w:val="TableContents"/>
              <w:spacing w:before="0" w:after="283"/>
              <w:rPr/>
            </w:pPr>
            <w:r>
              <w:rPr/>
              <w:t> </w:t>
            </w:r>
          </w:p>
        </w:tc>
        <w:tc>
          <w:tcPr>
            <w:tcW w:w="15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57" w:type="dxa"/>
            <w:tcBorders/>
            <w:shd w:fill="auto" w:val="clear"/>
            <w:vAlign w:val="center"/>
          </w:tcPr>
          <w:p>
            <w:pPr>
              <w:pStyle w:val="TableContents"/>
              <w:spacing w:before="0" w:after="283"/>
              <w:rPr/>
            </w:pPr>
            <w:r>
              <w:rPr/>
              <w:t> </w:t>
            </w:r>
          </w:p>
        </w:tc>
        <w:tc>
          <w:tcPr>
            <w:tcW w:w="10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4668" w:type="dxa"/>
            <w:tcBorders/>
            <w:shd w:fill="auto" w:val="clear"/>
            <w:vAlign w:val="bottom"/>
          </w:tcPr>
          <w:p>
            <w:pPr>
              <w:pStyle w:val="TableContents"/>
              <w:spacing w:before="0" w:after="0"/>
              <w:ind w:left="225" w:right="0" w:hanging="225"/>
              <w:rPr/>
            </w:pPr>
            <w:r>
              <w:rPr/>
              <w:t>Balance at March 31, 2006</w:t>
            </w:r>
          </w:p>
        </w:tc>
        <w:tc>
          <w:tcPr>
            <w:tcW w:w="35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left"/>
              <w:rPr/>
            </w:pPr>
            <w:r>
              <w:rPr/>
              <w:t>$</w:t>
            </w:r>
          </w:p>
        </w:tc>
        <w:tc>
          <w:tcPr>
            <w:tcW w:w="1225" w:type="dxa"/>
            <w:tcBorders/>
            <w:shd w:fill="auto" w:val="clear"/>
            <w:vAlign w:val="bottom"/>
          </w:tcPr>
          <w:p>
            <w:pPr>
              <w:pStyle w:val="TableContents"/>
              <w:spacing w:before="0" w:after="283"/>
              <w:jc w:val="right"/>
              <w:rPr/>
            </w:pPr>
            <w:r>
              <w:rPr/>
              <w:t>1,487</w:t>
            </w:r>
          </w:p>
        </w:tc>
        <w:tc>
          <w:tcPr>
            <w:tcW w:w="137"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left"/>
              <w:rPr/>
            </w:pPr>
            <w:r>
              <w:rPr/>
              <w:t>$</w:t>
            </w:r>
          </w:p>
        </w:tc>
        <w:tc>
          <w:tcPr>
            <w:tcW w:w="1225" w:type="dxa"/>
            <w:tcBorders/>
            <w:shd w:fill="auto" w:val="clear"/>
            <w:vAlign w:val="bottom"/>
          </w:tcPr>
          <w:p>
            <w:pPr>
              <w:pStyle w:val="TableContents"/>
              <w:spacing w:before="0" w:after="283"/>
              <w:jc w:val="right"/>
              <w:rPr/>
            </w:pPr>
            <w:r>
              <w:rPr/>
              <w:t>8,703</w:t>
            </w:r>
          </w:p>
        </w:tc>
        <w:tc>
          <w:tcPr>
            <w:tcW w:w="137"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w:t>
            </w:r>
          </w:p>
        </w:tc>
        <w:tc>
          <w:tcPr>
            <w:tcW w:w="848" w:type="dxa"/>
            <w:tcBorders/>
            <w:shd w:fill="auto" w:val="clear"/>
            <w:vAlign w:val="bottom"/>
          </w:tcPr>
          <w:p>
            <w:pPr>
              <w:pStyle w:val="TableContents"/>
              <w:spacing w:before="0" w:after="283"/>
              <w:jc w:val="right"/>
              <w:rPr/>
            </w:pPr>
            <w:r>
              <w:rPr/>
              <w:t>10,190</w:t>
            </w:r>
          </w:p>
        </w:tc>
        <w:tc>
          <w:tcPr>
            <w:tcW w:w="143" w:type="dxa"/>
            <w:tcBorders/>
            <w:shd w:fill="auto" w:val="clear"/>
            <w:vAlign w:val="bottom"/>
          </w:tcPr>
          <w:p>
            <w:pPr>
              <w:pStyle w:val="TableContents"/>
              <w:spacing w:before="0" w:after="283"/>
              <w:rPr/>
            </w:pPr>
            <w:r>
              <w:rPr/>
              <w:t> </w:t>
            </w:r>
          </w:p>
        </w:tc>
      </w:tr>
      <w:tr>
        <w:trPr/>
        <w:tc>
          <w:tcPr>
            <w:tcW w:w="4668" w:type="dxa"/>
            <w:tcBorders/>
            <w:shd w:fill="auto" w:val="clear"/>
            <w:vAlign w:val="center"/>
          </w:tcPr>
          <w:p>
            <w:pPr>
              <w:pStyle w:val="TableContents"/>
              <w:spacing w:before="0" w:after="0"/>
              <w:ind w:left="225" w:right="0" w:hanging="225"/>
              <w:rPr/>
            </w:pPr>
            <w:r>
              <w:rPr/>
              <w:t> </w:t>
            </w:r>
          </w:p>
        </w:tc>
        <w:tc>
          <w:tcPr>
            <w:tcW w:w="357" w:type="dxa"/>
            <w:tcBorders/>
            <w:shd w:fill="auto" w:val="clear"/>
            <w:vAlign w:val="center"/>
          </w:tcPr>
          <w:p>
            <w:pPr>
              <w:pStyle w:val="TableContents"/>
              <w:spacing w:before="0" w:after="283"/>
              <w:rPr/>
            </w:pPr>
            <w:r>
              <w:rPr/>
              <w:t> </w:t>
            </w:r>
          </w:p>
        </w:tc>
        <w:tc>
          <w:tcPr>
            <w:tcW w:w="15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57" w:type="dxa"/>
            <w:tcBorders/>
            <w:shd w:fill="auto" w:val="clear"/>
            <w:vAlign w:val="center"/>
          </w:tcPr>
          <w:p>
            <w:pPr>
              <w:pStyle w:val="TableContents"/>
              <w:spacing w:before="0" w:after="283"/>
              <w:rPr/>
            </w:pPr>
            <w:r>
              <w:rPr/>
              <w:t> </w:t>
            </w:r>
          </w:p>
        </w:tc>
        <w:tc>
          <w:tcPr>
            <w:tcW w:w="15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357"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Note 14. Litigation, Claims and Other Contingencies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and certain of its subsidiaries are plaintiffs or defendants to various actions, proceedings and legal matters including claims and counter-claims. Some of the foregoing involve, or may involve, compensatory, punitive or other damages. Litigation is subject to many uncertainties and it is possible that some of the legal actions, proceedings or claims could be decided against Viad. Although the amount of liability as of March 31, 2006, with respect to certain of these matters is not ascertainable, Viad believes that any resulting liability, after taking into consideration amounts already provided for, including insurance coverage, will not have a material effect on the Companys financial position or results of operations. </w:t>
      </w:r>
    </w:p>
    <w:p>
      <w:pPr>
        <w:pStyle w:val="TextBody"/>
        <w:spacing w:before="120" w:after="283"/>
        <w:jc w:val="left"/>
        <w:rPr/>
      </w:pPr>
      <w:r>
        <w:rPr/>
        <w:t>     </w:t>
      </w:r>
      <w:r>
        <w:rPr>
          <w:rFonts w:ascii="Times New Roman;Times;serif" w:hAnsi="Times New Roman;Times;serif"/>
          <w:sz w:val="17"/>
        </w:rPr>
        <w:t xml:space="preserve">Included in Viads current liabilities are certain retained liabilities of approximately $12 million relating to previously sold operations as the Company anticipates that resolution should occur during 2006. To the extent that Viads cash payments are greater or less than the amount reserved, the difference would be recorded through discontinued operations. </w:t>
      </w:r>
    </w:p>
    <w:p>
      <w:pPr>
        <w:pStyle w:val="TextBody"/>
        <w:spacing w:before="120" w:after="283"/>
        <w:jc w:val="left"/>
        <w:rPr/>
      </w:pPr>
      <w:r>
        <w:rPr/>
        <w:t>     </w:t>
      </w:r>
      <w:r>
        <w:rPr>
          <w:rFonts w:ascii="Times New Roman;Times;serif" w:hAnsi="Times New Roman;Times;serif"/>
          <w:sz w:val="17"/>
        </w:rPr>
        <w:t xml:space="preserve">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its past operations. Although it is a party to certain environmental disputes, Viad believes that any resulting liabilities, after taking into consideration amounts already provided for, including insurance coverage, will not have a material effect on the Companys financial position or results of operations. </w:t>
      </w:r>
    </w:p>
    <w:p>
      <w:pPr>
        <w:pStyle w:val="TextBody"/>
        <w:spacing w:before="120" w:after="283"/>
        <w:jc w:val="left"/>
        <w:rPr/>
      </w:pPr>
      <w:r>
        <w:rPr/>
        <w:t>     </w:t>
      </w:r>
      <w:r>
        <w:rPr>
          <w:rFonts w:ascii="Times New Roman;Times;serif" w:hAnsi="Times New Roman;Times;serif"/>
          <w:sz w:val="17"/>
        </w:rPr>
        <w:t xml:space="preserve">As of March 31, 2006, Viad had certain obligations under guarantees to third parties on behalf of its subsidiaries. These guarantees are not subject to liability recognition in the consolidated financial statements and primarily relate to leased facilities and credit or loan arrangements with banks, entered into by Viads subsidiary operations. The Company would generally be required to make payments to the respective third parties under these guarantees in the event that the related subsidiary could not meet its own payment obligations. The maximum potential amount of future payments that Viad would be required to make under all guarantees existing as of March 31, 2006 would be $32.3 million, of which $31.7 million related to aggregate guarantees on leased facilities and equipment expiring through January 2015. As of March 31, 2006, the aggregate guarantees related to credit or loan arrangements with banks were $536,000 which expire concurrent with the credit or loan arrangement. There are no recourse provisions that would enable Viad to recover from third parties any payments made under the guarantees. Furthermore, there are no collateral or similar arrangements whereby Viad could recover payments. </w:t>
      </w:r>
    </w:p>
    <w:p>
      <w:pPr>
        <w:pStyle w:val="TextBody"/>
        <w:spacing w:before="120" w:after="283"/>
        <w:jc w:val="left"/>
        <w:rPr/>
      </w:pPr>
      <w:r>
        <w:rPr/>
        <w:t>     </w:t>
      </w:r>
      <w:r>
        <w:rPr>
          <w:rFonts w:ascii="Times New Roman;Times;serif" w:hAnsi="Times New Roman;Times;serif"/>
          <w:sz w:val="17"/>
        </w:rPr>
        <w:t xml:space="preserve">Glacier Park operates the concession portion of its business under a 25-year concession contract with the U.S. National Park Service (the Park Service) for Glacier National Park and a 42-year lease with the Canadian Government for Waterton Lakes National Park. Glacier Parks lease with the Canadian Government expires in 2010, with Glacier Park having an option to renew for two additional terms of 42 years each. The concession contract with the Park Service expires in December 2006 as the Park Service exercised its right to extend the contract that was to expire on December 31, 2005 for a one-year period and, in its sole discretion, may extend Glacier Parks concession contract for up to two additional years. At the time the Park Service begins the request for proposal process for the Glacier National Park concession contracts, Glacier Park intends to submit a proposal. Contract terms of 10, 15 or 20 years are possible, with a contract of 15 years being the most likely. Were Glacier Parks contract to expire and a new concessionaire to be selected by the Park Service, Glacier Parks business would consist of the operations at Waterton Lakes National Park and East Glacier, Montana, which are not part of the Park Service concession contract. In such a circumstance, Glacier Park would be entitled to an amount equal to its possessory interest, which generally means the value of the structures acquired or constructed, fixtures installed and improvements made to the concession property at Glacier National Park during the term of the concessions contract, based on the reconstruction cost of a new unit of like kind, less physical depreciation, but not to exceed fair market value. Glacier Park approximated 21 percent of Travel and Recreation Services full year 2005 operating income. </w:t>
      </w:r>
    </w:p>
    <w:p>
      <w:pPr>
        <w:pStyle w:val="TextBody"/>
        <w:jc w:val="center"/>
        <w:rPr>
          <w:rFonts w:ascii="Times New Roman;Times;serif" w:hAnsi="Times New Roman;Times;serif"/>
          <w:sz w:val="17"/>
        </w:rPr>
      </w:pPr>
      <w:r>
        <w:rPr>
          <w:rFonts w:ascii="Times New Roman;Times;serif" w:hAnsi="Times New Roman;Times;serif"/>
          <w:sz w:val="17"/>
        </w:rPr>
        <w:t xml:space="preserve">Page 14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15. Related Party Transactions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June 30, 2004, Viad separated its payment services business from its other businesses by means of a tax-free spin-off. To effect the separation, Travelers Express Company, Inc. became a subsidiary of MoneyGram International, Inc., a newly-formed, wholly-owned subsidiary of Viad, and Viad distributed all of the shares of MoneyGram common stock as a dividend on Viad common stock on the date of the spin-off. Certain members of Viads Board of Directors are also Directors of MoneyGram. The continuing business of Viad is comprised of the businesses of convention show services, exhibit design and construction and travel and recreation services operations, as well as Viads centralized corporate functions located in Phoenix, Arizona. </w:t>
      </w:r>
    </w:p>
    <w:p>
      <w:pPr>
        <w:pStyle w:val="TextBody"/>
        <w:spacing w:before="120" w:after="283"/>
        <w:jc w:val="left"/>
        <w:rPr/>
      </w:pPr>
      <w:r>
        <w:rPr/>
        <w:t>     </w:t>
      </w:r>
      <w:r>
        <w:rPr>
          <w:rFonts w:ascii="Times New Roman;Times;serif" w:hAnsi="Times New Roman;Times;serif"/>
          <w:sz w:val="17"/>
        </w:rPr>
        <w:t xml:space="preserve">As discussed in Note 4 above, in January 2005, Viad sold a 50 percent interest in its corporate aircraft to MoneyGram for $8.6 million in cash. No gain or loss was recorded in connection with the transaction. In accordance with the Joint Ownership Agreement entered into at the time of the transaction, Viad and MoneyGram shared the fixed costs of operating the aircraft and each paid the variable costs depending on the usage by each company. During the three months ended March 31, 2006, Viad received aggregate payments of $158,000 from MoneyGram representing operating cost reimbursements pursuant to the Joint Ownership Agreement. Operating costs reimbursed by MoneyGram were recorded as a reduction of expense under the caption Corporate activities and minority interest in the consolidated statements of operations. In January 2006, Viad sold its remaining 50 percent interest in its corporate aircraft and certain related equipment to MoneyGram for $10.0 million in cash, resulting in a gain of $1.7 million. In conjunction with this sale, the Joint Ownership Agreement was terminated. </w:t>
      </w:r>
    </w:p>
    <w:p>
      <w:pPr>
        <w:pStyle w:val="TextBody"/>
        <w:spacing w:before="120" w:after="283"/>
        <w:jc w:val="left"/>
        <w:rPr/>
      </w:pPr>
      <w:r>
        <w:rPr/>
        <w:t>     </w:t>
      </w:r>
      <w:r>
        <w:rPr>
          <w:rFonts w:ascii="Times New Roman;Times;serif" w:hAnsi="Times New Roman;Times;serif"/>
          <w:sz w:val="17"/>
        </w:rPr>
        <w:t xml:space="preserve">During the three months ended March 31, 2006, Viad received a $146,000 payment from MoneyGram related to the transfer of certain tax credits pursuant to the Tax Sharing Agreement dated June 30, 2004. Additionally, during the three months ended March 31, 2006, Viad received aggregate payments of $164,000 related to certain administrative services provided to MoneyGram pursuant to the Interim Services Agreement dated June 30, 2004. Viad also received net payments of $26,000 from MoneyGram related to insurance and employee benefit related costs. As of March 31, 2006 and December 31, 2005, Viad had amounts receivable from MoneyGram of $45,000 and $319,000, respectively, related to the above activity which are included in the consolidated balance sheets under the caption Accounts Receivable.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16. Segment Information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measures profit and performance of its operations on the basis of segment operating income. Intersegment sales are eliminated in consolidation and intersegment transfers are not significant. Corporate activities include expenses not allocated to operations. Depreciation and amortization are the only significant non-cash items for the reportable segments. Disclosures regarding Viads three reportable segments with reconciliations to consolidated totals for the three months ended March 31 are as follows: </w:t>
      </w:r>
    </w:p>
    <w:tbl>
      <w:tblPr>
        <w:tblW w:w="5000" w:type="pct"/>
        <w:jc w:val="center"/>
        <w:tblInd w:w="0" w:type="dxa"/>
        <w:tblCellMar>
          <w:top w:w="0" w:type="dxa"/>
          <w:left w:w="0" w:type="dxa"/>
          <w:bottom w:w="0" w:type="dxa"/>
          <w:right w:w="0" w:type="dxa"/>
        </w:tblCellMar>
      </w:tblPr>
      <w:tblGrid>
        <w:gridCol w:w="7096"/>
        <w:gridCol w:w="462"/>
        <w:gridCol w:w="152"/>
        <w:gridCol w:w="807"/>
        <w:gridCol w:w="131"/>
        <w:gridCol w:w="462"/>
        <w:gridCol w:w="152"/>
        <w:gridCol w:w="807"/>
        <w:gridCol w:w="136"/>
      </w:tblGrid>
      <w:tr>
        <w:trPr/>
        <w:tc>
          <w:tcPr>
            <w:tcW w:w="70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9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3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9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6" w:type="dxa"/>
            <w:tcBorders/>
            <w:shd w:fill="auto" w:val="clear"/>
            <w:vAlign w:val="bottom"/>
          </w:tcPr>
          <w:p>
            <w:pPr>
              <w:pStyle w:val="TableContents"/>
              <w:spacing w:before="0" w:after="283"/>
              <w:rPr/>
            </w:pPr>
            <w:r>
              <w:rPr/>
              <w:t> </w:t>
            </w:r>
          </w:p>
        </w:tc>
      </w:tr>
      <w:tr>
        <w:trPr/>
        <w:tc>
          <w:tcPr>
            <w:tcW w:w="70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511" w:type="dxa"/>
            <w:gridSpan w:val="6"/>
            <w:tcBorders/>
            <w:shd w:fill="auto" w:val="clear"/>
            <w:vAlign w:val="bottom"/>
          </w:tcPr>
          <w:p>
            <w:pPr>
              <w:pStyle w:val="TableContents"/>
              <w:spacing w:before="0" w:after="283"/>
              <w:jc w:val="center"/>
              <w:rPr>
                <w:b/>
              </w:rPr>
            </w:pPr>
            <w:r>
              <w:rPr>
                <w:b/>
              </w:rPr>
              <w:t>(in thousands)</w:t>
            </w:r>
          </w:p>
        </w:tc>
        <w:tc>
          <w:tcPr>
            <w:tcW w:w="136" w:type="dxa"/>
            <w:tcBorders/>
            <w:shd w:fill="auto" w:val="clear"/>
            <w:vAlign w:val="bottom"/>
          </w:tcPr>
          <w:p>
            <w:pPr>
              <w:pStyle w:val="TableContents"/>
              <w:spacing w:before="0" w:after="283"/>
              <w:rPr/>
            </w:pPr>
            <w:r>
              <w:rPr/>
              <w:t> </w:t>
            </w:r>
          </w:p>
        </w:tc>
      </w:tr>
      <w:tr>
        <w:trPr/>
        <w:tc>
          <w:tcPr>
            <w:tcW w:w="7096" w:type="dxa"/>
            <w:tcBorders/>
            <w:shd w:fill="CCEEFF" w:val="clear"/>
            <w:vAlign w:val="bottom"/>
          </w:tcPr>
          <w:p>
            <w:pPr>
              <w:pStyle w:val="TableContents"/>
              <w:spacing w:before="0" w:after="0"/>
              <w:ind w:left="225" w:right="0" w:hanging="225"/>
              <w:rPr/>
            </w:pPr>
            <w:r>
              <w:rPr/>
              <w:t>Revenues:</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096" w:type="dxa"/>
            <w:tcBorders/>
            <w:shd w:fill="auto" w:val="clear"/>
            <w:vAlign w:val="bottom"/>
          </w:tcPr>
          <w:p>
            <w:pPr>
              <w:pStyle w:val="TableContents"/>
              <w:spacing w:before="0" w:after="0"/>
              <w:ind w:left="450" w:right="0" w:hanging="225"/>
              <w:rPr/>
            </w:pPr>
            <w:r>
              <w:rPr/>
              <w:t>GES</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194,127</w:t>
            </w:r>
          </w:p>
        </w:tc>
        <w:tc>
          <w:tcPr>
            <w:tcW w:w="13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198,350</w:t>
            </w:r>
          </w:p>
        </w:tc>
        <w:tc>
          <w:tcPr>
            <w:tcW w:w="136" w:type="dxa"/>
            <w:tcBorders/>
            <w:shd w:fill="auto" w:val="clear"/>
            <w:vAlign w:val="bottom"/>
          </w:tcPr>
          <w:p>
            <w:pPr>
              <w:pStyle w:val="TableContents"/>
              <w:spacing w:before="0" w:after="283"/>
              <w:rPr/>
            </w:pPr>
            <w:r>
              <w:rPr/>
              <w:t> </w:t>
            </w:r>
          </w:p>
        </w:tc>
      </w:tr>
      <w:tr>
        <w:trPr/>
        <w:tc>
          <w:tcPr>
            <w:tcW w:w="7096" w:type="dxa"/>
            <w:tcBorders/>
            <w:shd w:fill="CCEEFF" w:val="clear"/>
            <w:vAlign w:val="bottom"/>
          </w:tcPr>
          <w:p>
            <w:pPr>
              <w:pStyle w:val="TableContents"/>
              <w:spacing w:before="0" w:after="0"/>
              <w:ind w:left="450" w:right="0" w:hanging="225"/>
              <w:rPr/>
            </w:pPr>
            <w:r>
              <w:rPr/>
              <w:t>Exhibitgroup</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34,724</w:t>
            </w:r>
          </w:p>
        </w:tc>
        <w:tc>
          <w:tcPr>
            <w:tcW w:w="13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46,432</w:t>
            </w:r>
          </w:p>
        </w:tc>
        <w:tc>
          <w:tcPr>
            <w:tcW w:w="136" w:type="dxa"/>
            <w:tcBorders/>
            <w:shd w:fill="CCEEFF" w:val="clear"/>
            <w:vAlign w:val="bottom"/>
          </w:tcPr>
          <w:p>
            <w:pPr>
              <w:pStyle w:val="TableContents"/>
              <w:spacing w:before="0" w:after="283"/>
              <w:rPr/>
            </w:pPr>
            <w:r>
              <w:rPr/>
              <w:t> </w:t>
            </w:r>
          </w:p>
        </w:tc>
      </w:tr>
      <w:tr>
        <w:trPr/>
        <w:tc>
          <w:tcPr>
            <w:tcW w:w="7096" w:type="dxa"/>
            <w:tcBorders/>
            <w:shd w:fill="auto" w:val="clear"/>
            <w:vAlign w:val="bottom"/>
          </w:tcPr>
          <w:p>
            <w:pPr>
              <w:pStyle w:val="TableContents"/>
              <w:spacing w:before="0" w:after="0"/>
              <w:ind w:left="450" w:right="0" w:hanging="225"/>
              <w:rPr/>
            </w:pPr>
            <w:r>
              <w:rPr/>
              <w:t>Travel and Recreation Services</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4,919</w:t>
            </w:r>
          </w:p>
        </w:tc>
        <w:tc>
          <w:tcPr>
            <w:tcW w:w="13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4,730</w:t>
            </w:r>
          </w:p>
        </w:tc>
        <w:tc>
          <w:tcPr>
            <w:tcW w:w="136" w:type="dxa"/>
            <w:tcBorders/>
            <w:shd w:fill="auto" w:val="clear"/>
            <w:vAlign w:val="bottom"/>
          </w:tcPr>
          <w:p>
            <w:pPr>
              <w:pStyle w:val="TableContents"/>
              <w:spacing w:before="0" w:after="283"/>
              <w:rPr/>
            </w:pPr>
            <w:r>
              <w:rPr/>
              <w:t> </w:t>
            </w:r>
          </w:p>
        </w:tc>
      </w:tr>
      <w:tr>
        <w:trPr/>
        <w:tc>
          <w:tcPr>
            <w:tcW w:w="7096" w:type="dxa"/>
            <w:tcBorders/>
            <w:shd w:fill="auto" w:val="clear"/>
            <w:vAlign w:val="center"/>
          </w:tcPr>
          <w:p>
            <w:pPr>
              <w:pStyle w:val="TableContents"/>
              <w:spacing w:before="0" w:after="0"/>
              <w:ind w:left="225" w:right="0" w:hanging="225"/>
              <w:rPr/>
            </w:pPr>
            <w:r>
              <w:rPr/>
              <w:t> </w:t>
            </w:r>
          </w:p>
        </w:tc>
        <w:tc>
          <w:tcPr>
            <w:tcW w:w="462"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6" w:type="dxa"/>
            <w:tcBorders/>
            <w:shd w:fill="CCEEFF" w:val="clear"/>
            <w:vAlign w:val="bottom"/>
          </w:tcPr>
          <w:p>
            <w:pPr>
              <w:pStyle w:val="TableContents"/>
              <w:spacing w:before="0" w:after="0"/>
              <w:ind w:left="225" w:right="0" w:hanging="225"/>
              <w:rPr/>
            </w:pPr>
            <w:r>
              <w:rPr/>
              <w:t> </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233,770</w:t>
            </w:r>
          </w:p>
        </w:tc>
        <w:tc>
          <w:tcPr>
            <w:tcW w:w="13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249,512</w:t>
            </w:r>
          </w:p>
        </w:tc>
        <w:tc>
          <w:tcPr>
            <w:tcW w:w="136" w:type="dxa"/>
            <w:tcBorders/>
            <w:shd w:fill="CCEEFF" w:val="clear"/>
            <w:vAlign w:val="bottom"/>
          </w:tcPr>
          <w:p>
            <w:pPr>
              <w:pStyle w:val="TableContents"/>
              <w:spacing w:before="0" w:after="283"/>
              <w:rPr/>
            </w:pPr>
            <w:r>
              <w:rPr/>
              <w:t> </w:t>
            </w:r>
          </w:p>
        </w:tc>
      </w:tr>
      <w:tr>
        <w:trPr/>
        <w:tc>
          <w:tcPr>
            <w:tcW w:w="7096" w:type="dxa"/>
            <w:tcBorders/>
            <w:shd w:fill="auto" w:val="clear"/>
            <w:vAlign w:val="center"/>
          </w:tcPr>
          <w:p>
            <w:pPr>
              <w:pStyle w:val="TableContents"/>
              <w:spacing w:before="0" w:after="0"/>
              <w:ind w:left="225" w:right="0" w:hanging="225"/>
              <w:rPr/>
            </w:pPr>
            <w:r>
              <w:rPr/>
              <w:t> </w:t>
            </w:r>
          </w:p>
        </w:tc>
        <w:tc>
          <w:tcPr>
            <w:tcW w:w="462" w:type="dxa"/>
            <w:tcBorders/>
            <w:shd w:fill="auto" w:val="clear"/>
            <w:vAlign w:val="center"/>
          </w:tcPr>
          <w:p>
            <w:pPr>
              <w:pStyle w:val="TableContents"/>
              <w:spacing w:before="0" w:after="283"/>
              <w:rPr/>
            </w:pPr>
            <w:r>
              <w:rPr/>
              <w:t> </w:t>
            </w:r>
          </w:p>
        </w:tc>
        <w:tc>
          <w:tcPr>
            <w:tcW w:w="9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6" w:type="dxa"/>
            <w:tcBorders/>
            <w:shd w:fill="auto" w:val="clear"/>
            <w:vAlign w:val="bottom"/>
          </w:tcPr>
          <w:p>
            <w:pPr>
              <w:pStyle w:val="TableContents"/>
              <w:spacing w:before="0" w:after="0"/>
              <w:ind w:left="225" w:right="0" w:hanging="225"/>
              <w:rPr/>
            </w:pPr>
            <w:r>
              <w:rPr/>
              <w:t>Segment operating income:</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96" w:type="dxa"/>
            <w:tcBorders/>
            <w:shd w:fill="CCEEFF" w:val="clear"/>
            <w:vAlign w:val="bottom"/>
          </w:tcPr>
          <w:p>
            <w:pPr>
              <w:pStyle w:val="TableContents"/>
              <w:spacing w:before="0" w:after="0"/>
              <w:ind w:left="450" w:right="0" w:hanging="225"/>
              <w:rPr/>
            </w:pPr>
            <w:r>
              <w:rPr/>
              <w:t>GES</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22,420</w:t>
            </w:r>
          </w:p>
        </w:tc>
        <w:tc>
          <w:tcPr>
            <w:tcW w:w="13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26,752</w:t>
            </w:r>
          </w:p>
        </w:tc>
        <w:tc>
          <w:tcPr>
            <w:tcW w:w="136" w:type="dxa"/>
            <w:tcBorders/>
            <w:shd w:fill="CCEEFF" w:val="clear"/>
            <w:vAlign w:val="bottom"/>
          </w:tcPr>
          <w:p>
            <w:pPr>
              <w:pStyle w:val="TableContents"/>
              <w:spacing w:before="0" w:after="283"/>
              <w:rPr/>
            </w:pPr>
            <w:r>
              <w:rPr/>
              <w:t> </w:t>
            </w:r>
          </w:p>
        </w:tc>
      </w:tr>
      <w:tr>
        <w:trPr/>
        <w:tc>
          <w:tcPr>
            <w:tcW w:w="7096" w:type="dxa"/>
            <w:tcBorders/>
            <w:shd w:fill="auto" w:val="clear"/>
            <w:vAlign w:val="bottom"/>
          </w:tcPr>
          <w:p>
            <w:pPr>
              <w:pStyle w:val="TableContents"/>
              <w:spacing w:before="0" w:after="0"/>
              <w:ind w:left="450" w:right="0" w:hanging="225"/>
              <w:rPr/>
            </w:pPr>
            <w:r>
              <w:rPr/>
              <w:t>Exhibitgroup</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07" w:type="dxa"/>
            <w:tcBorders/>
            <w:shd w:fill="auto" w:val="clear"/>
            <w:vAlign w:val="bottom"/>
          </w:tcPr>
          <w:p>
            <w:pPr>
              <w:pStyle w:val="TableContents"/>
              <w:spacing w:before="0" w:after="283"/>
              <w:jc w:val="right"/>
              <w:rPr/>
            </w:pPr>
            <w:r>
              <w:rPr/>
              <w:t>(3,027</w:t>
            </w:r>
          </w:p>
        </w:tc>
        <w:tc>
          <w:tcPr>
            <w:tcW w:w="131"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07" w:type="dxa"/>
            <w:tcBorders/>
            <w:shd w:fill="auto" w:val="clear"/>
            <w:vAlign w:val="bottom"/>
          </w:tcPr>
          <w:p>
            <w:pPr>
              <w:pStyle w:val="TableContents"/>
              <w:spacing w:before="0" w:after="283"/>
              <w:jc w:val="right"/>
              <w:rPr/>
            </w:pPr>
            <w:r>
              <w:rPr/>
              <w:t>(1,828</w:t>
            </w:r>
          </w:p>
        </w:tc>
        <w:tc>
          <w:tcPr>
            <w:tcW w:w="136" w:type="dxa"/>
            <w:tcBorders/>
            <w:shd w:fill="auto" w:val="clear"/>
            <w:vAlign w:val="bottom"/>
          </w:tcPr>
          <w:p>
            <w:pPr>
              <w:pStyle w:val="TableContents"/>
              <w:spacing w:before="0" w:after="283"/>
              <w:rPr/>
            </w:pPr>
            <w:r>
              <w:rPr/>
              <w:t>)</w:t>
            </w:r>
          </w:p>
        </w:tc>
      </w:tr>
      <w:tr>
        <w:trPr/>
        <w:tc>
          <w:tcPr>
            <w:tcW w:w="7096" w:type="dxa"/>
            <w:tcBorders/>
            <w:shd w:fill="CCEEFF" w:val="clear"/>
            <w:vAlign w:val="bottom"/>
          </w:tcPr>
          <w:p>
            <w:pPr>
              <w:pStyle w:val="TableContents"/>
              <w:spacing w:before="0" w:after="0"/>
              <w:ind w:left="450" w:right="0" w:hanging="225"/>
              <w:rPr/>
            </w:pPr>
            <w:r>
              <w:rPr/>
              <w:t>Travel and Recreation Services</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807" w:type="dxa"/>
            <w:tcBorders/>
            <w:shd w:fill="CCEEFF" w:val="clear"/>
            <w:vAlign w:val="bottom"/>
          </w:tcPr>
          <w:p>
            <w:pPr>
              <w:pStyle w:val="TableContents"/>
              <w:spacing w:before="0" w:after="283"/>
              <w:jc w:val="right"/>
              <w:rPr/>
            </w:pPr>
            <w:r>
              <w:rPr/>
              <w:t>(1,683</w:t>
            </w:r>
          </w:p>
        </w:tc>
        <w:tc>
          <w:tcPr>
            <w:tcW w:w="131"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807" w:type="dxa"/>
            <w:tcBorders/>
            <w:shd w:fill="CCEEFF" w:val="clear"/>
            <w:vAlign w:val="bottom"/>
          </w:tcPr>
          <w:p>
            <w:pPr>
              <w:pStyle w:val="TableContents"/>
              <w:spacing w:before="0" w:after="283"/>
              <w:jc w:val="right"/>
              <w:rPr/>
            </w:pPr>
            <w:r>
              <w:rPr/>
              <w:t>(2,157</w:t>
            </w:r>
          </w:p>
        </w:tc>
        <w:tc>
          <w:tcPr>
            <w:tcW w:w="136" w:type="dxa"/>
            <w:tcBorders/>
            <w:shd w:fill="CCEEFF" w:val="clear"/>
            <w:vAlign w:val="bottom"/>
          </w:tcPr>
          <w:p>
            <w:pPr>
              <w:pStyle w:val="TableContents"/>
              <w:spacing w:before="0" w:after="283"/>
              <w:rPr/>
            </w:pPr>
            <w:r>
              <w:rPr/>
              <w:t>)</w:t>
            </w:r>
          </w:p>
        </w:tc>
      </w:tr>
      <w:tr>
        <w:trPr/>
        <w:tc>
          <w:tcPr>
            <w:tcW w:w="7096" w:type="dxa"/>
            <w:tcBorders/>
            <w:shd w:fill="auto" w:val="clear"/>
            <w:vAlign w:val="center"/>
          </w:tcPr>
          <w:p>
            <w:pPr>
              <w:pStyle w:val="TableContents"/>
              <w:spacing w:before="0" w:after="0"/>
              <w:ind w:left="225" w:right="0" w:hanging="225"/>
              <w:rPr/>
            </w:pPr>
            <w:r>
              <w:rPr/>
              <w:t> </w:t>
            </w:r>
          </w:p>
        </w:tc>
        <w:tc>
          <w:tcPr>
            <w:tcW w:w="462"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6" w:type="dxa"/>
            <w:tcBorders/>
            <w:shd w:fill="auto" w:val="clear"/>
            <w:vAlign w:val="bottom"/>
          </w:tcPr>
          <w:p>
            <w:pPr>
              <w:pStyle w:val="TableContents"/>
              <w:spacing w:before="0" w:after="0"/>
              <w:ind w:left="225" w:right="0" w:hanging="225"/>
              <w:rPr/>
            </w:pPr>
            <w:r>
              <w:rPr/>
              <w:t> </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17,710</w:t>
            </w:r>
          </w:p>
        </w:tc>
        <w:tc>
          <w:tcPr>
            <w:tcW w:w="13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22,767</w:t>
            </w:r>
          </w:p>
        </w:tc>
        <w:tc>
          <w:tcPr>
            <w:tcW w:w="136" w:type="dxa"/>
            <w:tcBorders/>
            <w:shd w:fill="auto" w:val="clear"/>
            <w:vAlign w:val="bottom"/>
          </w:tcPr>
          <w:p>
            <w:pPr>
              <w:pStyle w:val="TableContents"/>
              <w:spacing w:before="0" w:after="283"/>
              <w:rPr/>
            </w:pPr>
            <w:r>
              <w:rPr/>
              <w:t> </w:t>
            </w:r>
          </w:p>
        </w:tc>
      </w:tr>
      <w:tr>
        <w:trPr/>
        <w:tc>
          <w:tcPr>
            <w:tcW w:w="7096" w:type="dxa"/>
            <w:tcBorders/>
            <w:shd w:fill="CCEEFF" w:val="clear"/>
            <w:vAlign w:val="bottom"/>
          </w:tcPr>
          <w:p>
            <w:pPr>
              <w:pStyle w:val="TableContents"/>
              <w:spacing w:before="0" w:after="0"/>
              <w:ind w:left="225" w:right="0" w:hanging="225"/>
              <w:rPr/>
            </w:pPr>
            <w:r>
              <w:rPr/>
              <w:t>Corporate activities and minority interest</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807" w:type="dxa"/>
            <w:tcBorders/>
            <w:shd w:fill="CCEEFF" w:val="clear"/>
            <w:vAlign w:val="bottom"/>
          </w:tcPr>
          <w:p>
            <w:pPr>
              <w:pStyle w:val="TableContents"/>
              <w:spacing w:before="0" w:after="283"/>
              <w:jc w:val="right"/>
              <w:rPr/>
            </w:pPr>
            <w:r>
              <w:rPr/>
              <w:t>(1,740</w:t>
            </w:r>
          </w:p>
        </w:tc>
        <w:tc>
          <w:tcPr>
            <w:tcW w:w="131"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807" w:type="dxa"/>
            <w:tcBorders/>
            <w:shd w:fill="CCEEFF" w:val="clear"/>
            <w:vAlign w:val="bottom"/>
          </w:tcPr>
          <w:p>
            <w:pPr>
              <w:pStyle w:val="TableContents"/>
              <w:spacing w:before="0" w:after="283"/>
              <w:jc w:val="right"/>
              <w:rPr/>
            </w:pPr>
            <w:r>
              <w:rPr/>
              <w:t>(2,619</w:t>
            </w:r>
          </w:p>
        </w:tc>
        <w:tc>
          <w:tcPr>
            <w:tcW w:w="136" w:type="dxa"/>
            <w:tcBorders/>
            <w:shd w:fill="CCEEFF" w:val="clear"/>
            <w:vAlign w:val="bottom"/>
          </w:tcPr>
          <w:p>
            <w:pPr>
              <w:pStyle w:val="TableContents"/>
              <w:spacing w:before="0" w:after="283"/>
              <w:rPr/>
            </w:pPr>
            <w:r>
              <w:rPr/>
              <w:t>)</w:t>
            </w:r>
          </w:p>
        </w:tc>
      </w:tr>
      <w:tr>
        <w:trPr/>
        <w:tc>
          <w:tcPr>
            <w:tcW w:w="7096" w:type="dxa"/>
            <w:tcBorders/>
            <w:shd w:fill="auto" w:val="clear"/>
            <w:vAlign w:val="center"/>
          </w:tcPr>
          <w:p>
            <w:pPr>
              <w:pStyle w:val="TableContents"/>
              <w:spacing w:before="0" w:after="0"/>
              <w:ind w:left="225" w:right="0" w:hanging="225"/>
              <w:rPr/>
            </w:pPr>
            <w:r>
              <w:rPr/>
              <w:t> </w:t>
            </w:r>
          </w:p>
        </w:tc>
        <w:tc>
          <w:tcPr>
            <w:tcW w:w="462"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6" w:type="dxa"/>
            <w:tcBorders/>
            <w:shd w:fill="auto" w:val="clear"/>
            <w:vAlign w:val="bottom"/>
          </w:tcPr>
          <w:p>
            <w:pPr>
              <w:pStyle w:val="TableContents"/>
              <w:spacing w:before="0" w:after="0"/>
              <w:ind w:left="225" w:right="0" w:hanging="225"/>
              <w:rPr/>
            </w:pPr>
            <w:r>
              <w:rPr/>
              <w:t> </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15,970</w:t>
            </w:r>
          </w:p>
        </w:tc>
        <w:tc>
          <w:tcPr>
            <w:tcW w:w="13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20,148</w:t>
            </w:r>
          </w:p>
        </w:tc>
        <w:tc>
          <w:tcPr>
            <w:tcW w:w="136" w:type="dxa"/>
            <w:tcBorders/>
            <w:shd w:fill="auto" w:val="clear"/>
            <w:vAlign w:val="bottom"/>
          </w:tcPr>
          <w:p>
            <w:pPr>
              <w:pStyle w:val="TableContents"/>
              <w:spacing w:before="0" w:after="283"/>
              <w:rPr/>
            </w:pPr>
            <w:r>
              <w:rPr/>
              <w:t> </w:t>
            </w:r>
          </w:p>
        </w:tc>
      </w:tr>
      <w:tr>
        <w:trPr/>
        <w:tc>
          <w:tcPr>
            <w:tcW w:w="7096" w:type="dxa"/>
            <w:tcBorders/>
            <w:shd w:fill="CCEEFF" w:val="clear"/>
            <w:vAlign w:val="bottom"/>
          </w:tcPr>
          <w:p>
            <w:pPr>
              <w:pStyle w:val="TableContents"/>
              <w:spacing w:before="0" w:after="0"/>
              <w:ind w:left="225" w:right="0" w:hanging="225"/>
              <w:rPr/>
            </w:pPr>
            <w:r>
              <w:rPr/>
              <w:t>Interest income</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1,803</w:t>
            </w:r>
          </w:p>
        </w:tc>
        <w:tc>
          <w:tcPr>
            <w:tcW w:w="13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707</w:t>
            </w:r>
          </w:p>
        </w:tc>
        <w:tc>
          <w:tcPr>
            <w:tcW w:w="136" w:type="dxa"/>
            <w:tcBorders/>
            <w:shd w:fill="CCEEFF" w:val="clear"/>
            <w:vAlign w:val="bottom"/>
          </w:tcPr>
          <w:p>
            <w:pPr>
              <w:pStyle w:val="TableContents"/>
              <w:spacing w:before="0" w:after="283"/>
              <w:rPr/>
            </w:pPr>
            <w:r>
              <w:rPr/>
              <w:t> </w:t>
            </w:r>
          </w:p>
        </w:tc>
      </w:tr>
      <w:tr>
        <w:trPr/>
        <w:tc>
          <w:tcPr>
            <w:tcW w:w="7096" w:type="dxa"/>
            <w:tcBorders/>
            <w:shd w:fill="auto" w:val="clear"/>
            <w:vAlign w:val="bottom"/>
          </w:tcPr>
          <w:p>
            <w:pPr>
              <w:pStyle w:val="TableContents"/>
              <w:spacing w:before="0" w:after="0"/>
              <w:ind w:left="225" w:right="0" w:hanging="225"/>
              <w:rPr/>
            </w:pPr>
            <w:r>
              <w:rPr/>
              <w:t>Interest expense</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07" w:type="dxa"/>
            <w:tcBorders/>
            <w:shd w:fill="auto" w:val="clear"/>
            <w:vAlign w:val="bottom"/>
          </w:tcPr>
          <w:p>
            <w:pPr>
              <w:pStyle w:val="TableContents"/>
              <w:spacing w:before="0" w:after="283"/>
              <w:jc w:val="right"/>
              <w:rPr/>
            </w:pPr>
            <w:r>
              <w:rPr/>
              <w:t>(366</w:t>
            </w:r>
          </w:p>
        </w:tc>
        <w:tc>
          <w:tcPr>
            <w:tcW w:w="131"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07" w:type="dxa"/>
            <w:tcBorders/>
            <w:shd w:fill="auto" w:val="clear"/>
            <w:vAlign w:val="bottom"/>
          </w:tcPr>
          <w:p>
            <w:pPr>
              <w:pStyle w:val="TableContents"/>
              <w:spacing w:before="0" w:after="283"/>
              <w:jc w:val="right"/>
              <w:rPr/>
            </w:pPr>
            <w:r>
              <w:rPr/>
              <w:t>(557</w:t>
            </w:r>
          </w:p>
        </w:tc>
        <w:tc>
          <w:tcPr>
            <w:tcW w:w="136" w:type="dxa"/>
            <w:tcBorders/>
            <w:shd w:fill="auto" w:val="clear"/>
            <w:vAlign w:val="bottom"/>
          </w:tcPr>
          <w:p>
            <w:pPr>
              <w:pStyle w:val="TableContents"/>
              <w:spacing w:before="0" w:after="283"/>
              <w:rPr/>
            </w:pPr>
            <w:r>
              <w:rPr/>
              <w:t>)</w:t>
            </w:r>
          </w:p>
        </w:tc>
      </w:tr>
      <w:tr>
        <w:trPr/>
        <w:tc>
          <w:tcPr>
            <w:tcW w:w="7096" w:type="dxa"/>
            <w:tcBorders/>
            <w:shd w:fill="CCEEFF" w:val="clear"/>
            <w:vAlign w:val="bottom"/>
          </w:tcPr>
          <w:p>
            <w:pPr>
              <w:pStyle w:val="TableContents"/>
              <w:spacing w:before="0" w:after="0"/>
              <w:ind w:left="225" w:right="0" w:hanging="225"/>
              <w:rPr/>
            </w:pPr>
            <w:r>
              <w:rPr/>
              <w:t>Gains on sale of corporate assets</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3,468</w:t>
            </w:r>
          </w:p>
        </w:tc>
        <w:tc>
          <w:tcPr>
            <w:tcW w:w="13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r>
      <w:tr>
        <w:trPr/>
        <w:tc>
          <w:tcPr>
            <w:tcW w:w="7096" w:type="dxa"/>
            <w:tcBorders/>
            <w:shd w:fill="auto" w:val="clear"/>
            <w:vAlign w:val="bottom"/>
          </w:tcPr>
          <w:p>
            <w:pPr>
              <w:pStyle w:val="TableContents"/>
              <w:spacing w:before="0" w:after="0"/>
              <w:ind w:left="225" w:right="0" w:hanging="225"/>
              <w:rPr/>
            </w:pPr>
            <w:r>
              <w:rPr/>
              <w:t>Impairment recoveries</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843</w:t>
            </w:r>
          </w:p>
        </w:tc>
        <w:tc>
          <w:tcPr>
            <w:tcW w:w="13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w:t>
            </w:r>
          </w:p>
        </w:tc>
        <w:tc>
          <w:tcPr>
            <w:tcW w:w="136" w:type="dxa"/>
            <w:tcBorders/>
            <w:shd w:fill="auto" w:val="clear"/>
            <w:vAlign w:val="bottom"/>
          </w:tcPr>
          <w:p>
            <w:pPr>
              <w:pStyle w:val="TableContents"/>
              <w:spacing w:before="0" w:after="283"/>
              <w:rPr/>
            </w:pPr>
            <w:r>
              <w:rPr/>
              <w:t> </w:t>
            </w:r>
          </w:p>
        </w:tc>
      </w:tr>
      <w:tr>
        <w:trPr/>
        <w:tc>
          <w:tcPr>
            <w:tcW w:w="7096" w:type="dxa"/>
            <w:tcBorders/>
            <w:shd w:fill="CCEEFF" w:val="clear"/>
            <w:vAlign w:val="bottom"/>
          </w:tcPr>
          <w:p>
            <w:pPr>
              <w:pStyle w:val="TableContents"/>
              <w:spacing w:before="0" w:after="0"/>
              <w:ind w:left="225" w:right="0" w:hanging="225"/>
              <w:rPr/>
            </w:pPr>
            <w:r>
              <w:rPr/>
              <w:t>Restructuring recoveries:</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096" w:type="dxa"/>
            <w:tcBorders/>
            <w:shd w:fill="auto" w:val="clear"/>
            <w:vAlign w:val="bottom"/>
          </w:tcPr>
          <w:p>
            <w:pPr>
              <w:pStyle w:val="TableContents"/>
              <w:spacing w:before="0" w:after="0"/>
              <w:ind w:left="450" w:right="0" w:hanging="225"/>
              <w:rPr/>
            </w:pPr>
            <w:r>
              <w:rPr/>
              <w:t>Exhibitgroup</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w:t>
            </w:r>
          </w:p>
        </w:tc>
        <w:tc>
          <w:tcPr>
            <w:tcW w:w="13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247</w:t>
            </w:r>
          </w:p>
        </w:tc>
        <w:tc>
          <w:tcPr>
            <w:tcW w:w="136" w:type="dxa"/>
            <w:tcBorders/>
            <w:shd w:fill="auto" w:val="clear"/>
            <w:vAlign w:val="bottom"/>
          </w:tcPr>
          <w:p>
            <w:pPr>
              <w:pStyle w:val="TableContents"/>
              <w:spacing w:before="0" w:after="283"/>
              <w:rPr/>
            </w:pPr>
            <w:r>
              <w:rPr/>
              <w:t> </w:t>
            </w:r>
          </w:p>
        </w:tc>
      </w:tr>
      <w:tr>
        <w:trPr/>
        <w:tc>
          <w:tcPr>
            <w:tcW w:w="7096" w:type="dxa"/>
            <w:tcBorders/>
            <w:shd w:fill="CCEEFF" w:val="clear"/>
            <w:vAlign w:val="bottom"/>
          </w:tcPr>
          <w:p>
            <w:pPr>
              <w:pStyle w:val="TableContents"/>
              <w:spacing w:before="0" w:after="0"/>
              <w:ind w:left="450" w:right="0" w:hanging="225"/>
              <w:rPr/>
            </w:pPr>
            <w:r>
              <w:rPr/>
              <w:t>GES</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18</w:t>
            </w:r>
          </w:p>
        </w:tc>
        <w:tc>
          <w:tcPr>
            <w:tcW w:w="13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r>
      <w:tr>
        <w:trPr/>
        <w:tc>
          <w:tcPr>
            <w:tcW w:w="7096" w:type="dxa"/>
            <w:tcBorders/>
            <w:shd w:fill="auto" w:val="clear"/>
            <w:vAlign w:val="bottom"/>
          </w:tcPr>
          <w:p>
            <w:pPr>
              <w:pStyle w:val="TableContents"/>
              <w:spacing w:before="0" w:after="0"/>
              <w:ind w:left="450" w:right="0" w:hanging="225"/>
              <w:rPr/>
            </w:pPr>
            <w:r>
              <w:rPr/>
              <w:t>Corporate</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w:t>
            </w:r>
          </w:p>
        </w:tc>
        <w:tc>
          <w:tcPr>
            <w:tcW w:w="13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43</w:t>
            </w:r>
          </w:p>
        </w:tc>
        <w:tc>
          <w:tcPr>
            <w:tcW w:w="136" w:type="dxa"/>
            <w:tcBorders/>
            <w:shd w:fill="auto" w:val="clear"/>
            <w:vAlign w:val="bottom"/>
          </w:tcPr>
          <w:p>
            <w:pPr>
              <w:pStyle w:val="TableContents"/>
              <w:spacing w:before="0" w:after="283"/>
              <w:rPr/>
            </w:pPr>
            <w:r>
              <w:rPr/>
              <w:t> </w:t>
            </w:r>
          </w:p>
        </w:tc>
      </w:tr>
      <w:tr>
        <w:trPr/>
        <w:tc>
          <w:tcPr>
            <w:tcW w:w="7096" w:type="dxa"/>
            <w:tcBorders/>
            <w:shd w:fill="auto" w:val="clear"/>
            <w:vAlign w:val="center"/>
          </w:tcPr>
          <w:p>
            <w:pPr>
              <w:pStyle w:val="TableContents"/>
              <w:spacing w:before="0" w:after="0"/>
              <w:ind w:left="225" w:right="0" w:hanging="225"/>
              <w:rPr/>
            </w:pPr>
            <w:r>
              <w:rPr/>
              <w:t> </w:t>
            </w:r>
          </w:p>
        </w:tc>
        <w:tc>
          <w:tcPr>
            <w:tcW w:w="462"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6" w:type="dxa"/>
            <w:tcBorders/>
            <w:shd w:fill="CCEEFF" w:val="clear"/>
            <w:vAlign w:val="bottom"/>
          </w:tcPr>
          <w:p>
            <w:pPr>
              <w:pStyle w:val="TableContents"/>
              <w:spacing w:before="0" w:after="0"/>
              <w:ind w:left="225" w:right="0" w:hanging="225"/>
              <w:rPr/>
            </w:pPr>
            <w:r>
              <w:rPr/>
              <w:t>Income before income taxes</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21,736</w:t>
            </w:r>
          </w:p>
        </w:tc>
        <w:tc>
          <w:tcPr>
            <w:tcW w:w="13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20,588</w:t>
            </w:r>
          </w:p>
        </w:tc>
        <w:tc>
          <w:tcPr>
            <w:tcW w:w="136" w:type="dxa"/>
            <w:tcBorders/>
            <w:shd w:fill="CCEEFF" w:val="clear"/>
            <w:vAlign w:val="bottom"/>
          </w:tcPr>
          <w:p>
            <w:pPr>
              <w:pStyle w:val="TableContents"/>
              <w:spacing w:before="0" w:after="283"/>
              <w:rPr/>
            </w:pPr>
            <w:r>
              <w:rPr/>
              <w:t> </w:t>
            </w:r>
          </w:p>
        </w:tc>
      </w:tr>
      <w:tr>
        <w:trPr/>
        <w:tc>
          <w:tcPr>
            <w:tcW w:w="7096" w:type="dxa"/>
            <w:tcBorders/>
            <w:shd w:fill="auto" w:val="clear"/>
            <w:vAlign w:val="center"/>
          </w:tcPr>
          <w:p>
            <w:pPr>
              <w:pStyle w:val="TableContents"/>
              <w:spacing w:before="0" w:after="0"/>
              <w:ind w:left="225" w:right="0" w:hanging="225"/>
              <w:rPr/>
            </w:pPr>
            <w:r>
              <w:rPr/>
              <w:t> </w:t>
            </w:r>
          </w:p>
        </w:tc>
        <w:tc>
          <w:tcPr>
            <w:tcW w:w="462" w:type="dxa"/>
            <w:tcBorders/>
            <w:shd w:fill="auto" w:val="clear"/>
            <w:vAlign w:val="center"/>
          </w:tcPr>
          <w:p>
            <w:pPr>
              <w:pStyle w:val="TableContents"/>
              <w:spacing w:before="0" w:after="283"/>
              <w:rPr/>
            </w:pPr>
            <w:r>
              <w:rPr/>
              <w:t> </w:t>
            </w:r>
          </w:p>
        </w:tc>
        <w:tc>
          <w:tcPr>
            <w:tcW w:w="9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6483"/>
        <w:gridCol w:w="420"/>
        <w:gridCol w:w="186"/>
        <w:gridCol w:w="1014"/>
        <w:gridCol w:w="117"/>
        <w:gridCol w:w="420"/>
        <w:gridCol w:w="222"/>
        <w:gridCol w:w="1220"/>
        <w:gridCol w:w="123"/>
      </w:tblGrid>
      <w:tr>
        <w:trPr/>
        <w:tc>
          <w:tcPr>
            <w:tcW w:w="6483"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1014"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r>
      <w:tr>
        <w:trPr/>
        <w:tc>
          <w:tcPr>
            <w:tcW w:w="6483"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200" w:type="dxa"/>
            <w:gridSpan w:val="2"/>
            <w:tcBorders/>
            <w:shd w:fill="auto" w:val="clear"/>
            <w:vAlign w:val="bottom"/>
          </w:tcPr>
          <w:p>
            <w:pPr>
              <w:pStyle w:val="TableContents"/>
              <w:spacing w:before="0" w:after="283"/>
              <w:jc w:val="center"/>
              <w:rPr>
                <w:b/>
              </w:rPr>
            </w:pPr>
            <w:r>
              <w:rPr>
                <w:b/>
              </w:rPr>
              <w:t>March 31,</w:t>
            </w:r>
          </w:p>
        </w:tc>
        <w:tc>
          <w:tcPr>
            <w:tcW w:w="117"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442" w:type="dxa"/>
            <w:gridSpan w:val="2"/>
            <w:tcBorders/>
            <w:shd w:fill="auto" w:val="clear"/>
            <w:vAlign w:val="bottom"/>
          </w:tcPr>
          <w:p>
            <w:pPr>
              <w:pStyle w:val="TableContents"/>
              <w:spacing w:before="0" w:after="283"/>
              <w:jc w:val="center"/>
              <w:rPr>
                <w:b/>
              </w:rPr>
            </w:pPr>
            <w:r>
              <w:rPr>
                <w:b/>
              </w:rPr>
              <w:t>December 31,</w:t>
            </w:r>
          </w:p>
        </w:tc>
        <w:tc>
          <w:tcPr>
            <w:tcW w:w="123" w:type="dxa"/>
            <w:tcBorders/>
            <w:shd w:fill="auto" w:val="clear"/>
            <w:vAlign w:val="bottom"/>
          </w:tcPr>
          <w:p>
            <w:pPr>
              <w:pStyle w:val="TableContents"/>
              <w:spacing w:before="0" w:after="283"/>
              <w:rPr/>
            </w:pPr>
            <w:r>
              <w:rPr/>
              <w:t> </w:t>
            </w:r>
          </w:p>
        </w:tc>
      </w:tr>
      <w:tr>
        <w:trPr/>
        <w:tc>
          <w:tcPr>
            <w:tcW w:w="6483"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20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7"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44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3" w:type="dxa"/>
            <w:tcBorders/>
            <w:shd w:fill="auto" w:val="clear"/>
            <w:vAlign w:val="bottom"/>
          </w:tcPr>
          <w:p>
            <w:pPr>
              <w:pStyle w:val="TableContents"/>
              <w:spacing w:before="0" w:after="283"/>
              <w:rPr/>
            </w:pPr>
            <w:r>
              <w:rPr/>
              <w:t> </w:t>
            </w:r>
          </w:p>
        </w:tc>
      </w:tr>
      <w:tr>
        <w:trPr/>
        <w:tc>
          <w:tcPr>
            <w:tcW w:w="6483"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3179" w:type="dxa"/>
            <w:gridSpan w:val="6"/>
            <w:tcBorders/>
            <w:shd w:fill="auto" w:val="clear"/>
            <w:vAlign w:val="bottom"/>
          </w:tcPr>
          <w:p>
            <w:pPr>
              <w:pStyle w:val="TableContents"/>
              <w:spacing w:before="0" w:after="283"/>
              <w:jc w:val="center"/>
              <w:rPr>
                <w:b/>
              </w:rPr>
            </w:pPr>
            <w:r>
              <w:rPr>
                <w:b/>
              </w:rPr>
              <w:t>(in thousands)</w:t>
            </w:r>
          </w:p>
        </w:tc>
        <w:tc>
          <w:tcPr>
            <w:tcW w:w="123" w:type="dxa"/>
            <w:tcBorders/>
            <w:shd w:fill="auto" w:val="clear"/>
            <w:vAlign w:val="bottom"/>
          </w:tcPr>
          <w:p>
            <w:pPr>
              <w:pStyle w:val="TableContents"/>
              <w:spacing w:before="0" w:after="283"/>
              <w:rPr/>
            </w:pPr>
            <w:r>
              <w:rPr/>
              <w:t> </w:t>
            </w:r>
          </w:p>
        </w:tc>
      </w:tr>
      <w:tr>
        <w:trPr/>
        <w:tc>
          <w:tcPr>
            <w:tcW w:w="6483" w:type="dxa"/>
            <w:tcBorders/>
            <w:shd w:fill="CCEEFF" w:val="clear"/>
            <w:vAlign w:val="bottom"/>
          </w:tcPr>
          <w:p>
            <w:pPr>
              <w:pStyle w:val="TableContents"/>
              <w:spacing w:before="0" w:after="0"/>
              <w:ind w:left="225" w:right="0" w:hanging="225"/>
              <w:rPr/>
            </w:pPr>
            <w:r>
              <w:rPr/>
              <w:t>Assets:</w:t>
            </w:r>
          </w:p>
        </w:tc>
        <w:tc>
          <w:tcPr>
            <w:tcW w:w="4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014"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r>
      <w:tr>
        <w:trPr/>
        <w:tc>
          <w:tcPr>
            <w:tcW w:w="6483" w:type="dxa"/>
            <w:tcBorders/>
            <w:shd w:fill="auto" w:val="clear"/>
            <w:vAlign w:val="bottom"/>
          </w:tcPr>
          <w:p>
            <w:pPr>
              <w:pStyle w:val="TableContents"/>
              <w:spacing w:before="0" w:after="0"/>
              <w:ind w:left="450" w:right="0" w:hanging="225"/>
              <w:rPr/>
            </w:pPr>
            <w:r>
              <w:rPr/>
              <w:t>GES</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jc w:val="left"/>
              <w:rPr/>
            </w:pPr>
            <w:r>
              <w:rPr/>
              <w:t>$</w:t>
            </w:r>
          </w:p>
        </w:tc>
        <w:tc>
          <w:tcPr>
            <w:tcW w:w="1014" w:type="dxa"/>
            <w:tcBorders/>
            <w:shd w:fill="auto" w:val="clear"/>
            <w:vAlign w:val="bottom"/>
          </w:tcPr>
          <w:p>
            <w:pPr>
              <w:pStyle w:val="TableContents"/>
              <w:spacing w:before="0" w:after="283"/>
              <w:jc w:val="right"/>
              <w:rPr/>
            </w:pPr>
            <w:r>
              <w:rPr/>
              <w:t>274,726</w:t>
            </w:r>
          </w:p>
        </w:tc>
        <w:tc>
          <w:tcPr>
            <w:tcW w:w="117"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w:t>
            </w:r>
          </w:p>
        </w:tc>
        <w:tc>
          <w:tcPr>
            <w:tcW w:w="1220" w:type="dxa"/>
            <w:tcBorders/>
            <w:shd w:fill="auto" w:val="clear"/>
            <w:vAlign w:val="bottom"/>
          </w:tcPr>
          <w:p>
            <w:pPr>
              <w:pStyle w:val="TableContents"/>
              <w:spacing w:before="0" w:after="283"/>
              <w:jc w:val="right"/>
              <w:rPr/>
            </w:pPr>
            <w:r>
              <w:rPr/>
              <w:t>260,046</w:t>
            </w:r>
          </w:p>
        </w:tc>
        <w:tc>
          <w:tcPr>
            <w:tcW w:w="123" w:type="dxa"/>
            <w:tcBorders/>
            <w:shd w:fill="auto" w:val="clear"/>
            <w:vAlign w:val="bottom"/>
          </w:tcPr>
          <w:p>
            <w:pPr>
              <w:pStyle w:val="TableContents"/>
              <w:spacing w:before="0" w:after="283"/>
              <w:rPr/>
            </w:pPr>
            <w:r>
              <w:rPr/>
              <w:t> </w:t>
            </w:r>
          </w:p>
        </w:tc>
      </w:tr>
      <w:tr>
        <w:trPr/>
        <w:tc>
          <w:tcPr>
            <w:tcW w:w="6483" w:type="dxa"/>
            <w:tcBorders/>
            <w:shd w:fill="CCEEFF" w:val="clear"/>
            <w:vAlign w:val="bottom"/>
          </w:tcPr>
          <w:p>
            <w:pPr>
              <w:pStyle w:val="TableContents"/>
              <w:spacing w:before="0" w:after="0"/>
              <w:ind w:left="450" w:right="0" w:hanging="225"/>
              <w:rPr/>
            </w:pPr>
            <w:r>
              <w:rPr/>
              <w:t>Exhibitgroup</w:t>
            </w:r>
          </w:p>
        </w:tc>
        <w:tc>
          <w:tcPr>
            <w:tcW w:w="4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014" w:type="dxa"/>
            <w:tcBorders/>
            <w:shd w:fill="CCEEFF" w:val="clear"/>
            <w:vAlign w:val="bottom"/>
          </w:tcPr>
          <w:p>
            <w:pPr>
              <w:pStyle w:val="TableContents"/>
              <w:spacing w:before="0" w:after="283"/>
              <w:jc w:val="right"/>
              <w:rPr/>
            </w:pPr>
            <w:r>
              <w:rPr/>
              <w:t>78,913</w:t>
            </w:r>
          </w:p>
        </w:tc>
        <w:tc>
          <w:tcPr>
            <w:tcW w:w="117"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89,323</w:t>
            </w:r>
          </w:p>
        </w:tc>
        <w:tc>
          <w:tcPr>
            <w:tcW w:w="123" w:type="dxa"/>
            <w:tcBorders/>
            <w:shd w:fill="CCEEFF" w:val="clear"/>
            <w:vAlign w:val="bottom"/>
          </w:tcPr>
          <w:p>
            <w:pPr>
              <w:pStyle w:val="TableContents"/>
              <w:spacing w:before="0" w:after="283"/>
              <w:rPr/>
            </w:pPr>
            <w:r>
              <w:rPr/>
              <w:t> </w:t>
            </w:r>
          </w:p>
        </w:tc>
      </w:tr>
      <w:tr>
        <w:trPr/>
        <w:tc>
          <w:tcPr>
            <w:tcW w:w="6483" w:type="dxa"/>
            <w:tcBorders/>
            <w:shd w:fill="auto" w:val="clear"/>
            <w:vAlign w:val="bottom"/>
          </w:tcPr>
          <w:p>
            <w:pPr>
              <w:pStyle w:val="TableContents"/>
              <w:spacing w:before="0" w:after="0"/>
              <w:ind w:left="450" w:right="0" w:hanging="225"/>
              <w:rPr/>
            </w:pPr>
            <w:r>
              <w:rPr/>
              <w:t>Travel and Recreation Services</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1014" w:type="dxa"/>
            <w:tcBorders/>
            <w:shd w:fill="auto" w:val="clear"/>
            <w:vAlign w:val="bottom"/>
          </w:tcPr>
          <w:p>
            <w:pPr>
              <w:pStyle w:val="TableContents"/>
              <w:spacing w:before="0" w:after="283"/>
              <w:jc w:val="right"/>
              <w:rPr/>
            </w:pPr>
            <w:r>
              <w:rPr/>
              <w:t>132,321</w:t>
            </w:r>
          </w:p>
        </w:tc>
        <w:tc>
          <w:tcPr>
            <w:tcW w:w="117"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132,725</w:t>
            </w:r>
          </w:p>
        </w:tc>
        <w:tc>
          <w:tcPr>
            <w:tcW w:w="123" w:type="dxa"/>
            <w:tcBorders/>
            <w:shd w:fill="auto" w:val="clear"/>
            <w:vAlign w:val="bottom"/>
          </w:tcPr>
          <w:p>
            <w:pPr>
              <w:pStyle w:val="TableContents"/>
              <w:spacing w:before="0" w:after="283"/>
              <w:rPr/>
            </w:pPr>
            <w:r>
              <w:rPr/>
              <w:t> </w:t>
            </w:r>
          </w:p>
        </w:tc>
      </w:tr>
      <w:tr>
        <w:trPr/>
        <w:tc>
          <w:tcPr>
            <w:tcW w:w="6483" w:type="dxa"/>
            <w:tcBorders/>
            <w:shd w:fill="CCEEFF" w:val="clear"/>
            <w:vAlign w:val="bottom"/>
          </w:tcPr>
          <w:p>
            <w:pPr>
              <w:pStyle w:val="TableContents"/>
              <w:spacing w:before="0" w:after="0"/>
              <w:ind w:left="450" w:right="0" w:hanging="225"/>
              <w:rPr/>
            </w:pPr>
            <w:r>
              <w:rPr/>
              <w:t>Corporate and other</w:t>
            </w:r>
          </w:p>
        </w:tc>
        <w:tc>
          <w:tcPr>
            <w:tcW w:w="4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014" w:type="dxa"/>
            <w:tcBorders/>
            <w:shd w:fill="CCEEFF" w:val="clear"/>
            <w:vAlign w:val="bottom"/>
          </w:tcPr>
          <w:p>
            <w:pPr>
              <w:pStyle w:val="TableContents"/>
              <w:spacing w:before="0" w:after="283"/>
              <w:jc w:val="right"/>
              <w:rPr/>
            </w:pPr>
            <w:r>
              <w:rPr/>
              <w:t>206,342</w:t>
            </w:r>
          </w:p>
        </w:tc>
        <w:tc>
          <w:tcPr>
            <w:tcW w:w="117"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203,596</w:t>
            </w:r>
          </w:p>
        </w:tc>
        <w:tc>
          <w:tcPr>
            <w:tcW w:w="123" w:type="dxa"/>
            <w:tcBorders/>
            <w:shd w:fill="CCEEFF" w:val="clear"/>
            <w:vAlign w:val="bottom"/>
          </w:tcPr>
          <w:p>
            <w:pPr>
              <w:pStyle w:val="TableContents"/>
              <w:spacing w:before="0" w:after="283"/>
              <w:rPr/>
            </w:pPr>
            <w:r>
              <w:rPr/>
              <w:t> </w:t>
            </w:r>
          </w:p>
        </w:tc>
      </w:tr>
      <w:tr>
        <w:trPr/>
        <w:tc>
          <w:tcPr>
            <w:tcW w:w="6483" w:type="dxa"/>
            <w:tcBorders/>
            <w:shd w:fill="auto" w:val="clear"/>
            <w:vAlign w:val="center"/>
          </w:tcPr>
          <w:p>
            <w:pPr>
              <w:pStyle w:val="TableContents"/>
              <w:spacing w:before="0" w:after="0"/>
              <w:ind w:left="225" w:right="0" w:hanging="225"/>
              <w:rPr/>
            </w:pPr>
            <w:r>
              <w:rPr/>
              <w:t> </w:t>
            </w:r>
          </w:p>
        </w:tc>
        <w:tc>
          <w:tcPr>
            <w:tcW w:w="420" w:type="dxa"/>
            <w:tcBorders/>
            <w:shd w:fill="auto" w:val="clear"/>
            <w:vAlign w:val="center"/>
          </w:tcPr>
          <w:p>
            <w:pPr>
              <w:pStyle w:val="TableContents"/>
              <w:spacing w:before="0" w:after="283"/>
              <w:rPr/>
            </w:pPr>
            <w:r>
              <w:rPr/>
              <w:t> </w:t>
            </w:r>
          </w:p>
        </w:tc>
        <w:tc>
          <w:tcPr>
            <w:tcW w:w="12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420" w:type="dxa"/>
            <w:tcBorders/>
            <w:shd w:fill="auto" w:val="clear"/>
            <w:vAlign w:val="center"/>
          </w:tcPr>
          <w:p>
            <w:pPr>
              <w:pStyle w:val="TableContents"/>
              <w:spacing w:before="0" w:after="283"/>
              <w:rPr/>
            </w:pPr>
            <w:r>
              <w:rPr/>
              <w:t> </w:t>
            </w:r>
          </w:p>
        </w:tc>
        <w:tc>
          <w:tcPr>
            <w:tcW w:w="14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r>
      <w:tr>
        <w:trPr/>
        <w:tc>
          <w:tcPr>
            <w:tcW w:w="6483" w:type="dxa"/>
            <w:tcBorders/>
            <w:shd w:fill="auto" w:val="clear"/>
            <w:vAlign w:val="bottom"/>
          </w:tcPr>
          <w:p>
            <w:pPr>
              <w:pStyle w:val="TableContents"/>
              <w:spacing w:before="0" w:after="0"/>
              <w:ind w:left="225" w:right="0" w:hanging="225"/>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jc w:val="left"/>
              <w:rPr/>
            </w:pPr>
            <w:r>
              <w:rPr/>
              <w:t>$</w:t>
            </w:r>
          </w:p>
        </w:tc>
        <w:tc>
          <w:tcPr>
            <w:tcW w:w="1014" w:type="dxa"/>
            <w:tcBorders/>
            <w:shd w:fill="auto" w:val="clear"/>
            <w:vAlign w:val="bottom"/>
          </w:tcPr>
          <w:p>
            <w:pPr>
              <w:pStyle w:val="TableContents"/>
              <w:spacing w:before="0" w:after="283"/>
              <w:jc w:val="right"/>
              <w:rPr/>
            </w:pPr>
            <w:r>
              <w:rPr/>
              <w:t>692,302</w:t>
            </w:r>
          </w:p>
        </w:tc>
        <w:tc>
          <w:tcPr>
            <w:tcW w:w="117"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w:t>
            </w:r>
          </w:p>
        </w:tc>
        <w:tc>
          <w:tcPr>
            <w:tcW w:w="1220" w:type="dxa"/>
            <w:tcBorders/>
            <w:shd w:fill="auto" w:val="clear"/>
            <w:vAlign w:val="bottom"/>
          </w:tcPr>
          <w:p>
            <w:pPr>
              <w:pStyle w:val="TableContents"/>
              <w:spacing w:before="0" w:after="283"/>
              <w:jc w:val="right"/>
              <w:rPr/>
            </w:pPr>
            <w:r>
              <w:rPr/>
              <w:t>685,690</w:t>
            </w:r>
          </w:p>
        </w:tc>
        <w:tc>
          <w:tcPr>
            <w:tcW w:w="123" w:type="dxa"/>
            <w:tcBorders/>
            <w:shd w:fill="auto" w:val="clear"/>
            <w:vAlign w:val="bottom"/>
          </w:tcPr>
          <w:p>
            <w:pPr>
              <w:pStyle w:val="TableContents"/>
              <w:spacing w:before="0" w:after="283"/>
              <w:rPr/>
            </w:pPr>
            <w:r>
              <w:rPr/>
              <w:t> </w:t>
            </w:r>
          </w:p>
        </w:tc>
      </w:tr>
      <w:tr>
        <w:trPr/>
        <w:tc>
          <w:tcPr>
            <w:tcW w:w="6483" w:type="dxa"/>
            <w:tcBorders/>
            <w:shd w:fill="auto" w:val="clear"/>
            <w:vAlign w:val="center"/>
          </w:tcPr>
          <w:p>
            <w:pPr>
              <w:pStyle w:val="TableContents"/>
              <w:spacing w:before="0" w:after="0"/>
              <w:ind w:left="225" w:right="0" w:hanging="225"/>
              <w:rPr/>
            </w:pPr>
            <w:r>
              <w:rPr/>
              <w:t> </w:t>
            </w:r>
          </w:p>
        </w:tc>
        <w:tc>
          <w:tcPr>
            <w:tcW w:w="420" w:type="dxa"/>
            <w:tcBorders/>
            <w:shd w:fill="auto" w:val="clear"/>
            <w:vAlign w:val="center"/>
          </w:tcPr>
          <w:p>
            <w:pPr>
              <w:pStyle w:val="TableContents"/>
              <w:spacing w:before="0" w:after="283"/>
              <w:rPr/>
            </w:pPr>
            <w:r>
              <w:rPr/>
              <w:t> </w:t>
            </w:r>
          </w:p>
        </w:tc>
        <w:tc>
          <w:tcPr>
            <w:tcW w:w="12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420" w:type="dxa"/>
            <w:tcBorders/>
            <w:shd w:fill="auto" w:val="clear"/>
            <w:vAlign w:val="center"/>
          </w:tcPr>
          <w:p>
            <w:pPr>
              <w:pStyle w:val="TableContents"/>
              <w:spacing w:before="0" w:after="283"/>
              <w:rPr/>
            </w:pPr>
            <w:r>
              <w:rPr/>
              <w:t> </w:t>
            </w:r>
          </w:p>
        </w:tc>
        <w:tc>
          <w:tcPr>
            <w:tcW w:w="144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Note 17. Impact of Recent Accounting Pronouncements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November 2004, the FASB issued SFAS No. 151, Inventory Costs (an amendment of Accounting Research Bulletin No. 43, Chapter 4). SFAS No. 151 seeks to clarify the accounting for abnormal amounts of idle facility expense, freight, handling costs, and wasted material (spoilage) in the determination of inventory carrying costs. The statement requires such costs to be treated as a current period expense. SFAS No. 151 also requires that the allocation of fixed production overhead costs be based on the normal capacity of the production facility. SFAS No. 151 is effective for inventory costs incurred during fiscal years beginning after July 15, 2005. Accordingly, Viad adopted SFAS No. 151 on January 1, 2006. The adoption of SFAS No. 151 did not have a material impact on Viads financial position or results of operations. </w:t>
      </w:r>
    </w:p>
    <w:p>
      <w:pPr>
        <w:pStyle w:val="TextBody"/>
        <w:spacing w:before="120" w:after="283"/>
        <w:jc w:val="left"/>
        <w:rPr/>
      </w:pPr>
      <w:r>
        <w:rPr/>
        <w:t>     </w:t>
      </w:r>
      <w:r>
        <w:rPr>
          <w:rFonts w:ascii="Times New Roman;Times;serif" w:hAnsi="Times New Roman;Times;serif"/>
          <w:sz w:val="17"/>
        </w:rPr>
        <w:t xml:space="preserve">In May 2005, the FASB issued SFAS No. 154, Accounting Changes and Error Corrections which replaces APB Opinion No. 20, Accounting Changes, and SFAS No. 3, Reporting Accounting Changes in Interim Financial Statements  An Amendment of APB Opinion No. 28. SFAS No. 154 provides guidance on the accounting for and reporting of accounting changes and error corrections. It establishes retrospective application, or the latest practicable date, as the required method for reporting a change in accounting principle (unless a different method is prescribed by the new standard) and the reporting of a correction of an error. SFAS No. 154 is effective for accounting changes and corrections of errors made in fiscal years beginning after December 15, 2005. Accordingly, Viad adopted SFAS No. 154 on January 1, 2006. The adoption of SFAS No. 154 did not affect Viads financial statements. </w:t>
      </w:r>
    </w:p>
    <w:p>
      <w:pPr>
        <w:pStyle w:val="TextBody"/>
        <w:spacing w:before="120" w:after="283"/>
        <w:jc w:val="left"/>
        <w:rPr/>
      </w:pPr>
      <w:r>
        <w:rPr/>
        <w:t>     </w:t>
      </w:r>
      <w:r>
        <w:rPr>
          <w:rFonts w:ascii="Times New Roman;Times;serif" w:hAnsi="Times New Roman;Times;serif"/>
          <w:sz w:val="17"/>
        </w:rPr>
        <w:t xml:space="preserve">Viad adopted the provisions of SFAS No. 123(R) on January 1, 2006 using the modified prospective application method. Refer to Note 2 for a full discussion of the adoption of SFAS No. 123(R) and related disclosures.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18. Common Stock Repurchases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February 2006, Viad announced its intent, under an authorization by its Board of Directors, to repurchase up to one million shares of common stock from time to time at prevailing prices in the open market. During the three months ended March 31, 2006, Viad repurchased 414,400 shares for $13.3 million. Viad also has the authority to repurchase common stock for the purpose of replacing common stock issued upon exercise of stock options and in connection with other stock compensation plans. The last repurchase by Viad under this program was May 2003.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19. Discontinued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recorded losses from discontinued operations of $149,000 and $227,000 for the three months ended March 31, 2006 and 2005, respectively, related to tax matters associated with previously sold operations. </w:t>
      </w:r>
    </w:p>
    <w:p>
      <w:pPr>
        <w:pStyle w:val="TextBody"/>
        <w:jc w:val="center"/>
        <w:rPr>
          <w:rFonts w:ascii="Times New Roman;Times;serif" w:hAnsi="Times New Roman;Times;serif"/>
          <w:sz w:val="17"/>
        </w:rPr>
      </w:pPr>
      <w:r>
        <w:rPr>
          <w:rFonts w:ascii="Times New Roman;Times;serif" w:hAnsi="Times New Roman;Times;serif"/>
          <w:sz w:val="17"/>
        </w:rPr>
        <w:t xml:space="preserve">Page 16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bookmarkStart w:id="5" w:name="002"/>
      <w:bookmarkEnd w:id="5"/>
      <w:r>
        <w:rPr>
          <w:rFonts w:ascii="Times New Roman;Times;serif" w:hAnsi="Times New Roman;Times;serif"/>
          <w:b/>
          <w:sz w:val="17"/>
        </w:rPr>
        <w:t>Item 2. Managements Discussion and Analysis of Financial Condition and Results of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discussion should be read in conjunction with Viad Corps consolidated financial statements and related notes. This discussion contains forward-looking statements that involve risks and uncertainties. Viad Corps actual results could differ materially from those anticipated due to various factors discussed under Forward-Looking Statements and elsewhere in this quarterly report.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Overview:</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Corp (Viad or the Company) operates in three reportable business segments as follows: </w:t>
      </w:r>
    </w:p>
    <w:p>
      <w:pPr>
        <w:pStyle w:val="TextBody"/>
        <w:spacing w:before="120" w:after="283"/>
        <w:jc w:val="left"/>
        <w:rPr/>
      </w:pPr>
      <w:r>
        <w:rPr/>
        <w:t>     </w:t>
      </w:r>
      <w:r>
        <w:rPr>
          <w:rFonts w:ascii="Times New Roman;Times;serif" w:hAnsi="Times New Roman;Times;serif"/>
          <w:i/>
          <w:sz w:val="17"/>
        </w:rPr>
        <w:t xml:space="preserve">GES </w:t>
      </w:r>
      <w:r>
        <w:rPr>
          <w:rFonts w:ascii="Times New Roman;Times;serif" w:hAnsi="Times New Roman;Times;serif"/>
          <w:sz w:val="17"/>
        </w:rPr>
        <w:t xml:space="preserve"> GES Exposition Services, Inc. (GES) and its affiliates provide exhibition and event services throughout North America consisting of: show planning and production; floor plan design and layout; decorating, graphics and signage, and furniture, carpet and fixture procurement and rental. These services are provided to a variety of show organizers, including venues, trade associations and show management companies. GESs customer base also includes exhibitors for which GES provides exhibit design, construction, refurbishment, storage and rental services, including related show services such as logistics and transportation; material handling, electrical, plumbing, rigging and cleaning, and exhibit installation and dismantling. </w:t>
      </w:r>
    </w:p>
    <w:p>
      <w:pPr>
        <w:pStyle w:val="TextBody"/>
        <w:spacing w:before="120" w:after="283"/>
        <w:jc w:val="left"/>
        <w:rPr/>
      </w:pPr>
      <w:r>
        <w:rPr/>
        <w:t>     </w:t>
      </w:r>
      <w:r>
        <w:rPr>
          <w:rFonts w:ascii="Times New Roman;Times;serif" w:hAnsi="Times New Roman;Times;serif"/>
          <w:i/>
          <w:sz w:val="17"/>
        </w:rPr>
        <w:t xml:space="preserve">Exhibitgroup </w:t>
      </w:r>
      <w:r>
        <w:rPr>
          <w:rFonts w:ascii="Times New Roman;Times;serif" w:hAnsi="Times New Roman;Times;serif"/>
          <w:sz w:val="17"/>
        </w:rPr>
        <w:t xml:space="preserve"> Exhibitgroup/Giltspur (Exhibitgroup) and its affiliates specialize in the custom design, construction, installation and warehousing of convention and event exhibits and displays, primarily for corporate customers in North America, and to a lesser extent in Europe. Exhibitgroup offers exhibit design and construction and exhibit program management services for clients in varied industries that participate in exhibitions, corporate and specialty events, road shows and other face-to-face marketing. Exhibitgroup also refurbishes and leases exhibits, designs and builds kiosks and permanent displays, and provides exhibit transportation, installation, dismantling and warehousing services. </w:t>
      </w:r>
    </w:p>
    <w:p>
      <w:pPr>
        <w:pStyle w:val="TextBody"/>
        <w:spacing w:before="120" w:after="283"/>
        <w:jc w:val="left"/>
        <w:rPr/>
      </w:pPr>
      <w:r>
        <w:rPr/>
        <w:t>     </w:t>
      </w:r>
      <w:r>
        <w:rPr>
          <w:rFonts w:ascii="Times New Roman;Times;serif" w:hAnsi="Times New Roman;Times;serif"/>
          <w:i/>
          <w:sz w:val="17"/>
        </w:rPr>
        <w:t xml:space="preserve">Travel and Recreation Services </w:t>
      </w:r>
      <w:r>
        <w:rPr>
          <w:rFonts w:ascii="Times New Roman;Times;serif" w:hAnsi="Times New Roman;Times;serif"/>
          <w:sz w:val="17"/>
        </w:rPr>
        <w:t xml:space="preserve"> Brewster Transport Company Limited (Brewster) provides tourism services in the Canadian Rockies in Alberta and in other parts of Western Canada. Brewsters operations include the Banff Gondola, Columbia Icefield Ice Explorer Tours, motorcoach services, charter and package tours and other sightseeing services, hotel operations and travel agencies. Glacier Park, Inc. (Glacier Park) operates four historic lodges and three motor inns and provides food and beverage operations, retail operations and tour and transportation services in and around Glacier National Park in Montana and Waterton Lakes National Park in Alberta, Canada. </w:t>
      </w:r>
    </w:p>
    <w:p>
      <w:pPr>
        <w:pStyle w:val="TextBody"/>
        <w:spacing w:before="120" w:after="283"/>
        <w:jc w:val="left"/>
        <w:rPr/>
      </w:pPr>
      <w:r>
        <w:rPr/>
        <w:t>     </w:t>
      </w:r>
      <w:r>
        <w:rPr>
          <w:rFonts w:ascii="Times New Roman;Times;serif" w:hAnsi="Times New Roman;Times;serif"/>
          <w:sz w:val="17"/>
        </w:rPr>
        <w:t xml:space="preserve">The following are financial highlights of the first quarter of 2006 as compared to the first quarter of 2005 that are presented in accordance with accounting principles generally accepted in the United States of America (GAAP): </w:t>
      </w:r>
    </w:p>
    <w:p>
      <w:pPr>
        <w:pStyle w:val="TextBody"/>
        <w:spacing w:before="120" w:after="283"/>
        <w:jc w:val="left"/>
        <w:rPr/>
      </w:pPr>
      <w:r>
        <w:rPr/>
        <w:t>     </w:t>
      </w:r>
      <w:r>
        <w:rPr>
          <w:rFonts w:ascii="Times New Roman;Times;serif" w:hAnsi="Times New Roman;Times;serif"/>
          <w:b/>
          <w:sz w:val="17"/>
        </w:rPr>
        <w:t>Viad Corp (Consolidated)</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2"/>
        <w:gridCol w:w="306"/>
        <w:gridCol w:w="101"/>
        <w:gridCol w:w="9596"/>
      </w:tblGrid>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Total revenues of $233.8 million, a 6.3 percent decrease from 2005</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Net income of $13.6 million versus $12.2 million in 2005, up 11.6 percent</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Diluted income per share of $0.61 versus $0.55 in 2005</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GES recorded an insurance recovery of $843,000 related to losses it suffered in the third quarter of 2005 resulting from Hurricane Katrina and related events</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loss from discontinued operations of $149,000 was recorded relating to tax matters associated with previously sold operations</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Cash and cash equivalents totaled $154.7 million as of March 31, 2006</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Debt was $17.1 million as of March 31, 2006</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remaining 50 percent interest in the Companys corporate aircraft and certain related equipment was sold for $10.0 million in cash, resulting in a gain of $1.7 million</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Viad sold certain undeveloped land for $2.9 million in cash, resulting in a gain of $1.7 million</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Viad repurchased 414,400 shares of its common stock for $13.3 million</w:t>
            </w:r>
          </w:p>
        </w:tc>
      </w:tr>
    </w:tbl>
    <w:p>
      <w:pPr>
        <w:pStyle w:val="TextBody"/>
        <w:spacing w:before="120" w:after="283"/>
        <w:jc w:val="left"/>
        <w:rPr/>
      </w:pPr>
      <w:r>
        <w:rPr/>
        <w:t>     </w:t>
      </w:r>
      <w:r>
        <w:rPr>
          <w:rFonts w:ascii="Times New Roman;Times;serif" w:hAnsi="Times New Roman;Times;serif"/>
          <w:b/>
          <w:sz w:val="17"/>
        </w:rPr>
        <w:t>GES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2"/>
        <w:gridCol w:w="306"/>
        <w:gridCol w:w="101"/>
        <w:gridCol w:w="9596"/>
      </w:tblGrid>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Revenues of $194.1 million, a decrease of 2.1 percent from 2005</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Segment operating income of $22.4 million, a decrease of 16.2 percent from 2005</w:t>
            </w:r>
          </w:p>
        </w:tc>
      </w:tr>
    </w:tbl>
    <w:p>
      <w:pPr>
        <w:pStyle w:val="TextBody"/>
        <w:spacing w:before="120" w:after="283"/>
        <w:jc w:val="left"/>
        <w:rPr/>
      </w:pPr>
      <w:r>
        <w:rPr/>
        <w:t>     </w:t>
      </w:r>
      <w:r>
        <w:rPr>
          <w:rFonts w:ascii="Times New Roman;Times;serif" w:hAnsi="Times New Roman;Times;serif"/>
          <w:b/>
          <w:sz w:val="17"/>
        </w:rPr>
        <w:t>Exhibitgroup</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Revenues of $34.7 million, a decrease of 25.2 percent from 2005</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Segment operating loss of $3.0 million compared to a loss of $1.8 million in the first quarter of 2005</w:t>
            </w:r>
          </w:p>
        </w:tc>
      </w:tr>
    </w:tbl>
    <w:p>
      <w:pPr>
        <w:pStyle w:val="TextBody"/>
        <w:spacing w:before="120" w:after="283"/>
        <w:jc w:val="left"/>
        <w:rPr/>
      </w:pPr>
      <w:r>
        <w:rPr/>
        <w:t>     </w:t>
      </w:r>
      <w:r>
        <w:rPr>
          <w:rFonts w:ascii="Times New Roman;Times;serif" w:hAnsi="Times New Roman;Times;serif"/>
          <w:b/>
          <w:sz w:val="17"/>
        </w:rPr>
        <w:t>Travel and Recreation Services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2"/>
        <w:gridCol w:w="305"/>
        <w:gridCol w:w="101"/>
        <w:gridCol w:w="9597"/>
      </w:tblGrid>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Revenues of $4.9 million, an increase of 4.0 percent from 2005</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Segment operating loss of $1.7 million compared to a loss of $2.2 million in the first quarter of 2005</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Non-GAAP Measures: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discussion includes a presentation of Adjusted EBITDA and Income before impairment losses and recoveries which are utilized by management to measure the profit and performance of Viads operations and to facilitate period to period comparisons. Adjusted EBITDA is defined by Viad as net income before interest expense, income taxes, depreciation and amortization, impairment losses and recoveries, changes in accounting principles and the effects of discontinued operations. Adjusted EBITDA is considered a useful operating metric as potential variations arising from taxes, depreciation, debt service costs, impairment losses and recoveries, changes in accounting principles and the effects of discontinued operations are eliminated, thus resulting in an additional measure considered to be indicative of Viads ongoing operations. Adjusted EBITDA is also used by management to assess Viads ability to service debt, fund capital expenditures and finance growth. Income before impairment losses and recoveries is defined by Viad as income from continuing operations before the after-tax effect of impairment losses and recoveries and is utilized by management to review operating results of the business without the effects of impairment losses or recoveries. The presentation of Adjusted EBITDA and Income before impairment losses and recoveries is supplemental to results presented under GAAP and may not be comparable to similarly titled measures used by other companies. These non-GAAP measures should be considered in addition to, but not a substitute for, other measures of financial performance and liquidity reported in accordance with GAAP. </w:t>
      </w:r>
    </w:p>
    <w:p>
      <w:pPr>
        <w:pStyle w:val="TextBody"/>
        <w:spacing w:before="120" w:after="283"/>
        <w:jc w:val="left"/>
        <w:rPr/>
      </w:pPr>
      <w:r>
        <w:rPr/>
        <w:t>     </w:t>
      </w:r>
      <w:r>
        <w:rPr>
          <w:rFonts w:ascii="Times New Roman;Times;serif" w:hAnsi="Times New Roman;Times;serif"/>
          <w:sz w:val="17"/>
        </w:rPr>
        <w:t xml:space="preserve">Management believes that the presentation of Adjusted EBITDA and Income before impairment losses and recoveries provides useful information to investors regarding Viads results of operations for trending, analyzing and benchmarking the performance and value of Viads business. Management uses Adjusted EBITDA and Income before impairment losses and recoveries primarily as performance measures and believes that the GAAP financial measures most directly comparable to these non-GAAP measures are net income and income from continuing operations, respectively. Although Adjusted EBITDA is used as a financial measure to assess the performance of the business, the use of Adjusted EBITDA is limited because it does not consider material costs, expenses and other items necessary to operate the business. These items include debt service costs, non-cash depreciation and amortization expense associated with long-lived assets, expenses related to U.S. federal, state and local and foreign income taxes, impairment losses or recoveries, and the effects of accounting changes and discontinued operations. Similarly, although Income before impairment losses and recoveries is used as a financial measure to assess the performance of the business, its use is limited because it does not consider impairment losses or recoveries. Because Adjusted EBITDA and Income before impairment losses and recoveries do not consider the above items, a user of Viads financial information should consider net income and income from continuing operations, respectively, as important measures of financial performance because they provide more complete measures of the Companys performance. </w:t>
      </w:r>
    </w:p>
    <w:p>
      <w:pPr>
        <w:pStyle w:val="TextBody"/>
        <w:spacing w:before="120" w:after="283"/>
        <w:jc w:val="left"/>
        <w:rPr/>
      </w:pPr>
      <w:r>
        <w:rPr/>
        <w:t>     </w:t>
      </w:r>
      <w:r>
        <w:rPr>
          <w:rFonts w:ascii="Times New Roman;Times;serif" w:hAnsi="Times New Roman;Times;serif"/>
          <w:sz w:val="17"/>
        </w:rPr>
        <w:t xml:space="preserve">A reconciliation of Adjusted EBITDA to net income for the three months ended March 31 is as follows: </w:t>
      </w:r>
    </w:p>
    <w:tbl>
      <w:tblPr>
        <w:tblW w:w="5000" w:type="pct"/>
        <w:jc w:val="center"/>
        <w:tblInd w:w="0" w:type="dxa"/>
        <w:tblCellMar>
          <w:top w:w="0" w:type="dxa"/>
          <w:left w:w="0" w:type="dxa"/>
          <w:bottom w:w="0" w:type="dxa"/>
          <w:right w:w="0" w:type="dxa"/>
        </w:tblCellMar>
      </w:tblPr>
      <w:tblGrid>
        <w:gridCol w:w="7325"/>
        <w:gridCol w:w="479"/>
        <w:gridCol w:w="140"/>
        <w:gridCol w:w="695"/>
        <w:gridCol w:w="124"/>
        <w:gridCol w:w="479"/>
        <w:gridCol w:w="140"/>
        <w:gridCol w:w="695"/>
        <w:gridCol w:w="128"/>
      </w:tblGrid>
      <w:tr>
        <w:trPr/>
        <w:tc>
          <w:tcPr>
            <w:tcW w:w="7325" w:type="dxa"/>
            <w:tcBorders/>
            <w:shd w:fill="auto" w:val="clear"/>
            <w:vAlign w:val="bottom"/>
          </w:tcPr>
          <w:p>
            <w:pPr>
              <w:pStyle w:val="TableContents"/>
              <w:spacing w:before="0" w:after="283"/>
              <w:rPr/>
            </w:pPr>
            <w:r>
              <w:rPr/>
              <w:t> </w:t>
            </w:r>
          </w:p>
        </w:tc>
        <w:tc>
          <w:tcPr>
            <w:tcW w:w="47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7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7325" w:type="dxa"/>
            <w:tcBorders/>
            <w:shd w:fill="auto" w:val="clear"/>
            <w:vAlign w:val="bottom"/>
          </w:tcPr>
          <w:p>
            <w:pPr>
              <w:pStyle w:val="TableContents"/>
              <w:spacing w:before="0" w:after="283"/>
              <w:rPr/>
            </w:pPr>
            <w:r>
              <w:rPr/>
              <w:t> </w:t>
            </w:r>
          </w:p>
        </w:tc>
        <w:tc>
          <w:tcPr>
            <w:tcW w:w="479" w:type="dxa"/>
            <w:tcBorders/>
            <w:shd w:fill="auto" w:val="clear"/>
            <w:vAlign w:val="bottom"/>
          </w:tcPr>
          <w:p>
            <w:pPr>
              <w:pStyle w:val="TableContents"/>
              <w:spacing w:before="0" w:after="283"/>
              <w:rPr/>
            </w:pPr>
            <w:r>
              <w:rPr/>
              <w:t> </w:t>
            </w:r>
          </w:p>
        </w:tc>
        <w:tc>
          <w:tcPr>
            <w:tcW w:w="83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24" w:type="dxa"/>
            <w:tcBorders/>
            <w:shd w:fill="auto" w:val="clear"/>
            <w:vAlign w:val="bottom"/>
          </w:tcPr>
          <w:p>
            <w:pPr>
              <w:pStyle w:val="TableContents"/>
              <w:spacing w:before="0" w:after="283"/>
              <w:rPr/>
            </w:pPr>
            <w:r>
              <w:rPr/>
              <w:t> </w:t>
            </w:r>
          </w:p>
        </w:tc>
        <w:tc>
          <w:tcPr>
            <w:tcW w:w="479" w:type="dxa"/>
            <w:tcBorders/>
            <w:shd w:fill="auto" w:val="clear"/>
            <w:vAlign w:val="bottom"/>
          </w:tcPr>
          <w:p>
            <w:pPr>
              <w:pStyle w:val="TableContents"/>
              <w:spacing w:before="0" w:after="283"/>
              <w:rPr/>
            </w:pPr>
            <w:r>
              <w:rPr/>
              <w:t> </w:t>
            </w:r>
          </w:p>
        </w:tc>
        <w:tc>
          <w:tcPr>
            <w:tcW w:w="83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28" w:type="dxa"/>
            <w:tcBorders/>
            <w:shd w:fill="auto" w:val="clear"/>
            <w:vAlign w:val="bottom"/>
          </w:tcPr>
          <w:p>
            <w:pPr>
              <w:pStyle w:val="TableContents"/>
              <w:spacing w:before="0" w:after="283"/>
              <w:rPr/>
            </w:pPr>
            <w:r>
              <w:rPr/>
              <w:t> </w:t>
            </w:r>
          </w:p>
        </w:tc>
      </w:tr>
      <w:tr>
        <w:trPr/>
        <w:tc>
          <w:tcPr>
            <w:tcW w:w="7325" w:type="dxa"/>
            <w:tcBorders/>
            <w:shd w:fill="auto" w:val="clear"/>
            <w:vAlign w:val="bottom"/>
          </w:tcPr>
          <w:p>
            <w:pPr>
              <w:pStyle w:val="TableContents"/>
              <w:spacing w:before="0" w:after="283"/>
              <w:rPr/>
            </w:pPr>
            <w:r>
              <w:rPr/>
              <w:t> </w:t>
            </w:r>
          </w:p>
        </w:tc>
        <w:tc>
          <w:tcPr>
            <w:tcW w:w="479" w:type="dxa"/>
            <w:tcBorders/>
            <w:shd w:fill="auto" w:val="clear"/>
            <w:vAlign w:val="bottom"/>
          </w:tcPr>
          <w:p>
            <w:pPr>
              <w:pStyle w:val="TableContents"/>
              <w:spacing w:before="0" w:after="283"/>
              <w:rPr/>
            </w:pPr>
            <w:r>
              <w:rPr/>
              <w:t> </w:t>
            </w:r>
          </w:p>
        </w:tc>
        <w:tc>
          <w:tcPr>
            <w:tcW w:w="2273" w:type="dxa"/>
            <w:gridSpan w:val="6"/>
            <w:tcBorders/>
            <w:shd w:fill="auto" w:val="clear"/>
            <w:vAlign w:val="bottom"/>
          </w:tcPr>
          <w:p>
            <w:pPr>
              <w:pStyle w:val="TableContents"/>
              <w:spacing w:before="0" w:after="283"/>
              <w:jc w:val="center"/>
              <w:rPr>
                <w:b/>
              </w:rPr>
            </w:pPr>
            <w:r>
              <w:rPr>
                <w:b/>
              </w:rPr>
              <w:t>(in thousands)</w:t>
            </w:r>
          </w:p>
        </w:tc>
        <w:tc>
          <w:tcPr>
            <w:tcW w:w="128" w:type="dxa"/>
            <w:tcBorders/>
            <w:shd w:fill="auto" w:val="clear"/>
            <w:vAlign w:val="bottom"/>
          </w:tcPr>
          <w:p>
            <w:pPr>
              <w:pStyle w:val="TableContents"/>
              <w:spacing w:before="0" w:after="283"/>
              <w:rPr/>
            </w:pPr>
            <w:r>
              <w:rPr/>
              <w:t> </w:t>
            </w:r>
          </w:p>
        </w:tc>
      </w:tr>
      <w:tr>
        <w:trPr/>
        <w:tc>
          <w:tcPr>
            <w:tcW w:w="7325" w:type="dxa"/>
            <w:tcBorders/>
            <w:shd w:fill="CCEEFF" w:val="clear"/>
            <w:vAlign w:val="bottom"/>
          </w:tcPr>
          <w:p>
            <w:pPr>
              <w:pStyle w:val="TableContents"/>
              <w:spacing w:before="0" w:after="0"/>
              <w:ind w:left="225" w:right="0" w:hanging="225"/>
              <w:rPr/>
            </w:pPr>
            <w:r>
              <w:rPr/>
              <w:t>Adjusted EBITDA</w:t>
            </w:r>
          </w:p>
        </w:tc>
        <w:tc>
          <w:tcPr>
            <w:tcW w:w="47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5" w:type="dxa"/>
            <w:tcBorders/>
            <w:shd w:fill="CCEEFF" w:val="clear"/>
            <w:vAlign w:val="bottom"/>
          </w:tcPr>
          <w:p>
            <w:pPr>
              <w:pStyle w:val="TableContents"/>
              <w:spacing w:before="0" w:after="283"/>
              <w:jc w:val="right"/>
              <w:rPr/>
            </w:pPr>
            <w:r>
              <w:rPr/>
              <w:t>26,082</w:t>
            </w:r>
          </w:p>
        </w:tc>
        <w:tc>
          <w:tcPr>
            <w:tcW w:w="124" w:type="dxa"/>
            <w:tcBorders/>
            <w:shd w:fill="CCEEFF" w:val="clear"/>
            <w:vAlign w:val="bottom"/>
          </w:tcPr>
          <w:p>
            <w:pPr>
              <w:pStyle w:val="TableContents"/>
              <w:spacing w:before="0" w:after="283"/>
              <w:rPr/>
            </w:pPr>
            <w:r>
              <w:rPr/>
              <w:t> </w:t>
            </w:r>
          </w:p>
        </w:tc>
        <w:tc>
          <w:tcPr>
            <w:tcW w:w="47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5" w:type="dxa"/>
            <w:tcBorders/>
            <w:shd w:fill="CCEEFF" w:val="clear"/>
            <w:vAlign w:val="bottom"/>
          </w:tcPr>
          <w:p>
            <w:pPr>
              <w:pStyle w:val="TableContents"/>
              <w:spacing w:before="0" w:after="283"/>
              <w:jc w:val="right"/>
              <w:rPr/>
            </w:pPr>
            <w:r>
              <w:rPr/>
              <w:t>27,139</w:t>
            </w:r>
          </w:p>
        </w:tc>
        <w:tc>
          <w:tcPr>
            <w:tcW w:w="128" w:type="dxa"/>
            <w:tcBorders/>
            <w:shd w:fill="CCEEFF" w:val="clear"/>
            <w:vAlign w:val="bottom"/>
          </w:tcPr>
          <w:p>
            <w:pPr>
              <w:pStyle w:val="TableContents"/>
              <w:spacing w:before="0" w:after="283"/>
              <w:rPr/>
            </w:pPr>
            <w:r>
              <w:rPr/>
              <w:t> </w:t>
            </w:r>
          </w:p>
        </w:tc>
      </w:tr>
      <w:tr>
        <w:trPr/>
        <w:tc>
          <w:tcPr>
            <w:tcW w:w="7325" w:type="dxa"/>
            <w:tcBorders/>
            <w:shd w:fill="auto" w:val="clear"/>
            <w:vAlign w:val="bottom"/>
          </w:tcPr>
          <w:p>
            <w:pPr>
              <w:pStyle w:val="TableContents"/>
              <w:spacing w:before="0" w:after="0"/>
              <w:ind w:left="225" w:right="0" w:hanging="225"/>
              <w:rPr/>
            </w:pPr>
            <w:r>
              <w:rPr/>
              <w:t>Interest expense</w:t>
            </w:r>
          </w:p>
        </w:tc>
        <w:tc>
          <w:tcPr>
            <w:tcW w:w="47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5" w:type="dxa"/>
            <w:tcBorders/>
            <w:shd w:fill="auto" w:val="clear"/>
            <w:vAlign w:val="bottom"/>
          </w:tcPr>
          <w:p>
            <w:pPr>
              <w:pStyle w:val="TableContents"/>
              <w:spacing w:before="0" w:after="283"/>
              <w:jc w:val="right"/>
              <w:rPr/>
            </w:pPr>
            <w:r>
              <w:rPr/>
              <w:t>(366</w:t>
            </w:r>
          </w:p>
        </w:tc>
        <w:tc>
          <w:tcPr>
            <w:tcW w:w="124" w:type="dxa"/>
            <w:tcBorders/>
            <w:shd w:fill="auto" w:val="clear"/>
            <w:vAlign w:val="bottom"/>
          </w:tcPr>
          <w:p>
            <w:pPr>
              <w:pStyle w:val="TableContents"/>
              <w:spacing w:before="0" w:after="283"/>
              <w:rPr/>
            </w:pPr>
            <w:r>
              <w:rPr/>
              <w:t>)</w:t>
            </w:r>
          </w:p>
        </w:tc>
        <w:tc>
          <w:tcPr>
            <w:tcW w:w="47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5" w:type="dxa"/>
            <w:tcBorders/>
            <w:shd w:fill="auto" w:val="clear"/>
            <w:vAlign w:val="bottom"/>
          </w:tcPr>
          <w:p>
            <w:pPr>
              <w:pStyle w:val="TableContents"/>
              <w:spacing w:before="0" w:after="283"/>
              <w:jc w:val="right"/>
              <w:rPr/>
            </w:pPr>
            <w:r>
              <w:rPr/>
              <w:t>(557</w:t>
            </w:r>
          </w:p>
        </w:tc>
        <w:tc>
          <w:tcPr>
            <w:tcW w:w="128" w:type="dxa"/>
            <w:tcBorders/>
            <w:shd w:fill="auto" w:val="clear"/>
            <w:vAlign w:val="bottom"/>
          </w:tcPr>
          <w:p>
            <w:pPr>
              <w:pStyle w:val="TableContents"/>
              <w:spacing w:before="0" w:after="283"/>
              <w:rPr/>
            </w:pPr>
            <w:r>
              <w:rPr/>
              <w:t>)</w:t>
            </w:r>
          </w:p>
        </w:tc>
      </w:tr>
      <w:tr>
        <w:trPr/>
        <w:tc>
          <w:tcPr>
            <w:tcW w:w="7325" w:type="dxa"/>
            <w:tcBorders/>
            <w:shd w:fill="CCEEFF" w:val="clear"/>
            <w:vAlign w:val="bottom"/>
          </w:tcPr>
          <w:p>
            <w:pPr>
              <w:pStyle w:val="TableContents"/>
              <w:spacing w:before="0" w:after="0"/>
              <w:ind w:left="225" w:right="0" w:hanging="225"/>
              <w:rPr/>
            </w:pPr>
            <w:r>
              <w:rPr/>
              <w:t>Income taxes</w:t>
            </w:r>
          </w:p>
        </w:tc>
        <w:tc>
          <w:tcPr>
            <w:tcW w:w="47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695" w:type="dxa"/>
            <w:tcBorders/>
            <w:shd w:fill="CCEEFF" w:val="clear"/>
            <w:vAlign w:val="bottom"/>
          </w:tcPr>
          <w:p>
            <w:pPr>
              <w:pStyle w:val="TableContents"/>
              <w:spacing w:before="0" w:after="283"/>
              <w:jc w:val="right"/>
              <w:rPr/>
            </w:pPr>
            <w:r>
              <w:rPr/>
              <w:t>(7,979</w:t>
            </w:r>
          </w:p>
        </w:tc>
        <w:tc>
          <w:tcPr>
            <w:tcW w:w="124" w:type="dxa"/>
            <w:tcBorders/>
            <w:shd w:fill="CCEEFF" w:val="clear"/>
            <w:vAlign w:val="bottom"/>
          </w:tcPr>
          <w:p>
            <w:pPr>
              <w:pStyle w:val="TableContents"/>
              <w:spacing w:before="0" w:after="283"/>
              <w:rPr/>
            </w:pPr>
            <w:r>
              <w:rPr/>
              <w:t>)</w:t>
            </w:r>
          </w:p>
        </w:tc>
        <w:tc>
          <w:tcPr>
            <w:tcW w:w="47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695" w:type="dxa"/>
            <w:tcBorders/>
            <w:shd w:fill="CCEEFF" w:val="clear"/>
            <w:vAlign w:val="bottom"/>
          </w:tcPr>
          <w:p>
            <w:pPr>
              <w:pStyle w:val="TableContents"/>
              <w:spacing w:before="0" w:after="283"/>
              <w:jc w:val="right"/>
              <w:rPr/>
            </w:pPr>
            <w:r>
              <w:rPr/>
              <w:t>(8,163</w:t>
            </w:r>
          </w:p>
        </w:tc>
        <w:tc>
          <w:tcPr>
            <w:tcW w:w="128" w:type="dxa"/>
            <w:tcBorders/>
            <w:shd w:fill="CCEEFF" w:val="clear"/>
            <w:vAlign w:val="bottom"/>
          </w:tcPr>
          <w:p>
            <w:pPr>
              <w:pStyle w:val="TableContents"/>
              <w:spacing w:before="0" w:after="283"/>
              <w:rPr/>
            </w:pPr>
            <w:r>
              <w:rPr/>
              <w:t>)</w:t>
            </w:r>
          </w:p>
        </w:tc>
      </w:tr>
      <w:tr>
        <w:trPr/>
        <w:tc>
          <w:tcPr>
            <w:tcW w:w="7325" w:type="dxa"/>
            <w:tcBorders/>
            <w:shd w:fill="auto" w:val="clear"/>
            <w:vAlign w:val="bottom"/>
          </w:tcPr>
          <w:p>
            <w:pPr>
              <w:pStyle w:val="TableContents"/>
              <w:spacing w:before="0" w:after="0"/>
              <w:ind w:left="225" w:right="0" w:hanging="225"/>
              <w:rPr/>
            </w:pPr>
            <w:r>
              <w:rPr/>
              <w:t>Depreciation and amortization</w:t>
            </w:r>
          </w:p>
        </w:tc>
        <w:tc>
          <w:tcPr>
            <w:tcW w:w="47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5" w:type="dxa"/>
            <w:tcBorders/>
            <w:shd w:fill="auto" w:val="clear"/>
            <w:vAlign w:val="bottom"/>
          </w:tcPr>
          <w:p>
            <w:pPr>
              <w:pStyle w:val="TableContents"/>
              <w:spacing w:before="0" w:after="283"/>
              <w:jc w:val="right"/>
              <w:rPr/>
            </w:pPr>
            <w:r>
              <w:rPr/>
              <w:t>(4,823</w:t>
            </w:r>
          </w:p>
        </w:tc>
        <w:tc>
          <w:tcPr>
            <w:tcW w:w="124" w:type="dxa"/>
            <w:tcBorders/>
            <w:shd w:fill="auto" w:val="clear"/>
            <w:vAlign w:val="bottom"/>
          </w:tcPr>
          <w:p>
            <w:pPr>
              <w:pStyle w:val="TableContents"/>
              <w:spacing w:before="0" w:after="283"/>
              <w:rPr/>
            </w:pPr>
            <w:r>
              <w:rPr/>
              <w:t>)</w:t>
            </w:r>
          </w:p>
        </w:tc>
        <w:tc>
          <w:tcPr>
            <w:tcW w:w="47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5" w:type="dxa"/>
            <w:tcBorders/>
            <w:shd w:fill="auto" w:val="clear"/>
            <w:vAlign w:val="bottom"/>
          </w:tcPr>
          <w:p>
            <w:pPr>
              <w:pStyle w:val="TableContents"/>
              <w:spacing w:before="0" w:after="283"/>
              <w:jc w:val="right"/>
              <w:rPr/>
            </w:pPr>
            <w:r>
              <w:rPr/>
              <w:t>(5,994</w:t>
            </w:r>
          </w:p>
        </w:tc>
        <w:tc>
          <w:tcPr>
            <w:tcW w:w="128" w:type="dxa"/>
            <w:tcBorders/>
            <w:shd w:fill="auto" w:val="clear"/>
            <w:vAlign w:val="bottom"/>
          </w:tcPr>
          <w:p>
            <w:pPr>
              <w:pStyle w:val="TableContents"/>
              <w:spacing w:before="0" w:after="283"/>
              <w:rPr/>
            </w:pPr>
            <w:r>
              <w:rPr/>
              <w:t>)</w:t>
            </w:r>
          </w:p>
        </w:tc>
      </w:tr>
      <w:tr>
        <w:trPr/>
        <w:tc>
          <w:tcPr>
            <w:tcW w:w="7325" w:type="dxa"/>
            <w:tcBorders/>
            <w:shd w:fill="CCEEFF" w:val="clear"/>
            <w:vAlign w:val="bottom"/>
          </w:tcPr>
          <w:p>
            <w:pPr>
              <w:pStyle w:val="TableContents"/>
              <w:spacing w:before="0" w:after="0"/>
              <w:ind w:left="225" w:right="0" w:hanging="225"/>
              <w:rPr/>
            </w:pPr>
            <w:r>
              <w:rPr/>
              <w:t>Impairment recoveries</w:t>
            </w:r>
          </w:p>
        </w:tc>
        <w:tc>
          <w:tcPr>
            <w:tcW w:w="47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843</w:t>
            </w:r>
          </w:p>
        </w:tc>
        <w:tc>
          <w:tcPr>
            <w:tcW w:w="124" w:type="dxa"/>
            <w:tcBorders/>
            <w:shd w:fill="CCEEFF" w:val="clear"/>
            <w:vAlign w:val="bottom"/>
          </w:tcPr>
          <w:p>
            <w:pPr>
              <w:pStyle w:val="TableContents"/>
              <w:spacing w:before="0" w:after="283"/>
              <w:rPr/>
            </w:pPr>
            <w:r>
              <w:rPr/>
              <w:t> </w:t>
            </w:r>
          </w:p>
        </w:tc>
        <w:tc>
          <w:tcPr>
            <w:tcW w:w="47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r>
      <w:tr>
        <w:trPr/>
        <w:tc>
          <w:tcPr>
            <w:tcW w:w="7325" w:type="dxa"/>
            <w:tcBorders/>
            <w:shd w:fill="auto" w:val="clear"/>
            <w:vAlign w:val="bottom"/>
          </w:tcPr>
          <w:p>
            <w:pPr>
              <w:pStyle w:val="TableContents"/>
              <w:spacing w:before="0" w:after="0"/>
              <w:ind w:left="225" w:right="0" w:hanging="225"/>
              <w:rPr/>
            </w:pPr>
            <w:r>
              <w:rPr/>
              <w:t>Loss from discontinued operations</w:t>
            </w:r>
          </w:p>
        </w:tc>
        <w:tc>
          <w:tcPr>
            <w:tcW w:w="47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5" w:type="dxa"/>
            <w:tcBorders/>
            <w:shd w:fill="auto" w:val="clear"/>
            <w:vAlign w:val="bottom"/>
          </w:tcPr>
          <w:p>
            <w:pPr>
              <w:pStyle w:val="TableContents"/>
              <w:spacing w:before="0" w:after="283"/>
              <w:jc w:val="right"/>
              <w:rPr/>
            </w:pPr>
            <w:r>
              <w:rPr/>
              <w:t>(149</w:t>
            </w:r>
          </w:p>
        </w:tc>
        <w:tc>
          <w:tcPr>
            <w:tcW w:w="124" w:type="dxa"/>
            <w:tcBorders/>
            <w:shd w:fill="auto" w:val="clear"/>
            <w:vAlign w:val="bottom"/>
          </w:tcPr>
          <w:p>
            <w:pPr>
              <w:pStyle w:val="TableContents"/>
              <w:spacing w:before="0" w:after="283"/>
              <w:rPr/>
            </w:pPr>
            <w:r>
              <w:rPr/>
              <w:t>)</w:t>
            </w:r>
          </w:p>
        </w:tc>
        <w:tc>
          <w:tcPr>
            <w:tcW w:w="47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5" w:type="dxa"/>
            <w:tcBorders/>
            <w:shd w:fill="auto" w:val="clear"/>
            <w:vAlign w:val="bottom"/>
          </w:tcPr>
          <w:p>
            <w:pPr>
              <w:pStyle w:val="TableContents"/>
              <w:spacing w:before="0" w:after="283"/>
              <w:jc w:val="right"/>
              <w:rPr/>
            </w:pPr>
            <w:r>
              <w:rPr/>
              <w:t>(227</w:t>
            </w:r>
          </w:p>
        </w:tc>
        <w:tc>
          <w:tcPr>
            <w:tcW w:w="128" w:type="dxa"/>
            <w:tcBorders/>
            <w:shd w:fill="auto" w:val="clear"/>
            <w:vAlign w:val="bottom"/>
          </w:tcPr>
          <w:p>
            <w:pPr>
              <w:pStyle w:val="TableContents"/>
              <w:spacing w:before="0" w:after="283"/>
              <w:rPr/>
            </w:pPr>
            <w:r>
              <w:rPr/>
              <w:t>)</w:t>
            </w:r>
          </w:p>
        </w:tc>
      </w:tr>
      <w:tr>
        <w:trPr/>
        <w:tc>
          <w:tcPr>
            <w:tcW w:w="7325" w:type="dxa"/>
            <w:tcBorders/>
            <w:shd w:fill="auto" w:val="clear"/>
            <w:vAlign w:val="center"/>
          </w:tcPr>
          <w:p>
            <w:pPr>
              <w:pStyle w:val="TableContents"/>
              <w:spacing w:before="0" w:after="0"/>
              <w:ind w:left="225" w:right="0" w:hanging="225"/>
              <w:rPr/>
            </w:pPr>
            <w:r>
              <w:rPr/>
              <w:t> </w:t>
            </w:r>
          </w:p>
        </w:tc>
        <w:tc>
          <w:tcPr>
            <w:tcW w:w="479" w:type="dxa"/>
            <w:tcBorders/>
            <w:shd w:fill="auto" w:val="clear"/>
            <w:vAlign w:val="center"/>
          </w:tcPr>
          <w:p>
            <w:pPr>
              <w:pStyle w:val="TableContents"/>
              <w:spacing w:before="0" w:after="283"/>
              <w:rPr/>
            </w:pPr>
            <w:r>
              <w:rPr/>
              <w:t> </w:t>
            </w:r>
          </w:p>
        </w:tc>
        <w:tc>
          <w:tcPr>
            <w:tcW w:w="8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479" w:type="dxa"/>
            <w:tcBorders/>
            <w:shd w:fill="auto" w:val="clear"/>
            <w:vAlign w:val="center"/>
          </w:tcPr>
          <w:p>
            <w:pPr>
              <w:pStyle w:val="TableContents"/>
              <w:spacing w:before="0" w:after="283"/>
              <w:rPr/>
            </w:pPr>
            <w:r>
              <w:rPr/>
              <w:t> </w:t>
            </w:r>
          </w:p>
        </w:tc>
        <w:tc>
          <w:tcPr>
            <w:tcW w:w="8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r>
        <w:trPr/>
        <w:tc>
          <w:tcPr>
            <w:tcW w:w="7325" w:type="dxa"/>
            <w:tcBorders/>
            <w:shd w:fill="CCEEFF" w:val="clear"/>
            <w:vAlign w:val="bottom"/>
          </w:tcPr>
          <w:p>
            <w:pPr>
              <w:pStyle w:val="TableContents"/>
              <w:spacing w:before="0" w:after="0"/>
              <w:ind w:left="225" w:right="0" w:hanging="225"/>
              <w:rPr/>
            </w:pPr>
            <w:r>
              <w:rPr/>
              <w:t>Net income</w:t>
            </w:r>
          </w:p>
        </w:tc>
        <w:tc>
          <w:tcPr>
            <w:tcW w:w="47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5" w:type="dxa"/>
            <w:tcBorders/>
            <w:shd w:fill="CCEEFF" w:val="clear"/>
            <w:vAlign w:val="bottom"/>
          </w:tcPr>
          <w:p>
            <w:pPr>
              <w:pStyle w:val="TableContents"/>
              <w:spacing w:before="0" w:after="283"/>
              <w:jc w:val="right"/>
              <w:rPr/>
            </w:pPr>
            <w:r>
              <w:rPr/>
              <w:t>13,608</w:t>
            </w:r>
          </w:p>
        </w:tc>
        <w:tc>
          <w:tcPr>
            <w:tcW w:w="124" w:type="dxa"/>
            <w:tcBorders/>
            <w:shd w:fill="CCEEFF" w:val="clear"/>
            <w:vAlign w:val="bottom"/>
          </w:tcPr>
          <w:p>
            <w:pPr>
              <w:pStyle w:val="TableContents"/>
              <w:spacing w:before="0" w:after="283"/>
              <w:rPr/>
            </w:pPr>
            <w:r>
              <w:rPr/>
              <w:t> </w:t>
            </w:r>
          </w:p>
        </w:tc>
        <w:tc>
          <w:tcPr>
            <w:tcW w:w="47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5" w:type="dxa"/>
            <w:tcBorders/>
            <w:shd w:fill="CCEEFF" w:val="clear"/>
            <w:vAlign w:val="bottom"/>
          </w:tcPr>
          <w:p>
            <w:pPr>
              <w:pStyle w:val="TableContents"/>
              <w:spacing w:before="0" w:after="283"/>
              <w:jc w:val="right"/>
              <w:rPr/>
            </w:pPr>
            <w:r>
              <w:rPr/>
              <w:t>12,198</w:t>
            </w:r>
          </w:p>
        </w:tc>
        <w:tc>
          <w:tcPr>
            <w:tcW w:w="128" w:type="dxa"/>
            <w:tcBorders/>
            <w:shd w:fill="CCEEFF" w:val="clear"/>
            <w:vAlign w:val="bottom"/>
          </w:tcPr>
          <w:p>
            <w:pPr>
              <w:pStyle w:val="TableContents"/>
              <w:spacing w:before="0" w:after="283"/>
              <w:rPr/>
            </w:pPr>
            <w:r>
              <w:rPr/>
              <w:t> </w:t>
            </w:r>
          </w:p>
        </w:tc>
      </w:tr>
      <w:tr>
        <w:trPr/>
        <w:tc>
          <w:tcPr>
            <w:tcW w:w="7325" w:type="dxa"/>
            <w:tcBorders/>
            <w:shd w:fill="auto" w:val="clear"/>
            <w:vAlign w:val="center"/>
          </w:tcPr>
          <w:p>
            <w:pPr>
              <w:pStyle w:val="TableContents"/>
              <w:spacing w:before="0" w:after="0"/>
              <w:ind w:left="225" w:right="0" w:hanging="225"/>
              <w:rPr/>
            </w:pPr>
            <w:r>
              <w:rPr/>
              <w:t> </w:t>
            </w:r>
          </w:p>
        </w:tc>
        <w:tc>
          <w:tcPr>
            <w:tcW w:w="479" w:type="dxa"/>
            <w:tcBorders/>
            <w:shd w:fill="auto" w:val="clear"/>
            <w:vAlign w:val="center"/>
          </w:tcPr>
          <w:p>
            <w:pPr>
              <w:pStyle w:val="TableContents"/>
              <w:spacing w:before="0" w:after="283"/>
              <w:rPr/>
            </w:pPr>
            <w:r>
              <w:rPr/>
              <w:t> </w:t>
            </w:r>
          </w:p>
        </w:tc>
        <w:tc>
          <w:tcPr>
            <w:tcW w:w="8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479" w:type="dxa"/>
            <w:tcBorders/>
            <w:shd w:fill="auto" w:val="clear"/>
            <w:vAlign w:val="center"/>
          </w:tcPr>
          <w:p>
            <w:pPr>
              <w:pStyle w:val="TableContents"/>
              <w:spacing w:before="0" w:after="283"/>
              <w:rPr/>
            </w:pPr>
            <w:r>
              <w:rPr/>
              <w:t> </w:t>
            </w:r>
          </w:p>
        </w:tc>
        <w:tc>
          <w:tcPr>
            <w:tcW w:w="8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decrease in Adjusted EBITDA of $1.1 million for the first quarter of 2006 compared to the first quarter of 2005 was driven by lower segment operating results at GES and Exhibitgroup. Partially offsetting this was the gain on sale of certain corporate assets, higher interest income and lower corporate activities costs. </w:t>
      </w:r>
    </w:p>
    <w:p>
      <w:pPr>
        <w:pStyle w:val="TextBody"/>
        <w:spacing w:before="120" w:after="283"/>
        <w:jc w:val="left"/>
        <w:rPr/>
      </w:pPr>
      <w:r>
        <w:rPr/>
        <w:t>     </w:t>
      </w:r>
      <w:r>
        <w:rPr>
          <w:rFonts w:ascii="Times New Roman;Times;serif" w:hAnsi="Times New Roman;Times;serif"/>
          <w:sz w:val="17"/>
        </w:rPr>
        <w:t xml:space="preserve">A reconciliation of Income before impairment losses and recoveries to income from continuing operations for the three months ended March 31 is as follows: </w:t>
      </w:r>
    </w:p>
    <w:tbl>
      <w:tblPr>
        <w:tblW w:w="5000" w:type="pct"/>
        <w:jc w:val="center"/>
        <w:tblInd w:w="0" w:type="dxa"/>
        <w:tblCellMar>
          <w:top w:w="0" w:type="dxa"/>
          <w:left w:w="0" w:type="dxa"/>
          <w:bottom w:w="0" w:type="dxa"/>
          <w:right w:w="0" w:type="dxa"/>
        </w:tblCellMar>
      </w:tblPr>
      <w:tblGrid>
        <w:gridCol w:w="7309"/>
        <w:gridCol w:w="481"/>
        <w:gridCol w:w="143"/>
        <w:gridCol w:w="708"/>
        <w:gridCol w:w="113"/>
        <w:gridCol w:w="481"/>
        <w:gridCol w:w="143"/>
        <w:gridCol w:w="708"/>
        <w:gridCol w:w="119"/>
      </w:tblGrid>
      <w:tr>
        <w:trPr/>
        <w:tc>
          <w:tcPr>
            <w:tcW w:w="7309"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7309"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85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3"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85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19" w:type="dxa"/>
            <w:tcBorders/>
            <w:shd w:fill="auto" w:val="clear"/>
            <w:vAlign w:val="bottom"/>
          </w:tcPr>
          <w:p>
            <w:pPr>
              <w:pStyle w:val="TableContents"/>
              <w:spacing w:before="0" w:after="283"/>
              <w:rPr/>
            </w:pPr>
            <w:r>
              <w:rPr/>
              <w:t> </w:t>
            </w:r>
          </w:p>
        </w:tc>
      </w:tr>
      <w:tr>
        <w:trPr/>
        <w:tc>
          <w:tcPr>
            <w:tcW w:w="7309"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2296" w:type="dxa"/>
            <w:gridSpan w:val="6"/>
            <w:tcBorders/>
            <w:shd w:fill="auto" w:val="clear"/>
            <w:vAlign w:val="bottom"/>
          </w:tcPr>
          <w:p>
            <w:pPr>
              <w:pStyle w:val="TableContents"/>
              <w:spacing w:before="0" w:after="283"/>
              <w:jc w:val="center"/>
              <w:rPr>
                <w:b/>
              </w:rPr>
            </w:pPr>
            <w:r>
              <w:rPr>
                <w:b/>
              </w:rPr>
              <w:t>(in thousands)</w:t>
            </w:r>
          </w:p>
        </w:tc>
        <w:tc>
          <w:tcPr>
            <w:tcW w:w="119" w:type="dxa"/>
            <w:tcBorders/>
            <w:shd w:fill="auto" w:val="clear"/>
            <w:vAlign w:val="bottom"/>
          </w:tcPr>
          <w:p>
            <w:pPr>
              <w:pStyle w:val="TableContents"/>
              <w:spacing w:before="0" w:after="283"/>
              <w:rPr/>
            </w:pPr>
            <w:r>
              <w:rPr/>
              <w:t> </w:t>
            </w:r>
          </w:p>
        </w:tc>
      </w:tr>
      <w:tr>
        <w:trPr/>
        <w:tc>
          <w:tcPr>
            <w:tcW w:w="7309" w:type="dxa"/>
            <w:tcBorders/>
            <w:shd w:fill="CCEEFF" w:val="clear"/>
            <w:vAlign w:val="bottom"/>
          </w:tcPr>
          <w:p>
            <w:pPr>
              <w:pStyle w:val="TableContents"/>
              <w:spacing w:before="0" w:after="0"/>
              <w:ind w:left="225" w:right="0" w:hanging="225"/>
              <w:rPr/>
            </w:pPr>
            <w:r>
              <w:rPr/>
              <w:t>Income before impairment losses and recoveries</w:t>
            </w:r>
          </w:p>
        </w:tc>
        <w:tc>
          <w:tcPr>
            <w:tcW w:w="48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w:t>
            </w:r>
          </w:p>
        </w:tc>
        <w:tc>
          <w:tcPr>
            <w:tcW w:w="708" w:type="dxa"/>
            <w:tcBorders/>
            <w:shd w:fill="CCEEFF" w:val="clear"/>
            <w:vAlign w:val="bottom"/>
          </w:tcPr>
          <w:p>
            <w:pPr>
              <w:pStyle w:val="TableContents"/>
              <w:spacing w:before="0" w:after="283"/>
              <w:jc w:val="right"/>
              <w:rPr/>
            </w:pPr>
            <w:r>
              <w:rPr/>
              <w:t>13,249</w:t>
            </w:r>
          </w:p>
        </w:tc>
        <w:tc>
          <w:tcPr>
            <w:tcW w:w="113" w:type="dxa"/>
            <w:tcBorders/>
            <w:shd w:fill="CCEEFF" w:val="clear"/>
            <w:vAlign w:val="bottom"/>
          </w:tcPr>
          <w:p>
            <w:pPr>
              <w:pStyle w:val="TableContents"/>
              <w:spacing w:before="0" w:after="283"/>
              <w:rPr/>
            </w:pPr>
            <w:r>
              <w:rPr/>
              <w:t> </w:t>
            </w:r>
          </w:p>
        </w:tc>
        <w:tc>
          <w:tcPr>
            <w:tcW w:w="48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w:t>
            </w:r>
          </w:p>
        </w:tc>
        <w:tc>
          <w:tcPr>
            <w:tcW w:w="708" w:type="dxa"/>
            <w:tcBorders/>
            <w:shd w:fill="CCEEFF" w:val="clear"/>
            <w:vAlign w:val="bottom"/>
          </w:tcPr>
          <w:p>
            <w:pPr>
              <w:pStyle w:val="TableContents"/>
              <w:spacing w:before="0" w:after="283"/>
              <w:jc w:val="right"/>
              <w:rPr/>
            </w:pPr>
            <w:r>
              <w:rPr/>
              <w:t>12,425</w:t>
            </w:r>
          </w:p>
        </w:tc>
        <w:tc>
          <w:tcPr>
            <w:tcW w:w="119" w:type="dxa"/>
            <w:tcBorders/>
            <w:shd w:fill="CCEEFF" w:val="clear"/>
            <w:vAlign w:val="bottom"/>
          </w:tcPr>
          <w:p>
            <w:pPr>
              <w:pStyle w:val="TableContents"/>
              <w:spacing w:before="0" w:after="283"/>
              <w:rPr/>
            </w:pPr>
            <w:r>
              <w:rPr/>
              <w:t> </w:t>
            </w:r>
          </w:p>
        </w:tc>
      </w:tr>
      <w:tr>
        <w:trPr/>
        <w:tc>
          <w:tcPr>
            <w:tcW w:w="7309" w:type="dxa"/>
            <w:tcBorders/>
            <w:shd w:fill="auto" w:val="clear"/>
            <w:vAlign w:val="bottom"/>
          </w:tcPr>
          <w:p>
            <w:pPr>
              <w:pStyle w:val="TableContents"/>
              <w:spacing w:before="0" w:after="0"/>
              <w:ind w:left="225" w:right="0" w:hanging="225"/>
              <w:rPr/>
            </w:pPr>
            <w:r>
              <w:rPr/>
              <w:t>Impairment recoveries, net of tax</w:t>
            </w:r>
          </w:p>
        </w:tc>
        <w:tc>
          <w:tcPr>
            <w:tcW w:w="48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pPr>
            <w:r>
              <w:rPr/>
              <w:t>508</w:t>
            </w:r>
          </w:p>
        </w:tc>
        <w:tc>
          <w:tcPr>
            <w:tcW w:w="113"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pPr>
            <w:r>
              <w:rPr/>
              <w:t></w:t>
            </w:r>
          </w:p>
        </w:tc>
        <w:tc>
          <w:tcPr>
            <w:tcW w:w="119" w:type="dxa"/>
            <w:tcBorders/>
            <w:shd w:fill="auto" w:val="clear"/>
            <w:vAlign w:val="bottom"/>
          </w:tcPr>
          <w:p>
            <w:pPr>
              <w:pStyle w:val="TableContents"/>
              <w:spacing w:before="0" w:after="283"/>
              <w:rPr/>
            </w:pPr>
            <w:r>
              <w:rPr/>
              <w:t> </w:t>
            </w:r>
          </w:p>
        </w:tc>
      </w:tr>
      <w:tr>
        <w:trPr/>
        <w:tc>
          <w:tcPr>
            <w:tcW w:w="7309" w:type="dxa"/>
            <w:tcBorders/>
            <w:shd w:fill="auto" w:val="clear"/>
            <w:vAlign w:val="center"/>
          </w:tcPr>
          <w:p>
            <w:pPr>
              <w:pStyle w:val="TableContents"/>
              <w:spacing w:before="0" w:after="0"/>
              <w:ind w:left="225" w:right="0" w:hanging="225"/>
              <w:rPr/>
            </w:pPr>
            <w:r>
              <w:rPr/>
              <w:t> </w:t>
            </w:r>
          </w:p>
        </w:tc>
        <w:tc>
          <w:tcPr>
            <w:tcW w:w="481" w:type="dxa"/>
            <w:tcBorders/>
            <w:shd w:fill="auto" w:val="clear"/>
            <w:vAlign w:val="center"/>
          </w:tcPr>
          <w:p>
            <w:pPr>
              <w:pStyle w:val="TableContents"/>
              <w:spacing w:before="0" w:after="283"/>
              <w:rPr/>
            </w:pPr>
            <w:r>
              <w:rPr/>
              <w:t> </w:t>
            </w:r>
          </w:p>
        </w:tc>
        <w:tc>
          <w:tcPr>
            <w:tcW w:w="8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481" w:type="dxa"/>
            <w:tcBorders/>
            <w:shd w:fill="auto" w:val="clear"/>
            <w:vAlign w:val="center"/>
          </w:tcPr>
          <w:p>
            <w:pPr>
              <w:pStyle w:val="TableContents"/>
              <w:spacing w:before="0" w:after="283"/>
              <w:rPr/>
            </w:pPr>
            <w:r>
              <w:rPr/>
              <w:t> </w:t>
            </w:r>
          </w:p>
        </w:tc>
        <w:tc>
          <w:tcPr>
            <w:tcW w:w="8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7309" w:type="dxa"/>
            <w:tcBorders/>
            <w:shd w:fill="CCEEFF" w:val="clear"/>
            <w:vAlign w:val="bottom"/>
          </w:tcPr>
          <w:p>
            <w:pPr>
              <w:pStyle w:val="TableContents"/>
              <w:spacing w:before="0" w:after="0"/>
              <w:ind w:left="225" w:right="0" w:hanging="225"/>
              <w:rPr/>
            </w:pPr>
            <w:r>
              <w:rPr/>
              <w:t>Income from continuing operations</w:t>
            </w:r>
          </w:p>
        </w:tc>
        <w:tc>
          <w:tcPr>
            <w:tcW w:w="48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w:t>
            </w:r>
          </w:p>
        </w:tc>
        <w:tc>
          <w:tcPr>
            <w:tcW w:w="708" w:type="dxa"/>
            <w:tcBorders/>
            <w:shd w:fill="CCEEFF" w:val="clear"/>
            <w:vAlign w:val="bottom"/>
          </w:tcPr>
          <w:p>
            <w:pPr>
              <w:pStyle w:val="TableContents"/>
              <w:spacing w:before="0" w:after="283"/>
              <w:jc w:val="right"/>
              <w:rPr/>
            </w:pPr>
            <w:r>
              <w:rPr/>
              <w:t>13,757</w:t>
            </w:r>
          </w:p>
        </w:tc>
        <w:tc>
          <w:tcPr>
            <w:tcW w:w="113" w:type="dxa"/>
            <w:tcBorders/>
            <w:shd w:fill="CCEEFF" w:val="clear"/>
            <w:vAlign w:val="bottom"/>
          </w:tcPr>
          <w:p>
            <w:pPr>
              <w:pStyle w:val="TableContents"/>
              <w:spacing w:before="0" w:after="283"/>
              <w:rPr/>
            </w:pPr>
            <w:r>
              <w:rPr/>
              <w:t> </w:t>
            </w:r>
          </w:p>
        </w:tc>
        <w:tc>
          <w:tcPr>
            <w:tcW w:w="48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w:t>
            </w:r>
          </w:p>
        </w:tc>
        <w:tc>
          <w:tcPr>
            <w:tcW w:w="708" w:type="dxa"/>
            <w:tcBorders/>
            <w:shd w:fill="CCEEFF" w:val="clear"/>
            <w:vAlign w:val="bottom"/>
          </w:tcPr>
          <w:p>
            <w:pPr>
              <w:pStyle w:val="TableContents"/>
              <w:spacing w:before="0" w:after="283"/>
              <w:jc w:val="right"/>
              <w:rPr/>
            </w:pPr>
            <w:r>
              <w:rPr/>
              <w:t>12,425</w:t>
            </w:r>
          </w:p>
        </w:tc>
        <w:tc>
          <w:tcPr>
            <w:tcW w:w="119" w:type="dxa"/>
            <w:tcBorders/>
            <w:shd w:fill="CCEEFF" w:val="clear"/>
            <w:vAlign w:val="bottom"/>
          </w:tcPr>
          <w:p>
            <w:pPr>
              <w:pStyle w:val="TableContents"/>
              <w:spacing w:before="0" w:after="283"/>
              <w:rPr/>
            </w:pPr>
            <w:r>
              <w:rPr/>
              <w:t> </w:t>
            </w:r>
          </w:p>
        </w:tc>
      </w:tr>
      <w:tr>
        <w:trPr/>
        <w:tc>
          <w:tcPr>
            <w:tcW w:w="7309" w:type="dxa"/>
            <w:tcBorders/>
            <w:shd w:fill="auto" w:val="clear"/>
            <w:vAlign w:val="center"/>
          </w:tcPr>
          <w:p>
            <w:pPr>
              <w:pStyle w:val="TableContents"/>
              <w:spacing w:before="0" w:after="0"/>
              <w:ind w:left="225" w:right="0" w:hanging="225"/>
              <w:rPr/>
            </w:pPr>
            <w:r>
              <w:rPr/>
              <w:t> </w:t>
            </w:r>
          </w:p>
        </w:tc>
        <w:tc>
          <w:tcPr>
            <w:tcW w:w="481" w:type="dxa"/>
            <w:tcBorders/>
            <w:shd w:fill="auto" w:val="clear"/>
            <w:vAlign w:val="center"/>
          </w:tcPr>
          <w:p>
            <w:pPr>
              <w:pStyle w:val="TableContents"/>
              <w:spacing w:before="0" w:after="283"/>
              <w:rPr/>
            </w:pPr>
            <w:r>
              <w:rPr/>
              <w:t> </w:t>
            </w:r>
          </w:p>
        </w:tc>
        <w:tc>
          <w:tcPr>
            <w:tcW w:w="8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481" w:type="dxa"/>
            <w:tcBorders/>
            <w:shd w:fill="auto" w:val="clear"/>
            <w:vAlign w:val="center"/>
          </w:tcPr>
          <w:p>
            <w:pPr>
              <w:pStyle w:val="TableContents"/>
              <w:spacing w:before="0" w:after="283"/>
              <w:rPr/>
            </w:pPr>
            <w:r>
              <w:rPr/>
              <w:t> </w:t>
            </w:r>
          </w:p>
        </w:tc>
        <w:tc>
          <w:tcPr>
            <w:tcW w:w="8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See Results of Operations below for a discussion of fluctuations in Income before impairment losses and recoveries. </w:t>
      </w:r>
    </w:p>
    <w:p>
      <w:pPr>
        <w:pStyle w:val="TextBody"/>
        <w:jc w:val="center"/>
        <w:rPr>
          <w:rFonts w:ascii="Times New Roman;Times;serif" w:hAnsi="Times New Roman;Times;serif"/>
          <w:sz w:val="17"/>
        </w:rPr>
      </w:pPr>
      <w:r>
        <w:rPr>
          <w:rFonts w:ascii="Times New Roman;Times;serif" w:hAnsi="Times New Roman;Times;serif"/>
          <w:sz w:val="17"/>
        </w:rPr>
        <w:t xml:space="preserve">Page 18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Results of Operations: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Comparison of First Quarter of 2006 to the First Quarter of 2005</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the first quarter of 2006, revenues decreased 6.3 percent from 2005 to $233.8 million from $249.5 million in the first quarter of 2005. The decrease was primarily due to negative show rotation at GES and lower revenue at Exhibitgroup. Income before income taxes was $21.7 million for the first quarter of 2006, compared to $20.6 million in the first quarter of 2005. During the first quarter of 2006, Viad recorded insurance recoveries of $843,000 ($508,000 after-tax) related to claims associated with losses incurred as a result of Hurricane Katrina and related events. Excluding these items, income before impairment losses and recoveries was $13.2 million compared to $12.4 million in the first quarter of 2005. Viads income from continuing operations for the first quarter of 2006 was $13.8 million, or $0.62 per diluted share, up from $12.4 million, or $0.56 per diluted share, in the first quarter of 2005. This improvement was largely the result of gains from the sale of certain corporate assets of $2.2 million after-tax, or $0.10 per diluted share, and favorable tax settlements of $1.0 million, or $0.05 per diluted share, somewhat offset by lower segment operating results at GES and Exhibitgroup. </w:t>
      </w:r>
    </w:p>
    <w:p>
      <w:pPr>
        <w:pStyle w:val="TextBody"/>
        <w:spacing w:before="120" w:after="283"/>
        <w:jc w:val="left"/>
        <w:rPr/>
      </w:pPr>
      <w:r>
        <w:rPr/>
        <w:t>     </w:t>
      </w:r>
      <w:r>
        <w:rPr>
          <w:rFonts w:ascii="Times New Roman;Times;serif" w:hAnsi="Times New Roman;Times;serif"/>
          <w:sz w:val="17"/>
        </w:rPr>
        <w:t xml:space="preserve">Net income for the first quarter of 2006 was $13.6 million, or $0.61 per diluted share, including a loss from discontinued operations of $149,000 relating to tax matters associated with previously sold operations. This compares to net income of $12.2 million, or $0.55 per diluted share, in the first quarter of 2005, which included a loss from discontinued operations of $227,000 related to tax matters associated with previously sold operations. </w:t>
      </w:r>
    </w:p>
    <w:p>
      <w:pPr>
        <w:pStyle w:val="TextBody"/>
        <w:spacing w:before="120" w:after="283"/>
        <w:jc w:val="left"/>
        <w:rPr/>
      </w:pPr>
      <w:r>
        <w:rPr/>
        <w:t>     </w:t>
      </w:r>
      <w:r>
        <w:rPr>
          <w:rFonts w:ascii="Times New Roman;Times;serif" w:hAnsi="Times New Roman;Times;serif"/>
          <w:b/>
          <w:sz w:val="17"/>
        </w:rPr>
        <w:t>GES</w:t>
      </w:r>
      <w:r>
        <w:rPr>
          <w:rFonts w:ascii="Times New Roman;Times;serif" w:hAnsi="Times New Roman;Times;serif"/>
          <w:sz w:val="17"/>
        </w:rPr>
        <w:t xml:space="preserve">. Revenues for GES were $194.1 million for the first quarter of 2006, down 2.1 percent from $198.4 million in the first quarter of 2005. The decline resulted from negative show rotation from several large shows. This was partially offset by strong base same-show growth and a slight increase in exhibitor exclusive revenue. </w:t>
      </w:r>
    </w:p>
    <w:p>
      <w:pPr>
        <w:pStyle w:val="TextBody"/>
        <w:spacing w:before="120" w:after="283"/>
        <w:jc w:val="left"/>
        <w:rPr/>
      </w:pPr>
      <w:r>
        <w:rPr/>
        <w:t>     </w:t>
      </w:r>
      <w:r>
        <w:rPr>
          <w:rFonts w:ascii="Times New Roman;Times;serif" w:hAnsi="Times New Roman;Times;serif"/>
          <w:sz w:val="17"/>
        </w:rPr>
        <w:t xml:space="preserve">Segment operating income was $22.4 million in the first quarter of 2006, down 16.2 percent from $26.8 million in the first quarter of 2005. Operating margins decreased to 11.5 percent in 2006 from 13.5 percent in 2005 due to negative show rotation revenue and higher performance-based incentive accruals. </w:t>
      </w:r>
    </w:p>
    <w:p>
      <w:pPr>
        <w:pStyle w:val="TextBody"/>
        <w:spacing w:before="120" w:after="283"/>
        <w:jc w:val="left"/>
        <w:rPr/>
      </w:pPr>
      <w:r>
        <w:rPr/>
        <w:t>     </w:t>
      </w:r>
      <w:r>
        <w:rPr>
          <w:rFonts w:ascii="Times New Roman;Times;serif" w:hAnsi="Times New Roman;Times;serif"/>
          <w:sz w:val="17"/>
        </w:rPr>
        <w:t xml:space="preserve">In general, the exhibition and event industry is experiencing signs of modest growth in terms of square footage and number of exhibitors. Management believes that further improvements in the economy and corporate earnings could lead to increased show spending. The prospects for individual shows tend to be driven by the success of the industry related to those shows. GES has a diversified revenue base and is generally insulated from industry specific trends. </w:t>
      </w:r>
    </w:p>
    <w:p>
      <w:pPr>
        <w:pStyle w:val="TextBody"/>
        <w:spacing w:before="120" w:after="283"/>
        <w:jc w:val="left"/>
        <w:rPr/>
      </w:pPr>
      <w:r>
        <w:rPr/>
        <w:t>     </w:t>
      </w:r>
      <w:r>
        <w:rPr>
          <w:rFonts w:ascii="Times New Roman;Times;serif" w:hAnsi="Times New Roman;Times;serif"/>
          <w:sz w:val="17"/>
        </w:rPr>
        <w:t xml:space="preserve">GES has been experiencing pressure on higher-margin material handling revenue as exhibitors use lighter weight exhibits and bring fewer products to the show floor. During the first quarter of 2006, GES saw a slight improvement in material handling revenue; however, management is uncertain as to whether this is the beginning of a trend or the result of strong performance on certain shows. Material handling revenue is a key driver in the official services contractor business model. Increases or decreases in the mix of material handling revenue could affect future operating margins. Management continues to emphasize cost containment, productivity improvements and revenue growth through greater market penetration into exhibitor elective spending. Management has also implemented a petroleum surcharge and is pursuing price increases. </w:t>
      </w:r>
    </w:p>
    <w:p>
      <w:pPr>
        <w:pStyle w:val="TextBody"/>
        <w:spacing w:before="120" w:after="283"/>
        <w:jc w:val="left"/>
        <w:rPr/>
      </w:pPr>
      <w:r>
        <w:rPr/>
        <w:t>     </w:t>
      </w:r>
      <w:r>
        <w:rPr>
          <w:rFonts w:ascii="Times New Roman;Times;serif" w:hAnsi="Times New Roman;Times;serif"/>
          <w:sz w:val="17"/>
        </w:rPr>
        <w:t xml:space="preserve">GES and Exhibitgroup are subject to multiple collective bargaining agreements that affect labor costs, about one-third of which expire each year. Although labor relations between the companies and labor are currently stable, disruptions during future contract negotiations could occur, with the possibility of an adverse impact on the operating results of GES and/or Exhibitgroup. </w:t>
      </w:r>
    </w:p>
    <w:p>
      <w:pPr>
        <w:pStyle w:val="TextBody"/>
        <w:spacing w:before="120" w:after="283"/>
        <w:jc w:val="left"/>
        <w:rPr/>
      </w:pPr>
      <w:r>
        <w:rPr/>
        <w:t>     </w:t>
      </w:r>
      <w:r>
        <w:rPr>
          <w:rFonts w:ascii="Times New Roman;Times;serif" w:hAnsi="Times New Roman;Times;serif"/>
          <w:b/>
          <w:sz w:val="17"/>
        </w:rPr>
        <w:t>Exhibitgroup</w:t>
      </w:r>
      <w:r>
        <w:rPr>
          <w:rFonts w:ascii="Times New Roman;Times;serif" w:hAnsi="Times New Roman;Times;serif"/>
          <w:sz w:val="17"/>
        </w:rPr>
        <w:t xml:space="preserve">. Revenues for Exhibitgroup were $34.7 million, down 25.2 percent in the first quarter of 2006 from $46.4 million in the first quarter of 2005. The decline in revenue was primarily due to negative show rotation, a shift in clients trade show program schedules and the loss of revenue from certain clients who were not re-signed in the second half of 2005. </w:t>
      </w:r>
    </w:p>
    <w:p>
      <w:pPr>
        <w:pStyle w:val="TextBody"/>
        <w:spacing w:before="120" w:after="283"/>
        <w:jc w:val="left"/>
        <w:rPr/>
      </w:pPr>
      <w:r>
        <w:rPr/>
        <w:t>     </w:t>
      </w:r>
      <w:r>
        <w:rPr>
          <w:rFonts w:ascii="Times New Roman;Times;serif" w:hAnsi="Times New Roman;Times;serif"/>
          <w:sz w:val="17"/>
        </w:rPr>
        <w:t xml:space="preserve">Segment operating loss was $3.0 million in the first quarter of 2006 compared to a loss of $1.8 million in 2005. Exhibitgroups operating results during the first quarter of 2006 were negatively impacted by the decline in revenue described above. </w:t>
      </w:r>
    </w:p>
    <w:p>
      <w:pPr>
        <w:pStyle w:val="TextBody"/>
        <w:spacing w:before="120" w:after="283"/>
        <w:jc w:val="left"/>
        <w:rPr/>
      </w:pPr>
      <w:r>
        <w:rPr/>
        <w:t>     </w:t>
      </w:r>
      <w:r>
        <w:rPr>
          <w:rFonts w:ascii="Times New Roman;Times;serif" w:hAnsi="Times New Roman;Times;serif"/>
          <w:sz w:val="17"/>
        </w:rPr>
        <w:t xml:space="preserve">Many exhibitors continue to reuse or refurbish existing exhibits rather than placing orders for new construction. Visibility over revenues continues to be poor and a sustained increase in customer marketing spending on new exhibit construction has not materialized to date. If the prolonged weakness in demand for new exhibits continues, future revenues could decline and operating income could be similarly affected. Management is focused on profitable revenue growth, cost control and productivity enhancements in order to improve profitability. </w:t>
      </w:r>
    </w:p>
    <w:p>
      <w:pPr>
        <w:pStyle w:val="TextBody"/>
        <w:spacing w:before="120" w:after="283"/>
        <w:jc w:val="left"/>
        <w:rPr/>
      </w:pPr>
      <w:r>
        <w:rPr/>
        <w:t>     </w:t>
      </w:r>
      <w:r>
        <w:rPr>
          <w:rFonts w:ascii="Times New Roman;Times;serif" w:hAnsi="Times New Roman;Times;serif"/>
          <w:b/>
          <w:sz w:val="17"/>
        </w:rPr>
        <w:t>Travel and Recreation Services</w:t>
      </w:r>
      <w:r>
        <w:rPr>
          <w:rFonts w:ascii="Times New Roman;Times;serif" w:hAnsi="Times New Roman;Times;serif"/>
          <w:sz w:val="17"/>
        </w:rPr>
        <w:t xml:space="preserve">. Revenues of the travel and recreation businesses were $4.9 million, an increase of 4.0 percent from $4.7 million in the first quarter of 2005. Segment operating loss was $1.7 million for the first quarter of 2006, which improved from a loss of $2.2 million in 2005. Due to its seasonal nature, the Travel and Recreation Services segment generates less than ten percent of its full year revenues during the first quarter. </w:t>
      </w:r>
    </w:p>
    <w:p>
      <w:pPr>
        <w:pStyle w:val="TextBody"/>
        <w:jc w:val="center"/>
        <w:rPr>
          <w:rFonts w:ascii="Times New Roman;Times;serif" w:hAnsi="Times New Roman;Times;serif"/>
          <w:sz w:val="17"/>
        </w:rPr>
      </w:pPr>
      <w:r>
        <w:rPr>
          <w:rFonts w:ascii="Times New Roman;Times;serif" w:hAnsi="Times New Roman;Times;serif"/>
          <w:sz w:val="17"/>
        </w:rPr>
        <w:t xml:space="preserve">Page 19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Glacier Park operates the concession portion of its business under a 25-year concession contract with the U.S. National Park Service (the Park Service) for Glacier National Park and a 42-year lease with the Canadian Government for Waterton Lakes National Park. Glacier Parks lease with the Canadian Government expires in 2010, with Glacier Park having an option to renew for two additional terms of 42 years each. The concession contract with the Park Service expires in December 2006 as the Park Service exercised its right to extend the contract that was to expire on December 31, 2005 for a one-year period and, in its sole discretion, may extend Glacier Parks concession contract for up to two additional years. At the time the Park Service begins the request for proposal process for the Glacier National Park concession contracts, Glacier Park intends to submit a proposal. Contract terms of 10, 15 or 20 years are possible, with a contract of 15 years being the most likely. If Glacier Parks contract expires and a new concessionaire is selected by the Park Service, Glacier Parks business would consist of the operations at Waterton Lakes National Park and East Glacier, Montana, which are not part of the Park Service concession contract. In such a circumstance, Glacier Park would be entitled to an amount equal to its possessory interest, which generally means the value of the structures acquired or constructed, fixtures installed and improvements made to the concession property at Glacier National Park during the term of the concessions contract, based on the reconstruction cost of a new unit of like kind, less physical depreciation, but not to exceed fair market value. Glacier Park approximated 21 percent of Travel and Recreation Services full year 2005 operating income. </w:t>
      </w:r>
    </w:p>
    <w:p>
      <w:pPr>
        <w:pStyle w:val="TextBody"/>
        <w:spacing w:before="120" w:after="283"/>
        <w:jc w:val="left"/>
        <w:rPr/>
      </w:pPr>
      <w:r>
        <w:rPr/>
        <w:t>     </w:t>
      </w:r>
      <w:r>
        <w:rPr>
          <w:rFonts w:ascii="Times New Roman;Times;serif" w:hAnsi="Times New Roman;Times;serif"/>
          <w:b/>
          <w:sz w:val="17"/>
        </w:rPr>
        <w:t>Corporate Activities and Minority Interest</w:t>
      </w:r>
      <w:r>
        <w:rPr>
          <w:rFonts w:ascii="Times New Roman;Times;serif" w:hAnsi="Times New Roman;Times;serif"/>
          <w:sz w:val="17"/>
        </w:rPr>
        <w:t xml:space="preserve">. Corporate activities and minority interest expense totaled $1.7 million in the first quarter of 2006 compared to $2.6 million in the first quarter of 2005. The decrease was primarily due to the timing of certain corporate expenses and to a lesser extent lower insurance and other administrative costs. </w:t>
      </w:r>
    </w:p>
    <w:p>
      <w:pPr>
        <w:pStyle w:val="TextBody"/>
        <w:spacing w:before="120" w:after="283"/>
        <w:jc w:val="left"/>
        <w:rPr/>
      </w:pPr>
      <w:r>
        <w:rPr/>
        <w:t>     </w:t>
      </w:r>
      <w:r>
        <w:rPr>
          <w:rFonts w:ascii="Times New Roman;Times;serif" w:hAnsi="Times New Roman;Times;serif"/>
          <w:b/>
          <w:sz w:val="17"/>
        </w:rPr>
        <w:t>Net Interest Income</w:t>
      </w:r>
      <w:r>
        <w:rPr>
          <w:rFonts w:ascii="Times New Roman;Times;serif" w:hAnsi="Times New Roman;Times;serif"/>
          <w:sz w:val="17"/>
        </w:rPr>
        <w:t xml:space="preserve">. Net interest income of $1.4 million in the first quarter of 2006 increased from $150,000 in the first quarter of 2005. Higher average cash balances and higher interest rates drove this increase. </w:t>
      </w:r>
    </w:p>
    <w:p>
      <w:pPr>
        <w:pStyle w:val="TextBody"/>
        <w:spacing w:before="120" w:after="283"/>
        <w:jc w:val="left"/>
        <w:rPr/>
      </w:pPr>
      <w:r>
        <w:rPr/>
        <w:t>     </w:t>
      </w:r>
      <w:r>
        <w:rPr>
          <w:rFonts w:ascii="Times New Roman;Times;serif" w:hAnsi="Times New Roman;Times;serif"/>
          <w:b/>
          <w:sz w:val="17"/>
        </w:rPr>
        <w:t>Income Taxes</w:t>
      </w:r>
      <w:r>
        <w:rPr>
          <w:rFonts w:ascii="Times New Roman;Times;serif" w:hAnsi="Times New Roman;Times;serif"/>
          <w:sz w:val="17"/>
        </w:rPr>
        <w:t xml:space="preserve">. The effective tax rate on income from continuing operations in the first quarter of 2006 was 36.7 percent compared to 39.6 percent for the first quarter of 2005. The lower rate in the first quarter of 2006 was primarily due to a $1.0 million foreign tax refund received in the first quarter of 2006.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Liquidity and Capital Resources: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Cash and cash equivalents were $154.7 million as of March 31, 2006 as compared to $152.6 million as of December 31, 2005, with the increase primarily due to cash flow from operations and the proceeds from the sale of certain corporate assets, mostly offset by share repurchases and capital expenditures, as discussed below. Management believes that Viads existing sources of liquidity will be sufficient to fund operations and capital commitments for at least the next 12 months. </w:t>
      </w:r>
    </w:p>
    <w:p>
      <w:pPr>
        <w:pStyle w:val="TextBody"/>
        <w:spacing w:before="120" w:after="283"/>
        <w:jc w:val="left"/>
        <w:rPr/>
      </w:pPr>
      <w:r>
        <w:rPr/>
        <w:t>     </w:t>
      </w:r>
      <w:r>
        <w:rPr>
          <w:rFonts w:ascii="Times New Roman;Times;serif" w:hAnsi="Times New Roman;Times;serif"/>
          <w:sz w:val="17"/>
        </w:rPr>
        <w:t xml:space="preserve">Viads total debt as of March 31, 2006 was $17.1 million compared with $17.4 million as of December 31, 2005. The debt-to-capital ratio was 0.040 to 1 as of March 31, 2006 compared with 0.041 to 1 as of December 31, 2005. Capital is defined as total debt plus minority interest and common stock and other equity. </w:t>
      </w:r>
    </w:p>
    <w:p>
      <w:pPr>
        <w:pStyle w:val="TextBody"/>
        <w:spacing w:before="120" w:after="283"/>
        <w:jc w:val="left"/>
        <w:rPr/>
      </w:pPr>
      <w:r>
        <w:rPr/>
        <w:t>     </w:t>
      </w:r>
      <w:r>
        <w:rPr>
          <w:rFonts w:ascii="Times New Roman;Times;serif" w:hAnsi="Times New Roman;Times;serif"/>
          <w:sz w:val="17"/>
        </w:rPr>
        <w:t xml:space="preserve">Effective June 30, 2004, Viad entered into a $150 million secured revolving credit agreement with eight lenders. The term of the credit facility is three years (expiring on June 30, 2007) and borrowings are to be used for general corporate purposes (including permitted acquisitions) and to support up to $75 million of letters of credit. The lenders have a first perfected security interest in all of the personal property of Viad and GES, including 65 percent of the capital stock of top-tier foreign subsidiaries. Borrowings under the facility (of which GES is a guarantor) are indexed to the prime rate or the London Interbank Offering Rate (LIBOR), plus appropriate spreads tied to Viads leverage ratio. Commitment fees and letters of credit fees are also tied to Viads leverage ratio. As of March 31, 2006, Viad had an outstanding borrowing of $10.9 million under the revolving credit agreement. Financial covenants include a minimum consolidated net worth requirement of not less than $294.9 million plus 50 percent of positive quarterly consolidated net income earned in each fiscal quarter beginning with the quarter ended December 31, 2004; a fixed-charge coverage ratio of not less than 1.25 to 1, and a leverage ratio (defined as total debt to Adjusted EBITDA) of not greater than 2.65 to 1. Significant other covenants include limitations on investments, common stock dividends, stock repurchases, additional indebtedness, sales/leases of assets, acquisitions, consolidations or mergers, liens on property, capital expenditures and operating leases. As of March 31, 2006, Viad was in compliance with all covenants. Effective December 30, 2005, Viads credit agreement was amended to permit the Company to repurchase its capital stock at market prices in an amount not to exceed $35 million. </w:t>
      </w:r>
    </w:p>
    <w:p>
      <w:pPr>
        <w:pStyle w:val="TextBody"/>
        <w:spacing w:before="120" w:after="283"/>
        <w:jc w:val="left"/>
        <w:rPr/>
      </w:pPr>
      <w:r>
        <w:rPr/>
        <w:t>     </w:t>
      </w:r>
      <w:r>
        <w:rPr>
          <w:rFonts w:ascii="Times New Roman;Times;serif" w:hAnsi="Times New Roman;Times;serif"/>
          <w:sz w:val="17"/>
        </w:rPr>
        <w:t xml:space="preserve">Under a Shelf Registration filed with the Securities and Exchange Commission (the SEC), Viad can issue up to an aggregate $500 million of debt and equity securities. No securities have been issued under the program. </w:t>
      </w:r>
    </w:p>
    <w:p>
      <w:pPr>
        <w:pStyle w:val="TextBody"/>
        <w:spacing w:before="120" w:after="283"/>
        <w:jc w:val="left"/>
        <w:rPr/>
      </w:pPr>
      <w:r>
        <w:rPr/>
        <w:t>     </w:t>
      </w:r>
      <w:r>
        <w:rPr>
          <w:rFonts w:ascii="Times New Roman;Times;serif" w:hAnsi="Times New Roman;Times;serif"/>
          <w:sz w:val="17"/>
        </w:rPr>
        <w:t xml:space="preserve">Capital expenditures for the three months ended March 31, 2006 totaled $6.1 million as compared to $3.5 million in 2005. These expenditures primarily related to information systems and related costs and manufacturing and other equipment. </w:t>
      </w:r>
    </w:p>
    <w:p>
      <w:pPr>
        <w:pStyle w:val="TextBody"/>
        <w:jc w:val="center"/>
        <w:rPr>
          <w:rFonts w:ascii="Times New Roman;Times;serif" w:hAnsi="Times New Roman;Times;serif"/>
          <w:sz w:val="17"/>
        </w:rPr>
      </w:pPr>
      <w:r>
        <w:rPr>
          <w:rFonts w:ascii="Times New Roman;Times;serif" w:hAnsi="Times New Roman;Times;serif"/>
          <w:sz w:val="17"/>
        </w:rPr>
        <w:t xml:space="preserve">Page 20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In January 2005, Viad sold a 50 percent interest in its corporate aircraft to a former subsidiary, MoneyGram International, Inc. (MoneyGram) for $8.6 million in cash, resulting in no gain or loss in connection with the transaction. In January 2006, Viad sold its remaining 50 percent interest in the aircraft along with related equipment to MoneyGram for $10.0 million in cash, resulting in a gain of $1.7 million. </w:t>
      </w:r>
    </w:p>
    <w:p>
      <w:pPr>
        <w:pStyle w:val="TextBody"/>
        <w:spacing w:before="120" w:after="283"/>
        <w:jc w:val="left"/>
        <w:rPr/>
      </w:pPr>
      <w:r>
        <w:rPr/>
        <w:t>     </w:t>
      </w:r>
      <w:r>
        <w:rPr>
          <w:rFonts w:ascii="Times New Roman;Times;serif" w:hAnsi="Times New Roman;Times;serif"/>
          <w:sz w:val="17"/>
        </w:rPr>
        <w:t xml:space="preserve">Also in January 2006, Viad sold certain undeveloped land in Phoenix, Arizona for $2.9 million in cash to an unrelated third party, resulting in a gain of $1.7 million. </w:t>
      </w:r>
    </w:p>
    <w:p>
      <w:pPr>
        <w:pStyle w:val="TextBody"/>
        <w:spacing w:before="120" w:after="283"/>
        <w:jc w:val="left"/>
        <w:rPr/>
      </w:pPr>
      <w:r>
        <w:rPr/>
        <w:t>     </w:t>
      </w:r>
      <w:r>
        <w:rPr>
          <w:rFonts w:ascii="Times New Roman;Times;serif" w:hAnsi="Times New Roman;Times;serif"/>
          <w:sz w:val="17"/>
        </w:rPr>
        <w:t xml:space="preserve">In February 2006, Viad announced its intent, under an authorization by its Board of Directors, to repurchase up to one million shares of common stock from time to time at prevailing prices in the open market. During the first quarter of 2006, Viad repurchased 414,400 shares for $13.3 million. Subsequent to March 31, 2006 and prior to the filing of this quarterly report, during the period from May 1, 2006 to May 8, 2006, Viad repurchased an additional 100,250 shares for $3.2 million. See Part II, Item 2 for details of shares repurchased during the first quarter of 2006. Viad also has the authority to repurchase common stock for the purpose of replacing common stock issued upon exercise of stock options and in connection with other stock compensation plans. The last repurchase by Viad under this program was May 2003. </w:t>
      </w:r>
    </w:p>
    <w:p>
      <w:pPr>
        <w:pStyle w:val="TextBody"/>
        <w:spacing w:before="120" w:after="283"/>
        <w:jc w:val="left"/>
        <w:rPr/>
      </w:pPr>
      <w:r>
        <w:rPr/>
        <w:t>     </w:t>
      </w:r>
      <w:r>
        <w:rPr>
          <w:rFonts w:ascii="Times New Roman;Times;serif" w:hAnsi="Times New Roman;Times;serif"/>
          <w:sz w:val="17"/>
        </w:rPr>
        <w:t xml:space="preserve">Viad and certain of its subsidiaries are plaintiffs or defendants to various actions, proceedings and pending claims, some of which involve, or may involve, compensatory, punitive or other damages. Litigation is subject to many uncertainties and it is possible that some of the legal actions, proceedings or claims could be decided against Viad. Although the amount of liability as of March 31, 2006 with respect to certain of these matters is not ascertainable, Viad believes that any resulting liability, after taking into consideration amounts already provided for, including insurance coverage, will not have a material effect on Viads business, financial position or results of operations. </w:t>
      </w:r>
    </w:p>
    <w:p>
      <w:pPr>
        <w:pStyle w:val="TextBody"/>
        <w:spacing w:before="120" w:after="283"/>
        <w:jc w:val="left"/>
        <w:rPr/>
      </w:pPr>
      <w:r>
        <w:rPr/>
        <w:t>     </w:t>
      </w:r>
      <w:r>
        <w:rPr>
          <w:rFonts w:ascii="Times New Roman;Times;serif" w:hAnsi="Times New Roman;Times;serif"/>
          <w:sz w:val="17"/>
        </w:rPr>
        <w:t xml:space="preserve">Included in Viads current liabilities are certain retained liabilities of approximately $12 million relating to previously sold operations as the Company anticipates that resolution should occur during 2006. To the extent that Viads cash payments are greater or less than the amount reserved, the difference will be recorded through discontinued operations. </w:t>
      </w:r>
    </w:p>
    <w:p>
      <w:pPr>
        <w:pStyle w:val="TextBody"/>
        <w:spacing w:before="120" w:after="283"/>
        <w:jc w:val="left"/>
        <w:rPr/>
      </w:pPr>
      <w:r>
        <w:rPr/>
        <w:t>     </w:t>
      </w:r>
      <w:r>
        <w:rPr>
          <w:rFonts w:ascii="Times New Roman;Times;serif" w:hAnsi="Times New Roman;Times;serif"/>
          <w:sz w:val="17"/>
        </w:rPr>
        <w:t xml:space="preserve">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its past operations. Although it is a party to certain environmental disputes, Viad believes that any resulting liabilities, after taking into consideration amounts already provided for, including insurance coverage, will not have a material effect on the Companys financial position or results of operations.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Off-Balance Sheet Arrangements: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does not have any off-balance sheet transactions or arrangements with unconsolidated special-purpose or other entities that would affect the Companys financial position, results of operations, liquidity or capital resources. Furthermore, Viad does not have any relationships with special-purpose or other entities that provide off-balance sheet financing; liquidity, market risk or credit risk support; or engage in leasing or other services that expose the Company to liability or risks of loss that are not reflected in Viads consolidated financial statements.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Critical Accounting Policies and Estimates: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preparation of financial statements in conformity with GAAP requires estimates and assumptions that affect the reported amounts of assets and liabilities, revenues and expenses, and related disclosures of contingent assets and liabilities in the consolidated financial statements. The SEC has defined a companys most critical accounting policies as those that are most important to the portrayal of a companys financial position and results of operations, and that require a company to make its most difficult and subjective judgments, often as a result of the need to make estimates of matters that are inherently uncertain. Based on these criteria, Viad has identified and discussed with its audit committee the following critical accounting policies and estimates pertaining to Viad, and the methodology and disclosures related to those estimates: </w:t>
      </w:r>
    </w:p>
    <w:p>
      <w:pPr>
        <w:pStyle w:val="TextBody"/>
        <w:spacing w:before="120" w:after="283"/>
        <w:jc w:val="left"/>
        <w:rPr/>
      </w:pPr>
      <w:r>
        <w:rPr/>
        <w:t>     </w:t>
      </w:r>
      <w:r>
        <w:rPr>
          <w:rFonts w:ascii="Times New Roman;Times;serif" w:hAnsi="Times New Roman;Times;serif"/>
          <w:i/>
          <w:sz w:val="17"/>
        </w:rPr>
        <w:t xml:space="preserve">Goodwill and other intangible assets </w:t>
      </w:r>
      <w:r>
        <w:rPr>
          <w:rFonts w:ascii="Times New Roman;Times;serif" w:hAnsi="Times New Roman;Times;serif"/>
          <w:sz w:val="17"/>
        </w:rPr>
        <w:t xml:space="preserve"> Viad performs annual impairment testing of its goodwill based on the estimated fair value of its reporting units, which is estimated based on discounted expected future cash flows using a weighted-average cost of capital rate. Additionally, an assumed terminal value is used to project future cash flows beyond base years. The estimates and assumptions regarding expected cash flows, terminal values and the discount rate require considerable judgment and are based on historical experience, financial forecasts and industry trends and conditions. Viads policy is to test goodwill for impairment annually as of October 31 of each year. As of March 31, 2006, Viad had recorded goodwill of $149.5 million and $34.6 million related to GES and Travel and Recreation Services, respectively. </w:t>
      </w:r>
    </w:p>
    <w:p>
      <w:pPr>
        <w:pStyle w:val="TextBody"/>
        <w:jc w:val="center"/>
        <w:rPr>
          <w:rFonts w:ascii="Times New Roman;Times;serif" w:hAnsi="Times New Roman;Times;serif"/>
          <w:sz w:val="17"/>
        </w:rPr>
      </w:pPr>
      <w:r>
        <w:rPr>
          <w:rFonts w:ascii="Times New Roman;Times;serif" w:hAnsi="Times New Roman;Times;serif"/>
          <w:sz w:val="17"/>
        </w:rPr>
        <w:t xml:space="preserve">Page 21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Viad also performs annual impairment testing of its intangible assets not subject to amortization. As of March 31, 2006, Viad had intangible assets with indefinite lives of $5.2 million, which primarily consisted of a trademark intangible related to Exhibitgroup. The fair value of the trademark intangible is estimated based on expected future cash flows. Viads policy is to test intangible assets not subject to amortization for impairment annually as of October 31 of each year. </w:t>
      </w:r>
    </w:p>
    <w:p>
      <w:pPr>
        <w:pStyle w:val="TextBody"/>
        <w:spacing w:before="120" w:after="283"/>
        <w:jc w:val="left"/>
        <w:rPr/>
      </w:pPr>
      <w:r>
        <w:rPr/>
        <w:t>     </w:t>
      </w:r>
      <w:r>
        <w:rPr>
          <w:rFonts w:ascii="Times New Roman;Times;serif" w:hAnsi="Times New Roman;Times;serif"/>
          <w:i/>
          <w:sz w:val="17"/>
        </w:rPr>
        <w:t xml:space="preserve">Income taxes </w:t>
      </w:r>
      <w:r>
        <w:rPr>
          <w:rFonts w:ascii="Times New Roman;Times;serif" w:hAnsi="Times New Roman;Times;serif"/>
          <w:sz w:val="17"/>
        </w:rPr>
        <w:t xml:space="preserve"> Viad is required to estimate and record provisions for income taxes in each of the jurisdictions in which the Company operates. Accordingly, the Company must estimate its actual current income tax liability, and assess temporary differences arising from the treatment of items for tax purposes as compared to the treatment for accounting purposes. These differences result in deferred tax assets and liabilities which are included in Viads consolidated balance sheets. The Company must assess the likelihood that deferred tax assets will be recovered from future taxable income and to the extent that recovery is not likely, a valuation allowance must be established. As of March 31, 2006 and December 31, 2005, Viad had gross deferred tax assets of $74.5 million and $76.0 million, respectively. Viad does not have a valuation allowance related to deferred tax assets as management believes that recovery from future taxable income is more likely than not. </w:t>
      </w:r>
    </w:p>
    <w:p>
      <w:pPr>
        <w:pStyle w:val="TextBody"/>
        <w:spacing w:before="120" w:after="283"/>
        <w:jc w:val="left"/>
        <w:rPr/>
      </w:pPr>
      <w:r>
        <w:rPr/>
        <w:t>     </w:t>
      </w:r>
      <w:r>
        <w:rPr>
          <w:rFonts w:ascii="Times New Roman;Times;serif" w:hAnsi="Times New Roman;Times;serif"/>
          <w:sz w:val="17"/>
        </w:rPr>
        <w:t xml:space="preserve">Viad is subject to regular and recurring audits by the taxing authorities in the jurisdictions in which the Company conducts or had previously conducted significant operations. Accordingly, the Company has recorded accrued liabilities associated with specific U.S. federal, state and local and foreign tax audit exposures expected to arise in connection with such audits. As of March 31, 2006 and December 31, 2005, Viad had $36.5 million and $36.0 million, respectively, accrued for these exposures. If amounts accrued are less than amounts ultimately assessed by the taxing authorities, Viad would record additional income tax expense in the period in which the assessment is determined. To the extent that the Company has favorable settlements, or determines that reserves are no longer needed, such liabilities would be reversed as a reduction of income tax expense (net of federal tax effects, if applicable), or in some cases through discontinued operations, in the period such determination is made. Viads policy is to retain amounts accrued for tax audit exposures until final resolution or settlement with the appropriate taxing authority. Based on tax audits in process and other factors, management currently estimates that tax issues of approximately $9.0 million (exclusive of any federal tax effects) could potentially be resolved or settled during the remainder of 2006 resulting in a decrease of accrued taxes payable. To the extent these tax resolutions or settlements occur, they would result in cash payments and/or the reversal of accrued taxes payable which may include amounts related to previously discontinued operations. </w:t>
      </w:r>
    </w:p>
    <w:p>
      <w:pPr>
        <w:pStyle w:val="TextBody"/>
        <w:spacing w:before="120" w:after="283"/>
        <w:jc w:val="left"/>
        <w:rPr/>
      </w:pPr>
      <w:r>
        <w:rPr/>
        <w:t>     </w:t>
      </w:r>
      <w:r>
        <w:rPr>
          <w:rFonts w:ascii="Times New Roman;Times;serif" w:hAnsi="Times New Roman;Times;serif"/>
          <w:i/>
          <w:sz w:val="17"/>
        </w:rPr>
        <w:t xml:space="preserve">Insurance liabilities </w:t>
      </w:r>
      <w:r>
        <w:rPr>
          <w:rFonts w:ascii="Times New Roman;Times;serif" w:hAnsi="Times New Roman;Times;serif"/>
          <w:sz w:val="17"/>
        </w:rPr>
        <w:t xml:space="preserve"> Viad is self-insured up to certain limits for workers compensation, automobile, product and general liability and property loss claims. The aggregate amount of insurance liabilities related to Viads continuing operations was $20.5 million as of March 31, 2006. Of this total, $14.2 million related to workers compensation liabilities and the remaining $6.3 million related to general/auto liability claims. Viad has also retained and provided for certain insurance liabilities in conjunction with previously sold businesses totaling $13.1 million as of March 31, 2006, primarily related to workers compensation liabilities. Provisions for losses for claims incurred, including estimated claims incurred but not yet reported, are made based on Viads historical experience, claims frequency and other factors. A change in the assumptions used could result in an adjustment to recorded liabilities. Viad has purchased insurance for amounts in excess of the self-insured levels, which generally range from $200,000 to $500,000 on a per claim basis. Viad does not maintain a self-insured retention pool fund as claims are paid from current cash resources at the time of settlement. Viads net cash payments in connection with these insurance liabilities were $1.1 million and $1.3 million for the three months ended March 31, 2006 and 2005, respectively. </w:t>
      </w:r>
    </w:p>
    <w:p>
      <w:pPr>
        <w:pStyle w:val="TextBody"/>
        <w:spacing w:before="120" w:after="283"/>
        <w:jc w:val="left"/>
        <w:rPr/>
      </w:pPr>
      <w:r>
        <w:rPr/>
        <w:t>     </w:t>
      </w:r>
      <w:r>
        <w:rPr>
          <w:rFonts w:ascii="Times New Roman;Times;serif" w:hAnsi="Times New Roman;Times;serif"/>
          <w:i/>
          <w:sz w:val="17"/>
        </w:rPr>
        <w:t xml:space="preserve">Pension and other postretirement benefits </w:t>
      </w:r>
      <w:r>
        <w:rPr>
          <w:rFonts w:ascii="Times New Roman;Times;serif" w:hAnsi="Times New Roman;Times;serif"/>
          <w:sz w:val="17"/>
        </w:rPr>
        <w:t xml:space="preserve"> Viads pension plans use traditional defined benefit formulas based on years of service and final average compensation. Funding policies provide that payments to defined benefit pension trusts shall be at least equal to the minimum funding required by applicable regulations. The Company presently anticipates making no contribution to its funded pension plans and contributing $547,000 to its unfunded pension plans in 2006. </w:t>
      </w:r>
    </w:p>
    <w:p>
      <w:pPr>
        <w:pStyle w:val="TextBody"/>
        <w:spacing w:before="120" w:after="283"/>
        <w:jc w:val="left"/>
        <w:rPr/>
      </w:pPr>
      <w:r>
        <w:rPr/>
        <w:t>     </w:t>
      </w:r>
      <w:r>
        <w:rPr>
          <w:rFonts w:ascii="Times New Roman;Times;serif" w:hAnsi="Times New Roman;Times;serif"/>
          <w:sz w:val="17"/>
        </w:rPr>
        <w:t xml:space="preserve">Viad and certain of its subsidiaries have defined benefit postretirement plans that provide medical and life insurance for certain eligible employees, retirees and dependents. The related postretirement benefit liabilities are recognized over the period that services are provided by employees. In addition, Viad retained the obligations for these benefits for retirees of certain sold businesses. While the plans have no funding requirements, Viad expects to contribute approximately $600,000 to the plans in 2006. </w:t>
      </w:r>
    </w:p>
    <w:p>
      <w:pPr>
        <w:pStyle w:val="TextBody"/>
        <w:spacing w:before="120" w:after="283"/>
        <w:jc w:val="left"/>
        <w:rPr/>
      </w:pPr>
      <w:r>
        <w:rPr/>
        <w:t>     </w:t>
      </w:r>
      <w:r>
        <w:rPr>
          <w:rFonts w:ascii="Times New Roman;Times;serif" w:hAnsi="Times New Roman;Times;serif"/>
          <w:sz w:val="17"/>
        </w:rPr>
        <w:t xml:space="preserve">The assumed health care cost trend rate used in measuring the 2005 accumulated postretirement benefit obligation was nine percent in the year 2005, declining one percent each year to the ultimate rate of five percent by the year 2009 and remaining at that level thereafter. A one-percentage-point increase in the assumed health care cost trend rate for each year would increase the accumulated postretirement benefit obligation as of December 31, 2005 by approximately $1.9 million and the total of service and interest cost components by approximately $128,000. A one-percentage-point decrease in the assumed health care cost trend rate for each year would decrease the accumulated postretirement benefit obligation as of December 31, 2005 by approximately $1.7 million and the total of service and interest cost components by approximately $112,000. </w:t>
      </w:r>
    </w:p>
    <w:p>
      <w:pPr>
        <w:pStyle w:val="TextBody"/>
        <w:jc w:val="center"/>
        <w:rPr>
          <w:rFonts w:ascii="Times New Roman;Times;serif" w:hAnsi="Times New Roman;Times;serif"/>
          <w:sz w:val="17"/>
        </w:rPr>
      </w:pPr>
      <w:r>
        <w:rPr>
          <w:rFonts w:ascii="Times New Roman;Times;serif" w:hAnsi="Times New Roman;Times;serif"/>
          <w:sz w:val="17"/>
        </w:rPr>
        <w:t xml:space="preserve">Page 22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The weighted-average discount rate used to determine pension and other postretirement benefit obligations as of December 31, 2005 was 5.50 percent. The weighted-average discount rate used to determine net periodic benefit cost for the year ended December 31, 2005 was 5.75 percent. The discount rate used in determining future pension and other postretirement benefit obligations is based on rates determined by actuarial analysis and management review. The expected return on plan assets used to determine net periodic pension benefit cost for the year ended December 31, 2005 was 8.75 percent. The expected return on plan assets used to determine net periodic other postretirement benefit cost for the year ended December 31, 2005 was 3.75 percent. </w:t>
      </w:r>
    </w:p>
    <w:p>
      <w:pPr>
        <w:pStyle w:val="TextBody"/>
        <w:spacing w:before="120" w:after="283"/>
        <w:jc w:val="left"/>
        <w:rPr/>
      </w:pPr>
      <w:r>
        <w:rPr/>
        <w:t>     </w:t>
      </w:r>
      <w:r>
        <w:rPr>
          <w:rFonts w:ascii="Times New Roman;Times;serif" w:hAnsi="Times New Roman;Times;serif"/>
          <w:i/>
          <w:sz w:val="17"/>
        </w:rPr>
        <w:t xml:space="preserve">Share-based compensation </w:t>
      </w:r>
      <w:r>
        <w:rPr>
          <w:rFonts w:ascii="Times New Roman;Times;serif" w:hAnsi="Times New Roman;Times;serif"/>
          <w:sz w:val="17"/>
        </w:rPr>
        <w:t xml:space="preserve"> Viad adopted the provisions of Statement of Financial Accounting Standards (SFAS) No. 123 (revised 2004), Share-Based Payment, on January 1, 2006 using the modified prospective application method. Refer to Note 2 of notes to consolidated financial statements for a full discussion of the adoption of SFAS No. 123(R) and related disclosures.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Impact of Recent Accounting Pronouncements: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November 2004, the Financial Accounting Standards Board (FASB) issued SFAS No. 151, Inventory Costs (an amendment of Accounting Research Bulletin No. 43, Chapter 4). SFAS No. 151 seeks to clarify the accounting for abnormal amounts of idle facility expense, freight, handling costs, and wasted material (spoilage) in the determination of inventory carrying costs. The statement requires such costs to be treated as a current period expense. SFAS No. 151 also requires that the allocation of fixed production overhead costs be based on the normal capacity of the production facility. SFAS No. 151 is effective for inventory costs incurred during fiscal years beginning after July 15, 2005. The adoption of SFAS No. 151 did not have a material impact on Viads financial position or results of operations. </w:t>
      </w:r>
    </w:p>
    <w:p>
      <w:pPr>
        <w:pStyle w:val="TextBody"/>
        <w:spacing w:before="120" w:after="283"/>
        <w:jc w:val="left"/>
        <w:rPr/>
      </w:pPr>
      <w:r>
        <w:rPr/>
        <w:t>     </w:t>
      </w:r>
      <w:r>
        <w:rPr>
          <w:rFonts w:ascii="Times New Roman;Times;serif" w:hAnsi="Times New Roman;Times;serif"/>
          <w:sz w:val="17"/>
        </w:rPr>
        <w:t xml:space="preserve">In May 2005, the FASB issued SFAS No. 154, Accounting Changes and Error Corrections which replaces Accounting Principles Board Opinion No. 20, Accounting Changes, and SFAS No. 3, Reporting Accounting Changes in Interim Financial Statements  An Amendment of APB Opinion No. 28. SFAS No. 154 provides guidance on the accounting for and reporting of accounting changes and error corrections. It establishes retrospective application, or the latest practicable date, as the required method for reporting a change in accounting principle (unless a different method is prescribed by the new standard) and the reporting of a correction of an error. SFAS No. 154 is effective for accounting changes and corrections of errors made in fiscal years beginning after December 15, 2005. The adoption of SFAS No. 154 did not affect Viads financial statements. </w:t>
      </w:r>
    </w:p>
    <w:p>
      <w:pPr>
        <w:pStyle w:val="TextBody"/>
        <w:spacing w:before="120" w:after="283"/>
        <w:jc w:val="left"/>
        <w:rPr/>
      </w:pPr>
      <w:r>
        <w:rPr/>
        <w:t>     </w:t>
      </w:r>
      <w:r>
        <w:rPr>
          <w:rFonts w:ascii="Times New Roman;Times;serif" w:hAnsi="Times New Roman;Times;serif"/>
          <w:sz w:val="17"/>
        </w:rPr>
        <w:t xml:space="preserve">Viad adopted the provisions of SFAS No. 123(R) on January 1, 2006 using the modified prospective application method. Refer to Note 2 of notes to consolidated financial statements for a full discussion of the adoption of SFAS No. 123(R) and related disclosures.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Forward-Looking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provided by the safe harbor provision under the Private Securities Litigation Reform Act of 1995, Viad cautions readers that, in addition to historical information contained herein, this quarterly report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business, investment policies, productivity improvements, ongoing cost reduction efforts, efficiency, competitiveness, legal expenses, tax rates and other tax matters, and the realization of restructuring cost savings. Actual results could differ materially from those discussed in the forward-looking statements. Viads 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adverse developments in liabilities associated with discontinued operations, any deterioration in the economy and other risks discussed in Item 1A., Risk Factors, included in Viads 2005 Annual Report, may individually or in combination impact future results. In addition to factors mentioned elsewhere, economic, competitive, governmental, technological, capital marketplace and other factors, including further terrorist activities or war, could affect the forward-looking statements in this quarterly report. </w:t>
      </w:r>
    </w:p>
    <w:p>
      <w:pPr>
        <w:pStyle w:val="TextBody"/>
        <w:spacing w:before="240" w:after="283"/>
        <w:jc w:val="left"/>
        <w:rPr>
          <w:rFonts w:ascii="Times New Roman;Times;serif" w:hAnsi="Times New Roman;Times;serif"/>
          <w:sz w:val="17"/>
        </w:rPr>
      </w:pPr>
      <w:bookmarkStart w:id="6" w:name="003"/>
      <w:bookmarkEnd w:id="6"/>
      <w:r>
        <w:rPr>
          <w:rFonts w:ascii="Times New Roman;Times;serif" w:hAnsi="Times New Roman;Times;serif"/>
          <w:b/>
          <w:sz w:val="17"/>
        </w:rPr>
        <w:t>Item 3. Quantitative and Qualitative Disclosures About Market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Viads market risk exposures relate to fluctuations in interest rates, foreign exchange rates and certain commodity prices. Interest rate risk is the risk that changing interest rates will adversely affect the market value and earnings of Viad. Foreign exchange risk is the risk that fluctuating exchange rates will adversely affect results of operations. Commodity risk is the risk that changing prices will adversely affect results of operations. </w:t>
      </w:r>
    </w:p>
    <w:p>
      <w:pPr>
        <w:pStyle w:val="TextBody"/>
        <w:spacing w:before="120" w:after="283"/>
        <w:jc w:val="left"/>
        <w:rPr/>
      </w:pPr>
      <w:r>
        <w:rPr/>
        <w:t>     </w:t>
      </w:r>
      <w:r>
        <w:rPr>
          <w:rFonts w:ascii="Times New Roman;Times;serif" w:hAnsi="Times New Roman;Times;serif"/>
          <w:sz w:val="17"/>
        </w:rPr>
        <w:t xml:space="preserve">Viad is exposed to short-term interest rate risk on certain of its debt obligations. Viad currently does not use derivative financial instruments to hedge cash flows for such obligations. As of March 31, 2006, Viad had variable rate debt outstanding of $10.9 million under its revolving credit agreement. Interest payments related to Viads variable rate debt outstanding are indexed to LIBOR. See Note 9 of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23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Viad is exposed to foreign exchange risk as it has certain transactions, receivables and payables denominated in foreign currencies. From time to time, Viad utilizes forward contracts to reduce the impact on earnings due to its exposure to fluctuations in foreign exchange rates. The effect of changes in foreign exchange rates, net of the effect of the related forward contracts has historically been immaterial to Viads results of operations. As of March 31, 2006, Viad had aggregate contracts to sell U.S. dollars of $3.5 million (notional amount) in exchange for Canadian dollars at an average contract rate of 1.18. The contracts mature on various dates from April 2006 through October 2006. As of March 31, 2006, the fair value of Viads forward exchange contracts was $31,000 and was included in the consolidated balance sheet under the caption Other current assets. </w:t>
      </w:r>
    </w:p>
    <w:p>
      <w:pPr>
        <w:pStyle w:val="TextBody"/>
        <w:spacing w:before="120" w:after="283"/>
        <w:jc w:val="left"/>
        <w:rPr/>
      </w:pPr>
      <w:r>
        <w:rPr/>
        <w:t>     </w:t>
      </w:r>
      <w:r>
        <w:rPr>
          <w:rFonts w:ascii="Times New Roman;Times;serif" w:hAnsi="Times New Roman;Times;serif"/>
          <w:sz w:val="17"/>
        </w:rPr>
        <w:t xml:space="preserve">One of Viads travel and recreation subsidiaries has certain exposure to changing fuel prices. Periodically, the subsidiary enters into futures contracts with an oil company to purchase two types of fuel and specifies the monthly total volume, by fuel product, to be purchased over the agreed upon term of the contract, which is generally no longer than one year. The main objective of Viads risk policy is to reduce transaction exposure in order to mitigate the cash flow risk and protect profit margins. There were no fuel contracts outstanding as of March 31, 2006. </w:t>
      </w:r>
    </w:p>
    <w:p>
      <w:pPr>
        <w:pStyle w:val="TextBody"/>
        <w:spacing w:before="240" w:after="283"/>
        <w:jc w:val="left"/>
        <w:rPr>
          <w:rFonts w:ascii="Times New Roman;Times;serif" w:hAnsi="Times New Roman;Times;serif"/>
          <w:sz w:val="17"/>
        </w:rPr>
      </w:pPr>
      <w:bookmarkStart w:id="7" w:name="004"/>
      <w:bookmarkEnd w:id="7"/>
      <w:r>
        <w:rPr>
          <w:rFonts w:ascii="Times New Roman;Times;serif" w:hAnsi="Times New Roman;Times;serif"/>
          <w:b/>
          <w:sz w:val="17"/>
        </w:rPr>
        <w:t>Item 4. Controls and Procedures.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Under the supervision and with the participation of management, including the Chief Executive Officer and Chief Financial Officer of Viad, the effectiveness of the design and operation of disclosure controls and procedures has been evaluated as of March 31, 2006, and, based on that evaluation, the Chief Executive Officer and Chief Financial Officer have concluded that these disclosure controls and procedures are effective as of March 31, 2006. Disclosure controls and procedures are designed to ensure that information required to be disclosed in the reports filed or submitted under the Securities Exchange Act of 1934 is recorded, processed, summarized and reported, within the time periods specified in the SECs rules and forms. Disclosure controls and procedures include, without limitation, controls and procedures designed to ensure that information required to be disclosed in such reports is accumulated and communicated to management, including the Chief Executive Officer and Chief Financial Officer, as appropriate to allow for timely decisions regarding required disclosure. </w:t>
      </w:r>
    </w:p>
    <w:p>
      <w:pPr>
        <w:pStyle w:val="TextBody"/>
        <w:spacing w:before="120" w:after="283"/>
        <w:jc w:val="left"/>
        <w:rPr/>
      </w:pPr>
      <w:r>
        <w:rPr/>
        <w:t>     </w:t>
      </w:r>
      <w:r>
        <w:rPr>
          <w:rFonts w:ascii="Times New Roman;Times;serif" w:hAnsi="Times New Roman;Times;serif"/>
          <w:sz w:val="17"/>
        </w:rPr>
        <w:t xml:space="preserve">There were no changes in the Companys internal control over financial reporting that occurred during the first quarter of 2006 that have materially affected, or are reasonably likely to materially affect, internal control over financial reporting. </w:t>
      </w:r>
    </w:p>
    <w:p>
      <w:pPr>
        <w:pStyle w:val="TextBody"/>
        <w:jc w:val="center"/>
        <w:rPr>
          <w:rFonts w:ascii="Times New Roman;Times;serif" w:hAnsi="Times New Roman;Times;serif"/>
          <w:sz w:val="17"/>
        </w:rPr>
      </w:pPr>
      <w:r>
        <w:rPr>
          <w:rFonts w:ascii="Times New Roman;Times;serif" w:hAnsi="Times New Roman;Times;serif"/>
          <w:sz w:val="17"/>
        </w:rPr>
        <w:t xml:space="preserve">Page 24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bookmarkStart w:id="8" w:name="005"/>
      <w:bookmarkEnd w:id="8"/>
      <w:r>
        <w:rPr>
          <w:rFonts w:ascii="Times New Roman;Times;serif" w:hAnsi="Times New Roman;Times;serif"/>
          <w:b/>
          <w:sz w:val="17"/>
        </w:rPr>
        <w:t>PART II  OTHER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9" w:name="006"/>
      <w:bookmarkEnd w:id="9"/>
      <w:r>
        <w:rPr>
          <w:rFonts w:ascii="Times New Roman;Times;serif" w:hAnsi="Times New Roman;Times;serif"/>
          <w:b/>
          <w:sz w:val="17"/>
        </w:rPr>
        <w:t>Item 2. Unregistered Sales of Equity Securities and Use of Proceeds.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Set forth below is a table showing the total number of shares of Viad common stock repurchased during the first quarter of 2006 by Viad either on the open market as part of a repurchase program or from employees and former employees surrendering already owned Viad common stock (outstanding shares) to pay for a portion of the exercise price in connection with the exercise of stock options, or to pay the taxes in connection with the exercise of stock options or vesting of restricted stock or performance-based awards: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ISSUER PURCHASES OF EQUITY SECURITIES</w:t>
      </w:r>
      <w:r>
        <w:rPr>
          <w:rFonts w:ascii="Times New Roman;Times;serif" w:hAnsi="Times New Roman;Times;serif"/>
          <w:sz w:val="17"/>
        </w:rPr>
        <w:t xml:space="preserve"> </w:t>
      </w:r>
    </w:p>
    <w:tbl>
      <w:tblPr>
        <w:tblW w:w="10525" w:type="dxa"/>
        <w:jc w:val="center"/>
        <w:tblInd w:w="0" w:type="dxa"/>
        <w:tblCellMar>
          <w:top w:w="0" w:type="dxa"/>
          <w:left w:w="0" w:type="dxa"/>
          <w:bottom w:w="0" w:type="dxa"/>
          <w:right w:w="0" w:type="dxa"/>
        </w:tblCellMar>
      </w:tblPr>
      <w:tblGrid>
        <w:gridCol w:w="1070"/>
        <w:gridCol w:w="60"/>
        <w:gridCol w:w="151"/>
        <w:gridCol w:w="2029"/>
        <w:gridCol w:w="60"/>
        <w:gridCol w:w="60"/>
        <w:gridCol w:w="192"/>
        <w:gridCol w:w="1793"/>
        <w:gridCol w:w="60"/>
        <w:gridCol w:w="60"/>
        <w:gridCol w:w="147"/>
        <w:gridCol w:w="1973"/>
        <w:gridCol w:w="60"/>
        <w:gridCol w:w="60"/>
        <w:gridCol w:w="186"/>
        <w:gridCol w:w="2504"/>
        <w:gridCol w:w="60"/>
      </w:tblGrid>
      <w:tr>
        <w:trPr/>
        <w:tc>
          <w:tcPr>
            <w:tcW w:w="10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202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79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97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25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10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202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79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97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90" w:type="dxa"/>
            <w:gridSpan w:val="2"/>
            <w:tcBorders/>
            <w:shd w:fill="auto" w:val="clear"/>
            <w:vAlign w:val="bottom"/>
          </w:tcPr>
          <w:p>
            <w:pPr>
              <w:pStyle w:val="TableContents"/>
              <w:spacing w:before="0" w:after="283"/>
              <w:jc w:val="center"/>
              <w:rPr>
                <w:b/>
              </w:rPr>
            </w:pPr>
            <w:r>
              <w:rPr>
                <w:b/>
              </w:rPr>
              <w:t>Maximum Number (or</w:t>
            </w:r>
          </w:p>
        </w:tc>
        <w:tc>
          <w:tcPr>
            <w:tcW w:w="60" w:type="dxa"/>
            <w:tcBorders/>
            <w:shd w:fill="auto" w:val="clear"/>
            <w:vAlign w:val="bottom"/>
          </w:tcPr>
          <w:p>
            <w:pPr>
              <w:pStyle w:val="TableContents"/>
              <w:spacing w:before="0" w:after="283"/>
              <w:rPr/>
            </w:pPr>
            <w:r>
              <w:rPr/>
              <w:t> </w:t>
            </w:r>
          </w:p>
        </w:tc>
      </w:tr>
      <w:tr>
        <w:trPr/>
        <w:tc>
          <w:tcPr>
            <w:tcW w:w="10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202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79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20" w:type="dxa"/>
            <w:gridSpan w:val="2"/>
            <w:tcBorders/>
            <w:shd w:fill="auto" w:val="clear"/>
            <w:vAlign w:val="bottom"/>
          </w:tcPr>
          <w:p>
            <w:pPr>
              <w:pStyle w:val="TableContents"/>
              <w:spacing w:before="0" w:after="283"/>
              <w:jc w:val="center"/>
              <w:rPr>
                <w:b/>
              </w:rPr>
            </w:pPr>
            <w:r>
              <w:rPr>
                <w:b/>
              </w:rPr>
              <w:t>Total Number of</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90" w:type="dxa"/>
            <w:gridSpan w:val="2"/>
            <w:tcBorders/>
            <w:shd w:fill="auto" w:val="clear"/>
            <w:vAlign w:val="bottom"/>
          </w:tcPr>
          <w:p>
            <w:pPr>
              <w:pStyle w:val="TableContents"/>
              <w:spacing w:before="0" w:after="283"/>
              <w:jc w:val="center"/>
              <w:rPr>
                <w:b/>
              </w:rPr>
            </w:pPr>
            <w:r>
              <w:rPr>
                <w:b/>
              </w:rPr>
              <w:t>Approximate Dollar</w:t>
            </w:r>
          </w:p>
        </w:tc>
        <w:tc>
          <w:tcPr>
            <w:tcW w:w="60" w:type="dxa"/>
            <w:tcBorders/>
            <w:shd w:fill="auto" w:val="clear"/>
            <w:vAlign w:val="bottom"/>
          </w:tcPr>
          <w:p>
            <w:pPr>
              <w:pStyle w:val="TableContents"/>
              <w:spacing w:before="0" w:after="283"/>
              <w:rPr/>
            </w:pPr>
            <w:r>
              <w:rPr/>
              <w:t> </w:t>
            </w:r>
          </w:p>
        </w:tc>
      </w:tr>
      <w:tr>
        <w:trPr/>
        <w:tc>
          <w:tcPr>
            <w:tcW w:w="10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202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79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20" w:type="dxa"/>
            <w:gridSpan w:val="2"/>
            <w:tcBorders/>
            <w:shd w:fill="auto" w:val="clear"/>
            <w:vAlign w:val="bottom"/>
          </w:tcPr>
          <w:p>
            <w:pPr>
              <w:pStyle w:val="TableContents"/>
              <w:spacing w:before="0" w:after="283"/>
              <w:jc w:val="center"/>
              <w:rPr>
                <w:b/>
              </w:rPr>
            </w:pPr>
            <w:r>
              <w:rPr>
                <w:b/>
              </w:rPr>
              <w:t>Shares Purchased as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90" w:type="dxa"/>
            <w:gridSpan w:val="2"/>
            <w:tcBorders/>
            <w:shd w:fill="auto" w:val="clear"/>
            <w:vAlign w:val="bottom"/>
          </w:tcPr>
          <w:p>
            <w:pPr>
              <w:pStyle w:val="TableContents"/>
              <w:spacing w:before="0" w:after="283"/>
              <w:jc w:val="center"/>
              <w:rPr>
                <w:b/>
              </w:rPr>
            </w:pPr>
            <w:r>
              <w:rPr>
                <w:b/>
              </w:rPr>
              <w:t>Value) of Shares that May</w:t>
            </w:r>
          </w:p>
        </w:tc>
        <w:tc>
          <w:tcPr>
            <w:tcW w:w="60" w:type="dxa"/>
            <w:tcBorders/>
            <w:shd w:fill="auto" w:val="clear"/>
            <w:vAlign w:val="bottom"/>
          </w:tcPr>
          <w:p>
            <w:pPr>
              <w:pStyle w:val="TableContents"/>
              <w:spacing w:before="0" w:after="283"/>
              <w:rPr/>
            </w:pPr>
            <w:r>
              <w:rPr/>
              <w:t> </w:t>
            </w:r>
          </w:p>
        </w:tc>
      </w:tr>
      <w:tr>
        <w:trPr/>
        <w:tc>
          <w:tcPr>
            <w:tcW w:w="10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202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79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20" w:type="dxa"/>
            <w:gridSpan w:val="2"/>
            <w:tcBorders/>
            <w:shd w:fill="auto" w:val="clear"/>
            <w:vAlign w:val="bottom"/>
          </w:tcPr>
          <w:p>
            <w:pPr>
              <w:pStyle w:val="TableContents"/>
              <w:spacing w:before="0" w:after="283"/>
              <w:jc w:val="center"/>
              <w:rPr>
                <w:b/>
              </w:rPr>
            </w:pPr>
            <w:r>
              <w:rPr>
                <w:b/>
              </w:rPr>
              <w:t>Part of Publicly</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90" w:type="dxa"/>
            <w:gridSpan w:val="2"/>
            <w:tcBorders/>
            <w:shd w:fill="auto" w:val="clear"/>
            <w:vAlign w:val="bottom"/>
          </w:tcPr>
          <w:p>
            <w:pPr>
              <w:pStyle w:val="TableContents"/>
              <w:spacing w:before="0" w:after="283"/>
              <w:jc w:val="center"/>
              <w:rPr>
                <w:b/>
              </w:rPr>
            </w:pPr>
            <w:r>
              <w:rPr>
                <w:b/>
              </w:rPr>
              <w:t>Yet Be Purchased Under</w:t>
            </w:r>
          </w:p>
        </w:tc>
        <w:tc>
          <w:tcPr>
            <w:tcW w:w="60" w:type="dxa"/>
            <w:tcBorders/>
            <w:shd w:fill="auto" w:val="clear"/>
            <w:vAlign w:val="bottom"/>
          </w:tcPr>
          <w:p>
            <w:pPr>
              <w:pStyle w:val="TableContents"/>
              <w:spacing w:before="0" w:after="283"/>
              <w:rPr/>
            </w:pPr>
            <w:r>
              <w:rPr/>
              <w:t> </w:t>
            </w:r>
          </w:p>
        </w:tc>
      </w:tr>
      <w:tr>
        <w:trPr/>
        <w:tc>
          <w:tcPr>
            <w:tcW w:w="10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80" w:type="dxa"/>
            <w:gridSpan w:val="2"/>
            <w:tcBorders/>
            <w:shd w:fill="auto" w:val="clear"/>
            <w:vAlign w:val="bottom"/>
          </w:tcPr>
          <w:p>
            <w:pPr>
              <w:pStyle w:val="TableContents"/>
              <w:spacing w:before="0" w:after="283"/>
              <w:jc w:val="center"/>
              <w:rPr>
                <w:b/>
              </w:rPr>
            </w:pPr>
            <w:r>
              <w:rPr>
                <w:b/>
              </w:rPr>
              <w:t>Total Number of</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5" w:type="dxa"/>
            <w:gridSpan w:val="2"/>
            <w:tcBorders/>
            <w:shd w:fill="auto" w:val="clear"/>
            <w:vAlign w:val="bottom"/>
          </w:tcPr>
          <w:p>
            <w:pPr>
              <w:pStyle w:val="TableContents"/>
              <w:spacing w:before="0" w:after="283"/>
              <w:jc w:val="center"/>
              <w:rPr>
                <w:b/>
              </w:rPr>
            </w:pPr>
            <w:r>
              <w:rPr>
                <w:b/>
              </w:rPr>
              <w:t>Average Price Paid</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20" w:type="dxa"/>
            <w:gridSpan w:val="2"/>
            <w:tcBorders/>
            <w:shd w:fill="auto" w:val="clear"/>
            <w:vAlign w:val="bottom"/>
          </w:tcPr>
          <w:p>
            <w:pPr>
              <w:pStyle w:val="TableContents"/>
              <w:spacing w:before="0" w:after="283"/>
              <w:jc w:val="center"/>
              <w:rPr>
                <w:b/>
              </w:rPr>
            </w:pPr>
            <w:r>
              <w:rPr>
                <w:b/>
              </w:rPr>
              <w:t>Announced Plans or</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90" w:type="dxa"/>
            <w:gridSpan w:val="2"/>
            <w:tcBorders/>
            <w:shd w:fill="auto" w:val="clear"/>
            <w:vAlign w:val="bottom"/>
          </w:tcPr>
          <w:p>
            <w:pPr>
              <w:pStyle w:val="TableContents"/>
              <w:spacing w:before="0" w:after="283"/>
              <w:jc w:val="center"/>
              <w:rPr>
                <w:b/>
              </w:rPr>
            </w:pPr>
            <w:r>
              <w:rPr>
                <w:b/>
              </w:rPr>
              <w:t>the Plans or Programs</w:t>
            </w:r>
          </w:p>
        </w:tc>
        <w:tc>
          <w:tcPr>
            <w:tcW w:w="60" w:type="dxa"/>
            <w:tcBorders/>
            <w:shd w:fill="auto" w:val="clear"/>
            <w:vAlign w:val="bottom"/>
          </w:tcPr>
          <w:p>
            <w:pPr>
              <w:pStyle w:val="TableContents"/>
              <w:spacing w:before="0" w:after="283"/>
              <w:rPr/>
            </w:pPr>
            <w:r>
              <w:rPr/>
              <w:t> </w:t>
            </w:r>
          </w:p>
        </w:tc>
      </w:tr>
      <w:tr>
        <w:trPr/>
        <w:tc>
          <w:tcPr>
            <w:tcW w:w="1070" w:type="dxa"/>
            <w:tcBorders>
              <w:bottom w:val="single" w:sz="2" w:space="0" w:color="000000"/>
            </w:tcBorders>
            <w:shd w:fill="auto" w:val="clear"/>
            <w:tcMar>
              <w:bottom w:w="28" w:type="dxa"/>
            </w:tcMar>
            <w:vAlign w:val="bottom"/>
          </w:tcPr>
          <w:p>
            <w:pPr>
              <w:pStyle w:val="TableContents"/>
              <w:spacing w:before="0" w:after="283"/>
              <w:jc w:val="left"/>
              <w:rPr>
                <w:b/>
              </w:rPr>
            </w:pPr>
            <w:r>
              <w:rPr>
                <w:b/>
              </w:rPr>
              <w:t>Period</w:t>
            </w:r>
          </w:p>
        </w:tc>
        <w:tc>
          <w:tcPr>
            <w:tcW w:w="60" w:type="dxa"/>
            <w:tcBorders/>
            <w:shd w:fill="auto" w:val="clear"/>
            <w:vAlign w:val="bottom"/>
          </w:tcPr>
          <w:p>
            <w:pPr>
              <w:pStyle w:val="TableContents"/>
              <w:spacing w:before="0" w:after="283"/>
              <w:rPr/>
            </w:pPr>
            <w:r>
              <w:rPr/>
              <w:t> </w:t>
            </w:r>
          </w:p>
        </w:tc>
        <w:tc>
          <w:tcPr>
            <w:tcW w:w="218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 Purchased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Per Share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2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Programs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9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 xml:space="preserve">(1),(2) </w:t>
            </w:r>
          </w:p>
        </w:tc>
        <w:tc>
          <w:tcPr>
            <w:tcW w:w="60" w:type="dxa"/>
            <w:tcBorders/>
            <w:shd w:fill="auto" w:val="clear"/>
            <w:vAlign w:val="bottom"/>
          </w:tcPr>
          <w:p>
            <w:pPr>
              <w:pStyle w:val="TableContents"/>
              <w:spacing w:before="0" w:after="283"/>
              <w:rPr/>
            </w:pPr>
            <w:r>
              <w:rPr/>
              <w:t> </w:t>
            </w:r>
          </w:p>
        </w:tc>
      </w:tr>
      <w:tr>
        <w:trPr/>
        <w:tc>
          <w:tcPr>
            <w:tcW w:w="1070" w:type="dxa"/>
            <w:tcBorders/>
            <w:shd w:fill="CCEEFF" w:val="clear"/>
            <w:vAlign w:val="bottom"/>
          </w:tcPr>
          <w:p>
            <w:pPr>
              <w:pStyle w:val="TableContents"/>
              <w:spacing w:before="0" w:after="0"/>
              <w:ind w:left="225" w:right="0" w:hanging="225"/>
              <w:rPr/>
            </w:pPr>
            <w:r>
              <w:rPr/>
              <w:t>January 2006</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2029" w:type="dxa"/>
            <w:tcBorders/>
            <w:shd w:fill="CCEEFF" w:val="clear"/>
            <w:vAlign w:val="bottom"/>
          </w:tcPr>
          <w:p>
            <w:pPr>
              <w:pStyle w:val="TableContents"/>
              <w:spacing w:before="0" w:after="283"/>
              <w:jc w:val="right"/>
              <w:rPr/>
            </w:pPr>
            <w:r>
              <w:rPr/>
              <w:t>11,388</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793" w:type="dxa"/>
            <w:tcBorders/>
            <w:shd w:fill="CCEEFF" w:val="clear"/>
            <w:vAlign w:val="bottom"/>
          </w:tcPr>
          <w:p>
            <w:pPr>
              <w:pStyle w:val="TableContents"/>
              <w:spacing w:before="0" w:after="283"/>
              <w:jc w:val="right"/>
              <w:rPr/>
            </w:pPr>
            <w:r>
              <w:rPr/>
              <w:t>29.23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973"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2504"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r>
      <w:tr>
        <w:trPr/>
        <w:tc>
          <w:tcPr>
            <w:tcW w:w="1070" w:type="dxa"/>
            <w:tcBorders/>
            <w:shd w:fill="auto" w:val="clear"/>
            <w:vAlign w:val="bottom"/>
          </w:tcPr>
          <w:p>
            <w:pPr>
              <w:pStyle w:val="TableContents"/>
              <w:spacing w:before="0" w:after="0"/>
              <w:ind w:left="225" w:right="0" w:hanging="225"/>
              <w:rPr/>
            </w:pPr>
            <w:r>
              <w:rPr/>
              <w:t>February 2006</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2029" w:type="dxa"/>
            <w:tcBorders/>
            <w:shd w:fill="auto" w:val="clear"/>
            <w:vAlign w:val="bottom"/>
          </w:tcPr>
          <w:p>
            <w:pPr>
              <w:pStyle w:val="TableContents"/>
              <w:spacing w:before="0" w:after="283"/>
              <w:jc w:val="right"/>
              <w:rPr/>
            </w:pPr>
            <w:r>
              <w:rPr/>
              <w:t>220,708</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793" w:type="dxa"/>
            <w:tcBorders/>
            <w:shd w:fill="auto" w:val="clear"/>
            <w:vAlign w:val="bottom"/>
          </w:tcPr>
          <w:p>
            <w:pPr>
              <w:pStyle w:val="TableContents"/>
              <w:spacing w:before="0" w:after="283"/>
              <w:jc w:val="right"/>
              <w:rPr/>
            </w:pPr>
            <w:r>
              <w:rPr/>
              <w:t>31.86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973" w:type="dxa"/>
            <w:tcBorders/>
            <w:shd w:fill="auto" w:val="clear"/>
            <w:vAlign w:val="bottom"/>
          </w:tcPr>
          <w:p>
            <w:pPr>
              <w:pStyle w:val="TableContents"/>
              <w:spacing w:before="0" w:after="283"/>
              <w:jc w:val="right"/>
              <w:rPr/>
            </w:pPr>
            <w:r>
              <w:rPr/>
              <w:t>203,500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2504" w:type="dxa"/>
            <w:tcBorders/>
            <w:shd w:fill="auto" w:val="clear"/>
            <w:vAlign w:val="bottom"/>
          </w:tcPr>
          <w:p>
            <w:pPr>
              <w:pStyle w:val="TableContents"/>
              <w:spacing w:before="0" w:after="283"/>
              <w:jc w:val="right"/>
              <w:rPr/>
            </w:pPr>
            <w:r>
              <w:rPr/>
              <w:t>796,500</w:t>
            </w:r>
          </w:p>
        </w:tc>
        <w:tc>
          <w:tcPr>
            <w:tcW w:w="60" w:type="dxa"/>
            <w:tcBorders/>
            <w:shd w:fill="auto" w:val="clear"/>
            <w:vAlign w:val="bottom"/>
          </w:tcPr>
          <w:p>
            <w:pPr>
              <w:pStyle w:val="TableContents"/>
              <w:spacing w:before="0" w:after="283"/>
              <w:rPr/>
            </w:pPr>
            <w:r>
              <w:rPr/>
              <w:t> </w:t>
            </w:r>
          </w:p>
        </w:tc>
      </w:tr>
      <w:tr>
        <w:trPr/>
        <w:tc>
          <w:tcPr>
            <w:tcW w:w="1070" w:type="dxa"/>
            <w:tcBorders/>
            <w:shd w:fill="CCEEFF" w:val="clear"/>
            <w:vAlign w:val="bottom"/>
          </w:tcPr>
          <w:p>
            <w:pPr>
              <w:pStyle w:val="TableContents"/>
              <w:spacing w:before="0" w:after="0"/>
              <w:ind w:left="225" w:right="0" w:hanging="225"/>
              <w:rPr/>
            </w:pPr>
            <w:r>
              <w:rPr/>
              <w:t>March 2006</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2029" w:type="dxa"/>
            <w:tcBorders/>
            <w:shd w:fill="CCEEFF" w:val="clear"/>
            <w:vAlign w:val="bottom"/>
          </w:tcPr>
          <w:p>
            <w:pPr>
              <w:pStyle w:val="TableContents"/>
              <w:spacing w:before="0" w:after="283"/>
              <w:jc w:val="right"/>
              <w:rPr/>
            </w:pPr>
            <w:r>
              <w:rPr/>
              <w:t>230,996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793" w:type="dxa"/>
            <w:tcBorders/>
            <w:shd w:fill="CCEEFF" w:val="clear"/>
            <w:vAlign w:val="bottom"/>
          </w:tcPr>
          <w:p>
            <w:pPr>
              <w:pStyle w:val="TableContents"/>
              <w:spacing w:before="0" w:after="283"/>
              <w:jc w:val="right"/>
              <w:rPr/>
            </w:pPr>
            <w:r>
              <w:rPr/>
              <w:t>32.21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973" w:type="dxa"/>
            <w:tcBorders/>
            <w:shd w:fill="CCEEFF" w:val="clear"/>
            <w:vAlign w:val="bottom"/>
          </w:tcPr>
          <w:p>
            <w:pPr>
              <w:pStyle w:val="TableContents"/>
              <w:spacing w:before="0" w:after="283"/>
              <w:jc w:val="right"/>
              <w:rPr/>
            </w:pPr>
            <w:r>
              <w:rPr/>
              <w:t>210,900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2504" w:type="dxa"/>
            <w:tcBorders/>
            <w:shd w:fill="CCEEFF" w:val="clear"/>
            <w:vAlign w:val="bottom"/>
          </w:tcPr>
          <w:p>
            <w:pPr>
              <w:pStyle w:val="TableContents"/>
              <w:spacing w:before="0" w:after="283"/>
              <w:jc w:val="right"/>
              <w:rPr/>
            </w:pPr>
            <w:r>
              <w:rPr/>
              <w:t>585,600</w:t>
            </w:r>
          </w:p>
        </w:tc>
        <w:tc>
          <w:tcPr>
            <w:tcW w:w="60" w:type="dxa"/>
            <w:tcBorders/>
            <w:shd w:fill="CCEEFF" w:val="clear"/>
            <w:vAlign w:val="bottom"/>
          </w:tcPr>
          <w:p>
            <w:pPr>
              <w:pStyle w:val="TableContents"/>
              <w:spacing w:before="0" w:after="283"/>
              <w:rPr/>
            </w:pPr>
            <w:r>
              <w:rPr/>
              <w:t> </w:t>
            </w:r>
          </w:p>
        </w:tc>
      </w:tr>
      <w:tr>
        <w:trPr/>
        <w:tc>
          <w:tcPr>
            <w:tcW w:w="107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21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1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6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r>
        <w:trPr/>
        <w:tc>
          <w:tcPr>
            <w:tcW w:w="1070" w:type="dxa"/>
            <w:tcBorders/>
            <w:shd w:fill="auto" w:val="clear"/>
            <w:vAlign w:val="bottom"/>
          </w:tcPr>
          <w:p>
            <w:pPr>
              <w:pStyle w:val="TableContents"/>
              <w:spacing w:before="0" w:after="0"/>
              <w:ind w:left="225" w:right="0" w:hanging="225"/>
              <w:rPr/>
            </w:pPr>
            <w:r>
              <w:rPr/>
              <w:t>Total</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2029" w:type="dxa"/>
            <w:tcBorders/>
            <w:shd w:fill="auto" w:val="clear"/>
            <w:vAlign w:val="bottom"/>
          </w:tcPr>
          <w:p>
            <w:pPr>
              <w:pStyle w:val="TableContents"/>
              <w:spacing w:before="0" w:after="283"/>
              <w:jc w:val="right"/>
              <w:rPr/>
            </w:pPr>
            <w:r>
              <w:rPr/>
              <w:t>463,092</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793" w:type="dxa"/>
            <w:tcBorders/>
            <w:shd w:fill="auto" w:val="clear"/>
            <w:vAlign w:val="bottom"/>
          </w:tcPr>
          <w:p>
            <w:pPr>
              <w:pStyle w:val="TableContents"/>
              <w:spacing w:before="0" w:after="283"/>
              <w:jc w:val="right"/>
              <w:rPr/>
            </w:pPr>
            <w:r>
              <w:rPr/>
              <w:t>31.97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973" w:type="dxa"/>
            <w:tcBorders/>
            <w:shd w:fill="auto" w:val="clear"/>
            <w:vAlign w:val="bottom"/>
          </w:tcPr>
          <w:p>
            <w:pPr>
              <w:pStyle w:val="TableContents"/>
              <w:spacing w:before="0" w:after="283"/>
              <w:jc w:val="right"/>
              <w:rPr/>
            </w:pPr>
            <w:r>
              <w:rPr/>
              <w:t>414,400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2504" w:type="dxa"/>
            <w:tcBorders/>
            <w:shd w:fill="auto" w:val="clear"/>
            <w:vAlign w:val="bottom"/>
          </w:tcPr>
          <w:p>
            <w:pPr>
              <w:pStyle w:val="TableContents"/>
              <w:spacing w:before="0" w:after="283"/>
              <w:jc w:val="right"/>
              <w:rPr/>
            </w:pPr>
            <w:r>
              <w:rPr/>
              <w:t>585,600</w:t>
            </w:r>
          </w:p>
        </w:tc>
        <w:tc>
          <w:tcPr>
            <w:tcW w:w="60" w:type="dxa"/>
            <w:tcBorders/>
            <w:shd w:fill="auto" w:val="clear"/>
            <w:vAlign w:val="bottom"/>
          </w:tcPr>
          <w:p>
            <w:pPr>
              <w:pStyle w:val="TableContents"/>
              <w:spacing w:before="0" w:after="283"/>
              <w:rPr/>
            </w:pPr>
            <w:r>
              <w:rPr/>
              <w:t> </w:t>
            </w:r>
          </w:p>
        </w:tc>
      </w:tr>
      <w:tr>
        <w:trPr/>
        <w:tc>
          <w:tcPr>
            <w:tcW w:w="107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218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1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6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301"/>
        <w:gridCol w:w="133"/>
        <w:gridCol w:w="9771"/>
      </w:tblGrid>
      <w:tr>
        <w:trPr/>
        <w:tc>
          <w:tcPr>
            <w:tcW w:w="301" w:type="dxa"/>
            <w:tcBorders/>
            <w:shd w:fill="auto" w:val="clear"/>
          </w:tcPr>
          <w:p>
            <w:pPr>
              <w:pStyle w:val="TableContents"/>
              <w:spacing w:before="0" w:after="283"/>
              <w:jc w:val="left"/>
              <w:rPr/>
            </w:pPr>
            <w:r>
              <w:rPr/>
              <w:t>(1)</w:t>
            </w:r>
          </w:p>
        </w:tc>
        <w:tc>
          <w:tcPr>
            <w:tcW w:w="133" w:type="dxa"/>
            <w:tcBorders/>
            <w:shd w:fill="auto" w:val="clear"/>
          </w:tcPr>
          <w:p>
            <w:pPr>
              <w:pStyle w:val="TableContents"/>
              <w:spacing w:before="0" w:after="283"/>
              <w:rPr/>
            </w:pPr>
            <w:r>
              <w:rPr/>
              <w:t> </w:t>
            </w:r>
          </w:p>
        </w:tc>
        <w:tc>
          <w:tcPr>
            <w:tcW w:w="9771" w:type="dxa"/>
            <w:tcBorders/>
            <w:shd w:fill="auto" w:val="clear"/>
          </w:tcPr>
          <w:p>
            <w:pPr>
              <w:pStyle w:val="TableContents"/>
              <w:spacing w:before="0" w:after="283"/>
              <w:rPr/>
            </w:pPr>
            <w:r>
              <w:rPr/>
              <w:t>On February 3, 2006, Viad announced its intent, under a program authorized by its Board of Directors, to repurchase up to one million shares of Viad common stock from time to time at prevailing prices in the open market.</w:t>
            </w:r>
          </w:p>
        </w:tc>
      </w:tr>
      <w:tr>
        <w:trPr/>
        <w:tc>
          <w:tcPr>
            <w:tcW w:w="301" w:type="dxa"/>
            <w:tcBorders/>
            <w:shd w:fill="auto" w:val="clear"/>
            <w:vAlign w:val="center"/>
          </w:tcPr>
          <w:p>
            <w:pPr>
              <w:pStyle w:val="TableContents"/>
              <w:spacing w:before="0" w:after="283"/>
              <w:rPr/>
            </w:pPr>
            <w:r>
              <w:rPr/>
              <w:t> </w:t>
            </w:r>
          </w:p>
        </w:tc>
        <w:tc>
          <w:tcPr>
            <w:tcW w:w="9904" w:type="dxa"/>
            <w:gridSpan w:val="2"/>
            <w:tcBorders/>
            <w:shd w:fill="auto" w:val="clear"/>
          </w:tcPr>
          <w:p>
            <w:pPr>
              <w:pStyle w:val="TableContents"/>
              <w:spacing w:before="0" w:after="283"/>
              <w:rPr>
                <w:sz w:val="4"/>
                <w:szCs w:val="4"/>
              </w:rPr>
            </w:pPr>
            <w:r>
              <w:rPr>
                <w:sz w:val="4"/>
                <w:szCs w:val="4"/>
              </w:rPr>
            </w:r>
          </w:p>
        </w:tc>
      </w:tr>
      <w:tr>
        <w:trPr/>
        <w:tc>
          <w:tcPr>
            <w:tcW w:w="301" w:type="dxa"/>
            <w:tcBorders/>
            <w:shd w:fill="auto" w:val="clear"/>
          </w:tcPr>
          <w:p>
            <w:pPr>
              <w:pStyle w:val="TableContents"/>
              <w:spacing w:before="0" w:after="283"/>
              <w:jc w:val="left"/>
              <w:rPr/>
            </w:pPr>
            <w:r>
              <w:rPr/>
              <w:t>(2)</w:t>
            </w:r>
          </w:p>
        </w:tc>
        <w:tc>
          <w:tcPr>
            <w:tcW w:w="133" w:type="dxa"/>
            <w:tcBorders/>
            <w:shd w:fill="auto" w:val="clear"/>
          </w:tcPr>
          <w:p>
            <w:pPr>
              <w:pStyle w:val="TableContents"/>
              <w:spacing w:before="0" w:after="283"/>
              <w:rPr/>
            </w:pPr>
            <w:r>
              <w:rPr/>
              <w:t> </w:t>
            </w:r>
          </w:p>
        </w:tc>
        <w:tc>
          <w:tcPr>
            <w:tcW w:w="9771" w:type="dxa"/>
            <w:tcBorders/>
            <w:shd w:fill="auto" w:val="clear"/>
          </w:tcPr>
          <w:p>
            <w:pPr>
              <w:pStyle w:val="TableContents"/>
              <w:spacing w:before="0" w:after="283"/>
              <w:rPr/>
            </w:pPr>
            <w:r>
              <w:rPr/>
              <w:t>Under authorization by its Board of Directors, Viad may also repurchase at prevailing prices on the open market its common stock for the purpose of replacing stock issued upon exercise of stock options and in connection with other stock compensation plans. The last repurchase by Viad under this program occurred in May 2003.</w:t>
            </w:r>
          </w:p>
        </w:tc>
      </w:tr>
    </w:tbl>
    <w:p>
      <w:pPr>
        <w:pStyle w:val="TextBody"/>
        <w:spacing w:before="240" w:after="283"/>
        <w:jc w:val="left"/>
        <w:rPr>
          <w:rFonts w:ascii="Times New Roman;Times;serif" w:hAnsi="Times New Roman;Times;serif"/>
          <w:sz w:val="17"/>
        </w:rPr>
      </w:pPr>
      <w:bookmarkStart w:id="10" w:name="007"/>
      <w:bookmarkEnd w:id="10"/>
      <w:r>
        <w:rPr>
          <w:rFonts w:ascii="Times New Roman;Times;serif" w:hAnsi="Times New Roman;Times;serif"/>
          <w:b/>
          <w:sz w:val="17"/>
        </w:rPr>
        <w:t>Item 6. Exhibits.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07"/>
        <w:gridCol w:w="242"/>
        <w:gridCol w:w="1822"/>
        <w:gridCol w:w="242"/>
        <w:gridCol w:w="7292"/>
      </w:tblGrid>
      <w:tr>
        <w:trPr/>
        <w:tc>
          <w:tcPr>
            <w:tcW w:w="607"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822"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7292" w:type="dxa"/>
            <w:tcBorders/>
            <w:shd w:fill="auto" w:val="clear"/>
            <w:vAlign w:val="bottom"/>
          </w:tcPr>
          <w:p>
            <w:pPr>
              <w:pStyle w:val="TableContents"/>
              <w:spacing w:before="0" w:after="283"/>
              <w:rPr/>
            </w:pPr>
            <w:r>
              <w:rPr/>
              <w:t> </w:t>
            </w:r>
          </w:p>
        </w:tc>
      </w:tr>
      <w:tr>
        <w:trPr/>
        <w:tc>
          <w:tcPr>
            <w:tcW w:w="607" w:type="dxa"/>
            <w:tcBorders/>
            <w:shd w:fill="auto" w:val="clear"/>
          </w:tcPr>
          <w:p>
            <w:pPr>
              <w:pStyle w:val="TableContents"/>
              <w:spacing w:before="0" w:after="0"/>
              <w:ind w:left="0" w:right="0" w:hanging="0"/>
              <w:rPr/>
            </w:pPr>
            <w:r>
              <w:rPr/>
              <w:t xml:space="preserve">  </w:t>
            </w:r>
          </w:p>
        </w:tc>
        <w:tc>
          <w:tcPr>
            <w:tcW w:w="242" w:type="dxa"/>
            <w:tcBorders/>
            <w:shd w:fill="auto" w:val="clear"/>
            <w:vAlign w:val="bottom"/>
          </w:tcPr>
          <w:p>
            <w:pPr>
              <w:pStyle w:val="TableContents"/>
              <w:spacing w:before="0" w:after="283"/>
              <w:rPr/>
            </w:pPr>
            <w:r>
              <w:rPr/>
              <w:t> </w:t>
            </w:r>
          </w:p>
        </w:tc>
        <w:tc>
          <w:tcPr>
            <w:tcW w:w="1822" w:type="dxa"/>
            <w:tcBorders/>
            <w:shd w:fill="auto" w:val="clear"/>
          </w:tcPr>
          <w:p>
            <w:pPr>
              <w:pStyle w:val="TableContents"/>
              <w:spacing w:before="0" w:after="283"/>
              <w:jc w:val="left"/>
              <w:rPr/>
            </w:pPr>
            <w:r>
              <w:rPr/>
              <w:t xml:space="preserve">Exhibit No. 31.1 </w:t>
            </w:r>
          </w:p>
        </w:tc>
        <w:tc>
          <w:tcPr>
            <w:tcW w:w="242" w:type="dxa"/>
            <w:tcBorders/>
            <w:shd w:fill="auto" w:val="clear"/>
            <w:vAlign w:val="bottom"/>
          </w:tcPr>
          <w:p>
            <w:pPr>
              <w:pStyle w:val="TableContents"/>
              <w:spacing w:before="0" w:after="283"/>
              <w:rPr/>
            </w:pPr>
            <w:r>
              <w:rPr/>
              <w:t> </w:t>
            </w:r>
          </w:p>
        </w:tc>
        <w:tc>
          <w:tcPr>
            <w:tcW w:w="7292" w:type="dxa"/>
            <w:tcBorders/>
            <w:shd w:fill="auto" w:val="clear"/>
          </w:tcPr>
          <w:p>
            <w:pPr>
              <w:pStyle w:val="TableContents"/>
              <w:spacing w:before="0" w:after="283"/>
              <w:jc w:val="left"/>
              <w:rPr/>
            </w:pPr>
            <w:r>
              <w:rPr/>
              <w:t>Certification of Chief Executive Officer of Viad Corp pursuant to Section 302 of the Sarbanes-Oxley Act of 2002.*</w:t>
            </w:r>
          </w:p>
        </w:tc>
      </w:tr>
      <w:tr>
        <w:trPr/>
        <w:tc>
          <w:tcPr>
            <w:tcW w:w="607" w:type="dxa"/>
            <w:tcBorders/>
            <w:shd w:fill="auto" w:val="clear"/>
          </w:tcPr>
          <w:p>
            <w:pPr>
              <w:pStyle w:val="TableContents"/>
              <w:spacing w:before="0" w:after="0"/>
              <w:ind w:left="0" w:right="0" w:hanging="0"/>
              <w:rPr/>
            </w:pPr>
            <w:r>
              <w:rPr/>
              <w:t> </w:t>
            </w:r>
          </w:p>
        </w:tc>
        <w:tc>
          <w:tcPr>
            <w:tcW w:w="242" w:type="dxa"/>
            <w:tcBorders/>
            <w:shd w:fill="auto" w:val="clear"/>
            <w:vAlign w:val="bottom"/>
          </w:tcPr>
          <w:p>
            <w:pPr>
              <w:pStyle w:val="TableContents"/>
              <w:spacing w:before="0" w:after="283"/>
              <w:rPr/>
            </w:pPr>
            <w:r>
              <w:rPr/>
              <w:t> </w:t>
            </w:r>
          </w:p>
        </w:tc>
        <w:tc>
          <w:tcPr>
            <w:tcW w:w="1822" w:type="dxa"/>
            <w:tcBorders/>
            <w:shd w:fill="auto" w:val="clear"/>
          </w:tcPr>
          <w:p>
            <w:pPr>
              <w:pStyle w:val="TableContents"/>
              <w:spacing w:before="0" w:after="283"/>
              <w:jc w:val="left"/>
              <w:rPr/>
            </w:pPr>
            <w:r>
              <w:rPr/>
              <w:t> </w:t>
            </w:r>
          </w:p>
        </w:tc>
        <w:tc>
          <w:tcPr>
            <w:tcW w:w="242" w:type="dxa"/>
            <w:tcBorders/>
            <w:shd w:fill="auto" w:val="clear"/>
            <w:vAlign w:val="bottom"/>
          </w:tcPr>
          <w:p>
            <w:pPr>
              <w:pStyle w:val="TableContents"/>
              <w:spacing w:before="0" w:after="283"/>
              <w:rPr/>
            </w:pPr>
            <w:r>
              <w:rPr/>
              <w:t> </w:t>
            </w:r>
          </w:p>
        </w:tc>
        <w:tc>
          <w:tcPr>
            <w:tcW w:w="7292" w:type="dxa"/>
            <w:tcBorders/>
            <w:shd w:fill="auto" w:val="clear"/>
          </w:tcPr>
          <w:p>
            <w:pPr>
              <w:pStyle w:val="TableContents"/>
              <w:spacing w:before="0" w:after="283"/>
              <w:jc w:val="left"/>
              <w:rPr/>
            </w:pPr>
            <w:r>
              <w:rPr/>
              <w:t> </w:t>
            </w:r>
          </w:p>
        </w:tc>
      </w:tr>
      <w:tr>
        <w:trPr/>
        <w:tc>
          <w:tcPr>
            <w:tcW w:w="607" w:type="dxa"/>
            <w:tcBorders/>
            <w:shd w:fill="auto" w:val="clear"/>
          </w:tcPr>
          <w:p>
            <w:pPr>
              <w:pStyle w:val="TableContents"/>
              <w:spacing w:before="0" w:after="0"/>
              <w:ind w:left="0" w:right="0" w:hanging="0"/>
              <w:rPr/>
            </w:pPr>
            <w:r>
              <w:rPr/>
              <w:t xml:space="preserve">  </w:t>
            </w:r>
          </w:p>
        </w:tc>
        <w:tc>
          <w:tcPr>
            <w:tcW w:w="242" w:type="dxa"/>
            <w:tcBorders/>
            <w:shd w:fill="auto" w:val="clear"/>
            <w:vAlign w:val="bottom"/>
          </w:tcPr>
          <w:p>
            <w:pPr>
              <w:pStyle w:val="TableContents"/>
              <w:spacing w:before="0" w:after="283"/>
              <w:rPr/>
            </w:pPr>
            <w:r>
              <w:rPr/>
              <w:t> </w:t>
            </w:r>
          </w:p>
        </w:tc>
        <w:tc>
          <w:tcPr>
            <w:tcW w:w="1822" w:type="dxa"/>
            <w:tcBorders/>
            <w:shd w:fill="auto" w:val="clear"/>
          </w:tcPr>
          <w:p>
            <w:pPr>
              <w:pStyle w:val="TableContents"/>
              <w:spacing w:before="0" w:after="283"/>
              <w:jc w:val="left"/>
              <w:rPr/>
            </w:pPr>
            <w:r>
              <w:rPr/>
              <w:t xml:space="preserve">Exhibit No. 31.2 </w:t>
            </w:r>
          </w:p>
        </w:tc>
        <w:tc>
          <w:tcPr>
            <w:tcW w:w="242" w:type="dxa"/>
            <w:tcBorders/>
            <w:shd w:fill="auto" w:val="clear"/>
            <w:vAlign w:val="bottom"/>
          </w:tcPr>
          <w:p>
            <w:pPr>
              <w:pStyle w:val="TableContents"/>
              <w:spacing w:before="0" w:after="283"/>
              <w:rPr/>
            </w:pPr>
            <w:r>
              <w:rPr/>
              <w:t> </w:t>
            </w:r>
          </w:p>
        </w:tc>
        <w:tc>
          <w:tcPr>
            <w:tcW w:w="7292" w:type="dxa"/>
            <w:tcBorders/>
            <w:shd w:fill="auto" w:val="clear"/>
          </w:tcPr>
          <w:p>
            <w:pPr>
              <w:pStyle w:val="TableContents"/>
              <w:spacing w:before="0" w:after="283"/>
              <w:jc w:val="left"/>
              <w:rPr/>
            </w:pPr>
            <w:r>
              <w:rPr/>
              <w:t>Certification of Chief Financial Officer of Viad Corp pursuant to Section 302 of the Sarbanes-Oxley Act of 2002.*</w:t>
            </w:r>
          </w:p>
        </w:tc>
      </w:tr>
      <w:tr>
        <w:trPr/>
        <w:tc>
          <w:tcPr>
            <w:tcW w:w="607" w:type="dxa"/>
            <w:tcBorders/>
            <w:shd w:fill="auto" w:val="clear"/>
          </w:tcPr>
          <w:p>
            <w:pPr>
              <w:pStyle w:val="TableContents"/>
              <w:spacing w:before="0" w:after="0"/>
              <w:ind w:left="0" w:right="0" w:hanging="0"/>
              <w:rPr/>
            </w:pPr>
            <w:r>
              <w:rPr/>
              <w:t> </w:t>
            </w:r>
          </w:p>
        </w:tc>
        <w:tc>
          <w:tcPr>
            <w:tcW w:w="242" w:type="dxa"/>
            <w:tcBorders/>
            <w:shd w:fill="auto" w:val="clear"/>
            <w:vAlign w:val="bottom"/>
          </w:tcPr>
          <w:p>
            <w:pPr>
              <w:pStyle w:val="TableContents"/>
              <w:spacing w:before="0" w:after="283"/>
              <w:rPr/>
            </w:pPr>
            <w:r>
              <w:rPr/>
              <w:t> </w:t>
            </w:r>
          </w:p>
        </w:tc>
        <w:tc>
          <w:tcPr>
            <w:tcW w:w="1822" w:type="dxa"/>
            <w:tcBorders/>
            <w:shd w:fill="auto" w:val="clear"/>
          </w:tcPr>
          <w:p>
            <w:pPr>
              <w:pStyle w:val="TableContents"/>
              <w:spacing w:before="0" w:after="283"/>
              <w:jc w:val="left"/>
              <w:rPr/>
            </w:pPr>
            <w:r>
              <w:rPr/>
              <w:t> </w:t>
            </w:r>
          </w:p>
        </w:tc>
        <w:tc>
          <w:tcPr>
            <w:tcW w:w="242" w:type="dxa"/>
            <w:tcBorders/>
            <w:shd w:fill="auto" w:val="clear"/>
            <w:vAlign w:val="bottom"/>
          </w:tcPr>
          <w:p>
            <w:pPr>
              <w:pStyle w:val="TableContents"/>
              <w:spacing w:before="0" w:after="283"/>
              <w:rPr/>
            </w:pPr>
            <w:r>
              <w:rPr/>
              <w:t> </w:t>
            </w:r>
          </w:p>
        </w:tc>
        <w:tc>
          <w:tcPr>
            <w:tcW w:w="7292" w:type="dxa"/>
            <w:tcBorders/>
            <w:shd w:fill="auto" w:val="clear"/>
          </w:tcPr>
          <w:p>
            <w:pPr>
              <w:pStyle w:val="TableContents"/>
              <w:spacing w:before="0" w:after="283"/>
              <w:jc w:val="left"/>
              <w:rPr/>
            </w:pPr>
            <w:r>
              <w:rPr/>
              <w:t> </w:t>
            </w:r>
          </w:p>
        </w:tc>
      </w:tr>
      <w:tr>
        <w:trPr/>
        <w:tc>
          <w:tcPr>
            <w:tcW w:w="607" w:type="dxa"/>
            <w:tcBorders/>
            <w:shd w:fill="auto" w:val="clear"/>
          </w:tcPr>
          <w:p>
            <w:pPr>
              <w:pStyle w:val="TableContents"/>
              <w:spacing w:before="0" w:after="0"/>
              <w:ind w:left="0" w:right="0" w:hanging="0"/>
              <w:rPr/>
            </w:pPr>
            <w:r>
              <w:rPr/>
              <w:t xml:space="preserve">  </w:t>
            </w:r>
          </w:p>
        </w:tc>
        <w:tc>
          <w:tcPr>
            <w:tcW w:w="242" w:type="dxa"/>
            <w:tcBorders/>
            <w:shd w:fill="auto" w:val="clear"/>
            <w:vAlign w:val="bottom"/>
          </w:tcPr>
          <w:p>
            <w:pPr>
              <w:pStyle w:val="TableContents"/>
              <w:spacing w:before="0" w:after="283"/>
              <w:rPr/>
            </w:pPr>
            <w:r>
              <w:rPr/>
              <w:t> </w:t>
            </w:r>
          </w:p>
        </w:tc>
        <w:tc>
          <w:tcPr>
            <w:tcW w:w="1822" w:type="dxa"/>
            <w:tcBorders/>
            <w:shd w:fill="auto" w:val="clear"/>
          </w:tcPr>
          <w:p>
            <w:pPr>
              <w:pStyle w:val="TableContents"/>
              <w:spacing w:before="0" w:after="283"/>
              <w:jc w:val="left"/>
              <w:rPr/>
            </w:pPr>
            <w:r>
              <w:rPr/>
              <w:t xml:space="preserve">Exhibit No. 32.1 </w:t>
            </w:r>
          </w:p>
        </w:tc>
        <w:tc>
          <w:tcPr>
            <w:tcW w:w="242" w:type="dxa"/>
            <w:tcBorders/>
            <w:shd w:fill="auto" w:val="clear"/>
            <w:vAlign w:val="bottom"/>
          </w:tcPr>
          <w:p>
            <w:pPr>
              <w:pStyle w:val="TableContents"/>
              <w:spacing w:before="0" w:after="283"/>
              <w:rPr/>
            </w:pPr>
            <w:r>
              <w:rPr/>
              <w:t> </w:t>
            </w:r>
          </w:p>
        </w:tc>
        <w:tc>
          <w:tcPr>
            <w:tcW w:w="7292" w:type="dxa"/>
            <w:tcBorders/>
            <w:shd w:fill="auto" w:val="clear"/>
          </w:tcPr>
          <w:p>
            <w:pPr>
              <w:pStyle w:val="TableContents"/>
              <w:spacing w:before="0" w:after="283"/>
              <w:jc w:val="left"/>
              <w:rPr/>
            </w:pPr>
            <w:r>
              <w:rPr/>
              <w:t>Certification of Chief Executive Officer of Viad Corp pursuant to Section 906 of the Sarbanes-Oxley Act of 2002.*</w:t>
            </w:r>
          </w:p>
        </w:tc>
      </w:tr>
      <w:tr>
        <w:trPr/>
        <w:tc>
          <w:tcPr>
            <w:tcW w:w="607" w:type="dxa"/>
            <w:tcBorders/>
            <w:shd w:fill="auto" w:val="clear"/>
          </w:tcPr>
          <w:p>
            <w:pPr>
              <w:pStyle w:val="TableContents"/>
              <w:spacing w:before="0" w:after="0"/>
              <w:ind w:left="0" w:right="0" w:hanging="0"/>
              <w:rPr/>
            </w:pPr>
            <w:r>
              <w:rPr/>
              <w:t> </w:t>
            </w:r>
          </w:p>
        </w:tc>
        <w:tc>
          <w:tcPr>
            <w:tcW w:w="242" w:type="dxa"/>
            <w:tcBorders/>
            <w:shd w:fill="auto" w:val="clear"/>
            <w:vAlign w:val="bottom"/>
          </w:tcPr>
          <w:p>
            <w:pPr>
              <w:pStyle w:val="TableContents"/>
              <w:spacing w:before="0" w:after="283"/>
              <w:rPr/>
            </w:pPr>
            <w:r>
              <w:rPr/>
              <w:t> </w:t>
            </w:r>
          </w:p>
        </w:tc>
        <w:tc>
          <w:tcPr>
            <w:tcW w:w="1822" w:type="dxa"/>
            <w:tcBorders/>
            <w:shd w:fill="auto" w:val="clear"/>
          </w:tcPr>
          <w:p>
            <w:pPr>
              <w:pStyle w:val="TableContents"/>
              <w:spacing w:before="0" w:after="283"/>
              <w:jc w:val="left"/>
              <w:rPr/>
            </w:pPr>
            <w:r>
              <w:rPr/>
              <w:t> </w:t>
            </w:r>
          </w:p>
        </w:tc>
        <w:tc>
          <w:tcPr>
            <w:tcW w:w="242" w:type="dxa"/>
            <w:tcBorders/>
            <w:shd w:fill="auto" w:val="clear"/>
            <w:vAlign w:val="bottom"/>
          </w:tcPr>
          <w:p>
            <w:pPr>
              <w:pStyle w:val="TableContents"/>
              <w:spacing w:before="0" w:after="283"/>
              <w:rPr/>
            </w:pPr>
            <w:r>
              <w:rPr/>
              <w:t> </w:t>
            </w:r>
          </w:p>
        </w:tc>
        <w:tc>
          <w:tcPr>
            <w:tcW w:w="7292" w:type="dxa"/>
            <w:tcBorders/>
            <w:shd w:fill="auto" w:val="clear"/>
          </w:tcPr>
          <w:p>
            <w:pPr>
              <w:pStyle w:val="TableContents"/>
              <w:spacing w:before="0" w:after="283"/>
              <w:jc w:val="left"/>
              <w:rPr/>
            </w:pPr>
            <w:r>
              <w:rPr/>
              <w:t> </w:t>
            </w:r>
          </w:p>
        </w:tc>
      </w:tr>
      <w:tr>
        <w:trPr/>
        <w:tc>
          <w:tcPr>
            <w:tcW w:w="607" w:type="dxa"/>
            <w:tcBorders/>
            <w:shd w:fill="auto" w:val="clear"/>
          </w:tcPr>
          <w:p>
            <w:pPr>
              <w:pStyle w:val="TableContents"/>
              <w:spacing w:before="0" w:after="0"/>
              <w:ind w:left="0" w:right="0" w:hanging="0"/>
              <w:rPr/>
            </w:pPr>
            <w:r>
              <w:rPr/>
              <w:t xml:space="preserve">  </w:t>
            </w:r>
          </w:p>
        </w:tc>
        <w:tc>
          <w:tcPr>
            <w:tcW w:w="242" w:type="dxa"/>
            <w:tcBorders/>
            <w:shd w:fill="auto" w:val="clear"/>
            <w:vAlign w:val="bottom"/>
          </w:tcPr>
          <w:p>
            <w:pPr>
              <w:pStyle w:val="TableContents"/>
              <w:spacing w:before="0" w:after="283"/>
              <w:rPr/>
            </w:pPr>
            <w:r>
              <w:rPr/>
              <w:t> </w:t>
            </w:r>
          </w:p>
        </w:tc>
        <w:tc>
          <w:tcPr>
            <w:tcW w:w="1822" w:type="dxa"/>
            <w:tcBorders/>
            <w:shd w:fill="auto" w:val="clear"/>
          </w:tcPr>
          <w:p>
            <w:pPr>
              <w:pStyle w:val="TableContents"/>
              <w:spacing w:before="0" w:after="283"/>
              <w:jc w:val="left"/>
              <w:rPr/>
            </w:pPr>
            <w:r>
              <w:rPr/>
              <w:t xml:space="preserve">Exhibit No. 32.2 </w:t>
            </w:r>
          </w:p>
        </w:tc>
        <w:tc>
          <w:tcPr>
            <w:tcW w:w="242" w:type="dxa"/>
            <w:tcBorders/>
            <w:shd w:fill="auto" w:val="clear"/>
            <w:vAlign w:val="bottom"/>
          </w:tcPr>
          <w:p>
            <w:pPr>
              <w:pStyle w:val="TableContents"/>
              <w:spacing w:before="0" w:after="283"/>
              <w:rPr/>
            </w:pPr>
            <w:r>
              <w:rPr/>
              <w:t> </w:t>
            </w:r>
          </w:p>
        </w:tc>
        <w:tc>
          <w:tcPr>
            <w:tcW w:w="7292" w:type="dxa"/>
            <w:tcBorders/>
            <w:shd w:fill="auto" w:val="clear"/>
          </w:tcPr>
          <w:p>
            <w:pPr>
              <w:pStyle w:val="TableContents"/>
              <w:spacing w:before="0" w:after="283"/>
              <w:jc w:val="left"/>
              <w:rPr/>
            </w:pPr>
            <w:r>
              <w:rPr/>
              <w:t>Certification of Chief Financial Officer of Viad Corp pursuant to Section 906 of the Sarbanes-Oxley Act of 2002.*</w:t>
            </w:r>
          </w:p>
        </w:tc>
      </w:tr>
    </w:tbl>
    <w:p>
      <w:pPr>
        <w:pStyle w:val="TextBody"/>
        <w:spacing w:before="320" w:after="283"/>
        <w:jc w:val="left"/>
        <w:rPr>
          <w:bdr w:val="single" w:sz="2" w:space="1" w:color="000000"/>
        </w:rPr>
      </w:pPr>
      <w:r>
        <w:rPr>
          <w:bdr w:val="single" w:sz="2" w:space="1" w:color="000000"/>
        </w:rPr>
        <w:t> </w:t>
      </w:r>
    </w:p>
    <w:p>
      <w:pPr>
        <w:pStyle w:val="TextBody"/>
        <w:spacing w:before="0" w:after="283"/>
        <w:jc w:val="left"/>
        <w:rPr>
          <w:rFonts w:ascii="Times New Roman;Times;serif" w:hAnsi="Times New Roman;Times;serif"/>
          <w:sz w:val="17"/>
        </w:rPr>
      </w:pPr>
      <w:r>
        <w:rPr>
          <w:rFonts w:ascii="Times New Roman;Times;serif" w:hAnsi="Times New Roman;Times;serif"/>
          <w:sz w:val="17"/>
        </w:rPr>
        <w:t xml:space="preserve">* Filed herewith. </w:t>
      </w:r>
    </w:p>
    <w:p>
      <w:pPr>
        <w:pStyle w:val="TextBody"/>
        <w:spacing w:before="360" w:after="283"/>
        <w:jc w:val="center"/>
        <w:rPr>
          <w:rFonts w:ascii="Times New Roman;Times;serif" w:hAnsi="Times New Roman;Times;serif"/>
          <w:sz w:val="17"/>
        </w:rPr>
      </w:pPr>
      <w:bookmarkStart w:id="11" w:name="008"/>
      <w:bookmarkEnd w:id="11"/>
      <w:r>
        <w:rPr>
          <w:rFonts w:ascii="Times New Roman;Times;serif" w:hAnsi="Times New Roman;Times;serif"/>
          <w:b/>
          <w:sz w:val="17"/>
        </w:rPr>
        <w:t>SIGNATURES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Pursuant to the requirements of the Securities Exchange Act of 1934, the registrant has duly caused this report to be signed on its behalf by the undersigned thereunto duly authorized. </w:t>
      </w:r>
    </w:p>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vAlign w:val="bottom"/>
          </w:tcPr>
          <w:p>
            <w:pPr>
              <w:pStyle w:val="TableContents"/>
              <w:spacing w:before="0" w:after="283"/>
              <w:rPr/>
            </w:pPr>
            <w:r>
              <w:rPr/>
              <w:t> </w:t>
            </w:r>
          </w:p>
        </w:tc>
      </w:tr>
      <w:tr>
        <w:trPr/>
        <w:tc>
          <w:tcPr>
            <w:tcW w:w="4845" w:type="dxa"/>
            <w:tcBorders/>
            <w:shd w:fill="auto" w:val="clear"/>
          </w:tcPr>
          <w:p>
            <w:pPr>
              <w:pStyle w:val="TableContents"/>
              <w:spacing w:before="0" w:after="283"/>
              <w:jc w:val="center"/>
              <w:rPr/>
            </w:pPr>
            <w:r>
              <w:rPr/>
              <w:t xml:space="preserve">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center"/>
              <w:rPr>
                <w:b/>
              </w:rPr>
            </w:pPr>
            <w:r>
              <w:rPr>
                <w:b/>
              </w:rPr>
              <w:t>VIAD CORP</w:t>
            </w:r>
          </w:p>
        </w:tc>
      </w:tr>
      <w:tr>
        <w:trPr/>
        <w:tc>
          <w:tcPr>
            <w:tcW w:w="4845" w:type="dxa"/>
            <w:tcBorders/>
            <w:shd w:fill="auto" w:val="clear"/>
          </w:tcPr>
          <w:p>
            <w:pPr>
              <w:pStyle w:val="TableContents"/>
              <w:spacing w:before="0" w:after="283"/>
              <w:jc w:val="center"/>
              <w:rPr/>
            </w:pPr>
            <w:r>
              <w:rPr/>
              <w:t xml:space="preserve">  </w:t>
            </w:r>
          </w:p>
        </w:tc>
        <w:tc>
          <w:tcPr>
            <w:tcW w:w="514" w:type="dxa"/>
            <w:tcBorders/>
            <w:shd w:fill="auto" w:val="clear"/>
            <w:vAlign w:val="center"/>
          </w:tcPr>
          <w:p>
            <w:pPr>
              <w:pStyle w:val="TableContents"/>
              <w:spacing w:before="0" w:after="283"/>
              <w:rPr/>
            </w:pPr>
            <w:r>
              <w:rPr/>
              <w:t> </w:t>
            </w:r>
          </w:p>
        </w:tc>
        <w:tc>
          <w:tcPr>
            <w:tcW w:w="4846" w:type="dxa"/>
            <w:tcBorders>
              <w:top w:val="single" w:sz="2" w:space="0" w:color="000000"/>
            </w:tcBorders>
            <w:shd w:fill="auto" w:val="clear"/>
            <w:tcMar>
              <w:top w:w="28" w:type="dxa"/>
            </w:tcMar>
          </w:tcPr>
          <w:p>
            <w:pPr>
              <w:pStyle w:val="TableContents"/>
              <w:spacing w:before="0" w:after="283"/>
              <w:jc w:val="center"/>
              <w:rPr/>
            </w:pPr>
            <w:r>
              <w:rPr/>
              <w:t> </w:t>
            </w:r>
          </w:p>
        </w:tc>
      </w:tr>
      <w:tr>
        <w:trPr/>
        <w:tc>
          <w:tcPr>
            <w:tcW w:w="4845" w:type="dxa"/>
            <w:tcBorders/>
            <w:shd w:fill="auto" w:val="clear"/>
          </w:tcPr>
          <w:p>
            <w:pPr>
              <w:pStyle w:val="TableContents"/>
              <w:spacing w:before="0" w:after="283"/>
              <w:jc w:val="center"/>
              <w:rPr/>
            </w:pPr>
            <w:r>
              <w:rPr/>
              <w:t xml:space="preserve">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center"/>
              <w:rPr/>
            </w:pPr>
            <w:r>
              <w:rPr/>
              <w:t>(Registrant)</w:t>
            </w:r>
          </w:p>
        </w:tc>
      </w:tr>
      <w:tr>
        <w:trPr/>
        <w:tc>
          <w:tcPr>
            <w:tcW w:w="4845" w:type="dxa"/>
            <w:tcBorders/>
            <w:shd w:fill="auto" w:val="clear"/>
          </w:tcPr>
          <w:p>
            <w:pPr>
              <w:pStyle w:val="TableContents"/>
              <w:spacing w:before="0" w:after="283"/>
              <w:jc w:val="center"/>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center"/>
              <w:rPr/>
            </w:pPr>
            <w:r>
              <w:rPr/>
              <w:t> </w:t>
            </w:r>
          </w:p>
        </w:tc>
      </w:tr>
      <w:tr>
        <w:trPr/>
        <w:tc>
          <w:tcPr>
            <w:tcW w:w="4845" w:type="dxa"/>
            <w:tcBorders/>
            <w:shd w:fill="auto" w:val="clear"/>
          </w:tcPr>
          <w:p>
            <w:pPr>
              <w:pStyle w:val="TableContents"/>
              <w:spacing w:before="0" w:after="283"/>
              <w:jc w:val="center"/>
              <w:rPr/>
            </w:pPr>
            <w:r>
              <w:rPr>
                <w:b/>
              </w:rPr>
              <w:t>May 9, 2006</w:t>
            </w:r>
            <w:r>
              <w:rPr/>
              <w:t xml:space="preserve">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center"/>
              <w:rPr>
                <w:b/>
              </w:rPr>
            </w:pPr>
            <w:r>
              <w:rPr>
                <w:b/>
              </w:rPr>
              <w:t>By /s/ G. Michael Latta</w:t>
            </w:r>
          </w:p>
        </w:tc>
      </w:tr>
      <w:tr>
        <w:trPr/>
        <w:tc>
          <w:tcPr>
            <w:tcW w:w="4845" w:type="dxa"/>
            <w:tcBorders>
              <w:top w:val="single" w:sz="2" w:space="0" w:color="000000"/>
            </w:tcBorders>
            <w:shd w:fill="auto" w:val="clear"/>
            <w:tcMar>
              <w:top w:w="28" w:type="dxa"/>
            </w:tcMar>
          </w:tcPr>
          <w:p>
            <w:pPr>
              <w:pStyle w:val="TableContents"/>
              <w:spacing w:before="0" w:after="283"/>
              <w:jc w:val="center"/>
              <w:rPr/>
            </w:pPr>
            <w:r>
              <w:rPr/>
              <w:t xml:space="preserve">  </w:t>
            </w:r>
          </w:p>
        </w:tc>
        <w:tc>
          <w:tcPr>
            <w:tcW w:w="514" w:type="dxa"/>
            <w:tcBorders/>
            <w:shd w:fill="auto" w:val="clear"/>
            <w:vAlign w:val="center"/>
          </w:tcPr>
          <w:p>
            <w:pPr>
              <w:pStyle w:val="TableContents"/>
              <w:spacing w:before="0" w:after="283"/>
              <w:rPr/>
            </w:pPr>
            <w:r>
              <w:rPr/>
              <w:t> </w:t>
            </w:r>
          </w:p>
        </w:tc>
        <w:tc>
          <w:tcPr>
            <w:tcW w:w="4846" w:type="dxa"/>
            <w:tcBorders>
              <w:top w:val="single" w:sz="2" w:space="0" w:color="000000"/>
            </w:tcBorders>
            <w:shd w:fill="auto" w:val="clear"/>
            <w:tcMar>
              <w:top w:w="28" w:type="dxa"/>
            </w:tcMar>
          </w:tcPr>
          <w:p>
            <w:pPr>
              <w:pStyle w:val="TableContents"/>
              <w:spacing w:before="0" w:after="283"/>
              <w:jc w:val="center"/>
              <w:rPr/>
            </w:pPr>
            <w:r>
              <w:rPr/>
              <w:t> </w:t>
            </w:r>
          </w:p>
        </w:tc>
      </w:tr>
      <w:tr>
        <w:trPr/>
        <w:tc>
          <w:tcPr>
            <w:tcW w:w="4845" w:type="dxa"/>
            <w:tcBorders/>
            <w:shd w:fill="auto" w:val="clear"/>
          </w:tcPr>
          <w:p>
            <w:pPr>
              <w:pStyle w:val="TableContents"/>
              <w:spacing w:before="0" w:after="283"/>
              <w:jc w:val="center"/>
              <w:rPr/>
            </w:pPr>
            <w:r>
              <w:rPr/>
              <w:t xml:space="preserve">(Date)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center"/>
              <w:rPr/>
            </w:pPr>
            <w:r>
              <w:rPr/>
              <w:t>G. Michael Latta</w:t>
            </w:r>
          </w:p>
        </w:tc>
      </w:tr>
      <w:tr>
        <w:trPr/>
        <w:tc>
          <w:tcPr>
            <w:tcW w:w="4845" w:type="dxa"/>
            <w:tcBorders/>
            <w:shd w:fill="auto" w:val="clear"/>
          </w:tcPr>
          <w:p>
            <w:pPr>
              <w:pStyle w:val="TableContents"/>
              <w:spacing w:before="0" w:after="283"/>
              <w:jc w:val="center"/>
              <w:rPr/>
            </w:pPr>
            <w:r>
              <w:rPr/>
              <w:t xml:space="preserve">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center"/>
              <w:rPr/>
            </w:pPr>
            <w:r>
              <w:rPr/>
              <w:t>Vice President  Controller</w:t>
            </w:r>
          </w:p>
        </w:tc>
      </w:tr>
      <w:tr>
        <w:trPr/>
        <w:tc>
          <w:tcPr>
            <w:tcW w:w="4845" w:type="dxa"/>
            <w:tcBorders/>
            <w:shd w:fill="auto" w:val="clear"/>
          </w:tcPr>
          <w:p>
            <w:pPr>
              <w:pStyle w:val="TableContents"/>
              <w:spacing w:before="0" w:after="283"/>
              <w:jc w:val="center"/>
              <w:rPr/>
            </w:pPr>
            <w:r>
              <w:rPr/>
              <w:t xml:space="preserve">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center"/>
              <w:rPr/>
            </w:pPr>
            <w:r>
              <w:rPr/>
              <w:t>(Chief Accounting Officer</w:t>
            </w:r>
          </w:p>
        </w:tc>
      </w:tr>
      <w:tr>
        <w:trPr/>
        <w:tc>
          <w:tcPr>
            <w:tcW w:w="4845" w:type="dxa"/>
            <w:tcBorders/>
            <w:shd w:fill="auto" w:val="clear"/>
          </w:tcPr>
          <w:p>
            <w:pPr>
              <w:pStyle w:val="TableContents"/>
              <w:spacing w:before="0" w:after="283"/>
              <w:jc w:val="center"/>
              <w:rPr/>
            </w:pPr>
            <w:r>
              <w:rPr/>
              <w:t xml:space="preserve">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center"/>
              <w:rPr/>
            </w:pPr>
            <w:r>
              <w:rPr/>
              <w:t>and Authorized Officer)</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25 </w:t>
      </w:r>
      <w:r>
        <w:br w:type="page"/>
      </w:r>
    </w:p>
    <w:p>
      <w:pPr>
        <w:pStyle w:val="Heading5"/>
        <w:jc w:val="left"/>
        <w:rPr/>
      </w:pPr>
      <w:bookmarkStart w:id="12" w:name="p72295exv31w1.htm"/>
      <w:bookmarkStart w:id="13" w:name="ksp72295exv31w1"/>
      <w:bookmarkEnd w:id="12"/>
      <w:bookmarkEnd w:id="13"/>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Paul B. Dykstra, certify that: </w:t>
      </w:r>
    </w:p>
    <w:tbl>
      <w:tblPr>
        <w:tblW w:w="5000" w:type="pct"/>
        <w:jc w:val="left"/>
        <w:tblInd w:w="0" w:type="dxa"/>
        <w:tblCellMar>
          <w:top w:w="0" w:type="dxa"/>
          <w:left w:w="0" w:type="dxa"/>
          <w:bottom w:w="0" w:type="dxa"/>
          <w:right w:w="0" w:type="dxa"/>
        </w:tblCellMar>
      </w:tblPr>
      <w:tblGrid>
        <w:gridCol w:w="199"/>
        <w:gridCol w:w="125"/>
        <w:gridCol w:w="9881"/>
      </w:tblGrid>
      <w:tr>
        <w:trPr/>
        <w:tc>
          <w:tcPr>
            <w:tcW w:w="199" w:type="dxa"/>
            <w:tcBorders/>
            <w:shd w:fill="auto" w:val="clear"/>
          </w:tcPr>
          <w:p>
            <w:pPr>
              <w:pStyle w:val="TableContents"/>
              <w:spacing w:before="0" w:after="283"/>
              <w:jc w:val="left"/>
              <w:rPr/>
            </w:pPr>
            <w:r>
              <w:rPr/>
              <w:t>1.</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I have reviewed this report on Form 10-Q of Viad Corp;</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2.</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3.</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4.</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(registrants fourth fiscal quarter in the case of an annual report) that has materially affected, or is reasonably likely to materially affect, the registrants internal control over financial reporting; and</w:t>
            </w:r>
          </w:p>
        </w:tc>
      </w:tr>
    </w:tbl>
    <w:tbl>
      <w:tblPr>
        <w:tblW w:w="5000" w:type="pct"/>
        <w:jc w:val="left"/>
        <w:tblInd w:w="0" w:type="dxa"/>
        <w:tblCellMar>
          <w:top w:w="0" w:type="dxa"/>
          <w:left w:w="0" w:type="dxa"/>
          <w:bottom w:w="0" w:type="dxa"/>
          <w:right w:w="0" w:type="dxa"/>
        </w:tblCellMar>
      </w:tblPr>
      <w:tblGrid>
        <w:gridCol w:w="207"/>
        <w:gridCol w:w="128"/>
        <w:gridCol w:w="9870"/>
      </w:tblGrid>
      <w:tr>
        <w:trPr/>
        <w:tc>
          <w:tcPr>
            <w:tcW w:w="207" w:type="dxa"/>
            <w:tcBorders/>
            <w:shd w:fill="auto" w:val="clear"/>
          </w:tcPr>
          <w:p>
            <w:pPr>
              <w:pStyle w:val="TableContents"/>
              <w:spacing w:before="0" w:after="283"/>
              <w:jc w:val="left"/>
              <w:rPr/>
            </w:pPr>
            <w:r>
              <w:rPr/>
              <w:t>5.</w:t>
            </w:r>
          </w:p>
        </w:tc>
        <w:tc>
          <w:tcPr>
            <w:tcW w:w="128" w:type="dxa"/>
            <w:tcBorders/>
            <w:shd w:fill="auto" w:val="clear"/>
          </w:tcPr>
          <w:p>
            <w:pPr>
              <w:pStyle w:val="TableContents"/>
              <w:spacing w:before="0" w:after="283"/>
              <w:rPr/>
            </w:pPr>
            <w:r>
              <w:rPr/>
              <w:t> </w:t>
            </w:r>
          </w:p>
        </w:tc>
        <w:tc>
          <w:tcPr>
            <w:tcW w:w="9870"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w:t>
            </w:r>
          </w:p>
        </w:tc>
      </w:tr>
    </w:tbl>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tbl>
      <w:tblPr>
        <w:tblW w:w="5000" w:type="pct"/>
        <w:jc w:val="center"/>
        <w:tblInd w:w="0" w:type="dxa"/>
        <w:tblCellMar>
          <w:top w:w="0" w:type="dxa"/>
          <w:left w:w="0" w:type="dxa"/>
          <w:bottom w:w="0" w:type="dxa"/>
          <w:right w:w="0" w:type="dxa"/>
        </w:tblCellMar>
      </w:tblPr>
      <w:tblGrid>
        <w:gridCol w:w="6126"/>
        <w:gridCol w:w="508"/>
        <w:gridCol w:w="3571"/>
      </w:tblGrid>
      <w:tr>
        <w:trPr/>
        <w:tc>
          <w:tcPr>
            <w:tcW w:w="6126"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rPr/>
            </w:pPr>
            <w:r>
              <w:rPr/>
              <w:t> </w:t>
            </w:r>
          </w:p>
        </w:tc>
        <w:tc>
          <w:tcPr>
            <w:tcW w:w="3571" w:type="dxa"/>
            <w:tcBorders/>
            <w:shd w:fill="auto" w:val="clear"/>
            <w:vAlign w:val="bottom"/>
          </w:tcPr>
          <w:p>
            <w:pPr>
              <w:pStyle w:val="TableContents"/>
              <w:spacing w:before="0" w:after="283"/>
              <w:rPr/>
            </w:pPr>
            <w:r>
              <w:rPr/>
              <w:t> </w:t>
            </w:r>
          </w:p>
        </w:tc>
      </w:tr>
      <w:tr>
        <w:trPr/>
        <w:tc>
          <w:tcPr>
            <w:tcW w:w="6126" w:type="dxa"/>
            <w:tcBorders/>
            <w:shd w:fill="auto" w:val="clear"/>
          </w:tcPr>
          <w:p>
            <w:pPr>
              <w:pStyle w:val="TableContents"/>
              <w:spacing w:before="0" w:after="0"/>
              <w:ind w:left="0" w:right="0" w:hanging="0"/>
              <w:rPr/>
            </w:pPr>
            <w:r>
              <w:rPr/>
              <w:t xml:space="preserve">Date: May 9, 2006 </w:t>
            </w:r>
          </w:p>
        </w:tc>
        <w:tc>
          <w:tcPr>
            <w:tcW w:w="508" w:type="dxa"/>
            <w:tcBorders/>
            <w:shd w:fill="auto" w:val="clear"/>
            <w:vAlign w:val="bottom"/>
          </w:tcPr>
          <w:p>
            <w:pPr>
              <w:pStyle w:val="TableContents"/>
              <w:spacing w:before="0" w:after="283"/>
              <w:rPr/>
            </w:pPr>
            <w:r>
              <w:rPr/>
              <w:t> </w:t>
            </w:r>
          </w:p>
        </w:tc>
        <w:tc>
          <w:tcPr>
            <w:tcW w:w="3571" w:type="dxa"/>
            <w:tcBorders/>
            <w:shd w:fill="auto" w:val="clear"/>
          </w:tcPr>
          <w:p>
            <w:pPr>
              <w:pStyle w:val="TableContents"/>
              <w:spacing w:before="0" w:after="283"/>
              <w:jc w:val="left"/>
              <w:rPr/>
            </w:pPr>
            <w:r>
              <w:rPr/>
              <w:t>By /s/ Paul B. Dykstra</w:t>
            </w:r>
          </w:p>
        </w:tc>
      </w:tr>
      <w:tr>
        <w:trPr/>
        <w:tc>
          <w:tcPr>
            <w:tcW w:w="6126" w:type="dxa"/>
            <w:tcBorders/>
            <w:shd w:fill="auto" w:val="clear"/>
          </w:tcPr>
          <w:p>
            <w:pPr>
              <w:pStyle w:val="TableContents"/>
              <w:spacing w:before="0" w:after="0"/>
              <w:ind w:left="0" w:right="0" w:hanging="0"/>
              <w:rPr/>
            </w:pPr>
            <w:r>
              <w:rPr/>
              <w:t xml:space="preserve">  </w:t>
            </w:r>
          </w:p>
        </w:tc>
        <w:tc>
          <w:tcPr>
            <w:tcW w:w="508" w:type="dxa"/>
            <w:tcBorders/>
            <w:shd w:fill="auto" w:val="clear"/>
            <w:vAlign w:val="center"/>
          </w:tcPr>
          <w:p>
            <w:pPr>
              <w:pStyle w:val="TableContents"/>
              <w:spacing w:before="0" w:after="283"/>
              <w:rPr/>
            </w:pPr>
            <w:r>
              <w:rPr/>
              <w:t> </w:t>
            </w:r>
          </w:p>
        </w:tc>
        <w:tc>
          <w:tcPr>
            <w:tcW w:w="3571" w:type="dxa"/>
            <w:tcBorders>
              <w:top w:val="single" w:sz="2" w:space="0" w:color="000000"/>
            </w:tcBorders>
            <w:shd w:fill="auto" w:val="clear"/>
            <w:tcMar>
              <w:top w:w="28" w:type="dxa"/>
            </w:tcMar>
          </w:tcPr>
          <w:p>
            <w:pPr>
              <w:pStyle w:val="TableContents"/>
              <w:spacing w:before="0" w:after="283"/>
              <w:jc w:val="left"/>
              <w:rPr/>
            </w:pPr>
            <w:r>
              <w:rPr/>
              <w:t> </w:t>
            </w:r>
          </w:p>
        </w:tc>
      </w:tr>
      <w:tr>
        <w:trPr/>
        <w:tc>
          <w:tcPr>
            <w:tcW w:w="6126" w:type="dxa"/>
            <w:tcBorders/>
            <w:shd w:fill="auto" w:val="clear"/>
          </w:tcPr>
          <w:p>
            <w:pPr>
              <w:pStyle w:val="TableContents"/>
              <w:spacing w:before="0" w:after="0"/>
              <w:ind w:left="0" w:right="0" w:hanging="0"/>
              <w:rPr/>
            </w:pPr>
            <w:r>
              <w:rPr/>
              <w:t xml:space="preserve">  </w:t>
            </w:r>
          </w:p>
        </w:tc>
        <w:tc>
          <w:tcPr>
            <w:tcW w:w="508" w:type="dxa"/>
            <w:tcBorders/>
            <w:shd w:fill="auto" w:val="clear"/>
            <w:vAlign w:val="bottom"/>
          </w:tcPr>
          <w:p>
            <w:pPr>
              <w:pStyle w:val="TableContents"/>
              <w:spacing w:before="0" w:after="283"/>
              <w:rPr/>
            </w:pPr>
            <w:r>
              <w:rPr/>
              <w:t> </w:t>
            </w:r>
          </w:p>
        </w:tc>
        <w:tc>
          <w:tcPr>
            <w:tcW w:w="3571" w:type="dxa"/>
            <w:tcBorders/>
            <w:shd w:fill="auto" w:val="clear"/>
          </w:tcPr>
          <w:p>
            <w:pPr>
              <w:pStyle w:val="TableContents"/>
              <w:spacing w:before="0" w:after="283"/>
              <w:jc w:val="left"/>
              <w:rPr/>
            </w:pPr>
            <w:r>
              <w:rPr/>
              <w:t>Paul B. Dykstra</w:t>
            </w:r>
          </w:p>
        </w:tc>
      </w:tr>
      <w:tr>
        <w:trPr/>
        <w:tc>
          <w:tcPr>
            <w:tcW w:w="6126" w:type="dxa"/>
            <w:tcBorders/>
            <w:shd w:fill="auto" w:val="clear"/>
          </w:tcPr>
          <w:p>
            <w:pPr>
              <w:pStyle w:val="TableContents"/>
              <w:spacing w:before="0" w:after="0"/>
              <w:ind w:left="0" w:right="0" w:hanging="0"/>
              <w:rPr/>
            </w:pPr>
            <w:r>
              <w:rPr/>
              <w:t xml:space="preserve">  </w:t>
            </w:r>
          </w:p>
        </w:tc>
        <w:tc>
          <w:tcPr>
            <w:tcW w:w="508" w:type="dxa"/>
            <w:tcBorders/>
            <w:shd w:fill="auto" w:val="clear"/>
            <w:vAlign w:val="bottom"/>
          </w:tcPr>
          <w:p>
            <w:pPr>
              <w:pStyle w:val="TableContents"/>
              <w:spacing w:before="0" w:after="283"/>
              <w:rPr/>
            </w:pPr>
            <w:r>
              <w:rPr/>
              <w:t> </w:t>
            </w:r>
          </w:p>
        </w:tc>
        <w:tc>
          <w:tcPr>
            <w:tcW w:w="3571" w:type="dxa"/>
            <w:tcBorders/>
            <w:shd w:fill="auto" w:val="clear"/>
          </w:tcPr>
          <w:p>
            <w:pPr>
              <w:pStyle w:val="TableContents"/>
              <w:spacing w:before="0" w:after="283"/>
              <w:jc w:val="left"/>
              <w:rPr/>
            </w:pPr>
            <w:r>
              <w:rPr/>
              <w:t>President and Chief Executive Officer</w:t>
            </w:r>
          </w:p>
        </w:tc>
      </w:tr>
    </w:tbl>
    <w:p>
      <w:pPr>
        <w:pStyle w:val="TextBody"/>
        <w:jc w:val="center"/>
        <w:rPr/>
      </w:pPr>
      <w:r>
        <w:rPr/>
        <w:t xml:space="preserve">  </w:t>
      </w:r>
      <w:r>
        <w:br w:type="page"/>
      </w:r>
    </w:p>
    <w:p>
      <w:pPr>
        <w:pStyle w:val="Heading5"/>
        <w:jc w:val="left"/>
        <w:rPr/>
      </w:pPr>
      <w:bookmarkStart w:id="14" w:name="p72295exv31w2.htm"/>
      <w:bookmarkStart w:id="15" w:name="ksp72295exv31w2"/>
      <w:bookmarkEnd w:id="14"/>
      <w:bookmarkEnd w:id="15"/>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Ellen M. Ingersoll, certify that: </w:t>
      </w:r>
    </w:p>
    <w:tbl>
      <w:tblPr>
        <w:tblW w:w="5000" w:type="pct"/>
        <w:jc w:val="left"/>
        <w:tblInd w:w="0" w:type="dxa"/>
        <w:tblCellMar>
          <w:top w:w="0" w:type="dxa"/>
          <w:left w:w="0" w:type="dxa"/>
          <w:bottom w:w="0" w:type="dxa"/>
          <w:right w:w="0" w:type="dxa"/>
        </w:tblCellMar>
      </w:tblPr>
      <w:tblGrid>
        <w:gridCol w:w="199"/>
        <w:gridCol w:w="125"/>
        <w:gridCol w:w="9881"/>
      </w:tblGrid>
      <w:tr>
        <w:trPr/>
        <w:tc>
          <w:tcPr>
            <w:tcW w:w="199" w:type="dxa"/>
            <w:tcBorders/>
            <w:shd w:fill="auto" w:val="clear"/>
          </w:tcPr>
          <w:p>
            <w:pPr>
              <w:pStyle w:val="TableContents"/>
              <w:spacing w:before="0" w:after="283"/>
              <w:jc w:val="left"/>
              <w:rPr/>
            </w:pPr>
            <w:r>
              <w:rPr/>
              <w:t>1.</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I have reviewed this report on Form 10-Q of Viad Corp;</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2.</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3.</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4.</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(registrants fourth fiscal quarter in the case of an annual report) that has materially affected, or is reasonably likely to materially affect, the registrants internal control over financial reporting; and</w:t>
            </w:r>
          </w:p>
        </w:tc>
      </w:tr>
    </w:tbl>
    <w:tbl>
      <w:tblPr>
        <w:tblW w:w="5000" w:type="pct"/>
        <w:jc w:val="left"/>
        <w:tblInd w:w="0" w:type="dxa"/>
        <w:tblCellMar>
          <w:top w:w="0" w:type="dxa"/>
          <w:left w:w="0" w:type="dxa"/>
          <w:bottom w:w="0" w:type="dxa"/>
          <w:right w:w="0" w:type="dxa"/>
        </w:tblCellMar>
      </w:tblPr>
      <w:tblGrid>
        <w:gridCol w:w="207"/>
        <w:gridCol w:w="128"/>
        <w:gridCol w:w="9870"/>
      </w:tblGrid>
      <w:tr>
        <w:trPr/>
        <w:tc>
          <w:tcPr>
            <w:tcW w:w="207" w:type="dxa"/>
            <w:tcBorders/>
            <w:shd w:fill="auto" w:val="clear"/>
          </w:tcPr>
          <w:p>
            <w:pPr>
              <w:pStyle w:val="TableContents"/>
              <w:spacing w:before="0" w:after="283"/>
              <w:jc w:val="left"/>
              <w:rPr/>
            </w:pPr>
            <w:r>
              <w:rPr/>
              <w:t>5.</w:t>
            </w:r>
          </w:p>
        </w:tc>
        <w:tc>
          <w:tcPr>
            <w:tcW w:w="128" w:type="dxa"/>
            <w:tcBorders/>
            <w:shd w:fill="auto" w:val="clear"/>
          </w:tcPr>
          <w:p>
            <w:pPr>
              <w:pStyle w:val="TableContents"/>
              <w:spacing w:before="0" w:after="283"/>
              <w:rPr/>
            </w:pPr>
            <w:r>
              <w:rPr/>
              <w:t> </w:t>
            </w:r>
          </w:p>
        </w:tc>
        <w:tc>
          <w:tcPr>
            <w:tcW w:w="9870"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w:t>
            </w:r>
          </w:p>
        </w:tc>
      </w:tr>
    </w:tbl>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tbl>
      <w:tblPr>
        <w:tblW w:w="5000" w:type="pct"/>
        <w:jc w:val="center"/>
        <w:tblInd w:w="0" w:type="dxa"/>
        <w:tblCellMar>
          <w:top w:w="0" w:type="dxa"/>
          <w:left w:w="0" w:type="dxa"/>
          <w:bottom w:w="0" w:type="dxa"/>
          <w:right w:w="0" w:type="dxa"/>
        </w:tblCellMar>
      </w:tblPr>
      <w:tblGrid>
        <w:gridCol w:w="6124"/>
        <w:gridCol w:w="508"/>
        <w:gridCol w:w="3573"/>
      </w:tblGrid>
      <w:tr>
        <w:trPr/>
        <w:tc>
          <w:tcPr>
            <w:tcW w:w="6124"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rPr/>
            </w:pPr>
            <w:r>
              <w:rPr/>
              <w:t> </w:t>
            </w:r>
          </w:p>
        </w:tc>
        <w:tc>
          <w:tcPr>
            <w:tcW w:w="3573" w:type="dxa"/>
            <w:tcBorders/>
            <w:shd w:fill="auto" w:val="clear"/>
            <w:vAlign w:val="bottom"/>
          </w:tcPr>
          <w:p>
            <w:pPr>
              <w:pStyle w:val="TableContents"/>
              <w:spacing w:before="0" w:after="283"/>
              <w:rPr/>
            </w:pPr>
            <w:r>
              <w:rPr/>
              <w:t> </w:t>
            </w:r>
          </w:p>
        </w:tc>
      </w:tr>
      <w:tr>
        <w:trPr/>
        <w:tc>
          <w:tcPr>
            <w:tcW w:w="6124" w:type="dxa"/>
            <w:tcBorders/>
            <w:shd w:fill="auto" w:val="clear"/>
          </w:tcPr>
          <w:p>
            <w:pPr>
              <w:pStyle w:val="TableContents"/>
              <w:spacing w:before="0" w:after="0"/>
              <w:ind w:left="0" w:right="0" w:hanging="0"/>
              <w:rPr/>
            </w:pPr>
            <w:r>
              <w:rPr/>
              <w:t xml:space="preserve">Date: May 9, 2006 </w:t>
            </w:r>
          </w:p>
        </w:tc>
        <w:tc>
          <w:tcPr>
            <w:tcW w:w="508" w:type="dxa"/>
            <w:tcBorders/>
            <w:shd w:fill="auto" w:val="clear"/>
            <w:vAlign w:val="bottom"/>
          </w:tcPr>
          <w:p>
            <w:pPr>
              <w:pStyle w:val="TableContents"/>
              <w:spacing w:before="0" w:after="283"/>
              <w:rPr/>
            </w:pPr>
            <w:r>
              <w:rPr/>
              <w:t> </w:t>
            </w:r>
          </w:p>
        </w:tc>
        <w:tc>
          <w:tcPr>
            <w:tcW w:w="3573" w:type="dxa"/>
            <w:tcBorders/>
            <w:shd w:fill="auto" w:val="clear"/>
          </w:tcPr>
          <w:p>
            <w:pPr>
              <w:pStyle w:val="TableContents"/>
              <w:spacing w:before="0" w:after="283"/>
              <w:jc w:val="left"/>
              <w:rPr/>
            </w:pPr>
            <w:r>
              <w:rPr/>
              <w:t>By /s/ Ellen M. Ingersoll</w:t>
            </w:r>
          </w:p>
        </w:tc>
      </w:tr>
      <w:tr>
        <w:trPr/>
        <w:tc>
          <w:tcPr>
            <w:tcW w:w="6124" w:type="dxa"/>
            <w:tcBorders/>
            <w:shd w:fill="auto" w:val="clear"/>
          </w:tcPr>
          <w:p>
            <w:pPr>
              <w:pStyle w:val="TableContents"/>
              <w:spacing w:before="0" w:after="0"/>
              <w:ind w:left="0" w:right="0" w:hanging="0"/>
              <w:rPr/>
            </w:pPr>
            <w:r>
              <w:rPr/>
              <w:t xml:space="preserve">  </w:t>
            </w:r>
          </w:p>
        </w:tc>
        <w:tc>
          <w:tcPr>
            <w:tcW w:w="508" w:type="dxa"/>
            <w:tcBorders/>
            <w:shd w:fill="auto" w:val="clear"/>
            <w:vAlign w:val="center"/>
          </w:tcPr>
          <w:p>
            <w:pPr>
              <w:pStyle w:val="TableContents"/>
              <w:spacing w:before="0" w:after="283"/>
              <w:rPr/>
            </w:pPr>
            <w:r>
              <w:rPr/>
              <w:t> </w:t>
            </w:r>
          </w:p>
        </w:tc>
        <w:tc>
          <w:tcPr>
            <w:tcW w:w="3573" w:type="dxa"/>
            <w:tcBorders>
              <w:top w:val="single" w:sz="2" w:space="0" w:color="000000"/>
            </w:tcBorders>
            <w:shd w:fill="auto" w:val="clear"/>
            <w:tcMar>
              <w:top w:w="28" w:type="dxa"/>
            </w:tcMar>
          </w:tcPr>
          <w:p>
            <w:pPr>
              <w:pStyle w:val="TableContents"/>
              <w:spacing w:before="0" w:after="283"/>
              <w:jc w:val="left"/>
              <w:rPr/>
            </w:pPr>
            <w:r>
              <w:rPr/>
              <w:t> </w:t>
            </w:r>
          </w:p>
        </w:tc>
      </w:tr>
      <w:tr>
        <w:trPr/>
        <w:tc>
          <w:tcPr>
            <w:tcW w:w="6124" w:type="dxa"/>
            <w:tcBorders/>
            <w:shd w:fill="auto" w:val="clear"/>
          </w:tcPr>
          <w:p>
            <w:pPr>
              <w:pStyle w:val="TableContents"/>
              <w:spacing w:before="0" w:after="0"/>
              <w:ind w:left="0" w:right="0" w:hanging="0"/>
              <w:rPr/>
            </w:pPr>
            <w:r>
              <w:rPr/>
              <w:t xml:space="preserve">  </w:t>
            </w:r>
          </w:p>
        </w:tc>
        <w:tc>
          <w:tcPr>
            <w:tcW w:w="508" w:type="dxa"/>
            <w:tcBorders/>
            <w:shd w:fill="auto" w:val="clear"/>
            <w:vAlign w:val="bottom"/>
          </w:tcPr>
          <w:p>
            <w:pPr>
              <w:pStyle w:val="TableContents"/>
              <w:spacing w:before="0" w:after="283"/>
              <w:rPr/>
            </w:pPr>
            <w:r>
              <w:rPr/>
              <w:t> </w:t>
            </w:r>
          </w:p>
        </w:tc>
        <w:tc>
          <w:tcPr>
            <w:tcW w:w="3573" w:type="dxa"/>
            <w:tcBorders/>
            <w:shd w:fill="auto" w:val="clear"/>
          </w:tcPr>
          <w:p>
            <w:pPr>
              <w:pStyle w:val="TableContents"/>
              <w:spacing w:before="0" w:after="283"/>
              <w:jc w:val="left"/>
              <w:rPr/>
            </w:pPr>
            <w:r>
              <w:rPr/>
              <w:t>Ellen M. Ingersoll</w:t>
            </w:r>
          </w:p>
        </w:tc>
      </w:tr>
      <w:tr>
        <w:trPr/>
        <w:tc>
          <w:tcPr>
            <w:tcW w:w="6124" w:type="dxa"/>
            <w:tcBorders/>
            <w:shd w:fill="auto" w:val="clear"/>
          </w:tcPr>
          <w:p>
            <w:pPr>
              <w:pStyle w:val="TableContents"/>
              <w:spacing w:before="0" w:after="0"/>
              <w:ind w:left="0" w:right="0" w:hanging="0"/>
              <w:rPr/>
            </w:pPr>
            <w:r>
              <w:rPr/>
              <w:t xml:space="preserve">  </w:t>
            </w:r>
          </w:p>
        </w:tc>
        <w:tc>
          <w:tcPr>
            <w:tcW w:w="508" w:type="dxa"/>
            <w:tcBorders/>
            <w:shd w:fill="auto" w:val="clear"/>
            <w:vAlign w:val="bottom"/>
          </w:tcPr>
          <w:p>
            <w:pPr>
              <w:pStyle w:val="TableContents"/>
              <w:spacing w:before="0" w:after="283"/>
              <w:rPr/>
            </w:pPr>
            <w:r>
              <w:rPr/>
              <w:t> </w:t>
            </w:r>
          </w:p>
        </w:tc>
        <w:tc>
          <w:tcPr>
            <w:tcW w:w="3573" w:type="dxa"/>
            <w:tcBorders/>
            <w:shd w:fill="auto" w:val="clear"/>
          </w:tcPr>
          <w:p>
            <w:pPr>
              <w:pStyle w:val="TableContents"/>
              <w:spacing w:before="0" w:after="283"/>
              <w:jc w:val="left"/>
              <w:rPr/>
            </w:pPr>
            <w:r>
              <w:rPr/>
              <w:t>Chief Financial Officer</w:t>
            </w:r>
          </w:p>
        </w:tc>
      </w:tr>
    </w:tbl>
    <w:p>
      <w:pPr>
        <w:pStyle w:val="TextBody"/>
        <w:jc w:val="center"/>
        <w:rPr/>
      </w:pPr>
      <w:r>
        <w:rPr/>
        <w:t xml:space="preserve">  </w:t>
      </w:r>
      <w:r>
        <w:br w:type="page"/>
      </w:r>
    </w:p>
    <w:p>
      <w:pPr>
        <w:pStyle w:val="Heading5"/>
        <w:jc w:val="left"/>
        <w:rPr/>
      </w:pPr>
      <w:bookmarkStart w:id="16" w:name="p72295exv32w1.htm"/>
      <w:bookmarkStart w:id="17" w:name="ksp72295exv32w1"/>
      <w:bookmarkEnd w:id="16"/>
      <w:bookmarkEnd w:id="17"/>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 Pursuant To</w:t>
        <w:br/>
        <w:t>18 U.S.C. Section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Paul B. Dykstra, Chief Executive Officer of Viad Corp, certify, pursuant to 18 U.S.C. Section 1350, as adopted pursuant to Section 906 of the Sarbanes-Oxley Act of 2002, that: </w:t>
      </w:r>
    </w:p>
    <w:tbl>
      <w:tblPr>
        <w:tblW w:w="5000" w:type="pct"/>
        <w:jc w:val="left"/>
        <w:tblInd w:w="0" w:type="dxa"/>
        <w:tblCellMar>
          <w:top w:w="0" w:type="dxa"/>
          <w:left w:w="0" w:type="dxa"/>
          <w:bottom w:w="0" w:type="dxa"/>
          <w:right w:w="0" w:type="dxa"/>
        </w:tblCellMar>
      </w:tblPr>
      <w:tblGrid>
        <w:gridCol w:w="204"/>
        <w:gridCol w:w="127"/>
        <w:gridCol w:w="9874"/>
      </w:tblGrid>
      <w:tr>
        <w:trPr/>
        <w:tc>
          <w:tcPr>
            <w:tcW w:w="204" w:type="dxa"/>
            <w:tcBorders/>
            <w:shd w:fill="auto" w:val="clear"/>
          </w:tcPr>
          <w:p>
            <w:pPr>
              <w:pStyle w:val="TableContents"/>
              <w:spacing w:before="0" w:after="283"/>
              <w:jc w:val="left"/>
              <w:rPr/>
            </w:pPr>
            <w:r>
              <w:rPr/>
              <w:t>1.</w:t>
            </w:r>
          </w:p>
        </w:tc>
        <w:tc>
          <w:tcPr>
            <w:tcW w:w="127" w:type="dxa"/>
            <w:tcBorders/>
            <w:shd w:fill="auto" w:val="clear"/>
          </w:tcPr>
          <w:p>
            <w:pPr>
              <w:pStyle w:val="TableContents"/>
              <w:spacing w:before="0" w:after="283"/>
              <w:rPr/>
            </w:pPr>
            <w:r>
              <w:rPr/>
              <w:t> </w:t>
            </w:r>
          </w:p>
        </w:tc>
        <w:tc>
          <w:tcPr>
            <w:tcW w:w="9874" w:type="dxa"/>
            <w:tcBorders/>
            <w:shd w:fill="auto" w:val="clear"/>
          </w:tcPr>
          <w:p>
            <w:pPr>
              <w:pStyle w:val="TableContents"/>
              <w:spacing w:before="0" w:after="283"/>
              <w:rPr/>
            </w:pPr>
            <w:r>
              <w:rPr/>
              <w:t>the report on Form 10-Q of Viad Corp for the fiscal quarter ended March 31, 2006 (the Report) fully complies with the requirements of Section 13(a) or 15(d) of the Securities Exchange Act of 1934 (15 U.S.C. 78m or 78o(d)); and</w:t>
            </w:r>
          </w:p>
        </w:tc>
      </w:tr>
      <w:tr>
        <w:trPr/>
        <w:tc>
          <w:tcPr>
            <w:tcW w:w="204" w:type="dxa"/>
            <w:tcBorders/>
            <w:shd w:fill="auto" w:val="clear"/>
            <w:vAlign w:val="center"/>
          </w:tcPr>
          <w:p>
            <w:pPr>
              <w:pStyle w:val="TableContents"/>
              <w:spacing w:before="0" w:after="283"/>
              <w:rPr/>
            </w:pPr>
            <w:r>
              <w:rPr/>
              <w:t> </w:t>
            </w:r>
          </w:p>
        </w:tc>
        <w:tc>
          <w:tcPr>
            <w:tcW w:w="10001" w:type="dxa"/>
            <w:gridSpan w:val="2"/>
            <w:tcBorders/>
            <w:shd w:fill="auto" w:val="clear"/>
          </w:tcPr>
          <w:p>
            <w:pPr>
              <w:pStyle w:val="TableContents"/>
              <w:spacing w:before="0" w:after="283"/>
              <w:rPr>
                <w:sz w:val="4"/>
                <w:szCs w:val="4"/>
              </w:rPr>
            </w:pPr>
            <w:r>
              <w:rPr>
                <w:sz w:val="4"/>
                <w:szCs w:val="4"/>
              </w:rPr>
            </w:r>
          </w:p>
        </w:tc>
      </w:tr>
      <w:tr>
        <w:trPr/>
        <w:tc>
          <w:tcPr>
            <w:tcW w:w="204" w:type="dxa"/>
            <w:tcBorders/>
            <w:shd w:fill="auto" w:val="clear"/>
          </w:tcPr>
          <w:p>
            <w:pPr>
              <w:pStyle w:val="TableContents"/>
              <w:spacing w:before="0" w:after="283"/>
              <w:jc w:val="left"/>
              <w:rPr/>
            </w:pPr>
            <w:r>
              <w:rPr/>
              <w:t>2.</w:t>
            </w:r>
          </w:p>
        </w:tc>
        <w:tc>
          <w:tcPr>
            <w:tcW w:w="127" w:type="dxa"/>
            <w:tcBorders/>
            <w:shd w:fill="auto" w:val="clear"/>
          </w:tcPr>
          <w:p>
            <w:pPr>
              <w:pStyle w:val="TableContents"/>
              <w:spacing w:before="0" w:after="283"/>
              <w:rPr/>
            </w:pPr>
            <w:r>
              <w:rPr/>
              <w:t> </w:t>
            </w:r>
          </w:p>
        </w:tc>
        <w:tc>
          <w:tcPr>
            <w:tcW w:w="9874" w:type="dxa"/>
            <w:tcBorders/>
            <w:shd w:fill="auto" w:val="clear"/>
          </w:tcPr>
          <w:p>
            <w:pPr>
              <w:pStyle w:val="TableContents"/>
              <w:spacing w:before="0" w:after="283"/>
              <w:rPr/>
            </w:pPr>
            <w:r>
              <w:rPr/>
              <w:t>the information contained in the Report fairly presents, in all material respects, the financial condition and results of operations of Viad Corp.</w:t>
            </w:r>
          </w:p>
        </w:tc>
      </w:tr>
    </w:tbl>
    <w:tbl>
      <w:tblPr>
        <w:tblW w:w="5000" w:type="pct"/>
        <w:jc w:val="center"/>
        <w:tblInd w:w="0" w:type="dxa"/>
        <w:tblCellMar>
          <w:top w:w="0" w:type="dxa"/>
          <w:left w:w="0" w:type="dxa"/>
          <w:bottom w:w="0" w:type="dxa"/>
          <w:right w:w="0" w:type="dxa"/>
        </w:tblCellMar>
      </w:tblPr>
      <w:tblGrid>
        <w:gridCol w:w="6126"/>
        <w:gridCol w:w="508"/>
        <w:gridCol w:w="3571"/>
      </w:tblGrid>
      <w:tr>
        <w:trPr/>
        <w:tc>
          <w:tcPr>
            <w:tcW w:w="6126"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rPr/>
            </w:pPr>
            <w:r>
              <w:rPr/>
              <w:t> </w:t>
            </w:r>
          </w:p>
        </w:tc>
        <w:tc>
          <w:tcPr>
            <w:tcW w:w="3571" w:type="dxa"/>
            <w:tcBorders/>
            <w:shd w:fill="auto" w:val="clear"/>
            <w:vAlign w:val="bottom"/>
          </w:tcPr>
          <w:p>
            <w:pPr>
              <w:pStyle w:val="TableContents"/>
              <w:spacing w:before="0" w:after="283"/>
              <w:rPr/>
            </w:pPr>
            <w:r>
              <w:rPr/>
              <w:t> </w:t>
            </w:r>
          </w:p>
        </w:tc>
      </w:tr>
      <w:tr>
        <w:trPr/>
        <w:tc>
          <w:tcPr>
            <w:tcW w:w="6126" w:type="dxa"/>
            <w:tcBorders/>
            <w:shd w:fill="auto" w:val="clear"/>
          </w:tcPr>
          <w:p>
            <w:pPr>
              <w:pStyle w:val="TableContents"/>
              <w:spacing w:before="0" w:after="0"/>
              <w:ind w:left="0" w:right="0" w:hanging="0"/>
              <w:rPr/>
            </w:pPr>
            <w:r>
              <w:rPr/>
              <w:t xml:space="preserve">Date: May 9, 2006 </w:t>
            </w:r>
          </w:p>
        </w:tc>
        <w:tc>
          <w:tcPr>
            <w:tcW w:w="508" w:type="dxa"/>
            <w:tcBorders/>
            <w:shd w:fill="auto" w:val="clear"/>
            <w:vAlign w:val="bottom"/>
          </w:tcPr>
          <w:p>
            <w:pPr>
              <w:pStyle w:val="TableContents"/>
              <w:spacing w:before="0" w:after="283"/>
              <w:rPr/>
            </w:pPr>
            <w:r>
              <w:rPr/>
              <w:t> </w:t>
            </w:r>
          </w:p>
        </w:tc>
        <w:tc>
          <w:tcPr>
            <w:tcW w:w="3571" w:type="dxa"/>
            <w:tcBorders/>
            <w:shd w:fill="auto" w:val="clear"/>
          </w:tcPr>
          <w:p>
            <w:pPr>
              <w:pStyle w:val="TableContents"/>
              <w:spacing w:before="0" w:after="283"/>
              <w:jc w:val="left"/>
              <w:rPr/>
            </w:pPr>
            <w:r>
              <w:rPr/>
              <w:t>By /s/ Paul B. Dykstra</w:t>
            </w:r>
          </w:p>
        </w:tc>
      </w:tr>
      <w:tr>
        <w:trPr/>
        <w:tc>
          <w:tcPr>
            <w:tcW w:w="6126" w:type="dxa"/>
            <w:tcBorders/>
            <w:shd w:fill="auto" w:val="clear"/>
          </w:tcPr>
          <w:p>
            <w:pPr>
              <w:pStyle w:val="TableContents"/>
              <w:spacing w:before="0" w:after="0"/>
              <w:ind w:left="0" w:right="0" w:hanging="0"/>
              <w:rPr/>
            </w:pPr>
            <w:r>
              <w:rPr/>
              <w:t xml:space="preserve">  </w:t>
            </w:r>
          </w:p>
        </w:tc>
        <w:tc>
          <w:tcPr>
            <w:tcW w:w="508" w:type="dxa"/>
            <w:tcBorders/>
            <w:shd w:fill="auto" w:val="clear"/>
            <w:vAlign w:val="center"/>
          </w:tcPr>
          <w:p>
            <w:pPr>
              <w:pStyle w:val="TableContents"/>
              <w:spacing w:before="0" w:after="283"/>
              <w:rPr/>
            </w:pPr>
            <w:r>
              <w:rPr/>
              <w:t> </w:t>
            </w:r>
          </w:p>
        </w:tc>
        <w:tc>
          <w:tcPr>
            <w:tcW w:w="3571" w:type="dxa"/>
            <w:tcBorders>
              <w:top w:val="single" w:sz="2" w:space="0" w:color="000000"/>
            </w:tcBorders>
            <w:shd w:fill="auto" w:val="clear"/>
            <w:tcMar>
              <w:top w:w="28" w:type="dxa"/>
            </w:tcMar>
          </w:tcPr>
          <w:p>
            <w:pPr>
              <w:pStyle w:val="TableContents"/>
              <w:spacing w:before="0" w:after="283"/>
              <w:jc w:val="left"/>
              <w:rPr/>
            </w:pPr>
            <w:r>
              <w:rPr/>
              <w:t> </w:t>
            </w:r>
          </w:p>
        </w:tc>
      </w:tr>
      <w:tr>
        <w:trPr/>
        <w:tc>
          <w:tcPr>
            <w:tcW w:w="6126" w:type="dxa"/>
            <w:tcBorders/>
            <w:shd w:fill="auto" w:val="clear"/>
          </w:tcPr>
          <w:p>
            <w:pPr>
              <w:pStyle w:val="TableContents"/>
              <w:spacing w:before="0" w:after="0"/>
              <w:ind w:left="0" w:right="0" w:hanging="0"/>
              <w:rPr/>
            </w:pPr>
            <w:r>
              <w:rPr/>
              <w:t xml:space="preserve">  </w:t>
            </w:r>
          </w:p>
        </w:tc>
        <w:tc>
          <w:tcPr>
            <w:tcW w:w="508" w:type="dxa"/>
            <w:tcBorders/>
            <w:shd w:fill="auto" w:val="clear"/>
            <w:vAlign w:val="bottom"/>
          </w:tcPr>
          <w:p>
            <w:pPr>
              <w:pStyle w:val="TableContents"/>
              <w:spacing w:before="0" w:after="283"/>
              <w:rPr/>
            </w:pPr>
            <w:r>
              <w:rPr/>
              <w:t> </w:t>
            </w:r>
          </w:p>
        </w:tc>
        <w:tc>
          <w:tcPr>
            <w:tcW w:w="3571" w:type="dxa"/>
            <w:tcBorders/>
            <w:shd w:fill="auto" w:val="clear"/>
          </w:tcPr>
          <w:p>
            <w:pPr>
              <w:pStyle w:val="TableContents"/>
              <w:spacing w:before="0" w:after="283"/>
              <w:jc w:val="left"/>
              <w:rPr/>
            </w:pPr>
            <w:r>
              <w:rPr/>
              <w:t>Paul B. Dykstra</w:t>
            </w:r>
          </w:p>
        </w:tc>
      </w:tr>
      <w:tr>
        <w:trPr/>
        <w:tc>
          <w:tcPr>
            <w:tcW w:w="6126" w:type="dxa"/>
            <w:tcBorders/>
            <w:shd w:fill="auto" w:val="clear"/>
          </w:tcPr>
          <w:p>
            <w:pPr>
              <w:pStyle w:val="TableContents"/>
              <w:spacing w:before="0" w:after="0"/>
              <w:ind w:left="0" w:right="0" w:hanging="0"/>
              <w:rPr/>
            </w:pPr>
            <w:r>
              <w:rPr/>
              <w:t xml:space="preserve">  </w:t>
            </w:r>
          </w:p>
        </w:tc>
        <w:tc>
          <w:tcPr>
            <w:tcW w:w="508" w:type="dxa"/>
            <w:tcBorders/>
            <w:shd w:fill="auto" w:val="clear"/>
            <w:vAlign w:val="bottom"/>
          </w:tcPr>
          <w:p>
            <w:pPr>
              <w:pStyle w:val="TableContents"/>
              <w:spacing w:before="0" w:after="283"/>
              <w:rPr/>
            </w:pPr>
            <w:r>
              <w:rPr/>
              <w:t> </w:t>
            </w:r>
          </w:p>
        </w:tc>
        <w:tc>
          <w:tcPr>
            <w:tcW w:w="3571" w:type="dxa"/>
            <w:tcBorders/>
            <w:shd w:fill="auto" w:val="clear"/>
          </w:tcPr>
          <w:p>
            <w:pPr>
              <w:pStyle w:val="TableContents"/>
              <w:spacing w:before="0" w:after="283"/>
              <w:jc w:val="left"/>
              <w:rPr/>
            </w:pPr>
            <w:r>
              <w:rPr/>
              <w:t>Chief Executive Officer</w:t>
            </w:r>
          </w:p>
        </w:tc>
      </w:tr>
    </w:tbl>
    <w:p>
      <w:pPr>
        <w:pStyle w:val="TextBody"/>
        <w:jc w:val="center"/>
        <w:rPr/>
      </w:pPr>
      <w:r>
        <w:rPr/>
        <w:t xml:space="preserve">  </w:t>
      </w:r>
      <w:r>
        <w:br w:type="page"/>
      </w:r>
    </w:p>
    <w:p>
      <w:pPr>
        <w:pStyle w:val="Heading5"/>
        <w:jc w:val="left"/>
        <w:rPr/>
      </w:pPr>
      <w:bookmarkStart w:id="18" w:name="p72295exv32w2.htm"/>
      <w:bookmarkStart w:id="19" w:name="ksp72295exv32w2"/>
      <w:bookmarkEnd w:id="18"/>
      <w:bookmarkEnd w:id="19"/>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 Pursuant To</w:t>
        <w:br/>
        <w:t>18 U.S.C. Section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Ellen M. Ingersoll, Chief Financial Officer of Viad Corp, certify, pursuant to 18 U.S.C. Section 1350, as adopted pursuant to Section 906 of the Sarbanes-Oxley Act of 2002, that: </w:t>
      </w:r>
    </w:p>
    <w:tbl>
      <w:tblPr>
        <w:tblW w:w="5000" w:type="pct"/>
        <w:jc w:val="left"/>
        <w:tblInd w:w="0" w:type="dxa"/>
        <w:tblCellMar>
          <w:top w:w="0" w:type="dxa"/>
          <w:left w:w="0" w:type="dxa"/>
          <w:bottom w:w="0" w:type="dxa"/>
          <w:right w:w="0" w:type="dxa"/>
        </w:tblCellMar>
      </w:tblPr>
      <w:tblGrid>
        <w:gridCol w:w="204"/>
        <w:gridCol w:w="127"/>
        <w:gridCol w:w="9874"/>
      </w:tblGrid>
      <w:tr>
        <w:trPr/>
        <w:tc>
          <w:tcPr>
            <w:tcW w:w="204" w:type="dxa"/>
            <w:tcBorders/>
            <w:shd w:fill="auto" w:val="clear"/>
          </w:tcPr>
          <w:p>
            <w:pPr>
              <w:pStyle w:val="TableContents"/>
              <w:spacing w:before="0" w:after="283"/>
              <w:jc w:val="left"/>
              <w:rPr/>
            </w:pPr>
            <w:r>
              <w:rPr/>
              <w:t>1.</w:t>
            </w:r>
          </w:p>
        </w:tc>
        <w:tc>
          <w:tcPr>
            <w:tcW w:w="127" w:type="dxa"/>
            <w:tcBorders/>
            <w:shd w:fill="auto" w:val="clear"/>
          </w:tcPr>
          <w:p>
            <w:pPr>
              <w:pStyle w:val="TableContents"/>
              <w:spacing w:before="0" w:after="283"/>
              <w:rPr/>
            </w:pPr>
            <w:r>
              <w:rPr/>
              <w:t> </w:t>
            </w:r>
          </w:p>
        </w:tc>
        <w:tc>
          <w:tcPr>
            <w:tcW w:w="9874" w:type="dxa"/>
            <w:tcBorders/>
            <w:shd w:fill="auto" w:val="clear"/>
          </w:tcPr>
          <w:p>
            <w:pPr>
              <w:pStyle w:val="TableContents"/>
              <w:spacing w:before="0" w:after="283"/>
              <w:rPr/>
            </w:pPr>
            <w:r>
              <w:rPr/>
              <w:t>the report on Form 10-Q of Viad Corp for the fiscal quarter ended March 31, 2006 (the Report) fully complies with the requirements of Section 13(a) or 15(d) of the Securities Exchange Act of 1934 (15 U.S.C. 78m or 78o(d)); and</w:t>
            </w:r>
          </w:p>
        </w:tc>
      </w:tr>
      <w:tr>
        <w:trPr/>
        <w:tc>
          <w:tcPr>
            <w:tcW w:w="204" w:type="dxa"/>
            <w:tcBorders/>
            <w:shd w:fill="auto" w:val="clear"/>
            <w:vAlign w:val="center"/>
          </w:tcPr>
          <w:p>
            <w:pPr>
              <w:pStyle w:val="TableContents"/>
              <w:spacing w:before="0" w:after="283"/>
              <w:rPr/>
            </w:pPr>
            <w:r>
              <w:rPr/>
              <w:t> </w:t>
            </w:r>
          </w:p>
        </w:tc>
        <w:tc>
          <w:tcPr>
            <w:tcW w:w="10001" w:type="dxa"/>
            <w:gridSpan w:val="2"/>
            <w:tcBorders/>
            <w:shd w:fill="auto" w:val="clear"/>
          </w:tcPr>
          <w:p>
            <w:pPr>
              <w:pStyle w:val="TableContents"/>
              <w:spacing w:before="0" w:after="283"/>
              <w:rPr>
                <w:sz w:val="4"/>
                <w:szCs w:val="4"/>
              </w:rPr>
            </w:pPr>
            <w:r>
              <w:rPr>
                <w:sz w:val="4"/>
                <w:szCs w:val="4"/>
              </w:rPr>
            </w:r>
          </w:p>
        </w:tc>
      </w:tr>
      <w:tr>
        <w:trPr/>
        <w:tc>
          <w:tcPr>
            <w:tcW w:w="204" w:type="dxa"/>
            <w:tcBorders/>
            <w:shd w:fill="auto" w:val="clear"/>
          </w:tcPr>
          <w:p>
            <w:pPr>
              <w:pStyle w:val="TableContents"/>
              <w:spacing w:before="0" w:after="283"/>
              <w:jc w:val="left"/>
              <w:rPr/>
            </w:pPr>
            <w:r>
              <w:rPr/>
              <w:t>2.</w:t>
            </w:r>
          </w:p>
        </w:tc>
        <w:tc>
          <w:tcPr>
            <w:tcW w:w="127" w:type="dxa"/>
            <w:tcBorders/>
            <w:shd w:fill="auto" w:val="clear"/>
          </w:tcPr>
          <w:p>
            <w:pPr>
              <w:pStyle w:val="TableContents"/>
              <w:spacing w:before="0" w:after="283"/>
              <w:rPr/>
            </w:pPr>
            <w:r>
              <w:rPr/>
              <w:t> </w:t>
            </w:r>
          </w:p>
        </w:tc>
        <w:tc>
          <w:tcPr>
            <w:tcW w:w="9874" w:type="dxa"/>
            <w:tcBorders/>
            <w:shd w:fill="auto" w:val="clear"/>
          </w:tcPr>
          <w:p>
            <w:pPr>
              <w:pStyle w:val="TableContents"/>
              <w:spacing w:before="0" w:after="283"/>
              <w:rPr/>
            </w:pPr>
            <w:r>
              <w:rPr/>
              <w:t>the information contained in the Report fairly presents, in all material respects, the financial condition and results of operations of Viad Corp.</w:t>
            </w:r>
          </w:p>
        </w:tc>
      </w:tr>
    </w:tbl>
    <w:tbl>
      <w:tblPr>
        <w:tblW w:w="5000" w:type="pct"/>
        <w:jc w:val="center"/>
        <w:tblInd w:w="0" w:type="dxa"/>
        <w:tblCellMar>
          <w:top w:w="0" w:type="dxa"/>
          <w:left w:w="0" w:type="dxa"/>
          <w:bottom w:w="0" w:type="dxa"/>
          <w:right w:w="0" w:type="dxa"/>
        </w:tblCellMar>
      </w:tblPr>
      <w:tblGrid>
        <w:gridCol w:w="6124"/>
        <w:gridCol w:w="508"/>
        <w:gridCol w:w="3573"/>
      </w:tblGrid>
      <w:tr>
        <w:trPr/>
        <w:tc>
          <w:tcPr>
            <w:tcW w:w="6124"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rPr/>
            </w:pPr>
            <w:r>
              <w:rPr/>
              <w:t> </w:t>
            </w:r>
          </w:p>
        </w:tc>
        <w:tc>
          <w:tcPr>
            <w:tcW w:w="3573" w:type="dxa"/>
            <w:tcBorders/>
            <w:shd w:fill="auto" w:val="clear"/>
            <w:vAlign w:val="bottom"/>
          </w:tcPr>
          <w:p>
            <w:pPr>
              <w:pStyle w:val="TableContents"/>
              <w:spacing w:before="0" w:after="283"/>
              <w:rPr/>
            </w:pPr>
            <w:r>
              <w:rPr/>
              <w:t> </w:t>
            </w:r>
          </w:p>
        </w:tc>
      </w:tr>
      <w:tr>
        <w:trPr/>
        <w:tc>
          <w:tcPr>
            <w:tcW w:w="6124" w:type="dxa"/>
            <w:tcBorders/>
            <w:shd w:fill="auto" w:val="clear"/>
          </w:tcPr>
          <w:p>
            <w:pPr>
              <w:pStyle w:val="TableContents"/>
              <w:spacing w:before="0" w:after="0"/>
              <w:ind w:left="0" w:right="0" w:hanging="0"/>
              <w:rPr/>
            </w:pPr>
            <w:r>
              <w:rPr/>
              <w:t xml:space="preserve">Date: May 9, 2006 </w:t>
            </w:r>
          </w:p>
        </w:tc>
        <w:tc>
          <w:tcPr>
            <w:tcW w:w="508" w:type="dxa"/>
            <w:tcBorders/>
            <w:shd w:fill="auto" w:val="clear"/>
            <w:vAlign w:val="bottom"/>
          </w:tcPr>
          <w:p>
            <w:pPr>
              <w:pStyle w:val="TableContents"/>
              <w:spacing w:before="0" w:after="283"/>
              <w:rPr/>
            </w:pPr>
            <w:r>
              <w:rPr/>
              <w:t> </w:t>
            </w:r>
          </w:p>
        </w:tc>
        <w:tc>
          <w:tcPr>
            <w:tcW w:w="3573" w:type="dxa"/>
            <w:tcBorders/>
            <w:shd w:fill="auto" w:val="clear"/>
          </w:tcPr>
          <w:p>
            <w:pPr>
              <w:pStyle w:val="TableContents"/>
              <w:spacing w:before="0" w:after="283"/>
              <w:jc w:val="left"/>
              <w:rPr/>
            </w:pPr>
            <w:r>
              <w:rPr/>
              <w:t>By /s/ Ellen M. Ingersoll</w:t>
            </w:r>
          </w:p>
        </w:tc>
      </w:tr>
      <w:tr>
        <w:trPr/>
        <w:tc>
          <w:tcPr>
            <w:tcW w:w="6124" w:type="dxa"/>
            <w:tcBorders/>
            <w:shd w:fill="auto" w:val="clear"/>
          </w:tcPr>
          <w:p>
            <w:pPr>
              <w:pStyle w:val="TableContents"/>
              <w:spacing w:before="0" w:after="0"/>
              <w:ind w:left="0" w:right="0" w:hanging="0"/>
              <w:rPr/>
            </w:pPr>
            <w:r>
              <w:rPr/>
              <w:t xml:space="preserve">  </w:t>
            </w:r>
          </w:p>
        </w:tc>
        <w:tc>
          <w:tcPr>
            <w:tcW w:w="508" w:type="dxa"/>
            <w:tcBorders/>
            <w:shd w:fill="auto" w:val="clear"/>
            <w:vAlign w:val="center"/>
          </w:tcPr>
          <w:p>
            <w:pPr>
              <w:pStyle w:val="TableContents"/>
              <w:spacing w:before="0" w:after="283"/>
              <w:rPr/>
            </w:pPr>
            <w:r>
              <w:rPr/>
              <w:t> </w:t>
            </w:r>
          </w:p>
        </w:tc>
        <w:tc>
          <w:tcPr>
            <w:tcW w:w="3573" w:type="dxa"/>
            <w:tcBorders>
              <w:top w:val="single" w:sz="2" w:space="0" w:color="000000"/>
            </w:tcBorders>
            <w:shd w:fill="auto" w:val="clear"/>
            <w:tcMar>
              <w:top w:w="28" w:type="dxa"/>
            </w:tcMar>
          </w:tcPr>
          <w:p>
            <w:pPr>
              <w:pStyle w:val="TableContents"/>
              <w:spacing w:before="0" w:after="283"/>
              <w:jc w:val="left"/>
              <w:rPr/>
            </w:pPr>
            <w:r>
              <w:rPr/>
              <w:t> </w:t>
            </w:r>
          </w:p>
        </w:tc>
      </w:tr>
      <w:tr>
        <w:trPr/>
        <w:tc>
          <w:tcPr>
            <w:tcW w:w="6124" w:type="dxa"/>
            <w:tcBorders/>
            <w:shd w:fill="auto" w:val="clear"/>
          </w:tcPr>
          <w:p>
            <w:pPr>
              <w:pStyle w:val="TableContents"/>
              <w:spacing w:before="0" w:after="0"/>
              <w:ind w:left="0" w:right="0" w:hanging="0"/>
              <w:rPr/>
            </w:pPr>
            <w:r>
              <w:rPr/>
              <w:t xml:space="preserve">  </w:t>
            </w:r>
          </w:p>
        </w:tc>
        <w:tc>
          <w:tcPr>
            <w:tcW w:w="508" w:type="dxa"/>
            <w:tcBorders/>
            <w:shd w:fill="auto" w:val="clear"/>
            <w:vAlign w:val="bottom"/>
          </w:tcPr>
          <w:p>
            <w:pPr>
              <w:pStyle w:val="TableContents"/>
              <w:spacing w:before="0" w:after="283"/>
              <w:rPr/>
            </w:pPr>
            <w:r>
              <w:rPr/>
              <w:t> </w:t>
            </w:r>
          </w:p>
        </w:tc>
        <w:tc>
          <w:tcPr>
            <w:tcW w:w="3573" w:type="dxa"/>
            <w:tcBorders/>
            <w:shd w:fill="auto" w:val="clear"/>
          </w:tcPr>
          <w:p>
            <w:pPr>
              <w:pStyle w:val="TableContents"/>
              <w:spacing w:before="0" w:after="283"/>
              <w:jc w:val="left"/>
              <w:rPr/>
            </w:pPr>
            <w:r>
              <w:rPr/>
              <w:t>Ellen M. Ingersoll</w:t>
            </w:r>
          </w:p>
        </w:tc>
      </w:tr>
      <w:tr>
        <w:trPr/>
        <w:tc>
          <w:tcPr>
            <w:tcW w:w="6124" w:type="dxa"/>
            <w:tcBorders/>
            <w:shd w:fill="auto" w:val="clear"/>
          </w:tcPr>
          <w:p>
            <w:pPr>
              <w:pStyle w:val="TableContents"/>
              <w:spacing w:before="0" w:after="0"/>
              <w:ind w:left="0" w:right="0" w:hanging="0"/>
              <w:rPr/>
            </w:pPr>
            <w:r>
              <w:rPr/>
              <w:t xml:space="preserve">  </w:t>
            </w:r>
          </w:p>
        </w:tc>
        <w:tc>
          <w:tcPr>
            <w:tcW w:w="508" w:type="dxa"/>
            <w:tcBorders/>
            <w:shd w:fill="auto" w:val="clear"/>
            <w:vAlign w:val="bottom"/>
          </w:tcPr>
          <w:p>
            <w:pPr>
              <w:pStyle w:val="TableContents"/>
              <w:spacing w:before="0" w:after="283"/>
              <w:rPr/>
            </w:pPr>
            <w:r>
              <w:rPr/>
              <w:t> </w:t>
            </w:r>
          </w:p>
        </w:tc>
        <w:tc>
          <w:tcPr>
            <w:tcW w:w="3573" w:type="dxa"/>
            <w:tcBorders/>
            <w:shd w:fill="auto" w:val="clear"/>
          </w:tcPr>
          <w:p>
            <w:pPr>
              <w:pStyle w:val="TableContents"/>
              <w:spacing w:before="0" w:after="283"/>
              <w:jc w:val="left"/>
              <w:rPr/>
            </w:pPr>
            <w:r>
              <w:rPr/>
              <w:t>Chief Financial Officer</w:t>
            </w:r>
          </w:p>
        </w:tc>
      </w:tr>
    </w:tbl>
    <w:p>
      <w:pPr>
        <w:pStyle w:val="TextBody"/>
        <w:spacing w:before="0" w:after="0"/>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29</Pages>
  <Words>16363</Words>
  <CharactersWithSpaces>106608</CharactersWithSpaces>
  <Paragraphs>5127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exv32w2</dc:title>
</cp:coreProperties>
</file>