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9"/>
        <w:spacing w:after="0"/>
        <w:rPr>
          <w:sz w:val="20"/>
          <w:szCs w:val="20"/>
          <w:color w:val="auto"/>
        </w:rPr>
      </w:pPr>
      <w:r>
        <w:rPr>
          <w:rFonts w:ascii="Arial" w:cs="Arial" w:eastAsia="Arial" w:hAnsi="Arial"/>
          <w:sz w:val="32"/>
          <w:szCs w:val="32"/>
          <w:b w:val="1"/>
          <w:bCs w:val="1"/>
          <w:color w:val="auto"/>
        </w:rPr>
        <w:t>UNITED STATES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-232410</wp:posOffset>
            </wp:positionV>
            <wp:extent cx="7247255"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7255"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-215265</wp:posOffset>
            </wp:positionV>
            <wp:extent cx="7247255"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7255" cy="8255"/>
                    </a:xfrm>
                    <a:prstGeom prst="rect">
                      <a:avLst/>
                    </a:prstGeom>
                    <a:noFill/>
                  </pic:spPr>
                </pic:pic>
              </a:graphicData>
            </a:graphic>
          </wp:anchor>
        </w:drawing>
      </w:r>
    </w:p>
    <w:p>
      <w:pPr>
        <w:spacing w:after="0" w:line="8" w:lineRule="exact"/>
        <w:rPr>
          <w:sz w:val="24"/>
          <w:szCs w:val="24"/>
          <w:color w:val="auto"/>
        </w:rPr>
      </w:pPr>
    </w:p>
    <w:p>
      <w:pPr>
        <w:jc w:val="center"/>
        <w:ind w:right="-19"/>
        <w:spacing w:after="0"/>
        <w:rPr>
          <w:sz w:val="20"/>
          <w:szCs w:val="20"/>
          <w:color w:val="auto"/>
        </w:rPr>
      </w:pPr>
      <w:r>
        <w:rPr>
          <w:rFonts w:ascii="Arial" w:cs="Arial" w:eastAsia="Arial" w:hAnsi="Arial"/>
          <w:sz w:val="32"/>
          <w:szCs w:val="32"/>
          <w:b w:val="1"/>
          <w:bCs w:val="1"/>
          <w:color w:val="auto"/>
        </w:rPr>
        <w:t>SECURITIES AND EXCHANGE COMMISSION</w:t>
      </w:r>
    </w:p>
    <w:p>
      <w:pPr>
        <w:jc w:val="center"/>
        <w:ind w:right="-19"/>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2907030</wp:posOffset>
            </wp:positionH>
            <wp:positionV relativeFrom="paragraph">
              <wp:posOffset>71755</wp:posOffset>
            </wp:positionV>
            <wp:extent cx="144272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442720" cy="8255"/>
                    </a:xfrm>
                    <a:prstGeom prst="rect">
                      <a:avLst/>
                    </a:prstGeom>
                    <a:noFill/>
                  </pic:spPr>
                </pic:pic>
              </a:graphicData>
            </a:graphic>
          </wp:anchor>
        </w:drawing>
      </w:r>
    </w:p>
    <w:p>
      <w:pPr>
        <w:spacing w:after="0" w:line="146" w:lineRule="exact"/>
        <w:rPr>
          <w:sz w:val="24"/>
          <w:szCs w:val="24"/>
          <w:color w:val="auto"/>
        </w:rPr>
      </w:pPr>
    </w:p>
    <w:p>
      <w:pPr>
        <w:jc w:val="center"/>
        <w:ind w:right="-19"/>
        <w:spacing w:after="0"/>
        <w:rPr>
          <w:sz w:val="20"/>
          <w:szCs w:val="20"/>
          <w:color w:val="auto"/>
        </w:rPr>
      </w:pPr>
      <w:r>
        <w:rPr>
          <w:rFonts w:ascii="Arial" w:cs="Arial" w:eastAsia="Arial" w:hAnsi="Arial"/>
          <w:sz w:val="32"/>
          <w:szCs w:val="32"/>
          <w:b w:val="1"/>
          <w:bCs w:val="1"/>
          <w:color w:val="auto"/>
        </w:rPr>
        <w:t>FORM 10-Q</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2907030</wp:posOffset>
            </wp:positionH>
            <wp:positionV relativeFrom="paragraph">
              <wp:posOffset>99695</wp:posOffset>
            </wp:positionV>
            <wp:extent cx="1442720"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442720" cy="8255"/>
                    </a:xfrm>
                    <a:prstGeom prst="rect">
                      <a:avLst/>
                    </a:prstGeom>
                    <a:noFill/>
                  </pic:spPr>
                </pic:pic>
              </a:graphicData>
            </a:graphic>
          </wp:anchor>
        </w:drawing>
      </w:r>
    </w:p>
    <w:p>
      <w:pPr>
        <w:spacing w:after="0" w:line="146" w:lineRule="exact"/>
        <w:rPr>
          <w:sz w:val="24"/>
          <w:szCs w:val="24"/>
          <w:color w:val="auto"/>
        </w:rPr>
      </w:pPr>
    </w:p>
    <w:p>
      <w:pPr>
        <w:spacing w:after="0"/>
        <w:rPr>
          <w:sz w:val="20"/>
          <w:szCs w:val="20"/>
          <w:color w:val="auto"/>
        </w:rPr>
      </w:pPr>
      <w:r>
        <w:rPr>
          <w:rFonts w:ascii="Arial" w:cs="Arial" w:eastAsia="Arial" w:hAnsi="Arial"/>
          <w:sz w:val="18"/>
          <w:szCs w:val="18"/>
          <w:b w:val="1"/>
          <w:bCs w:val="1"/>
          <w:color w:val="auto"/>
        </w:rPr>
        <w:t>(Mark One)</w:t>
      </w:r>
    </w:p>
    <w:p>
      <w:pPr>
        <w:spacing w:after="0" w:line="39" w:lineRule="exact"/>
        <w:rPr>
          <w:sz w:val="24"/>
          <w:szCs w:val="24"/>
          <w:color w:val="auto"/>
        </w:rPr>
      </w:pPr>
    </w:p>
    <w:p>
      <w:pPr>
        <w:ind w:left="520" w:right="460" w:hanging="512"/>
        <w:spacing w:after="0" w:line="254" w:lineRule="auto"/>
        <w:tabs>
          <w:tab w:leader="none" w:pos="520" w:val="left"/>
        </w:tabs>
        <w:numPr>
          <w:ilvl w:val="0"/>
          <w:numId w:val="1"/>
        </w:numPr>
        <w:rPr>
          <w:rFonts w:ascii="MS PGothic" w:cs="MS PGothic" w:eastAsia="MS PGothic" w:hAnsi="MS PGothic"/>
          <w:sz w:val="18"/>
          <w:szCs w:val="18"/>
          <w:color w:val="auto"/>
        </w:rPr>
      </w:pPr>
      <w:r>
        <w:rPr>
          <w:rFonts w:ascii="Arial" w:cs="Arial" w:eastAsia="Arial" w:hAnsi="Arial"/>
          <w:sz w:val="22"/>
          <w:szCs w:val="22"/>
          <w:b w:val="1"/>
          <w:bCs w:val="1"/>
          <w:color w:val="auto"/>
        </w:rPr>
        <w:t>QUARTERLY REPORT PURSUANT TO SECTION 13 OR 15(d) OF THE SECURITIES EXCHANGE ACT OF 1934</w:t>
      </w:r>
    </w:p>
    <w:p>
      <w:pPr>
        <w:spacing w:after="0" w:line="11"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For the quarterly period ended March 31, 2018</w:t>
      </w:r>
    </w:p>
    <w:p>
      <w:pPr>
        <w:spacing w:after="0" w:line="62"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or</w:t>
      </w:r>
    </w:p>
    <w:p>
      <w:pPr>
        <w:spacing w:after="0" w:line="39" w:lineRule="exact"/>
        <w:rPr>
          <w:sz w:val="24"/>
          <w:szCs w:val="24"/>
          <w:color w:val="auto"/>
        </w:rPr>
      </w:pPr>
    </w:p>
    <w:p>
      <w:pPr>
        <w:ind w:left="520" w:right="440" w:hanging="512"/>
        <w:spacing w:after="0" w:line="254" w:lineRule="auto"/>
        <w:tabs>
          <w:tab w:leader="none" w:pos="520" w:val="left"/>
        </w:tabs>
        <w:numPr>
          <w:ilvl w:val="0"/>
          <w:numId w:val="2"/>
        </w:numPr>
        <w:rPr>
          <w:rFonts w:ascii="MS PGothic" w:cs="MS PGothic" w:eastAsia="MS PGothic" w:hAnsi="MS PGothic"/>
          <w:sz w:val="18"/>
          <w:szCs w:val="18"/>
          <w:color w:val="auto"/>
        </w:rPr>
      </w:pPr>
      <w:r>
        <w:rPr>
          <w:rFonts w:ascii="Arial" w:cs="Arial" w:eastAsia="Arial" w:hAnsi="Arial"/>
          <w:sz w:val="22"/>
          <w:szCs w:val="22"/>
          <w:b w:val="1"/>
          <w:bCs w:val="1"/>
          <w:color w:val="auto"/>
        </w:rPr>
        <w:t>TRANSITION REPORT PURSUANT TO SECTION 13 OR 15(d) OF THE SECURITIES EXCHANGE ACT OF 1934</w:t>
      </w:r>
    </w:p>
    <w:p>
      <w:pPr>
        <w:spacing w:after="0" w:line="11" w:lineRule="exact"/>
        <w:rPr>
          <w:sz w:val="24"/>
          <w:szCs w:val="24"/>
          <w:color w:val="auto"/>
        </w:rPr>
      </w:pPr>
    </w:p>
    <w:p>
      <w:pPr>
        <w:ind w:left="3900"/>
        <w:spacing w:after="0"/>
        <w:rPr>
          <w:sz w:val="20"/>
          <w:szCs w:val="20"/>
          <w:color w:val="auto"/>
        </w:rPr>
      </w:pPr>
      <w:r>
        <w:rPr>
          <w:rFonts w:ascii="Arial" w:cs="Arial" w:eastAsia="Arial" w:hAnsi="Arial"/>
          <w:sz w:val="18"/>
          <w:szCs w:val="18"/>
          <w:b w:val="1"/>
          <w:bCs w:val="1"/>
          <w:color w:val="auto"/>
        </w:rPr>
        <w:t>For the transition period from ____________ to</w:t>
      </w:r>
    </w:p>
    <w:p>
      <w:pPr>
        <w:spacing w:after="0" w:line="62"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Commission file number: 001-11015</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2907030</wp:posOffset>
            </wp:positionH>
            <wp:positionV relativeFrom="paragraph">
              <wp:posOffset>85090</wp:posOffset>
            </wp:positionV>
            <wp:extent cx="1442720"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442720" cy="8255"/>
                    </a:xfrm>
                    <a:prstGeom prst="rect">
                      <a:avLst/>
                    </a:prstGeom>
                    <a:noFill/>
                  </pic:spPr>
                </pic:pic>
              </a:graphicData>
            </a:graphic>
          </wp:anchor>
        </w:drawing>
        <w:drawing>
          <wp:anchor simplePos="0" relativeHeight="251657728" behindDoc="1" locked="0" layoutInCell="0" allowOverlap="1">
            <wp:simplePos x="0" y="0"/>
            <wp:positionH relativeFrom="column">
              <wp:posOffset>3112135</wp:posOffset>
            </wp:positionH>
            <wp:positionV relativeFrom="paragraph">
              <wp:posOffset>153670</wp:posOffset>
            </wp:positionV>
            <wp:extent cx="1033145" cy="5378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033145" cy="53784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79" w:lineRule="exact"/>
        <w:rPr>
          <w:sz w:val="24"/>
          <w:szCs w:val="24"/>
          <w:color w:val="auto"/>
        </w:rPr>
      </w:pPr>
    </w:p>
    <w:tbl>
      <w:tblPr>
        <w:tblLayout w:type="fixed"/>
        <w:tblInd w:w="1400" w:type="dxa"/>
        <w:tblCellMar>
          <w:top w:w="0" w:type="dxa"/>
          <w:left w:w="0" w:type="dxa"/>
          <w:bottom w:w="0" w:type="dxa"/>
          <w:right w:w="0" w:type="dxa"/>
        </w:tblCellMar>
      </w:tblPr>
      <w:tr>
        <w:trPr>
          <w:trHeight w:val="561"/>
        </w:trPr>
        <w:tc>
          <w:tcPr>
            <w:tcW w:w="3180" w:type="dxa"/>
            <w:vAlign w:val="bottom"/>
          </w:tcPr>
          <w:p>
            <w:pPr>
              <w:spacing w:after="0"/>
              <w:rPr>
                <w:sz w:val="24"/>
                <w:szCs w:val="24"/>
                <w:color w:val="auto"/>
              </w:rPr>
            </w:pPr>
          </w:p>
        </w:tc>
        <w:tc>
          <w:tcPr>
            <w:tcW w:w="3520" w:type="dxa"/>
            <w:vAlign w:val="bottom"/>
            <w:gridSpan w:val="2"/>
          </w:tcPr>
          <w:p>
            <w:pPr>
              <w:jc w:val="center"/>
              <w:ind w:right="1260"/>
              <w:spacing w:after="0"/>
              <w:rPr>
                <w:sz w:val="20"/>
                <w:szCs w:val="20"/>
                <w:color w:val="auto"/>
              </w:rPr>
            </w:pPr>
            <w:r>
              <w:rPr>
                <w:rFonts w:ascii="Arial" w:cs="Arial" w:eastAsia="Arial" w:hAnsi="Arial"/>
                <w:sz w:val="43"/>
                <w:szCs w:val="43"/>
                <w:b w:val="1"/>
                <w:bCs w:val="1"/>
                <w:color w:val="auto"/>
                <w:w w:val="95"/>
              </w:rPr>
              <w:t>Viad Corp</w:t>
            </w:r>
          </w:p>
        </w:tc>
        <w:tc>
          <w:tcPr>
            <w:tcW w:w="1080" w:type="dxa"/>
            <w:vAlign w:val="bottom"/>
          </w:tcPr>
          <w:p>
            <w:pPr>
              <w:spacing w:after="0"/>
              <w:rPr>
                <w:sz w:val="24"/>
                <w:szCs w:val="24"/>
                <w:color w:val="auto"/>
              </w:rPr>
            </w:pPr>
          </w:p>
        </w:tc>
      </w:tr>
      <w:tr>
        <w:trPr>
          <w:trHeight w:val="289"/>
        </w:trPr>
        <w:tc>
          <w:tcPr>
            <w:tcW w:w="6700" w:type="dxa"/>
            <w:vAlign w:val="bottom"/>
            <w:gridSpan w:val="3"/>
          </w:tcPr>
          <w:p>
            <w:pPr>
              <w:jc w:val="center"/>
              <w:ind w:left="1859"/>
              <w:spacing w:after="0"/>
              <w:rPr>
                <w:sz w:val="20"/>
                <w:szCs w:val="20"/>
                <w:color w:val="auto"/>
              </w:rPr>
            </w:pPr>
            <w:r>
              <w:rPr>
                <w:rFonts w:ascii="Arial" w:cs="Arial" w:eastAsia="Arial" w:hAnsi="Arial"/>
                <w:sz w:val="18"/>
                <w:szCs w:val="18"/>
                <w:b w:val="1"/>
                <w:bCs w:val="1"/>
                <w:color w:val="auto"/>
                <w:w w:val="89"/>
              </w:rPr>
              <w:t>(Exact name of registrant as specified in its charter)</w:t>
            </w:r>
          </w:p>
        </w:tc>
        <w:tc>
          <w:tcPr>
            <w:tcW w:w="1080" w:type="dxa"/>
            <w:vAlign w:val="bottom"/>
          </w:tcPr>
          <w:p>
            <w:pPr>
              <w:spacing w:after="0"/>
              <w:rPr>
                <w:sz w:val="24"/>
                <w:szCs w:val="24"/>
                <w:color w:val="auto"/>
              </w:rPr>
            </w:pPr>
          </w:p>
        </w:tc>
      </w:tr>
      <w:tr>
        <w:trPr>
          <w:trHeight w:val="107"/>
        </w:trPr>
        <w:tc>
          <w:tcPr>
            <w:tcW w:w="3180" w:type="dxa"/>
            <w:vAlign w:val="bottom"/>
          </w:tcPr>
          <w:p>
            <w:pPr>
              <w:spacing w:after="0"/>
              <w:rPr>
                <w:sz w:val="9"/>
                <w:szCs w:val="9"/>
                <w:color w:val="auto"/>
              </w:rPr>
            </w:pPr>
          </w:p>
        </w:tc>
        <w:tc>
          <w:tcPr>
            <w:tcW w:w="2260" w:type="dxa"/>
            <w:vAlign w:val="bottom"/>
            <w:tcBorders>
              <w:bottom w:val="single" w:sz="8" w:color="auto"/>
            </w:tcBorders>
          </w:tcPr>
          <w:p>
            <w:pPr>
              <w:spacing w:after="0"/>
              <w:rPr>
                <w:sz w:val="9"/>
                <w:szCs w:val="9"/>
                <w:color w:val="auto"/>
              </w:rPr>
            </w:pPr>
          </w:p>
        </w:tc>
        <w:tc>
          <w:tcPr>
            <w:tcW w:w="1260" w:type="dxa"/>
            <w:vAlign w:val="bottom"/>
          </w:tcPr>
          <w:p>
            <w:pPr>
              <w:spacing w:after="0"/>
              <w:rPr>
                <w:sz w:val="9"/>
                <w:szCs w:val="9"/>
                <w:color w:val="auto"/>
              </w:rPr>
            </w:pPr>
          </w:p>
        </w:tc>
        <w:tc>
          <w:tcPr>
            <w:tcW w:w="1080" w:type="dxa"/>
            <w:vAlign w:val="bottom"/>
          </w:tcPr>
          <w:p>
            <w:pPr>
              <w:spacing w:after="0"/>
              <w:rPr>
                <w:sz w:val="9"/>
                <w:szCs w:val="9"/>
                <w:color w:val="auto"/>
              </w:rPr>
            </w:pPr>
          </w:p>
        </w:tc>
      </w:tr>
      <w:tr>
        <w:trPr>
          <w:trHeight w:val="230"/>
        </w:trPr>
        <w:tc>
          <w:tcPr>
            <w:tcW w:w="6700" w:type="dxa"/>
            <w:vAlign w:val="bottom"/>
            <w:gridSpan w:val="3"/>
          </w:tcPr>
          <w:p>
            <w:pPr>
              <w:jc w:val="center"/>
              <w:ind w:right="3740"/>
              <w:spacing w:after="0"/>
              <w:rPr>
                <w:sz w:val="20"/>
                <w:szCs w:val="20"/>
                <w:color w:val="auto"/>
              </w:rPr>
            </w:pPr>
            <w:r>
              <w:rPr>
                <w:rFonts w:ascii="Arial" w:cs="Arial" w:eastAsia="Arial" w:hAnsi="Arial"/>
                <w:sz w:val="18"/>
                <w:szCs w:val="18"/>
                <w:b w:val="1"/>
                <w:bCs w:val="1"/>
                <w:color w:val="auto"/>
                <w:w w:val="91"/>
              </w:rPr>
              <w:t>Delaware</w:t>
            </w:r>
          </w:p>
        </w:tc>
        <w:tc>
          <w:tcPr>
            <w:tcW w:w="1080" w:type="dxa"/>
            <w:vAlign w:val="bottom"/>
          </w:tcPr>
          <w:p>
            <w:pPr>
              <w:jc w:val="center"/>
              <w:spacing w:after="0"/>
              <w:rPr>
                <w:sz w:val="20"/>
                <w:szCs w:val="20"/>
                <w:color w:val="auto"/>
              </w:rPr>
            </w:pPr>
            <w:r>
              <w:rPr>
                <w:rFonts w:ascii="Arial" w:cs="Arial" w:eastAsia="Arial" w:hAnsi="Arial"/>
                <w:sz w:val="18"/>
                <w:szCs w:val="18"/>
                <w:b w:val="1"/>
                <w:bCs w:val="1"/>
                <w:color w:val="auto"/>
                <w:w w:val="89"/>
              </w:rPr>
              <w:t>36-1169950</w:t>
            </w:r>
          </w:p>
        </w:tc>
      </w:tr>
      <w:tr>
        <w:trPr>
          <w:trHeight w:val="148"/>
        </w:trPr>
        <w:tc>
          <w:tcPr>
            <w:tcW w:w="6700" w:type="dxa"/>
            <w:vAlign w:val="bottom"/>
            <w:gridSpan w:val="3"/>
          </w:tcPr>
          <w:p>
            <w:pPr>
              <w:jc w:val="center"/>
              <w:ind w:right="3720"/>
              <w:spacing w:after="0" w:line="148" w:lineRule="exact"/>
              <w:rPr>
                <w:sz w:val="20"/>
                <w:szCs w:val="20"/>
                <w:color w:val="auto"/>
              </w:rPr>
            </w:pPr>
            <w:r>
              <w:rPr>
                <w:rFonts w:ascii="Arial" w:cs="Arial" w:eastAsia="Arial" w:hAnsi="Arial"/>
                <w:sz w:val="14"/>
                <w:szCs w:val="14"/>
                <w:color w:val="auto"/>
                <w:w w:val="95"/>
              </w:rPr>
              <w:t>State or other jurisdiction of</w:t>
            </w:r>
          </w:p>
        </w:tc>
        <w:tc>
          <w:tcPr>
            <w:tcW w:w="1080" w:type="dxa"/>
            <w:vAlign w:val="bottom"/>
          </w:tcPr>
          <w:p>
            <w:pPr>
              <w:jc w:val="center"/>
              <w:spacing w:after="0" w:line="148" w:lineRule="exact"/>
              <w:rPr>
                <w:sz w:val="20"/>
                <w:szCs w:val="20"/>
                <w:color w:val="auto"/>
              </w:rPr>
            </w:pPr>
            <w:r>
              <w:rPr>
                <w:rFonts w:ascii="Arial" w:cs="Arial" w:eastAsia="Arial" w:hAnsi="Arial"/>
                <w:sz w:val="14"/>
                <w:szCs w:val="14"/>
                <w:color w:val="auto"/>
                <w:w w:val="95"/>
              </w:rPr>
              <w:t>(I.R.S. Employer</w:t>
            </w:r>
          </w:p>
        </w:tc>
      </w:tr>
      <w:tr>
        <w:trPr>
          <w:trHeight w:val="182"/>
        </w:trPr>
        <w:tc>
          <w:tcPr>
            <w:tcW w:w="6700" w:type="dxa"/>
            <w:vAlign w:val="bottom"/>
            <w:gridSpan w:val="3"/>
          </w:tcPr>
          <w:p>
            <w:pPr>
              <w:jc w:val="center"/>
              <w:ind w:right="3740"/>
              <w:spacing w:after="0"/>
              <w:rPr>
                <w:sz w:val="20"/>
                <w:szCs w:val="20"/>
                <w:color w:val="auto"/>
              </w:rPr>
            </w:pPr>
            <w:r>
              <w:rPr>
                <w:rFonts w:ascii="Arial" w:cs="Arial" w:eastAsia="Arial" w:hAnsi="Arial"/>
                <w:sz w:val="14"/>
                <w:szCs w:val="14"/>
                <w:color w:val="auto"/>
                <w:w w:val="94"/>
              </w:rPr>
              <w:t>incorporation or organization</w:t>
            </w:r>
          </w:p>
        </w:tc>
        <w:tc>
          <w:tcPr>
            <w:tcW w:w="1080" w:type="dxa"/>
            <w:vAlign w:val="bottom"/>
          </w:tcPr>
          <w:p>
            <w:pPr>
              <w:jc w:val="center"/>
              <w:spacing w:after="0"/>
              <w:rPr>
                <w:sz w:val="20"/>
                <w:szCs w:val="20"/>
                <w:color w:val="auto"/>
              </w:rPr>
            </w:pPr>
            <w:r>
              <w:rPr>
                <w:rFonts w:ascii="Arial" w:cs="Arial" w:eastAsia="Arial" w:hAnsi="Arial"/>
                <w:sz w:val="14"/>
                <w:szCs w:val="14"/>
                <w:color w:val="auto"/>
                <w:w w:val="97"/>
              </w:rPr>
              <w:t>Identification No.)</w:t>
            </w:r>
          </w:p>
        </w:tc>
      </w:tr>
      <w:tr>
        <w:trPr>
          <w:trHeight w:val="276"/>
        </w:trPr>
        <w:tc>
          <w:tcPr>
            <w:tcW w:w="6700" w:type="dxa"/>
            <w:vAlign w:val="bottom"/>
            <w:gridSpan w:val="3"/>
          </w:tcPr>
          <w:p>
            <w:pPr>
              <w:jc w:val="center"/>
              <w:ind w:right="3720"/>
              <w:spacing w:after="0"/>
              <w:rPr>
                <w:sz w:val="20"/>
                <w:szCs w:val="20"/>
                <w:color w:val="auto"/>
              </w:rPr>
            </w:pPr>
            <w:r>
              <w:rPr>
                <w:rFonts w:ascii="Arial" w:cs="Arial" w:eastAsia="Arial" w:hAnsi="Arial"/>
                <w:sz w:val="18"/>
                <w:szCs w:val="18"/>
                <w:b w:val="1"/>
                <w:bCs w:val="1"/>
                <w:color w:val="auto"/>
                <w:w w:val="90"/>
              </w:rPr>
              <w:t>1850 North Central Avenue, Suite 1900</w:t>
            </w:r>
          </w:p>
        </w:tc>
        <w:tc>
          <w:tcPr>
            <w:tcW w:w="1080" w:type="dxa"/>
            <w:vAlign w:val="bottom"/>
          </w:tcPr>
          <w:p>
            <w:pPr>
              <w:spacing w:after="0"/>
              <w:rPr>
                <w:sz w:val="23"/>
                <w:szCs w:val="23"/>
                <w:color w:val="auto"/>
              </w:rPr>
            </w:pPr>
          </w:p>
        </w:tc>
      </w:tr>
      <w:tr>
        <w:trPr>
          <w:trHeight w:val="215"/>
        </w:trPr>
        <w:tc>
          <w:tcPr>
            <w:tcW w:w="6700" w:type="dxa"/>
            <w:vAlign w:val="bottom"/>
            <w:gridSpan w:val="3"/>
          </w:tcPr>
          <w:p>
            <w:pPr>
              <w:jc w:val="center"/>
              <w:ind w:right="3740"/>
              <w:spacing w:after="0"/>
              <w:rPr>
                <w:sz w:val="20"/>
                <w:szCs w:val="20"/>
                <w:color w:val="auto"/>
              </w:rPr>
            </w:pPr>
            <w:r>
              <w:rPr>
                <w:rFonts w:ascii="Arial" w:cs="Arial" w:eastAsia="Arial" w:hAnsi="Arial"/>
                <w:sz w:val="18"/>
                <w:szCs w:val="18"/>
                <w:b w:val="1"/>
                <w:bCs w:val="1"/>
                <w:color w:val="auto"/>
                <w:w w:val="90"/>
              </w:rPr>
              <w:t>Phoenix, Arizona</w:t>
            </w:r>
          </w:p>
        </w:tc>
        <w:tc>
          <w:tcPr>
            <w:tcW w:w="1080" w:type="dxa"/>
            <w:vAlign w:val="bottom"/>
          </w:tcPr>
          <w:p>
            <w:pPr>
              <w:jc w:val="center"/>
              <w:spacing w:after="0"/>
              <w:rPr>
                <w:sz w:val="20"/>
                <w:szCs w:val="20"/>
                <w:color w:val="auto"/>
              </w:rPr>
            </w:pPr>
            <w:r>
              <w:rPr>
                <w:rFonts w:ascii="Arial" w:cs="Arial" w:eastAsia="Arial" w:hAnsi="Arial"/>
                <w:sz w:val="18"/>
                <w:szCs w:val="18"/>
                <w:b w:val="1"/>
                <w:bCs w:val="1"/>
                <w:color w:val="auto"/>
                <w:w w:val="89"/>
              </w:rPr>
              <w:t>85004-4565</w:t>
            </w:r>
          </w:p>
        </w:tc>
      </w:tr>
      <w:tr>
        <w:trPr>
          <w:trHeight w:val="182"/>
        </w:trPr>
        <w:tc>
          <w:tcPr>
            <w:tcW w:w="6700" w:type="dxa"/>
            <w:vAlign w:val="bottom"/>
            <w:gridSpan w:val="3"/>
          </w:tcPr>
          <w:p>
            <w:pPr>
              <w:jc w:val="center"/>
              <w:ind w:right="3740"/>
              <w:spacing w:after="0"/>
              <w:rPr>
                <w:sz w:val="20"/>
                <w:szCs w:val="20"/>
                <w:color w:val="auto"/>
              </w:rPr>
            </w:pPr>
            <w:r>
              <w:rPr>
                <w:rFonts w:ascii="Arial" w:cs="Arial" w:eastAsia="Arial" w:hAnsi="Arial"/>
                <w:sz w:val="14"/>
                <w:szCs w:val="14"/>
                <w:color w:val="auto"/>
                <w:w w:val="95"/>
              </w:rPr>
              <w:t>(Address of principal executive offices)</w:t>
            </w:r>
          </w:p>
        </w:tc>
        <w:tc>
          <w:tcPr>
            <w:tcW w:w="1080" w:type="dxa"/>
            <w:vAlign w:val="bottom"/>
          </w:tcPr>
          <w:p>
            <w:pPr>
              <w:jc w:val="center"/>
              <w:spacing w:after="0"/>
              <w:rPr>
                <w:sz w:val="20"/>
                <w:szCs w:val="20"/>
                <w:color w:val="auto"/>
              </w:rPr>
            </w:pPr>
            <w:r>
              <w:rPr>
                <w:rFonts w:ascii="Arial" w:cs="Arial" w:eastAsia="Arial" w:hAnsi="Arial"/>
                <w:sz w:val="14"/>
                <w:szCs w:val="14"/>
                <w:color w:val="auto"/>
                <w:w w:val="96"/>
              </w:rPr>
              <w:t>(Zip Code)</w:t>
            </w:r>
          </w:p>
        </w:tc>
      </w:tr>
      <w:tr>
        <w:trPr>
          <w:trHeight w:val="222"/>
        </w:trPr>
        <w:tc>
          <w:tcPr>
            <w:tcW w:w="5440" w:type="dxa"/>
            <w:vAlign w:val="bottom"/>
            <w:gridSpan w:val="2"/>
          </w:tcPr>
          <w:p>
            <w:pPr>
              <w:jc w:val="center"/>
              <w:ind w:left="3119"/>
              <w:spacing w:after="0"/>
              <w:rPr>
                <w:sz w:val="20"/>
                <w:szCs w:val="20"/>
                <w:color w:val="auto"/>
              </w:rPr>
            </w:pPr>
            <w:r>
              <w:rPr>
                <w:rFonts w:ascii="Arial" w:cs="Arial" w:eastAsia="Arial" w:hAnsi="Arial"/>
                <w:sz w:val="18"/>
                <w:szCs w:val="18"/>
                <w:b w:val="1"/>
                <w:bCs w:val="1"/>
                <w:color w:val="auto"/>
                <w:w w:val="90"/>
              </w:rPr>
              <w:t>(602) 207-1000</w:t>
            </w:r>
          </w:p>
        </w:tc>
        <w:tc>
          <w:tcPr>
            <w:tcW w:w="1260" w:type="dxa"/>
            <w:vAlign w:val="bottom"/>
          </w:tcPr>
          <w:p>
            <w:pPr>
              <w:spacing w:after="0"/>
              <w:rPr>
                <w:sz w:val="19"/>
                <w:szCs w:val="19"/>
                <w:color w:val="auto"/>
              </w:rPr>
            </w:pPr>
          </w:p>
        </w:tc>
        <w:tc>
          <w:tcPr>
            <w:tcW w:w="1080" w:type="dxa"/>
            <w:vAlign w:val="bottom"/>
          </w:tcPr>
          <w:p>
            <w:pPr>
              <w:spacing w:after="0"/>
              <w:rPr>
                <w:sz w:val="19"/>
                <w:szCs w:val="19"/>
                <w:color w:val="auto"/>
              </w:rPr>
            </w:pPr>
          </w:p>
        </w:tc>
      </w:tr>
      <w:tr>
        <w:trPr>
          <w:trHeight w:val="175"/>
        </w:trPr>
        <w:tc>
          <w:tcPr>
            <w:tcW w:w="6700" w:type="dxa"/>
            <w:vAlign w:val="bottom"/>
            <w:gridSpan w:val="3"/>
          </w:tcPr>
          <w:p>
            <w:pPr>
              <w:jc w:val="center"/>
              <w:ind w:left="1859"/>
              <w:spacing w:after="0"/>
              <w:rPr>
                <w:sz w:val="20"/>
                <w:szCs w:val="20"/>
                <w:color w:val="auto"/>
              </w:rPr>
            </w:pPr>
            <w:r>
              <w:rPr>
                <w:rFonts w:ascii="Arial" w:cs="Arial" w:eastAsia="Arial" w:hAnsi="Arial"/>
                <w:sz w:val="14"/>
                <w:szCs w:val="14"/>
                <w:color w:val="auto"/>
                <w:w w:val="92"/>
              </w:rPr>
              <w:t>(Registrant’s telephone number, including area code)</w:t>
            </w:r>
          </w:p>
        </w:tc>
        <w:tc>
          <w:tcPr>
            <w:tcW w:w="1080" w:type="dxa"/>
            <w:vAlign w:val="bottom"/>
          </w:tcPr>
          <w:p>
            <w:pPr>
              <w:spacing w:after="0"/>
              <w:rPr>
                <w:sz w:val="15"/>
                <w:szCs w:val="15"/>
                <w:color w:val="auto"/>
              </w:rPr>
            </w:pPr>
          </w:p>
        </w:tc>
      </w:tr>
      <w:tr>
        <w:trPr>
          <w:trHeight w:val="215"/>
        </w:trPr>
        <w:tc>
          <w:tcPr>
            <w:tcW w:w="3180" w:type="dxa"/>
            <w:vAlign w:val="bottom"/>
          </w:tcPr>
          <w:p>
            <w:pPr>
              <w:spacing w:after="0"/>
              <w:rPr>
                <w:sz w:val="18"/>
                <w:szCs w:val="18"/>
                <w:color w:val="auto"/>
              </w:rPr>
            </w:pPr>
          </w:p>
        </w:tc>
        <w:tc>
          <w:tcPr>
            <w:tcW w:w="3520" w:type="dxa"/>
            <w:vAlign w:val="bottom"/>
            <w:gridSpan w:val="2"/>
          </w:tcPr>
          <w:p>
            <w:pPr>
              <w:jc w:val="center"/>
              <w:ind w:right="1260"/>
              <w:spacing w:after="0"/>
              <w:rPr>
                <w:sz w:val="20"/>
                <w:szCs w:val="20"/>
                <w:color w:val="auto"/>
              </w:rPr>
            </w:pPr>
            <w:r>
              <w:rPr>
                <w:rFonts w:ascii="Arial" w:cs="Arial" w:eastAsia="Arial" w:hAnsi="Arial"/>
                <w:sz w:val="18"/>
                <w:szCs w:val="18"/>
                <w:b w:val="1"/>
                <w:bCs w:val="1"/>
                <w:color w:val="auto"/>
                <w:w w:val="90"/>
              </w:rPr>
              <w:t>Not Applicable</w:t>
            </w:r>
          </w:p>
        </w:tc>
        <w:tc>
          <w:tcPr>
            <w:tcW w:w="1080" w:type="dxa"/>
            <w:vAlign w:val="bottom"/>
          </w:tcPr>
          <w:p>
            <w:pPr>
              <w:spacing w:after="0"/>
              <w:rPr>
                <w:sz w:val="18"/>
                <w:szCs w:val="18"/>
                <w:color w:val="auto"/>
              </w:rPr>
            </w:pPr>
          </w:p>
        </w:tc>
      </w:tr>
      <w:tr>
        <w:trPr>
          <w:trHeight w:val="182"/>
        </w:trPr>
        <w:tc>
          <w:tcPr>
            <w:tcW w:w="6700" w:type="dxa"/>
            <w:vAlign w:val="bottom"/>
            <w:gridSpan w:val="3"/>
          </w:tcPr>
          <w:p>
            <w:pPr>
              <w:jc w:val="center"/>
              <w:ind w:left="1839"/>
              <w:spacing w:after="0"/>
              <w:rPr>
                <w:sz w:val="20"/>
                <w:szCs w:val="20"/>
                <w:color w:val="auto"/>
              </w:rPr>
            </w:pPr>
            <w:r>
              <w:rPr>
                <w:rFonts w:ascii="Arial" w:cs="Arial" w:eastAsia="Arial" w:hAnsi="Arial"/>
                <w:sz w:val="14"/>
                <w:szCs w:val="14"/>
                <w:color w:val="auto"/>
                <w:w w:val="92"/>
              </w:rPr>
              <w:t>(Former name, former address, and former fiscal year, if changed since last report)</w:t>
            </w:r>
          </w:p>
        </w:tc>
        <w:tc>
          <w:tcPr>
            <w:tcW w:w="1080" w:type="dxa"/>
            <w:vAlign w:val="bottom"/>
          </w:tcPr>
          <w:p>
            <w:pPr>
              <w:spacing w:after="0"/>
              <w:rPr>
                <w:sz w:val="15"/>
                <w:szCs w:val="15"/>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2907030</wp:posOffset>
            </wp:positionH>
            <wp:positionV relativeFrom="paragraph">
              <wp:posOffset>67310</wp:posOffset>
            </wp:positionV>
            <wp:extent cx="144272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442720" cy="8255"/>
                    </a:xfrm>
                    <a:prstGeom prst="rect">
                      <a:avLst/>
                    </a:prstGeom>
                    <a:noFill/>
                  </pic:spPr>
                </pic:pic>
              </a:graphicData>
            </a:graphic>
          </wp:anchor>
        </w:drawing>
      </w:r>
    </w:p>
    <w:p>
      <w:pPr>
        <w:spacing w:after="0" w:line="139" w:lineRule="exact"/>
        <w:rPr>
          <w:sz w:val="24"/>
          <w:szCs w:val="24"/>
          <w:color w:val="auto"/>
        </w:rPr>
      </w:pPr>
    </w:p>
    <w:p>
      <w:pPr>
        <w:jc w:val="both"/>
        <w:spacing w:after="0" w:line="226" w:lineRule="exact"/>
        <w:rPr>
          <w:sz w:val="20"/>
          <w:szCs w:val="20"/>
          <w:color w:val="auto"/>
        </w:rPr>
      </w:pPr>
      <w:r>
        <w:rPr>
          <w:rFonts w:ascii="Arial" w:cs="Arial" w:eastAsia="Arial" w:hAnsi="Arial"/>
          <w:sz w:val="18"/>
          <w:szCs w:val="18"/>
          <w:color w:val="auto"/>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Pr>
          <w:rFonts w:ascii="MS PGothic" w:cs="MS PGothic" w:eastAsia="MS PGothic" w:hAnsi="MS PGothic"/>
          <w:sz w:val="18"/>
          <w:szCs w:val="18"/>
          <w:color w:val="auto"/>
        </w:rPr>
        <w:t>☒</w:t>
      </w:r>
      <w:r>
        <w:rPr>
          <w:rFonts w:ascii="Arial" w:cs="Arial" w:eastAsia="Arial" w:hAnsi="Arial"/>
          <w:sz w:val="18"/>
          <w:szCs w:val="18"/>
          <w:color w:val="auto"/>
        </w:rPr>
        <w:t xml:space="preserve"> No </w:t>
      </w:r>
      <w:r>
        <w:rPr>
          <w:rFonts w:ascii="MS PGothic" w:cs="MS PGothic" w:eastAsia="MS PGothic" w:hAnsi="MS PGothic"/>
          <w:sz w:val="18"/>
          <w:szCs w:val="18"/>
          <w:color w:val="auto"/>
        </w:rPr>
        <w:t>☐</w:t>
      </w:r>
    </w:p>
    <w:p>
      <w:pPr>
        <w:spacing w:after="0" w:line="35" w:lineRule="exact"/>
        <w:rPr>
          <w:sz w:val="24"/>
          <w:szCs w:val="24"/>
          <w:color w:val="auto"/>
        </w:rPr>
      </w:pPr>
    </w:p>
    <w:p>
      <w:pPr>
        <w:jc w:val="both"/>
        <w:spacing w:after="0" w:line="226" w:lineRule="exact"/>
        <w:rPr>
          <w:sz w:val="20"/>
          <w:szCs w:val="20"/>
          <w:color w:val="auto"/>
        </w:rPr>
      </w:pPr>
      <w:r>
        <w:rPr>
          <w:rFonts w:ascii="Arial" w:cs="Arial" w:eastAsia="Arial" w:hAnsi="Arial"/>
          <w:sz w:val="18"/>
          <w:szCs w:val="18"/>
          <w:color w:val="auto"/>
        </w:rPr>
        <w:t xml:space="preserve">Indicate by check mark whether the registrant has submitted electronically and posted on its corporate Website, if any, every Interactive Data File required to be submitted and posted pursuant to Rule 405 of Regulation S-T (§ 232.405 of this chapter) during the preceding 12 months (or for such shorter period that the registrant was required to submit and post such files.) Yes </w:t>
      </w:r>
      <w:r>
        <w:rPr>
          <w:rFonts w:ascii="MS PGothic" w:cs="MS PGothic" w:eastAsia="MS PGothic" w:hAnsi="MS PGothic"/>
          <w:sz w:val="18"/>
          <w:szCs w:val="18"/>
          <w:color w:val="auto"/>
        </w:rPr>
        <w:t>☒</w:t>
      </w:r>
      <w:r>
        <w:rPr>
          <w:rFonts w:ascii="Arial" w:cs="Arial" w:eastAsia="Arial" w:hAnsi="Arial"/>
          <w:sz w:val="18"/>
          <w:szCs w:val="18"/>
          <w:color w:val="auto"/>
        </w:rPr>
        <w:t xml:space="preserve"> No </w:t>
      </w:r>
      <w:r>
        <w:rPr>
          <w:rFonts w:ascii="MS PGothic" w:cs="MS PGothic" w:eastAsia="MS PGothic" w:hAnsi="MS PGothic"/>
          <w:sz w:val="18"/>
          <w:szCs w:val="18"/>
          <w:color w:val="auto"/>
        </w:rPr>
        <w:t>☐</w:t>
      </w:r>
    </w:p>
    <w:p>
      <w:pPr>
        <w:spacing w:after="0" w:line="61" w:lineRule="exact"/>
        <w:rPr>
          <w:sz w:val="24"/>
          <w:szCs w:val="24"/>
          <w:color w:val="auto"/>
        </w:rPr>
      </w:pPr>
    </w:p>
    <w:p>
      <w:pPr>
        <w:jc w:val="both"/>
        <w:spacing w:after="0" w:line="262" w:lineRule="auto"/>
        <w:rPr>
          <w:sz w:val="20"/>
          <w:szCs w:val="20"/>
          <w:color w:val="auto"/>
        </w:rPr>
      </w:pPr>
      <w:r>
        <w:rPr>
          <w:rFonts w:ascii="Arial" w:cs="Arial" w:eastAsia="Arial" w:hAnsi="Arial"/>
          <w:sz w:val="18"/>
          <w:szCs w:val="18"/>
          <w:color w:val="auto"/>
        </w:rPr>
        <w:t>Indicate by check mark whether registrant is a large accelerated filer, an accelerated filer, a non-accelerated filer, smaller reporting company, or an emerging growth company. See definitions of “large accelerated filer,” “accelerated filer,” “smaller reporting company,” and “emerging growth company” in Rule 12b-2 of the Exchange Act.</w:t>
      </w:r>
    </w:p>
    <w:p>
      <w:pPr>
        <w:spacing w:after="0" w:line="29" w:lineRule="exact"/>
        <w:rPr>
          <w:sz w:val="24"/>
          <w:szCs w:val="24"/>
          <w:color w:val="auto"/>
        </w:rPr>
      </w:pPr>
    </w:p>
    <w:tbl>
      <w:tblPr>
        <w:tblLayout w:type="fixed"/>
        <w:tblInd w:w="0" w:type="dxa"/>
        <w:tblCellMar>
          <w:top w:w="0" w:type="dxa"/>
          <w:left w:w="0" w:type="dxa"/>
          <w:bottom w:w="0" w:type="dxa"/>
          <w:right w:w="0" w:type="dxa"/>
        </w:tblCellMar>
      </w:tblPr>
      <w:tr>
        <w:trPr>
          <w:trHeight w:val="282"/>
        </w:trPr>
        <w:tc>
          <w:tcPr>
            <w:tcW w:w="2240" w:type="dxa"/>
            <w:vAlign w:val="bottom"/>
          </w:tcPr>
          <w:p>
            <w:pPr>
              <w:spacing w:after="0"/>
              <w:rPr>
                <w:sz w:val="20"/>
                <w:szCs w:val="20"/>
                <w:color w:val="auto"/>
              </w:rPr>
            </w:pPr>
            <w:r>
              <w:rPr>
                <w:rFonts w:ascii="Arial" w:cs="Arial" w:eastAsia="Arial" w:hAnsi="Arial"/>
                <w:sz w:val="18"/>
                <w:szCs w:val="18"/>
                <w:color w:val="auto"/>
              </w:rPr>
              <w:t>Large accelerated filer</w:t>
            </w:r>
          </w:p>
        </w:tc>
        <w:tc>
          <w:tcPr>
            <w:tcW w:w="4760" w:type="dxa"/>
            <w:vAlign w:val="bottom"/>
          </w:tcPr>
          <w:p>
            <w:pPr>
              <w:ind w:left="640"/>
              <w:spacing w:after="0" w:line="181" w:lineRule="exact"/>
              <w:rPr>
                <w:sz w:val="20"/>
                <w:szCs w:val="20"/>
                <w:color w:val="auto"/>
              </w:rPr>
            </w:pPr>
            <w:r>
              <w:rPr>
                <w:rFonts w:ascii="MS PGothic" w:cs="MS PGothic" w:eastAsia="MS PGothic" w:hAnsi="MS PGothic"/>
                <w:sz w:val="18"/>
                <w:szCs w:val="18"/>
                <w:color w:val="auto"/>
              </w:rPr>
              <w:t>☒</w:t>
            </w:r>
          </w:p>
        </w:tc>
        <w:tc>
          <w:tcPr>
            <w:tcW w:w="3620" w:type="dxa"/>
            <w:vAlign w:val="bottom"/>
          </w:tcPr>
          <w:p>
            <w:pPr>
              <w:ind w:left="1200"/>
              <w:spacing w:after="0"/>
              <w:rPr>
                <w:sz w:val="20"/>
                <w:szCs w:val="20"/>
                <w:color w:val="auto"/>
              </w:rPr>
            </w:pPr>
            <w:r>
              <w:rPr>
                <w:rFonts w:ascii="Arial" w:cs="Arial" w:eastAsia="Arial" w:hAnsi="Arial"/>
                <w:sz w:val="18"/>
                <w:szCs w:val="18"/>
                <w:color w:val="auto"/>
              </w:rPr>
              <w:t>Accelerated filer</w:t>
            </w:r>
          </w:p>
        </w:tc>
        <w:tc>
          <w:tcPr>
            <w:tcW w:w="620" w:type="dxa"/>
            <w:vAlign w:val="bottom"/>
          </w:tcPr>
          <w:p>
            <w:pPr>
              <w:ind w:left="460"/>
              <w:spacing w:after="0" w:line="181" w:lineRule="exact"/>
              <w:rPr>
                <w:sz w:val="20"/>
                <w:szCs w:val="20"/>
                <w:color w:val="auto"/>
              </w:rPr>
            </w:pPr>
            <w:r>
              <w:rPr>
                <w:rFonts w:ascii="MS PGothic" w:cs="MS PGothic" w:eastAsia="MS PGothic" w:hAnsi="MS PGothic"/>
                <w:sz w:val="18"/>
                <w:szCs w:val="18"/>
                <w:color w:val="auto"/>
                <w:w w:val="77"/>
              </w:rPr>
              <w:t>☐</w:t>
            </w:r>
          </w:p>
        </w:tc>
      </w:tr>
      <w:tr>
        <w:trPr>
          <w:trHeight w:val="309"/>
        </w:trPr>
        <w:tc>
          <w:tcPr>
            <w:tcW w:w="2240" w:type="dxa"/>
            <w:vAlign w:val="bottom"/>
          </w:tcPr>
          <w:p>
            <w:pPr>
              <w:spacing w:after="0"/>
              <w:rPr>
                <w:sz w:val="20"/>
                <w:szCs w:val="20"/>
                <w:color w:val="auto"/>
              </w:rPr>
            </w:pPr>
            <w:r>
              <w:rPr>
                <w:rFonts w:ascii="Arial" w:cs="Arial" w:eastAsia="Arial" w:hAnsi="Arial"/>
                <w:sz w:val="18"/>
                <w:szCs w:val="18"/>
                <w:color w:val="auto"/>
              </w:rPr>
              <w:t>Non-accelerated filer</w:t>
            </w:r>
          </w:p>
        </w:tc>
        <w:tc>
          <w:tcPr>
            <w:tcW w:w="4760" w:type="dxa"/>
            <w:vAlign w:val="bottom"/>
          </w:tcPr>
          <w:p>
            <w:pPr>
              <w:ind w:left="640"/>
              <w:spacing w:after="0" w:line="196" w:lineRule="exact"/>
              <w:rPr>
                <w:sz w:val="20"/>
                <w:szCs w:val="20"/>
                <w:color w:val="auto"/>
              </w:rPr>
            </w:pPr>
            <w:r>
              <w:rPr>
                <w:rFonts w:ascii="MS PGothic" w:cs="MS PGothic" w:eastAsia="MS PGothic" w:hAnsi="MS PGothic"/>
                <w:sz w:val="17"/>
                <w:szCs w:val="17"/>
                <w:color w:val="auto"/>
              </w:rPr>
              <w:t>☐</w:t>
            </w:r>
            <w:r>
              <w:rPr>
                <w:rFonts w:ascii="Arial" w:cs="Arial" w:eastAsia="Arial" w:hAnsi="Arial"/>
                <w:sz w:val="14"/>
                <w:szCs w:val="14"/>
                <w:color w:val="auto"/>
              </w:rPr>
              <w:t xml:space="preserve"> (Do not check if a smaller reporting company)</w:t>
            </w:r>
          </w:p>
        </w:tc>
        <w:tc>
          <w:tcPr>
            <w:tcW w:w="3620" w:type="dxa"/>
            <w:vAlign w:val="bottom"/>
          </w:tcPr>
          <w:p>
            <w:pPr>
              <w:ind w:left="1200"/>
              <w:spacing w:after="0"/>
              <w:rPr>
                <w:sz w:val="20"/>
                <w:szCs w:val="20"/>
                <w:color w:val="auto"/>
              </w:rPr>
            </w:pPr>
            <w:r>
              <w:rPr>
                <w:rFonts w:ascii="Arial" w:cs="Arial" w:eastAsia="Arial" w:hAnsi="Arial"/>
                <w:sz w:val="18"/>
                <w:szCs w:val="18"/>
                <w:color w:val="auto"/>
              </w:rPr>
              <w:t>Smaller reporting company</w:t>
            </w:r>
          </w:p>
        </w:tc>
        <w:tc>
          <w:tcPr>
            <w:tcW w:w="620" w:type="dxa"/>
            <w:vAlign w:val="bottom"/>
          </w:tcPr>
          <w:p>
            <w:pPr>
              <w:ind w:left="460"/>
              <w:spacing w:after="0" w:line="181" w:lineRule="exact"/>
              <w:rPr>
                <w:sz w:val="20"/>
                <w:szCs w:val="20"/>
                <w:color w:val="auto"/>
              </w:rPr>
            </w:pPr>
            <w:r>
              <w:rPr>
                <w:rFonts w:ascii="MS PGothic" w:cs="MS PGothic" w:eastAsia="MS PGothic" w:hAnsi="MS PGothic"/>
                <w:sz w:val="18"/>
                <w:szCs w:val="18"/>
                <w:color w:val="auto"/>
                <w:w w:val="77"/>
              </w:rPr>
              <w:t>☐</w:t>
            </w:r>
          </w:p>
        </w:tc>
      </w:tr>
      <w:tr>
        <w:trPr>
          <w:trHeight w:val="309"/>
        </w:trPr>
        <w:tc>
          <w:tcPr>
            <w:tcW w:w="2240" w:type="dxa"/>
            <w:vAlign w:val="bottom"/>
          </w:tcPr>
          <w:p>
            <w:pPr>
              <w:spacing w:after="0"/>
              <w:rPr>
                <w:sz w:val="24"/>
                <w:szCs w:val="24"/>
                <w:color w:val="auto"/>
              </w:rPr>
            </w:pPr>
          </w:p>
        </w:tc>
        <w:tc>
          <w:tcPr>
            <w:tcW w:w="4760" w:type="dxa"/>
            <w:vAlign w:val="bottom"/>
          </w:tcPr>
          <w:p>
            <w:pPr>
              <w:spacing w:after="0"/>
              <w:rPr>
                <w:sz w:val="24"/>
                <w:szCs w:val="24"/>
                <w:color w:val="auto"/>
              </w:rPr>
            </w:pPr>
          </w:p>
        </w:tc>
        <w:tc>
          <w:tcPr>
            <w:tcW w:w="3620" w:type="dxa"/>
            <w:vAlign w:val="bottom"/>
          </w:tcPr>
          <w:p>
            <w:pPr>
              <w:ind w:left="1200"/>
              <w:spacing w:after="0"/>
              <w:rPr>
                <w:sz w:val="20"/>
                <w:szCs w:val="20"/>
                <w:color w:val="auto"/>
              </w:rPr>
            </w:pPr>
            <w:r>
              <w:rPr>
                <w:rFonts w:ascii="Arial" w:cs="Arial" w:eastAsia="Arial" w:hAnsi="Arial"/>
                <w:sz w:val="18"/>
                <w:szCs w:val="18"/>
                <w:color w:val="auto"/>
              </w:rPr>
              <w:t>Emerging growth company</w:t>
            </w:r>
          </w:p>
        </w:tc>
        <w:tc>
          <w:tcPr>
            <w:tcW w:w="620" w:type="dxa"/>
            <w:vAlign w:val="bottom"/>
          </w:tcPr>
          <w:p>
            <w:pPr>
              <w:ind w:left="460"/>
              <w:spacing w:after="0" w:line="181" w:lineRule="exact"/>
              <w:rPr>
                <w:sz w:val="20"/>
                <w:szCs w:val="20"/>
                <w:color w:val="auto"/>
              </w:rPr>
            </w:pPr>
            <w:r>
              <w:rPr>
                <w:rFonts w:ascii="MS PGothic" w:cs="MS PGothic" w:eastAsia="MS PGothic" w:hAnsi="MS PGothic"/>
                <w:sz w:val="18"/>
                <w:szCs w:val="18"/>
                <w:color w:val="auto"/>
                <w:w w:val="77"/>
              </w:rPr>
              <w:t>☐</w:t>
            </w:r>
          </w:p>
        </w:tc>
      </w:tr>
    </w:tbl>
    <w:p>
      <w:pPr>
        <w:spacing w:after="0" w:line="228"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 w:lineRule="exact"/>
        <w:rPr>
          <w:sz w:val="24"/>
          <w:szCs w:val="24"/>
          <w:color w:val="auto"/>
        </w:rPr>
      </w:pPr>
    </w:p>
    <w:p>
      <w:pPr>
        <w:ind w:right="2700"/>
        <w:spacing w:after="0" w:line="245" w:lineRule="exact"/>
        <w:rPr>
          <w:sz w:val="20"/>
          <w:szCs w:val="20"/>
          <w:color w:val="auto"/>
        </w:rPr>
      </w:pPr>
      <w:r>
        <w:rPr>
          <w:rFonts w:ascii="Arial" w:cs="Arial" w:eastAsia="Arial" w:hAnsi="Arial"/>
          <w:sz w:val="18"/>
          <w:szCs w:val="18"/>
          <w:color w:val="auto"/>
        </w:rPr>
        <w:t xml:space="preserve">Indicate by check mark whether the registrant is a shell company (as defined in Rule 12b-2 of the Act). Yes </w:t>
      </w:r>
      <w:r>
        <w:rPr>
          <w:rFonts w:ascii="MS PGothic" w:cs="MS PGothic" w:eastAsia="MS PGothic" w:hAnsi="MS PGothic"/>
          <w:sz w:val="18"/>
          <w:szCs w:val="18"/>
          <w:color w:val="auto"/>
        </w:rPr>
        <w:t>☐</w:t>
      </w:r>
      <w:r>
        <w:rPr>
          <w:rFonts w:ascii="Arial" w:cs="Arial" w:eastAsia="Arial" w:hAnsi="Arial"/>
          <w:sz w:val="18"/>
          <w:szCs w:val="18"/>
          <w:color w:val="auto"/>
        </w:rPr>
        <w:t xml:space="preserve"> No </w:t>
      </w:r>
      <w:r>
        <w:rPr>
          <w:rFonts w:ascii="MS PGothic" w:cs="MS PGothic" w:eastAsia="MS PGothic" w:hAnsi="MS PGothic"/>
          <w:sz w:val="18"/>
          <w:szCs w:val="18"/>
          <w:color w:val="auto"/>
        </w:rPr>
        <w:t>☒</w:t>
      </w:r>
      <w:r>
        <w:rPr>
          <w:rFonts w:ascii="Arial" w:cs="Arial" w:eastAsia="Arial" w:hAnsi="Arial"/>
          <w:sz w:val="18"/>
          <w:szCs w:val="18"/>
          <w:color w:val="auto"/>
        </w:rPr>
        <w:t xml:space="preserve"> As of May 7, 2018, there were 20,479,453 shares of Common Stock ($1.50 par value) outstanding.</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68580</wp:posOffset>
            </wp:positionV>
            <wp:extent cx="7247255"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47255"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85725</wp:posOffset>
            </wp:positionV>
            <wp:extent cx="7247255"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47255" cy="825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422910</wp:posOffset>
            </wp:positionV>
            <wp:extent cx="7289800" cy="425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1420"/>
          </w:cols>
          <w:pgMar w:left="240" w:top="273" w:right="239" w:bottom="1440" w:gutter="0" w:footer="0" w:header="0"/>
        </w:sectPr>
      </w:pPr>
    </w:p>
    <w:bookmarkStart w:id="1" w:name="page2"/>
    <w:bookmarkEnd w:id="1"/>
    <w:tbl>
      <w:tblPr>
        <w:tblLayout w:type="fixed"/>
        <w:tblInd w:w="280" w:type="dxa"/>
        <w:tblCellMar>
          <w:top w:w="0" w:type="dxa"/>
          <w:left w:w="0" w:type="dxa"/>
          <w:bottom w:w="0" w:type="dxa"/>
          <w:right w:w="0" w:type="dxa"/>
        </w:tblCellMar>
      </w:tblPr>
      <w:tr>
        <w:trPr>
          <w:trHeight w:val="234"/>
        </w:trPr>
        <w:tc>
          <w:tcPr>
            <w:tcW w:w="5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6280" w:type="dxa"/>
            <w:vAlign w:val="bottom"/>
            <w:gridSpan w:val="8"/>
          </w:tcPr>
          <w:p>
            <w:pPr>
              <w:jc w:val="center"/>
              <w:ind w:right="3460"/>
              <w:spacing w:after="0"/>
              <w:rPr>
                <w:sz w:val="20"/>
                <w:szCs w:val="20"/>
                <w:color w:val="auto"/>
              </w:rPr>
            </w:pPr>
            <w:r>
              <w:rPr>
                <w:rFonts w:ascii="Arial" w:cs="Arial" w:eastAsia="Arial" w:hAnsi="Arial"/>
                <w:sz w:val="18"/>
                <w:szCs w:val="18"/>
                <w:b w:val="1"/>
                <w:bCs w:val="1"/>
                <w:color w:val="auto"/>
              </w:rPr>
              <w:t>INDEX</w:t>
            </w:r>
          </w:p>
        </w:tc>
      </w:tr>
      <w:tr>
        <w:trPr>
          <w:trHeight w:val="726"/>
        </w:trPr>
        <w:tc>
          <w:tcPr>
            <w:tcW w:w="5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3120" w:type="dxa"/>
            <w:vAlign w:val="bottom"/>
            <w:tcBorders>
              <w:bottom w:val="single" w:sz="8" w:color="0000EE"/>
            </w:tcBorders>
            <w:gridSpan w:val="5"/>
          </w:tcPr>
          <w:p>
            <w:pPr>
              <w:jc w:val="center"/>
              <w:spacing w:after="0"/>
              <w:rPr>
                <w:rFonts w:ascii="Arial" w:cs="Arial" w:eastAsia="Arial" w:hAnsi="Arial"/>
                <w:sz w:val="18"/>
                <w:szCs w:val="18"/>
                <w:b w:val="1"/>
                <w:bCs w:val="1"/>
                <w:color w:val="0000EE"/>
              </w:rPr>
            </w:pPr>
            <w:hyperlink w:anchor="page3">
              <w:r>
                <w:rPr>
                  <w:rFonts w:ascii="Arial" w:cs="Arial" w:eastAsia="Arial" w:hAnsi="Arial"/>
                  <w:sz w:val="18"/>
                  <w:szCs w:val="18"/>
                  <w:b w:val="1"/>
                  <w:bCs w:val="1"/>
                  <w:color w:val="0000EE"/>
                </w:rPr>
                <w:t>PART I - FINANCIAL INFORMATION</w:t>
              </w:r>
            </w:hyperlink>
          </w:p>
        </w:tc>
        <w:tc>
          <w:tcPr>
            <w:tcW w:w="3300" w:type="dxa"/>
            <w:vAlign w:val="bottom"/>
            <w:gridSpan w:val="4"/>
          </w:tcPr>
          <w:p>
            <w:pPr>
              <w:spacing w:after="0"/>
              <w:rPr>
                <w:sz w:val="24"/>
                <w:szCs w:val="24"/>
                <w:color w:val="auto"/>
              </w:rPr>
            </w:pPr>
          </w:p>
        </w:tc>
      </w:tr>
      <w:tr>
        <w:trPr>
          <w:trHeight w:val="262"/>
        </w:trPr>
        <w:tc>
          <w:tcPr>
            <w:tcW w:w="1100" w:type="dxa"/>
            <w:vAlign w:val="bottom"/>
            <w:gridSpan w:val="3"/>
          </w:tcPr>
          <w:p>
            <w:pPr>
              <w:spacing w:after="0"/>
              <w:rPr>
                <w:rFonts w:ascii="Arial" w:cs="Arial" w:eastAsia="Arial" w:hAnsi="Arial"/>
                <w:sz w:val="18"/>
                <w:szCs w:val="18"/>
                <w:color w:val="0000EE"/>
              </w:rPr>
            </w:pPr>
            <w:hyperlink w:anchor="page3">
              <w:r>
                <w:rPr>
                  <w:rFonts w:ascii="Arial" w:cs="Arial" w:eastAsia="Arial" w:hAnsi="Arial"/>
                  <w:sz w:val="18"/>
                  <w:szCs w:val="18"/>
                  <w:color w:val="0000EE"/>
                </w:rPr>
                <w:t>Item 1.</w:t>
              </w:r>
            </w:hyperlink>
          </w:p>
        </w:tc>
        <w:tc>
          <w:tcPr>
            <w:tcW w:w="9200" w:type="dxa"/>
            <w:vAlign w:val="bottom"/>
            <w:gridSpan w:val="18"/>
          </w:tcPr>
          <w:p>
            <w:pPr>
              <w:ind w:left="360"/>
              <w:spacing w:after="0"/>
              <w:rPr>
                <w:rFonts w:ascii="Arial" w:cs="Arial" w:eastAsia="Arial" w:hAnsi="Arial"/>
                <w:sz w:val="18"/>
                <w:szCs w:val="18"/>
                <w:color w:val="0000EE"/>
              </w:rPr>
            </w:pPr>
            <w:hyperlink w:anchor="page3">
              <w:r>
                <w:rPr>
                  <w:rFonts w:ascii="Arial" w:cs="Arial" w:eastAsia="Arial" w:hAnsi="Arial"/>
                  <w:sz w:val="18"/>
                  <w:szCs w:val="18"/>
                  <w:color w:val="0000EE"/>
                </w:rPr>
                <w:t>Financial Statements</w:t>
              </w:r>
            </w:hyperlink>
          </w:p>
        </w:tc>
      </w:tr>
      <w:tr>
        <w:trPr>
          <w:trHeight w:val="20"/>
        </w:trPr>
        <w:tc>
          <w:tcPr>
            <w:tcW w:w="500" w:type="dxa"/>
            <w:vAlign w:val="bottom"/>
            <w:shd w:val="clear" w:color="auto" w:fill="0000EE"/>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36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800" w:type="dxa"/>
            <w:vAlign w:val="bottom"/>
            <w:gridSpan w:val="2"/>
          </w:tcPr>
          <w:p>
            <w:pPr>
              <w:spacing w:after="0" w:line="20" w:lineRule="exact"/>
              <w:rPr>
                <w:sz w:val="1"/>
                <w:szCs w:val="1"/>
                <w:color w:val="auto"/>
              </w:rPr>
            </w:pPr>
          </w:p>
        </w:tc>
        <w:tc>
          <w:tcPr>
            <w:tcW w:w="16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40" w:type="dxa"/>
            <w:vAlign w:val="bottom"/>
          </w:tcPr>
          <w:p>
            <w:pPr>
              <w:spacing w:after="0" w:line="20" w:lineRule="exact"/>
              <w:rPr>
                <w:sz w:val="1"/>
                <w:szCs w:val="1"/>
                <w:color w:val="auto"/>
              </w:rPr>
            </w:pPr>
          </w:p>
        </w:tc>
        <w:tc>
          <w:tcPr>
            <w:tcW w:w="1060" w:type="dxa"/>
            <w:vAlign w:val="bottom"/>
            <w:gridSpan w:val="2"/>
          </w:tcPr>
          <w:p>
            <w:pPr>
              <w:spacing w:after="0" w:line="20" w:lineRule="exact"/>
              <w:rPr>
                <w:sz w:val="1"/>
                <w:szCs w:val="1"/>
                <w:color w:val="auto"/>
              </w:rPr>
            </w:pPr>
          </w:p>
        </w:tc>
        <w:tc>
          <w:tcPr>
            <w:tcW w:w="13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r>
      <w:tr>
        <w:trPr>
          <w:trHeight w:val="262"/>
        </w:trPr>
        <w:tc>
          <w:tcPr>
            <w:tcW w:w="5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8620" w:type="dxa"/>
            <w:vAlign w:val="bottom"/>
            <w:gridSpan w:val="16"/>
          </w:tcPr>
          <w:p>
            <w:pPr>
              <w:spacing w:after="0"/>
              <w:rPr>
                <w:rFonts w:ascii="Arial" w:cs="Arial" w:eastAsia="Arial" w:hAnsi="Arial"/>
                <w:sz w:val="18"/>
                <w:szCs w:val="18"/>
                <w:color w:val="0000EE"/>
              </w:rPr>
            </w:pPr>
            <w:hyperlink w:anchor="page3">
              <w:r>
                <w:rPr>
                  <w:rFonts w:ascii="Arial" w:cs="Arial" w:eastAsia="Arial" w:hAnsi="Arial"/>
                  <w:sz w:val="18"/>
                  <w:szCs w:val="18"/>
                  <w:color w:val="0000EE"/>
                </w:rPr>
                <w:t>Condensed Consolidated Balance Sheets as of March 31, 2018 and December 31, 2017</w:t>
              </w:r>
            </w:hyperlink>
          </w:p>
        </w:tc>
      </w:tr>
      <w:tr>
        <w:trPr>
          <w:trHeight w:val="20"/>
        </w:trPr>
        <w:tc>
          <w:tcPr>
            <w:tcW w:w="5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6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440" w:type="dxa"/>
            <w:vAlign w:val="bottom"/>
            <w:gridSpan w:val="2"/>
            <w:shd w:val="clear" w:color="auto" w:fill="0000EE"/>
          </w:tcPr>
          <w:p>
            <w:pPr>
              <w:spacing w:after="0" w:line="20" w:lineRule="exact"/>
              <w:rPr>
                <w:sz w:val="1"/>
                <w:szCs w:val="1"/>
                <w:color w:val="auto"/>
              </w:rPr>
            </w:pPr>
          </w:p>
        </w:tc>
        <w:tc>
          <w:tcPr>
            <w:tcW w:w="800" w:type="dxa"/>
            <w:vAlign w:val="bottom"/>
            <w:gridSpan w:val="2"/>
            <w:shd w:val="clear" w:color="auto" w:fill="0000EE"/>
          </w:tcPr>
          <w:p>
            <w:pPr>
              <w:spacing w:after="0" w:line="20" w:lineRule="exact"/>
              <w:rPr>
                <w:sz w:val="1"/>
                <w:szCs w:val="1"/>
                <w:color w:val="auto"/>
              </w:rPr>
            </w:pPr>
          </w:p>
        </w:tc>
        <w:tc>
          <w:tcPr>
            <w:tcW w:w="1640" w:type="dxa"/>
            <w:vAlign w:val="bottom"/>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1040" w:type="dxa"/>
            <w:vAlign w:val="bottom"/>
            <w:tcBorders>
              <w:left w:val="single" w:sz="8" w:color="0000EE"/>
            </w:tcBorders>
            <w:shd w:val="clear" w:color="auto" w:fill="0000EE"/>
          </w:tcPr>
          <w:p>
            <w:pPr>
              <w:spacing w:after="0" w:line="20" w:lineRule="exact"/>
              <w:rPr>
                <w:sz w:val="1"/>
                <w:szCs w:val="1"/>
                <w:color w:val="auto"/>
              </w:rPr>
            </w:pPr>
          </w:p>
        </w:tc>
        <w:tc>
          <w:tcPr>
            <w:tcW w:w="1060" w:type="dxa"/>
            <w:vAlign w:val="bottom"/>
            <w:gridSpan w:val="2"/>
            <w:shd w:val="clear" w:color="auto" w:fill="0000EE"/>
          </w:tcPr>
          <w:p>
            <w:pPr>
              <w:spacing w:after="0" w:line="20" w:lineRule="exact"/>
              <w:rPr>
                <w:sz w:val="1"/>
                <w:szCs w:val="1"/>
                <w:color w:val="auto"/>
              </w:rPr>
            </w:pPr>
          </w:p>
        </w:tc>
        <w:tc>
          <w:tcPr>
            <w:tcW w:w="1380" w:type="dxa"/>
            <w:vAlign w:val="bottom"/>
            <w:tcBorders>
              <w:left w:val="single" w:sz="8" w:color="0000EE"/>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r>
      <w:tr>
        <w:trPr>
          <w:trHeight w:val="464"/>
        </w:trPr>
        <w:tc>
          <w:tcPr>
            <w:tcW w:w="5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620" w:type="dxa"/>
            <w:vAlign w:val="bottom"/>
            <w:gridSpan w:val="16"/>
          </w:tcPr>
          <w:p>
            <w:pPr>
              <w:spacing w:after="0"/>
              <w:rPr>
                <w:rFonts w:ascii="Arial" w:cs="Arial" w:eastAsia="Arial" w:hAnsi="Arial"/>
                <w:sz w:val="18"/>
                <w:szCs w:val="18"/>
                <w:color w:val="0000EE"/>
              </w:rPr>
            </w:pPr>
            <w:hyperlink w:anchor="page4">
              <w:r>
                <w:rPr>
                  <w:rFonts w:ascii="Arial" w:cs="Arial" w:eastAsia="Arial" w:hAnsi="Arial"/>
                  <w:sz w:val="18"/>
                  <w:szCs w:val="18"/>
                  <w:color w:val="0000EE"/>
                </w:rPr>
                <w:t>Condensed Consolidated Statements of Operations for the Three Months Ended March 31, 2018 and 2017</w:t>
              </w:r>
            </w:hyperlink>
          </w:p>
        </w:tc>
      </w:tr>
      <w:tr>
        <w:trPr>
          <w:trHeight w:val="20"/>
        </w:trPr>
        <w:tc>
          <w:tcPr>
            <w:tcW w:w="5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6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440" w:type="dxa"/>
            <w:vAlign w:val="bottom"/>
            <w:gridSpan w:val="2"/>
            <w:shd w:val="clear" w:color="auto" w:fill="0000EE"/>
          </w:tcPr>
          <w:p>
            <w:pPr>
              <w:spacing w:after="0" w:line="20" w:lineRule="exact"/>
              <w:rPr>
                <w:sz w:val="1"/>
                <w:szCs w:val="1"/>
                <w:color w:val="auto"/>
              </w:rPr>
            </w:pPr>
          </w:p>
        </w:tc>
        <w:tc>
          <w:tcPr>
            <w:tcW w:w="800" w:type="dxa"/>
            <w:vAlign w:val="bottom"/>
            <w:gridSpan w:val="2"/>
            <w:shd w:val="clear" w:color="auto" w:fill="0000EE"/>
          </w:tcPr>
          <w:p>
            <w:pPr>
              <w:spacing w:after="0" w:line="20" w:lineRule="exact"/>
              <w:rPr>
                <w:sz w:val="1"/>
                <w:szCs w:val="1"/>
                <w:color w:val="auto"/>
              </w:rPr>
            </w:pPr>
          </w:p>
        </w:tc>
        <w:tc>
          <w:tcPr>
            <w:tcW w:w="1640" w:type="dxa"/>
            <w:vAlign w:val="bottom"/>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1040" w:type="dxa"/>
            <w:vAlign w:val="bottom"/>
            <w:tcBorders>
              <w:left w:val="single" w:sz="8" w:color="0000EE"/>
            </w:tcBorders>
            <w:shd w:val="clear" w:color="auto" w:fill="0000EE"/>
          </w:tcPr>
          <w:p>
            <w:pPr>
              <w:spacing w:after="0" w:line="20" w:lineRule="exact"/>
              <w:rPr>
                <w:sz w:val="1"/>
                <w:szCs w:val="1"/>
                <w:color w:val="auto"/>
              </w:rPr>
            </w:pPr>
          </w:p>
        </w:tc>
        <w:tc>
          <w:tcPr>
            <w:tcW w:w="1060" w:type="dxa"/>
            <w:vAlign w:val="bottom"/>
            <w:gridSpan w:val="2"/>
            <w:shd w:val="clear" w:color="auto" w:fill="0000EE"/>
          </w:tcPr>
          <w:p>
            <w:pPr>
              <w:spacing w:after="0" w:line="20" w:lineRule="exact"/>
              <w:rPr>
                <w:sz w:val="1"/>
                <w:szCs w:val="1"/>
                <w:color w:val="auto"/>
              </w:rPr>
            </w:pPr>
          </w:p>
        </w:tc>
        <w:tc>
          <w:tcPr>
            <w:tcW w:w="1380" w:type="dxa"/>
            <w:vAlign w:val="bottom"/>
            <w:tcBorders>
              <w:left w:val="single" w:sz="8" w:color="0000EE"/>
            </w:tcBorders>
            <w:shd w:val="clear" w:color="auto" w:fill="0000EE"/>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r>
      <w:tr>
        <w:trPr>
          <w:trHeight w:val="262"/>
        </w:trPr>
        <w:tc>
          <w:tcPr>
            <w:tcW w:w="5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8620" w:type="dxa"/>
            <w:vAlign w:val="bottom"/>
            <w:tcBorders>
              <w:bottom w:val="single" w:sz="8" w:color="0000EE"/>
            </w:tcBorders>
            <w:gridSpan w:val="16"/>
          </w:tcPr>
          <w:p>
            <w:pPr>
              <w:spacing w:after="0"/>
              <w:rPr>
                <w:rFonts w:ascii="Arial" w:cs="Arial" w:eastAsia="Arial" w:hAnsi="Arial"/>
                <w:sz w:val="18"/>
                <w:szCs w:val="18"/>
                <w:color w:val="0000EE"/>
                <w:w w:val="89"/>
              </w:rPr>
            </w:pPr>
            <w:hyperlink w:anchor="page5">
              <w:r>
                <w:rPr>
                  <w:rFonts w:ascii="Arial" w:cs="Arial" w:eastAsia="Arial" w:hAnsi="Arial"/>
                  <w:sz w:val="18"/>
                  <w:szCs w:val="18"/>
                  <w:color w:val="0000EE"/>
                  <w:w w:val="89"/>
                </w:rPr>
                <w:t>Condensed Consolidated Statements of Comprehensive Income (Loss) for the Three Months Ended March 31, 2018 and</w:t>
              </w:r>
            </w:hyperlink>
          </w:p>
        </w:tc>
      </w:tr>
      <w:tr>
        <w:trPr>
          <w:trHeight w:val="195"/>
        </w:trPr>
        <w:tc>
          <w:tcPr>
            <w:tcW w:w="5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460" w:type="dxa"/>
            <w:vAlign w:val="bottom"/>
          </w:tcPr>
          <w:p>
            <w:pPr>
              <w:spacing w:after="0"/>
              <w:rPr>
                <w:sz w:val="16"/>
                <w:szCs w:val="16"/>
                <w:color w:val="auto"/>
              </w:rPr>
            </w:pPr>
          </w:p>
        </w:tc>
        <w:tc>
          <w:tcPr>
            <w:tcW w:w="940" w:type="dxa"/>
            <w:vAlign w:val="bottom"/>
            <w:gridSpan w:val="3"/>
          </w:tcPr>
          <w:p>
            <w:pPr>
              <w:ind w:left="580"/>
              <w:spacing w:after="0" w:line="195" w:lineRule="exact"/>
              <w:rPr>
                <w:rFonts w:ascii="Arial" w:cs="Arial" w:eastAsia="Arial" w:hAnsi="Arial"/>
                <w:sz w:val="18"/>
                <w:szCs w:val="18"/>
                <w:color w:val="0000EE"/>
                <w:w w:val="84"/>
              </w:rPr>
            </w:pPr>
            <w:hyperlink w:anchor="page5">
              <w:r>
                <w:rPr>
                  <w:rFonts w:ascii="Arial" w:cs="Arial" w:eastAsia="Arial" w:hAnsi="Arial"/>
                  <w:sz w:val="18"/>
                  <w:szCs w:val="18"/>
                  <w:color w:val="0000EE"/>
                  <w:w w:val="84"/>
                </w:rPr>
                <w:t>2017</w:t>
              </w:r>
            </w:hyperlink>
          </w:p>
        </w:tc>
        <w:tc>
          <w:tcPr>
            <w:tcW w:w="2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4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6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13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960" w:type="dxa"/>
            <w:vAlign w:val="bottom"/>
          </w:tcPr>
          <w:p>
            <w:pPr>
              <w:spacing w:after="0"/>
              <w:rPr>
                <w:sz w:val="16"/>
                <w:szCs w:val="16"/>
                <w:color w:val="auto"/>
              </w:rPr>
            </w:pPr>
          </w:p>
        </w:tc>
      </w:tr>
      <w:tr>
        <w:trPr>
          <w:trHeight w:val="20"/>
        </w:trPr>
        <w:tc>
          <w:tcPr>
            <w:tcW w:w="5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60" w:type="dxa"/>
            <w:vAlign w:val="bottom"/>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440" w:type="dxa"/>
            <w:vAlign w:val="bottom"/>
            <w:gridSpan w:val="2"/>
          </w:tcPr>
          <w:p>
            <w:pPr>
              <w:spacing w:after="0" w:line="20" w:lineRule="exact"/>
              <w:rPr>
                <w:sz w:val="1"/>
                <w:szCs w:val="1"/>
                <w:color w:val="auto"/>
              </w:rPr>
            </w:pPr>
          </w:p>
        </w:tc>
        <w:tc>
          <w:tcPr>
            <w:tcW w:w="800" w:type="dxa"/>
            <w:vAlign w:val="bottom"/>
            <w:gridSpan w:val="2"/>
          </w:tcPr>
          <w:p>
            <w:pPr>
              <w:spacing w:after="0" w:line="20" w:lineRule="exact"/>
              <w:rPr>
                <w:sz w:val="1"/>
                <w:szCs w:val="1"/>
                <w:color w:val="auto"/>
              </w:rPr>
            </w:pPr>
          </w:p>
        </w:tc>
        <w:tc>
          <w:tcPr>
            <w:tcW w:w="16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40" w:type="dxa"/>
            <w:vAlign w:val="bottom"/>
          </w:tcPr>
          <w:p>
            <w:pPr>
              <w:spacing w:after="0" w:line="20" w:lineRule="exact"/>
              <w:rPr>
                <w:sz w:val="1"/>
                <w:szCs w:val="1"/>
                <w:color w:val="auto"/>
              </w:rPr>
            </w:pPr>
          </w:p>
        </w:tc>
        <w:tc>
          <w:tcPr>
            <w:tcW w:w="1060" w:type="dxa"/>
            <w:vAlign w:val="bottom"/>
            <w:gridSpan w:val="2"/>
          </w:tcPr>
          <w:p>
            <w:pPr>
              <w:spacing w:after="0" w:line="20" w:lineRule="exact"/>
              <w:rPr>
                <w:sz w:val="1"/>
                <w:szCs w:val="1"/>
                <w:color w:val="auto"/>
              </w:rPr>
            </w:pPr>
          </w:p>
        </w:tc>
        <w:tc>
          <w:tcPr>
            <w:tcW w:w="1440" w:type="dxa"/>
            <w:vAlign w:val="bottom"/>
            <w:gridSpan w:val="2"/>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r>
      <w:tr>
        <w:trPr>
          <w:trHeight w:val="491"/>
        </w:trPr>
        <w:tc>
          <w:tcPr>
            <w:tcW w:w="5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7660" w:type="dxa"/>
            <w:vAlign w:val="bottom"/>
            <w:tcBorders>
              <w:bottom w:val="single" w:sz="8" w:color="0000EE"/>
            </w:tcBorders>
            <w:gridSpan w:val="15"/>
          </w:tcPr>
          <w:p>
            <w:pPr>
              <w:spacing w:after="0"/>
              <w:rPr>
                <w:rFonts w:ascii="Arial" w:cs="Arial" w:eastAsia="Arial" w:hAnsi="Arial"/>
                <w:sz w:val="18"/>
                <w:szCs w:val="18"/>
                <w:color w:val="0000EE"/>
                <w:w w:val="89"/>
              </w:rPr>
            </w:pPr>
            <w:hyperlink w:anchor="page6">
              <w:r>
                <w:rPr>
                  <w:rFonts w:ascii="Arial" w:cs="Arial" w:eastAsia="Arial" w:hAnsi="Arial"/>
                  <w:sz w:val="18"/>
                  <w:szCs w:val="18"/>
                  <w:color w:val="0000EE"/>
                  <w:w w:val="89"/>
                </w:rPr>
                <w:t>Condensed Consolidated Statements of Cash Flows for the Three Months Ended March 31, 2018 and 2017</w:t>
              </w:r>
            </w:hyperlink>
          </w:p>
        </w:tc>
        <w:tc>
          <w:tcPr>
            <w:tcW w:w="960" w:type="dxa"/>
            <w:vAlign w:val="bottom"/>
          </w:tcPr>
          <w:p>
            <w:pPr>
              <w:spacing w:after="0"/>
              <w:rPr>
                <w:sz w:val="24"/>
                <w:szCs w:val="24"/>
                <w:color w:val="auto"/>
              </w:rPr>
            </w:pPr>
          </w:p>
        </w:tc>
      </w:tr>
      <w:tr>
        <w:trPr>
          <w:trHeight w:val="262"/>
        </w:trPr>
        <w:tc>
          <w:tcPr>
            <w:tcW w:w="5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3980" w:type="dxa"/>
            <w:vAlign w:val="bottom"/>
            <w:tcBorders>
              <w:bottom w:val="single" w:sz="8" w:color="0000EE"/>
            </w:tcBorders>
            <w:gridSpan w:val="9"/>
          </w:tcPr>
          <w:p>
            <w:pPr>
              <w:spacing w:after="0"/>
              <w:rPr>
                <w:rFonts w:ascii="Arial" w:cs="Arial" w:eastAsia="Arial" w:hAnsi="Arial"/>
                <w:sz w:val="18"/>
                <w:szCs w:val="18"/>
                <w:color w:val="0000EE"/>
                <w:w w:val="88"/>
              </w:rPr>
            </w:pPr>
            <w:hyperlink w:anchor="page7">
              <w:r>
                <w:rPr>
                  <w:rFonts w:ascii="Arial" w:cs="Arial" w:eastAsia="Arial" w:hAnsi="Arial"/>
                  <w:sz w:val="18"/>
                  <w:szCs w:val="18"/>
                  <w:color w:val="0000EE"/>
                  <w:w w:val="88"/>
                </w:rPr>
                <w:t>Notes to Condensed Consolidated Financial Statements</w:t>
              </w:r>
            </w:hyperlink>
          </w:p>
        </w:tc>
        <w:tc>
          <w:tcPr>
            <w:tcW w:w="4640" w:type="dxa"/>
            <w:vAlign w:val="bottom"/>
            <w:gridSpan w:val="7"/>
          </w:tcPr>
          <w:p>
            <w:pPr>
              <w:spacing w:after="0"/>
              <w:rPr>
                <w:sz w:val="22"/>
                <w:szCs w:val="22"/>
                <w:color w:val="auto"/>
              </w:rPr>
            </w:pPr>
          </w:p>
        </w:tc>
      </w:tr>
      <w:tr>
        <w:trPr>
          <w:trHeight w:val="262"/>
        </w:trPr>
        <w:tc>
          <w:tcPr>
            <w:tcW w:w="1100" w:type="dxa"/>
            <w:vAlign w:val="bottom"/>
            <w:gridSpan w:val="3"/>
          </w:tcPr>
          <w:p>
            <w:pPr>
              <w:spacing w:after="0"/>
              <w:rPr>
                <w:rFonts w:ascii="Arial" w:cs="Arial" w:eastAsia="Arial" w:hAnsi="Arial"/>
                <w:sz w:val="18"/>
                <w:szCs w:val="18"/>
                <w:color w:val="0000EE"/>
              </w:rPr>
            </w:pPr>
            <w:hyperlink w:anchor="page30">
              <w:r>
                <w:rPr>
                  <w:rFonts w:ascii="Arial" w:cs="Arial" w:eastAsia="Arial" w:hAnsi="Arial"/>
                  <w:sz w:val="18"/>
                  <w:szCs w:val="18"/>
                  <w:color w:val="0000EE"/>
                </w:rPr>
                <w:t>Item 2.</w:t>
              </w:r>
            </w:hyperlink>
          </w:p>
        </w:tc>
        <w:tc>
          <w:tcPr>
            <w:tcW w:w="9200" w:type="dxa"/>
            <w:vAlign w:val="bottom"/>
            <w:gridSpan w:val="18"/>
          </w:tcPr>
          <w:p>
            <w:pPr>
              <w:ind w:left="360"/>
              <w:spacing w:after="0"/>
              <w:rPr>
                <w:rFonts w:ascii="Arial" w:cs="Arial" w:eastAsia="Arial" w:hAnsi="Arial"/>
                <w:sz w:val="18"/>
                <w:szCs w:val="18"/>
                <w:color w:val="0000EE"/>
              </w:rPr>
            </w:pPr>
            <w:hyperlink w:anchor="page30">
              <w:r>
                <w:rPr>
                  <w:rFonts w:ascii="Arial" w:cs="Arial" w:eastAsia="Arial" w:hAnsi="Arial"/>
                  <w:sz w:val="18"/>
                  <w:szCs w:val="18"/>
                  <w:color w:val="0000EE"/>
                </w:rPr>
                <w:t>Management’s Discussion and Analysis of Financial Condition and Results of Operations</w:t>
              </w:r>
            </w:hyperlink>
          </w:p>
        </w:tc>
      </w:tr>
      <w:tr>
        <w:trPr>
          <w:trHeight w:val="20"/>
        </w:trPr>
        <w:tc>
          <w:tcPr>
            <w:tcW w:w="500" w:type="dxa"/>
            <w:vAlign w:val="bottom"/>
            <w:shd w:val="clear" w:color="auto" w:fill="0000EE"/>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36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260" w:type="dxa"/>
            <w:vAlign w:val="bottom"/>
            <w:shd w:val="clear" w:color="auto" w:fill="0000EE"/>
          </w:tcPr>
          <w:p>
            <w:pPr>
              <w:spacing w:after="0" w:line="20" w:lineRule="exact"/>
              <w:rPr>
                <w:sz w:val="1"/>
                <w:szCs w:val="1"/>
                <w:color w:val="auto"/>
              </w:rPr>
            </w:pPr>
          </w:p>
        </w:tc>
        <w:tc>
          <w:tcPr>
            <w:tcW w:w="660" w:type="dxa"/>
            <w:vAlign w:val="bottom"/>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1640" w:type="dxa"/>
            <w:vAlign w:val="bottom"/>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1040" w:type="dxa"/>
            <w:vAlign w:val="bottom"/>
            <w:tcBorders>
              <w:left w:val="single" w:sz="8" w:color="0000EE"/>
            </w:tcBorders>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900" w:type="dxa"/>
            <w:vAlign w:val="bottom"/>
            <w:shd w:val="clear" w:color="auto" w:fill="0000EE"/>
          </w:tcPr>
          <w:p>
            <w:pPr>
              <w:spacing w:after="0" w:line="20" w:lineRule="exact"/>
              <w:rPr>
                <w:sz w:val="1"/>
                <w:szCs w:val="1"/>
                <w:color w:val="auto"/>
              </w:rPr>
            </w:pPr>
          </w:p>
        </w:tc>
        <w:tc>
          <w:tcPr>
            <w:tcW w:w="13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r>
      <w:tr>
        <w:trPr>
          <w:trHeight w:val="262"/>
        </w:trPr>
        <w:tc>
          <w:tcPr>
            <w:tcW w:w="1100" w:type="dxa"/>
            <w:vAlign w:val="bottom"/>
            <w:gridSpan w:val="3"/>
          </w:tcPr>
          <w:p>
            <w:pPr>
              <w:spacing w:after="0"/>
              <w:rPr>
                <w:rFonts w:ascii="Arial" w:cs="Arial" w:eastAsia="Arial" w:hAnsi="Arial"/>
                <w:sz w:val="18"/>
                <w:szCs w:val="18"/>
                <w:color w:val="0000EE"/>
              </w:rPr>
            </w:pPr>
            <w:hyperlink w:anchor="page40">
              <w:r>
                <w:rPr>
                  <w:rFonts w:ascii="Arial" w:cs="Arial" w:eastAsia="Arial" w:hAnsi="Arial"/>
                  <w:sz w:val="18"/>
                  <w:szCs w:val="18"/>
                  <w:color w:val="0000EE"/>
                </w:rPr>
                <w:t>Item 3.</w:t>
              </w:r>
            </w:hyperlink>
          </w:p>
        </w:tc>
        <w:tc>
          <w:tcPr>
            <w:tcW w:w="9200" w:type="dxa"/>
            <w:vAlign w:val="bottom"/>
            <w:gridSpan w:val="18"/>
          </w:tcPr>
          <w:p>
            <w:pPr>
              <w:ind w:left="360"/>
              <w:spacing w:after="0"/>
              <w:rPr>
                <w:rFonts w:ascii="Arial" w:cs="Arial" w:eastAsia="Arial" w:hAnsi="Arial"/>
                <w:sz w:val="18"/>
                <w:szCs w:val="18"/>
                <w:color w:val="0000EE"/>
              </w:rPr>
            </w:pPr>
            <w:hyperlink w:anchor="page40">
              <w:r>
                <w:rPr>
                  <w:rFonts w:ascii="Arial" w:cs="Arial" w:eastAsia="Arial" w:hAnsi="Arial"/>
                  <w:sz w:val="18"/>
                  <w:szCs w:val="18"/>
                  <w:color w:val="0000EE"/>
                </w:rPr>
                <w:t>Quantitative and Qualitative Disclosures About Market Risk</w:t>
              </w:r>
            </w:hyperlink>
          </w:p>
        </w:tc>
      </w:tr>
      <w:tr>
        <w:trPr>
          <w:trHeight w:val="20"/>
        </w:trPr>
        <w:tc>
          <w:tcPr>
            <w:tcW w:w="500" w:type="dxa"/>
            <w:vAlign w:val="bottom"/>
            <w:shd w:val="clear" w:color="auto" w:fill="0000EE"/>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600" w:type="dxa"/>
            <w:vAlign w:val="bottom"/>
            <w:gridSpan w:val="3"/>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440" w:type="dxa"/>
            <w:vAlign w:val="bottom"/>
            <w:gridSpan w:val="2"/>
            <w:shd w:val="clear" w:color="auto" w:fill="0000EE"/>
          </w:tcPr>
          <w:p>
            <w:pPr>
              <w:spacing w:after="0" w:line="20" w:lineRule="exact"/>
              <w:rPr>
                <w:sz w:val="1"/>
                <w:szCs w:val="1"/>
                <w:color w:val="auto"/>
              </w:rPr>
            </w:pPr>
          </w:p>
        </w:tc>
        <w:tc>
          <w:tcPr>
            <w:tcW w:w="800" w:type="dxa"/>
            <w:vAlign w:val="bottom"/>
            <w:gridSpan w:val="2"/>
            <w:shd w:val="clear" w:color="auto" w:fill="0000EE"/>
          </w:tcPr>
          <w:p>
            <w:pPr>
              <w:spacing w:after="0" w:line="20" w:lineRule="exact"/>
              <w:rPr>
                <w:sz w:val="1"/>
                <w:szCs w:val="1"/>
                <w:color w:val="auto"/>
              </w:rPr>
            </w:pPr>
          </w:p>
        </w:tc>
        <w:tc>
          <w:tcPr>
            <w:tcW w:w="1780" w:type="dxa"/>
            <w:vAlign w:val="bottom"/>
            <w:gridSpan w:val="2"/>
            <w:shd w:val="clear" w:color="auto" w:fill="0000EE"/>
          </w:tcPr>
          <w:p>
            <w:pPr>
              <w:spacing w:after="0" w:line="20" w:lineRule="exact"/>
              <w:rPr>
                <w:sz w:val="1"/>
                <w:szCs w:val="1"/>
                <w:color w:val="auto"/>
              </w:rPr>
            </w:pPr>
          </w:p>
        </w:tc>
        <w:tc>
          <w:tcPr>
            <w:tcW w:w="1040" w:type="dxa"/>
            <w:vAlign w:val="bottom"/>
            <w:tcBorders>
              <w:left w:val="single" w:sz="8" w:color="0000EE"/>
            </w:tcBorders>
          </w:tcPr>
          <w:p>
            <w:pPr>
              <w:spacing w:after="0" w:line="20" w:lineRule="exact"/>
              <w:rPr>
                <w:sz w:val="1"/>
                <w:szCs w:val="1"/>
                <w:color w:val="auto"/>
              </w:rPr>
            </w:pPr>
          </w:p>
        </w:tc>
        <w:tc>
          <w:tcPr>
            <w:tcW w:w="3460" w:type="dxa"/>
            <w:vAlign w:val="bottom"/>
            <w:gridSpan w:val="5"/>
          </w:tcPr>
          <w:p>
            <w:pPr>
              <w:spacing w:after="0" w:line="20" w:lineRule="exact"/>
              <w:rPr>
                <w:sz w:val="1"/>
                <w:szCs w:val="1"/>
                <w:color w:val="auto"/>
              </w:rPr>
            </w:pPr>
          </w:p>
        </w:tc>
      </w:tr>
      <w:tr>
        <w:trPr>
          <w:trHeight w:val="262"/>
        </w:trPr>
        <w:tc>
          <w:tcPr>
            <w:tcW w:w="1100" w:type="dxa"/>
            <w:vAlign w:val="bottom"/>
            <w:gridSpan w:val="3"/>
          </w:tcPr>
          <w:p>
            <w:pPr>
              <w:spacing w:after="0"/>
              <w:rPr>
                <w:rFonts w:ascii="Arial" w:cs="Arial" w:eastAsia="Arial" w:hAnsi="Arial"/>
                <w:sz w:val="18"/>
                <w:szCs w:val="18"/>
                <w:color w:val="0000EE"/>
              </w:rPr>
            </w:pPr>
            <w:hyperlink w:anchor="page40">
              <w:r>
                <w:rPr>
                  <w:rFonts w:ascii="Arial" w:cs="Arial" w:eastAsia="Arial" w:hAnsi="Arial"/>
                  <w:sz w:val="18"/>
                  <w:szCs w:val="18"/>
                  <w:color w:val="0000EE"/>
                </w:rPr>
                <w:t>Item 4.</w:t>
              </w:r>
            </w:hyperlink>
          </w:p>
        </w:tc>
        <w:tc>
          <w:tcPr>
            <w:tcW w:w="9200" w:type="dxa"/>
            <w:vAlign w:val="bottom"/>
            <w:gridSpan w:val="18"/>
          </w:tcPr>
          <w:p>
            <w:pPr>
              <w:ind w:left="360"/>
              <w:spacing w:after="0"/>
              <w:rPr>
                <w:rFonts w:ascii="Arial" w:cs="Arial" w:eastAsia="Arial" w:hAnsi="Arial"/>
                <w:sz w:val="18"/>
                <w:szCs w:val="18"/>
                <w:color w:val="0000EE"/>
              </w:rPr>
            </w:pPr>
            <w:hyperlink w:anchor="page40">
              <w:r>
                <w:rPr>
                  <w:rFonts w:ascii="Arial" w:cs="Arial" w:eastAsia="Arial" w:hAnsi="Arial"/>
                  <w:sz w:val="18"/>
                  <w:szCs w:val="18"/>
                  <w:color w:val="0000EE"/>
                </w:rPr>
                <w:t>Controls and Procedures</w:t>
              </w:r>
            </w:hyperlink>
          </w:p>
        </w:tc>
      </w:tr>
      <w:tr>
        <w:trPr>
          <w:trHeight w:val="262"/>
        </w:trPr>
        <w:tc>
          <w:tcPr>
            <w:tcW w:w="500" w:type="dxa"/>
            <w:vAlign w:val="bottom"/>
            <w:tcBorders>
              <w:top w:val="single" w:sz="8" w:color="0000EE"/>
            </w:tcBorders>
          </w:tcPr>
          <w:p>
            <w:pPr>
              <w:spacing w:after="0"/>
              <w:rPr>
                <w:sz w:val="22"/>
                <w:szCs w:val="22"/>
                <w:color w:val="auto"/>
              </w:rPr>
            </w:pPr>
          </w:p>
        </w:tc>
        <w:tc>
          <w:tcPr>
            <w:tcW w:w="14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220" w:type="dxa"/>
            <w:vAlign w:val="bottom"/>
            <w:tcBorders>
              <w:top w:val="single" w:sz="8" w:color="0000EE"/>
            </w:tcBorders>
          </w:tcPr>
          <w:p>
            <w:pPr>
              <w:spacing w:after="0"/>
              <w:rPr>
                <w:sz w:val="22"/>
                <w:szCs w:val="22"/>
                <w:color w:val="auto"/>
              </w:rPr>
            </w:pPr>
          </w:p>
        </w:tc>
        <w:tc>
          <w:tcPr>
            <w:tcW w:w="360" w:type="dxa"/>
            <w:vAlign w:val="bottom"/>
            <w:tcBorders>
              <w:top w:val="single" w:sz="8" w:color="0000EE"/>
            </w:tcBorders>
          </w:tcPr>
          <w:p>
            <w:pPr>
              <w:spacing w:after="0"/>
              <w:rPr>
                <w:sz w:val="22"/>
                <w:szCs w:val="22"/>
                <w:color w:val="auto"/>
              </w:rPr>
            </w:pPr>
          </w:p>
        </w:tc>
        <w:tc>
          <w:tcPr>
            <w:tcW w:w="20" w:type="dxa"/>
            <w:vAlign w:val="bottom"/>
            <w:tcBorders>
              <w:top w:val="single" w:sz="8" w:color="0000EE"/>
            </w:tcBorders>
          </w:tcPr>
          <w:p>
            <w:pPr>
              <w:spacing w:after="0"/>
              <w:rPr>
                <w:sz w:val="22"/>
                <w:szCs w:val="22"/>
                <w:color w:val="auto"/>
              </w:rPr>
            </w:pPr>
          </w:p>
        </w:tc>
        <w:tc>
          <w:tcPr>
            <w:tcW w:w="300" w:type="dxa"/>
            <w:vAlign w:val="bottom"/>
            <w:tcBorders>
              <w:top w:val="single" w:sz="8" w:color="0000EE"/>
            </w:tcBorders>
          </w:tcPr>
          <w:p>
            <w:pPr>
              <w:spacing w:after="0"/>
              <w:rPr>
                <w:sz w:val="22"/>
                <w:szCs w:val="22"/>
                <w:color w:val="auto"/>
              </w:rPr>
            </w:pPr>
          </w:p>
        </w:tc>
        <w:tc>
          <w:tcPr>
            <w:tcW w:w="420" w:type="dxa"/>
            <w:vAlign w:val="bottom"/>
            <w:tcBorders>
              <w:top w:val="single" w:sz="8" w:color="0000EE"/>
            </w:tcBorders>
          </w:tcPr>
          <w:p>
            <w:pPr>
              <w:spacing w:after="0"/>
              <w:rPr>
                <w:sz w:val="22"/>
                <w:szCs w:val="22"/>
                <w:color w:val="auto"/>
              </w:rPr>
            </w:pPr>
          </w:p>
        </w:tc>
        <w:tc>
          <w:tcPr>
            <w:tcW w:w="180" w:type="dxa"/>
            <w:vAlign w:val="bottom"/>
            <w:tcBorders>
              <w:top w:val="single" w:sz="8" w:color="0000EE"/>
            </w:tcBorders>
          </w:tcPr>
          <w:p>
            <w:pPr>
              <w:spacing w:after="0"/>
              <w:rPr>
                <w:sz w:val="22"/>
                <w:szCs w:val="22"/>
                <w:color w:val="auto"/>
              </w:rPr>
            </w:pPr>
          </w:p>
        </w:tc>
        <w:tc>
          <w:tcPr>
            <w:tcW w:w="260" w:type="dxa"/>
            <w:vAlign w:val="bottom"/>
            <w:tcBorders>
              <w:top w:val="single" w:sz="8" w:color="0000EE"/>
            </w:tcBorders>
          </w:tcPr>
          <w:p>
            <w:pPr>
              <w:spacing w:after="0"/>
              <w:rPr>
                <w:sz w:val="22"/>
                <w:szCs w:val="22"/>
                <w:color w:val="auto"/>
              </w:rPr>
            </w:pPr>
          </w:p>
        </w:tc>
        <w:tc>
          <w:tcPr>
            <w:tcW w:w="66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6280" w:type="dxa"/>
            <w:vAlign w:val="bottom"/>
            <w:gridSpan w:val="8"/>
          </w:tcPr>
          <w:p>
            <w:pPr>
              <w:jc w:val="center"/>
              <w:ind w:right="3460"/>
              <w:spacing w:after="0"/>
              <w:rPr>
                <w:rFonts w:ascii="Arial" w:cs="Arial" w:eastAsia="Arial" w:hAnsi="Arial"/>
                <w:sz w:val="18"/>
                <w:szCs w:val="18"/>
                <w:b w:val="1"/>
                <w:bCs w:val="1"/>
                <w:color w:val="0000EE"/>
              </w:rPr>
            </w:pPr>
            <w:hyperlink w:anchor="page41">
              <w:r>
                <w:rPr>
                  <w:rFonts w:ascii="Arial" w:cs="Arial" w:eastAsia="Arial" w:hAnsi="Arial"/>
                  <w:sz w:val="18"/>
                  <w:szCs w:val="18"/>
                  <w:b w:val="1"/>
                  <w:bCs w:val="1"/>
                  <w:color w:val="0000EE"/>
                </w:rPr>
                <w:t>PART II - OTHER INFORMATION</w:t>
              </w:r>
            </w:hyperlink>
          </w:p>
        </w:tc>
      </w:tr>
      <w:tr>
        <w:trPr>
          <w:trHeight w:val="262"/>
        </w:trPr>
        <w:tc>
          <w:tcPr>
            <w:tcW w:w="1100" w:type="dxa"/>
            <w:vAlign w:val="bottom"/>
            <w:gridSpan w:val="3"/>
          </w:tcPr>
          <w:p>
            <w:pPr>
              <w:spacing w:after="0"/>
              <w:rPr>
                <w:rFonts w:ascii="Arial" w:cs="Arial" w:eastAsia="Arial" w:hAnsi="Arial"/>
                <w:sz w:val="18"/>
                <w:szCs w:val="18"/>
                <w:color w:val="0000EE"/>
              </w:rPr>
            </w:pPr>
            <w:hyperlink w:anchor="page41">
              <w:r>
                <w:rPr>
                  <w:rFonts w:ascii="Arial" w:cs="Arial" w:eastAsia="Arial" w:hAnsi="Arial"/>
                  <w:sz w:val="18"/>
                  <w:szCs w:val="18"/>
                  <w:color w:val="0000EE"/>
                </w:rPr>
                <w:t>Item 1.</w:t>
              </w:r>
            </w:hyperlink>
          </w:p>
        </w:tc>
        <w:tc>
          <w:tcPr>
            <w:tcW w:w="2920" w:type="dxa"/>
            <w:vAlign w:val="bottom"/>
            <w:gridSpan w:val="10"/>
          </w:tcPr>
          <w:p>
            <w:pPr>
              <w:ind w:left="360"/>
              <w:spacing w:after="0"/>
              <w:rPr>
                <w:rFonts w:ascii="Arial" w:cs="Arial" w:eastAsia="Arial" w:hAnsi="Arial"/>
                <w:sz w:val="18"/>
                <w:szCs w:val="18"/>
                <w:color w:val="0000EE"/>
              </w:rPr>
            </w:pPr>
            <w:hyperlink w:anchor="page41">
              <w:r>
                <w:rPr>
                  <w:rFonts w:ascii="Arial" w:cs="Arial" w:eastAsia="Arial" w:hAnsi="Arial"/>
                  <w:sz w:val="18"/>
                  <w:szCs w:val="18"/>
                  <w:color w:val="0000EE"/>
                </w:rPr>
                <w:t>Legal Proceedings</w:t>
              </w:r>
            </w:hyperlink>
          </w:p>
        </w:tc>
        <w:tc>
          <w:tcPr>
            <w:tcW w:w="2820" w:type="dxa"/>
            <w:vAlign w:val="bottom"/>
            <w:tcBorders>
              <w:top w:val="single" w:sz="8" w:color="0000EE"/>
            </w:tcBorders>
            <w:gridSpan w:val="3"/>
          </w:tcPr>
          <w:p>
            <w:pPr>
              <w:spacing w:after="0"/>
              <w:rPr>
                <w:sz w:val="22"/>
                <w:szCs w:val="22"/>
                <w:color w:val="auto"/>
              </w:rPr>
            </w:pPr>
          </w:p>
        </w:tc>
        <w:tc>
          <w:tcPr>
            <w:tcW w:w="3460" w:type="dxa"/>
            <w:vAlign w:val="bottom"/>
            <w:gridSpan w:val="5"/>
          </w:tcPr>
          <w:p>
            <w:pPr>
              <w:spacing w:after="0"/>
              <w:rPr>
                <w:sz w:val="22"/>
                <w:szCs w:val="22"/>
                <w:color w:val="auto"/>
              </w:rPr>
            </w:pPr>
          </w:p>
        </w:tc>
      </w:tr>
      <w:tr>
        <w:trPr>
          <w:trHeight w:val="20"/>
        </w:trPr>
        <w:tc>
          <w:tcPr>
            <w:tcW w:w="500" w:type="dxa"/>
            <w:vAlign w:val="bottom"/>
            <w:shd w:val="clear" w:color="auto" w:fill="0000EE"/>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36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6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13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r>
      <w:tr>
        <w:trPr>
          <w:trHeight w:val="262"/>
        </w:trPr>
        <w:tc>
          <w:tcPr>
            <w:tcW w:w="640" w:type="dxa"/>
            <w:vAlign w:val="bottom"/>
            <w:gridSpan w:val="2"/>
          </w:tcPr>
          <w:p>
            <w:pPr>
              <w:spacing w:after="0"/>
              <w:rPr>
                <w:rFonts w:ascii="Arial" w:cs="Arial" w:eastAsia="Arial" w:hAnsi="Arial"/>
                <w:sz w:val="18"/>
                <w:szCs w:val="18"/>
                <w:color w:val="0000EE"/>
                <w:w w:val="92"/>
              </w:rPr>
            </w:pPr>
            <w:hyperlink w:anchor="page41">
              <w:r>
                <w:rPr>
                  <w:rFonts w:ascii="Arial" w:cs="Arial" w:eastAsia="Arial" w:hAnsi="Arial"/>
                  <w:sz w:val="18"/>
                  <w:szCs w:val="18"/>
                  <w:color w:val="0000EE"/>
                  <w:w w:val="92"/>
                </w:rPr>
                <w:t>Item 1A.</w:t>
              </w:r>
            </w:hyperlink>
          </w:p>
        </w:tc>
        <w:tc>
          <w:tcPr>
            <w:tcW w:w="46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8840" w:type="dxa"/>
            <w:vAlign w:val="bottom"/>
            <w:gridSpan w:val="17"/>
          </w:tcPr>
          <w:p>
            <w:pPr>
              <w:spacing w:after="0"/>
              <w:rPr>
                <w:rFonts w:ascii="Arial" w:cs="Arial" w:eastAsia="Arial" w:hAnsi="Arial"/>
                <w:sz w:val="18"/>
                <w:szCs w:val="18"/>
                <w:color w:val="0000EE"/>
              </w:rPr>
            </w:pPr>
            <w:hyperlink w:anchor="page41">
              <w:r>
                <w:rPr>
                  <w:rFonts w:ascii="Arial" w:cs="Arial" w:eastAsia="Arial" w:hAnsi="Arial"/>
                  <w:sz w:val="18"/>
                  <w:szCs w:val="18"/>
                  <w:color w:val="0000EE"/>
                </w:rPr>
                <w:t>Risk Factors</w:t>
              </w:r>
            </w:hyperlink>
          </w:p>
        </w:tc>
      </w:tr>
      <w:tr>
        <w:trPr>
          <w:trHeight w:val="20"/>
        </w:trPr>
        <w:tc>
          <w:tcPr>
            <w:tcW w:w="640" w:type="dxa"/>
            <w:vAlign w:val="bottom"/>
            <w:gridSpan w:val="2"/>
            <w:shd w:val="clear" w:color="auto" w:fill="0000EE"/>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600" w:type="dxa"/>
            <w:vAlign w:val="bottom"/>
            <w:gridSpan w:val="3"/>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3440" w:type="dxa"/>
            <w:vAlign w:val="bottom"/>
            <w:gridSpan w:val="7"/>
          </w:tcPr>
          <w:p>
            <w:pPr>
              <w:spacing w:after="0" w:line="20" w:lineRule="exact"/>
              <w:rPr>
                <w:sz w:val="1"/>
                <w:szCs w:val="1"/>
                <w:color w:val="auto"/>
              </w:rPr>
            </w:pPr>
          </w:p>
        </w:tc>
        <w:tc>
          <w:tcPr>
            <w:tcW w:w="4500" w:type="dxa"/>
            <w:vAlign w:val="bottom"/>
            <w:gridSpan w:val="6"/>
          </w:tcPr>
          <w:p>
            <w:pPr>
              <w:spacing w:after="0" w:line="20" w:lineRule="exact"/>
              <w:rPr>
                <w:sz w:val="1"/>
                <w:szCs w:val="1"/>
                <w:color w:val="auto"/>
              </w:rPr>
            </w:pPr>
          </w:p>
        </w:tc>
      </w:tr>
      <w:tr>
        <w:trPr>
          <w:trHeight w:val="262"/>
        </w:trPr>
        <w:tc>
          <w:tcPr>
            <w:tcW w:w="640" w:type="dxa"/>
            <w:vAlign w:val="bottom"/>
            <w:gridSpan w:val="2"/>
          </w:tcPr>
          <w:p>
            <w:pPr>
              <w:spacing w:after="0"/>
              <w:rPr>
                <w:rFonts w:ascii="Arial" w:cs="Arial" w:eastAsia="Arial" w:hAnsi="Arial"/>
                <w:sz w:val="18"/>
                <w:szCs w:val="18"/>
                <w:color w:val="0000EE"/>
              </w:rPr>
            </w:pPr>
            <w:hyperlink w:anchor="page41">
              <w:r>
                <w:rPr>
                  <w:rFonts w:ascii="Arial" w:cs="Arial" w:eastAsia="Arial" w:hAnsi="Arial"/>
                  <w:sz w:val="18"/>
                  <w:szCs w:val="18"/>
                  <w:color w:val="0000EE"/>
                </w:rPr>
                <w:t>Item 2.</w:t>
              </w:r>
            </w:hyperlink>
          </w:p>
        </w:tc>
        <w:tc>
          <w:tcPr>
            <w:tcW w:w="46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8840" w:type="dxa"/>
            <w:vAlign w:val="bottom"/>
            <w:gridSpan w:val="17"/>
          </w:tcPr>
          <w:p>
            <w:pPr>
              <w:spacing w:after="0"/>
              <w:rPr>
                <w:rFonts w:ascii="Arial" w:cs="Arial" w:eastAsia="Arial" w:hAnsi="Arial"/>
                <w:sz w:val="18"/>
                <w:szCs w:val="18"/>
                <w:color w:val="0000EE"/>
              </w:rPr>
            </w:pPr>
            <w:hyperlink w:anchor="page41">
              <w:r>
                <w:rPr>
                  <w:rFonts w:ascii="Arial" w:cs="Arial" w:eastAsia="Arial" w:hAnsi="Arial"/>
                  <w:sz w:val="18"/>
                  <w:szCs w:val="18"/>
                  <w:color w:val="0000EE"/>
                </w:rPr>
                <w:t>Unregistered Sales of Equity Securities and Use of Proceeds</w:t>
              </w:r>
            </w:hyperlink>
          </w:p>
        </w:tc>
      </w:tr>
      <w:tr>
        <w:trPr>
          <w:trHeight w:val="20"/>
        </w:trPr>
        <w:tc>
          <w:tcPr>
            <w:tcW w:w="500" w:type="dxa"/>
            <w:vAlign w:val="bottom"/>
            <w:shd w:val="clear" w:color="auto" w:fill="0000EE"/>
          </w:tcPr>
          <w:p>
            <w:pPr>
              <w:spacing w:after="0" w:line="20" w:lineRule="exact"/>
              <w:rPr>
                <w:sz w:val="1"/>
                <w:szCs w:val="1"/>
                <w:color w:val="auto"/>
              </w:rPr>
            </w:pPr>
          </w:p>
        </w:tc>
        <w:tc>
          <w:tcPr>
            <w:tcW w:w="600" w:type="dxa"/>
            <w:vAlign w:val="bottom"/>
            <w:gridSpan w:val="2"/>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600" w:type="dxa"/>
            <w:vAlign w:val="bottom"/>
            <w:gridSpan w:val="3"/>
            <w:shd w:val="clear" w:color="auto" w:fill="0000EE"/>
          </w:tcPr>
          <w:p>
            <w:pPr>
              <w:spacing w:after="0" w:line="20" w:lineRule="exact"/>
              <w:rPr>
                <w:sz w:val="1"/>
                <w:szCs w:val="1"/>
                <w:color w:val="auto"/>
              </w:rPr>
            </w:pPr>
          </w:p>
        </w:tc>
        <w:tc>
          <w:tcPr>
            <w:tcW w:w="3740" w:type="dxa"/>
            <w:vAlign w:val="bottom"/>
            <w:gridSpan w:val="8"/>
            <w:shd w:val="clear" w:color="auto" w:fill="0000EE"/>
          </w:tcPr>
          <w:p>
            <w:pPr>
              <w:spacing w:after="0" w:line="20" w:lineRule="exact"/>
              <w:rPr>
                <w:sz w:val="1"/>
                <w:szCs w:val="1"/>
                <w:color w:val="auto"/>
              </w:rPr>
            </w:pPr>
          </w:p>
        </w:tc>
        <w:tc>
          <w:tcPr>
            <w:tcW w:w="4500" w:type="dxa"/>
            <w:vAlign w:val="bottom"/>
            <w:gridSpan w:val="6"/>
          </w:tcPr>
          <w:p>
            <w:pPr>
              <w:spacing w:after="0" w:line="20" w:lineRule="exact"/>
              <w:rPr>
                <w:sz w:val="1"/>
                <w:szCs w:val="1"/>
                <w:color w:val="auto"/>
              </w:rPr>
            </w:pPr>
          </w:p>
        </w:tc>
      </w:tr>
      <w:tr>
        <w:trPr>
          <w:trHeight w:val="262"/>
        </w:trPr>
        <w:tc>
          <w:tcPr>
            <w:tcW w:w="1100" w:type="dxa"/>
            <w:vAlign w:val="bottom"/>
            <w:gridSpan w:val="3"/>
          </w:tcPr>
          <w:p>
            <w:pPr>
              <w:spacing w:after="0"/>
              <w:rPr>
                <w:rFonts w:ascii="Arial" w:cs="Arial" w:eastAsia="Arial" w:hAnsi="Arial"/>
                <w:sz w:val="18"/>
                <w:szCs w:val="18"/>
                <w:color w:val="0000EE"/>
              </w:rPr>
            </w:pPr>
            <w:hyperlink w:anchor="page42">
              <w:r>
                <w:rPr>
                  <w:rFonts w:ascii="Arial" w:cs="Arial" w:eastAsia="Arial" w:hAnsi="Arial"/>
                  <w:sz w:val="18"/>
                  <w:szCs w:val="18"/>
                  <w:color w:val="0000EE"/>
                </w:rPr>
                <w:t>Item 6.</w:t>
              </w:r>
            </w:hyperlink>
          </w:p>
        </w:tc>
        <w:tc>
          <w:tcPr>
            <w:tcW w:w="9200" w:type="dxa"/>
            <w:vAlign w:val="bottom"/>
            <w:gridSpan w:val="18"/>
          </w:tcPr>
          <w:p>
            <w:pPr>
              <w:ind w:left="360"/>
              <w:spacing w:after="0"/>
              <w:rPr>
                <w:rFonts w:ascii="Arial" w:cs="Arial" w:eastAsia="Arial" w:hAnsi="Arial"/>
                <w:sz w:val="18"/>
                <w:szCs w:val="18"/>
                <w:color w:val="0000EE"/>
              </w:rPr>
            </w:pPr>
            <w:hyperlink w:anchor="page42">
              <w:r>
                <w:rPr>
                  <w:rFonts w:ascii="Arial" w:cs="Arial" w:eastAsia="Arial" w:hAnsi="Arial"/>
                  <w:sz w:val="18"/>
                  <w:szCs w:val="18"/>
                  <w:color w:val="0000EE"/>
                </w:rPr>
                <w:t>Exhibits</w:t>
              </w:r>
            </w:hyperlink>
          </w:p>
        </w:tc>
      </w:tr>
      <w:tr>
        <w:trPr>
          <w:trHeight w:val="20"/>
        </w:trPr>
        <w:tc>
          <w:tcPr>
            <w:tcW w:w="500" w:type="dxa"/>
            <w:vAlign w:val="bottom"/>
            <w:shd w:val="clear" w:color="auto" w:fill="0000EE"/>
          </w:tcPr>
          <w:p>
            <w:pPr>
              <w:spacing w:after="0" w:line="20" w:lineRule="exact"/>
              <w:rPr>
                <w:sz w:val="1"/>
                <w:szCs w:val="1"/>
                <w:color w:val="auto"/>
              </w:rPr>
            </w:pPr>
          </w:p>
        </w:tc>
        <w:tc>
          <w:tcPr>
            <w:tcW w:w="600" w:type="dxa"/>
            <w:vAlign w:val="bottom"/>
            <w:gridSpan w:val="2"/>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600" w:type="dxa"/>
            <w:vAlign w:val="bottom"/>
            <w:gridSpan w:val="3"/>
            <w:shd w:val="clear" w:color="auto" w:fill="0000EE"/>
          </w:tcPr>
          <w:p>
            <w:pPr>
              <w:spacing w:after="0" w:line="20" w:lineRule="exact"/>
              <w:rPr>
                <w:sz w:val="1"/>
                <w:szCs w:val="1"/>
                <w:color w:val="auto"/>
              </w:rPr>
            </w:pPr>
          </w:p>
        </w:tc>
        <w:tc>
          <w:tcPr>
            <w:tcW w:w="8240" w:type="dxa"/>
            <w:vAlign w:val="bottom"/>
            <w:gridSpan w:val="14"/>
          </w:tcPr>
          <w:p>
            <w:pPr>
              <w:spacing w:after="0" w:line="20" w:lineRule="exact"/>
              <w:rPr>
                <w:sz w:val="1"/>
                <w:szCs w:val="1"/>
                <w:color w:val="auto"/>
              </w:rPr>
            </w:pPr>
          </w:p>
        </w:tc>
      </w:tr>
      <w:tr>
        <w:trPr>
          <w:trHeight w:val="303"/>
        </w:trPr>
        <w:tc>
          <w:tcPr>
            <w:tcW w:w="1100" w:type="dxa"/>
            <w:vAlign w:val="bottom"/>
            <w:gridSpan w:val="3"/>
          </w:tcPr>
          <w:p>
            <w:pPr>
              <w:spacing w:after="0"/>
              <w:rPr>
                <w:sz w:val="20"/>
                <w:szCs w:val="20"/>
                <w:color w:val="auto"/>
              </w:rPr>
            </w:pPr>
            <w:r>
              <w:rPr>
                <w:rFonts w:ascii="Arial" w:cs="Arial" w:eastAsia="Arial" w:hAnsi="Arial"/>
                <w:sz w:val="18"/>
                <w:szCs w:val="18"/>
                <w:color w:val="auto"/>
              </w:rPr>
              <w:t>Items 3-5</w:t>
            </w:r>
          </w:p>
        </w:tc>
        <w:tc>
          <w:tcPr>
            <w:tcW w:w="9200" w:type="dxa"/>
            <w:vAlign w:val="bottom"/>
            <w:gridSpan w:val="18"/>
          </w:tcPr>
          <w:p>
            <w:pPr>
              <w:ind w:left="360"/>
              <w:spacing w:after="0"/>
              <w:rPr>
                <w:sz w:val="20"/>
                <w:szCs w:val="20"/>
                <w:color w:val="auto"/>
              </w:rPr>
            </w:pPr>
            <w:r>
              <w:rPr>
                <w:rFonts w:ascii="Arial" w:cs="Arial" w:eastAsia="Arial" w:hAnsi="Arial"/>
                <w:sz w:val="18"/>
                <w:szCs w:val="18"/>
                <w:color w:val="auto"/>
              </w:rPr>
              <w:t>Not applicable</w:t>
            </w:r>
          </w:p>
        </w:tc>
      </w:tr>
      <w:tr>
        <w:trPr>
          <w:trHeight w:val="524"/>
        </w:trPr>
        <w:tc>
          <w:tcPr>
            <w:tcW w:w="1100" w:type="dxa"/>
            <w:vAlign w:val="bottom"/>
            <w:tcBorders>
              <w:bottom w:val="single" w:sz="8" w:color="0000EE"/>
            </w:tcBorders>
            <w:gridSpan w:val="3"/>
          </w:tcPr>
          <w:p>
            <w:pPr>
              <w:spacing w:after="0"/>
              <w:rPr>
                <w:rFonts w:ascii="Arial" w:cs="Arial" w:eastAsia="Arial" w:hAnsi="Arial"/>
                <w:sz w:val="18"/>
                <w:szCs w:val="18"/>
                <w:color w:val="0000EE"/>
                <w:w w:val="92"/>
              </w:rPr>
            </w:pPr>
            <w:hyperlink w:anchor="page47">
              <w:r>
                <w:rPr>
                  <w:rFonts w:ascii="Arial" w:cs="Arial" w:eastAsia="Arial" w:hAnsi="Arial"/>
                  <w:sz w:val="18"/>
                  <w:szCs w:val="18"/>
                  <w:color w:val="0000EE"/>
                  <w:w w:val="92"/>
                </w:rPr>
                <w:t>SIGNATURES</w:t>
              </w:r>
            </w:hyperlink>
          </w:p>
        </w:tc>
        <w:tc>
          <w:tcPr>
            <w:tcW w:w="3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6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960" w:type="dxa"/>
            <w:vAlign w:val="bottom"/>
          </w:tcPr>
          <w:p>
            <w:pPr>
              <w:spacing w:after="0"/>
              <w:rPr>
                <w:sz w:val="24"/>
                <w:szCs w:val="24"/>
                <w:color w:val="auto"/>
              </w:rPr>
            </w:pPr>
          </w:p>
        </w:tc>
      </w:tr>
    </w:tbl>
    <w:p>
      <w:pPr>
        <w:spacing w:after="0" w:line="200" w:lineRule="exact"/>
        <w:rPr>
          <w:sz w:val="20"/>
          <w:szCs w:val="20"/>
          <w:color w:val="auto"/>
        </w:rPr>
      </w:pPr>
    </w:p>
    <w:p>
      <w:pPr>
        <w:spacing w:after="0" w:line="270" w:lineRule="exact"/>
        <w:rPr>
          <w:sz w:val="20"/>
          <w:szCs w:val="20"/>
          <w:color w:val="auto"/>
        </w:rPr>
      </w:pPr>
    </w:p>
    <w:p>
      <w:pPr>
        <w:spacing w:after="0"/>
        <w:rPr>
          <w:sz w:val="20"/>
          <w:szCs w:val="20"/>
          <w:color w:val="auto"/>
        </w:rPr>
      </w:pPr>
      <w:r>
        <w:rPr>
          <w:rFonts w:ascii="Arial" w:cs="Arial" w:eastAsia="Arial" w:hAnsi="Arial"/>
          <w:sz w:val="17"/>
          <w:szCs w:val="17"/>
          <w:color w:val="auto"/>
        </w:rPr>
        <w:t>In this report, for periods presented, “we,” “us,” “our,” “the Company,” and “Viad Corp” refer to Viad Corp and its subsidiaries and affiliates.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623570</wp:posOffset>
            </wp:positionV>
            <wp:extent cx="7289800" cy="425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313" w:lineRule="exact"/>
        <w:rPr>
          <w:sz w:val="20"/>
          <w:szCs w:val="20"/>
          <w:color w:val="auto"/>
        </w:rPr>
      </w:pPr>
    </w:p>
    <w:p>
      <w:pPr>
        <w:spacing w:after="0"/>
        <w:rPr>
          <w:sz w:val="20"/>
          <w:szCs w:val="20"/>
          <w:color w:val="auto"/>
        </w:rPr>
      </w:pPr>
      <w:r>
        <w:rPr>
          <w:rFonts w:ascii="Arial" w:cs="Arial" w:eastAsia="Arial" w:hAnsi="Arial"/>
          <w:sz w:val="14"/>
          <w:szCs w:val="14"/>
          <w:b w:val="1"/>
          <w:bCs w:val="1"/>
          <w:color w:val="auto"/>
        </w:rPr>
        <w:t>Page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-125730</wp:posOffset>
            </wp:positionH>
            <wp:positionV relativeFrom="paragraph">
              <wp:posOffset>22860</wp:posOffset>
            </wp:positionV>
            <wp:extent cx="443865" cy="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443865" cy="8255"/>
                    </a:xfrm>
                    <a:prstGeom prst="rect">
                      <a:avLst/>
                    </a:prstGeom>
                    <a:noFill/>
                  </pic:spPr>
                </pic:pic>
              </a:graphicData>
            </a:graphic>
          </wp:anchor>
        </w:drawing>
      </w:r>
    </w:p>
    <w:p>
      <w:pPr>
        <w:spacing w:after="0" w:line="365" w:lineRule="exact"/>
        <w:rPr>
          <w:sz w:val="20"/>
          <w:szCs w:val="20"/>
          <w:color w:val="auto"/>
        </w:rPr>
      </w:pPr>
    </w:p>
    <w:p>
      <w:pPr>
        <w:jc w:val="right"/>
        <w:spacing w:after="0"/>
        <w:rPr>
          <w:sz w:val="20"/>
          <w:szCs w:val="20"/>
          <w:color w:val="auto"/>
        </w:rPr>
      </w:pPr>
      <w:r>
        <w:rPr>
          <w:rFonts w:ascii="Arial" w:cs="Arial" w:eastAsia="Arial" w:hAnsi="Arial"/>
          <w:sz w:val="18"/>
          <w:szCs w:val="18"/>
          <w:color w:val="auto"/>
        </w:rPr>
        <w:t>1</w:t>
      </w:r>
    </w:p>
    <w:p>
      <w:pPr>
        <w:spacing w:after="0" w:line="75" w:lineRule="exact"/>
        <w:rPr>
          <w:sz w:val="20"/>
          <w:szCs w:val="20"/>
          <w:color w:val="auto"/>
        </w:rPr>
      </w:pPr>
    </w:p>
    <w:p>
      <w:pPr>
        <w:jc w:val="right"/>
        <w:spacing w:after="0"/>
        <w:rPr>
          <w:sz w:val="20"/>
          <w:szCs w:val="20"/>
          <w:color w:val="auto"/>
        </w:rPr>
      </w:pPr>
      <w:r>
        <w:rPr>
          <w:rFonts w:ascii="Arial" w:cs="Arial" w:eastAsia="Arial" w:hAnsi="Arial"/>
          <w:sz w:val="18"/>
          <w:szCs w:val="18"/>
          <w:color w:val="auto"/>
        </w:rPr>
        <w:t>1</w:t>
      </w:r>
    </w:p>
    <w:p>
      <w:pPr>
        <w:spacing w:after="0" w:line="277" w:lineRule="exact"/>
        <w:rPr>
          <w:sz w:val="20"/>
          <w:szCs w:val="20"/>
          <w:color w:val="auto"/>
        </w:rPr>
      </w:pPr>
    </w:p>
    <w:p>
      <w:pPr>
        <w:jc w:val="right"/>
        <w:spacing w:after="0"/>
        <w:rPr>
          <w:sz w:val="20"/>
          <w:szCs w:val="20"/>
          <w:color w:val="auto"/>
        </w:rPr>
      </w:pPr>
      <w:r>
        <w:rPr>
          <w:rFonts w:ascii="Arial" w:cs="Arial" w:eastAsia="Arial" w:hAnsi="Arial"/>
          <w:sz w:val="18"/>
          <w:szCs w:val="18"/>
          <w:color w:val="auto"/>
        </w:rPr>
        <w:t>2</w:t>
      </w:r>
    </w:p>
    <w:p>
      <w:pPr>
        <w:spacing w:after="0" w:line="290" w:lineRule="exact"/>
        <w:rPr>
          <w:sz w:val="20"/>
          <w:szCs w:val="20"/>
          <w:color w:val="auto"/>
        </w:rPr>
      </w:pPr>
    </w:p>
    <w:p>
      <w:pPr>
        <w:jc w:val="right"/>
        <w:spacing w:after="0"/>
        <w:rPr>
          <w:sz w:val="20"/>
          <w:szCs w:val="20"/>
          <w:color w:val="auto"/>
        </w:rPr>
      </w:pPr>
      <w:r>
        <w:rPr>
          <w:rFonts w:ascii="Arial" w:cs="Arial" w:eastAsia="Arial" w:hAnsi="Arial"/>
          <w:sz w:val="18"/>
          <w:szCs w:val="18"/>
          <w:color w:val="auto"/>
        </w:rPr>
        <w:t>3</w:t>
      </w:r>
    </w:p>
    <w:p>
      <w:pPr>
        <w:spacing w:after="0" w:line="304" w:lineRule="exact"/>
        <w:rPr>
          <w:sz w:val="20"/>
          <w:szCs w:val="20"/>
          <w:color w:val="auto"/>
        </w:rPr>
      </w:pPr>
    </w:p>
    <w:p>
      <w:pPr>
        <w:jc w:val="right"/>
        <w:spacing w:after="0"/>
        <w:rPr>
          <w:sz w:val="20"/>
          <w:szCs w:val="20"/>
          <w:color w:val="auto"/>
        </w:rPr>
      </w:pPr>
      <w:r>
        <w:rPr>
          <w:rFonts w:ascii="Arial" w:cs="Arial" w:eastAsia="Arial" w:hAnsi="Arial"/>
          <w:sz w:val="18"/>
          <w:szCs w:val="18"/>
          <w:color w:val="auto"/>
        </w:rPr>
        <w:t>4</w:t>
      </w:r>
    </w:p>
    <w:p>
      <w:pPr>
        <w:spacing w:after="0" w:line="75" w:lineRule="exact"/>
        <w:rPr>
          <w:sz w:val="20"/>
          <w:szCs w:val="20"/>
          <w:color w:val="auto"/>
        </w:rPr>
      </w:pPr>
    </w:p>
    <w:p>
      <w:pPr>
        <w:jc w:val="right"/>
        <w:spacing w:after="0"/>
        <w:rPr>
          <w:sz w:val="20"/>
          <w:szCs w:val="20"/>
          <w:color w:val="auto"/>
        </w:rPr>
      </w:pPr>
      <w:r>
        <w:rPr>
          <w:rFonts w:ascii="Arial" w:cs="Arial" w:eastAsia="Arial" w:hAnsi="Arial"/>
          <w:sz w:val="18"/>
          <w:szCs w:val="18"/>
          <w:color w:val="auto"/>
        </w:rPr>
        <w:t>5</w:t>
      </w:r>
    </w:p>
    <w:p>
      <w:pPr>
        <w:spacing w:after="0" w:line="75" w:lineRule="exact"/>
        <w:rPr>
          <w:sz w:val="20"/>
          <w:szCs w:val="20"/>
          <w:color w:val="auto"/>
        </w:rPr>
      </w:pPr>
    </w:p>
    <w:p>
      <w:pPr>
        <w:jc w:val="right"/>
        <w:spacing w:after="0"/>
        <w:rPr>
          <w:sz w:val="20"/>
          <w:szCs w:val="20"/>
          <w:color w:val="auto"/>
        </w:rPr>
      </w:pPr>
      <w:r>
        <w:rPr>
          <w:rFonts w:ascii="Arial" w:cs="Arial" w:eastAsia="Arial" w:hAnsi="Arial"/>
          <w:sz w:val="18"/>
          <w:szCs w:val="18"/>
          <w:color w:val="auto"/>
        </w:rPr>
        <w:t>28</w:t>
      </w:r>
    </w:p>
    <w:p>
      <w:pPr>
        <w:spacing w:after="0" w:line="75" w:lineRule="exact"/>
        <w:rPr>
          <w:sz w:val="20"/>
          <w:szCs w:val="20"/>
          <w:color w:val="auto"/>
        </w:rPr>
      </w:pPr>
    </w:p>
    <w:p>
      <w:pPr>
        <w:jc w:val="right"/>
        <w:spacing w:after="0"/>
        <w:rPr>
          <w:sz w:val="20"/>
          <w:szCs w:val="20"/>
          <w:color w:val="auto"/>
        </w:rPr>
      </w:pPr>
      <w:r>
        <w:rPr>
          <w:rFonts w:ascii="Arial" w:cs="Arial" w:eastAsia="Arial" w:hAnsi="Arial"/>
          <w:sz w:val="18"/>
          <w:szCs w:val="18"/>
          <w:color w:val="auto"/>
        </w:rPr>
        <w:t>38</w:t>
      </w:r>
    </w:p>
    <w:p>
      <w:pPr>
        <w:spacing w:after="0" w:line="75" w:lineRule="exact"/>
        <w:rPr>
          <w:sz w:val="20"/>
          <w:szCs w:val="20"/>
          <w:color w:val="auto"/>
        </w:rPr>
      </w:pPr>
    </w:p>
    <w:p>
      <w:pPr>
        <w:jc w:val="right"/>
        <w:spacing w:after="0"/>
        <w:rPr>
          <w:sz w:val="20"/>
          <w:szCs w:val="20"/>
          <w:color w:val="auto"/>
        </w:rPr>
      </w:pPr>
      <w:r>
        <w:rPr>
          <w:rFonts w:ascii="Arial" w:cs="Arial" w:eastAsia="Arial" w:hAnsi="Arial"/>
          <w:sz w:val="18"/>
          <w:szCs w:val="18"/>
          <w:color w:val="auto"/>
        </w:rPr>
        <w:t>38</w:t>
      </w:r>
    </w:p>
    <w:p>
      <w:pPr>
        <w:spacing w:after="0" w:line="358" w:lineRule="exact"/>
        <w:rPr>
          <w:sz w:val="20"/>
          <w:szCs w:val="20"/>
          <w:color w:val="auto"/>
        </w:rPr>
      </w:pPr>
    </w:p>
    <w:p>
      <w:pPr>
        <w:ind w:left="260"/>
        <w:spacing w:after="0"/>
        <w:rPr>
          <w:sz w:val="20"/>
          <w:szCs w:val="20"/>
          <w:color w:val="auto"/>
        </w:rPr>
      </w:pPr>
      <w:r>
        <w:rPr>
          <w:rFonts w:ascii="Arial" w:cs="Arial" w:eastAsia="Arial" w:hAnsi="Arial"/>
          <w:sz w:val="16"/>
          <w:szCs w:val="16"/>
          <w:color w:val="auto"/>
        </w:rPr>
        <w:t>39</w:t>
      </w:r>
    </w:p>
    <w:p>
      <w:pPr>
        <w:spacing w:after="0" w:line="98" w:lineRule="exact"/>
        <w:rPr>
          <w:sz w:val="20"/>
          <w:szCs w:val="20"/>
          <w:color w:val="auto"/>
        </w:rPr>
      </w:pPr>
    </w:p>
    <w:p>
      <w:pPr>
        <w:ind w:left="260"/>
        <w:spacing w:after="0"/>
        <w:rPr>
          <w:sz w:val="20"/>
          <w:szCs w:val="20"/>
          <w:color w:val="auto"/>
        </w:rPr>
      </w:pPr>
      <w:r>
        <w:rPr>
          <w:rFonts w:ascii="Arial" w:cs="Arial" w:eastAsia="Arial" w:hAnsi="Arial"/>
          <w:sz w:val="16"/>
          <w:szCs w:val="16"/>
          <w:color w:val="auto"/>
        </w:rPr>
        <w:t>39</w:t>
      </w:r>
    </w:p>
    <w:p>
      <w:pPr>
        <w:spacing w:after="0" w:line="98" w:lineRule="exact"/>
        <w:rPr>
          <w:sz w:val="20"/>
          <w:szCs w:val="20"/>
          <w:color w:val="auto"/>
        </w:rPr>
      </w:pPr>
    </w:p>
    <w:p>
      <w:pPr>
        <w:ind w:left="260"/>
        <w:spacing w:after="0"/>
        <w:rPr>
          <w:sz w:val="20"/>
          <w:szCs w:val="20"/>
          <w:color w:val="auto"/>
        </w:rPr>
      </w:pPr>
      <w:r>
        <w:rPr>
          <w:rFonts w:ascii="Arial" w:cs="Arial" w:eastAsia="Arial" w:hAnsi="Arial"/>
          <w:sz w:val="16"/>
          <w:szCs w:val="16"/>
          <w:color w:val="auto"/>
        </w:rPr>
        <w:t>39</w:t>
      </w:r>
    </w:p>
    <w:p>
      <w:pPr>
        <w:spacing w:after="0" w:line="98" w:lineRule="exact"/>
        <w:rPr>
          <w:sz w:val="20"/>
          <w:szCs w:val="20"/>
          <w:color w:val="auto"/>
        </w:rPr>
      </w:pPr>
    </w:p>
    <w:p>
      <w:pPr>
        <w:ind w:left="260"/>
        <w:spacing w:after="0"/>
        <w:rPr>
          <w:sz w:val="20"/>
          <w:szCs w:val="20"/>
          <w:color w:val="auto"/>
        </w:rPr>
      </w:pPr>
      <w:r>
        <w:rPr>
          <w:rFonts w:ascii="Arial" w:cs="Arial" w:eastAsia="Arial" w:hAnsi="Arial"/>
          <w:sz w:val="16"/>
          <w:szCs w:val="16"/>
          <w:color w:val="auto"/>
        </w:rPr>
        <w:t>40</w:t>
      </w:r>
    </w:p>
    <w:p>
      <w:pPr>
        <w:spacing w:after="0" w:line="200" w:lineRule="exact"/>
        <w:rPr>
          <w:sz w:val="20"/>
          <w:szCs w:val="20"/>
          <w:color w:val="auto"/>
        </w:rPr>
      </w:pPr>
    </w:p>
    <w:p>
      <w:pPr>
        <w:spacing w:after="0" w:line="200" w:lineRule="exact"/>
        <w:rPr>
          <w:sz w:val="20"/>
          <w:szCs w:val="20"/>
          <w:color w:val="auto"/>
        </w:rPr>
      </w:pPr>
    </w:p>
    <w:p>
      <w:pPr>
        <w:spacing w:after="0" w:line="263" w:lineRule="exact"/>
        <w:rPr>
          <w:sz w:val="20"/>
          <w:szCs w:val="20"/>
          <w:color w:val="auto"/>
        </w:rPr>
      </w:pPr>
    </w:p>
    <w:p>
      <w:pPr>
        <w:ind w:left="260"/>
        <w:spacing w:after="0"/>
        <w:rPr>
          <w:sz w:val="20"/>
          <w:szCs w:val="20"/>
          <w:color w:val="auto"/>
        </w:rPr>
      </w:pPr>
      <w:r>
        <w:rPr>
          <w:rFonts w:ascii="Arial" w:cs="Arial" w:eastAsia="Arial" w:hAnsi="Arial"/>
          <w:sz w:val="16"/>
          <w:szCs w:val="16"/>
          <w:color w:val="auto"/>
        </w:rPr>
        <w:t>45</w:t>
      </w:r>
    </w:p>
    <w:p>
      <w:pPr>
        <w:sectPr>
          <w:pgSz w:w="11900" w:h="16838" w:orient="portrait"/>
          <w:cols w:equalWidth="0" w:num="2">
            <w:col w:w="10580" w:space="340"/>
            <w:col w:w="440"/>
          </w:cols>
          <w:pgMar w:left="240" w:top="551" w:right="299" w:bottom="1440" w:gutter="0" w:footer="0" w:header="0"/>
        </w:sectPr>
      </w:pPr>
    </w:p>
    <w:bookmarkStart w:id="2" w:name="page3"/>
    <w:bookmarkEnd w:id="2"/>
    <w:p>
      <w:pPr>
        <w:jc w:val="center"/>
        <w:spacing w:after="0"/>
        <w:rPr>
          <w:sz w:val="20"/>
          <w:szCs w:val="20"/>
          <w:color w:val="auto"/>
        </w:rPr>
      </w:pPr>
      <w:r>
        <w:rPr>
          <w:rFonts w:ascii="Arial" w:cs="Arial" w:eastAsia="Arial" w:hAnsi="Arial"/>
          <w:sz w:val="18"/>
          <w:szCs w:val="18"/>
          <w:b w:val="1"/>
          <w:bCs w:val="1"/>
          <w:color w:val="auto"/>
        </w:rPr>
        <w:t>PART I - FINANCIAL INFORMATION</w:t>
      </w:r>
    </w:p>
    <w:p>
      <w:pPr>
        <w:spacing w:after="0" w:line="22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 FINANCIAL STATEMENTS</w:t>
      </w:r>
    </w:p>
    <w:p>
      <w:pPr>
        <w:spacing w:after="0" w:line="11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VIAD CORP</w:t>
      </w:r>
    </w:p>
    <w:p>
      <w:pPr>
        <w:spacing w:after="0" w:line="7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CONSOLIDATED BALANCE SHEETS</w:t>
      </w:r>
    </w:p>
    <w:p>
      <w:pPr>
        <w:spacing w:after="0" w:line="8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99"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78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580" w:type="dxa"/>
            <w:vAlign w:val="bottom"/>
            <w:gridSpan w:val="2"/>
          </w:tcPr>
          <w:p>
            <w:pPr>
              <w:jc w:val="right"/>
              <w:ind w:right="760"/>
              <w:spacing w:after="0"/>
              <w:rPr>
                <w:sz w:val="20"/>
                <w:szCs w:val="20"/>
                <w:color w:val="auto"/>
              </w:rPr>
            </w:pPr>
            <w:r>
              <w:rPr>
                <w:rFonts w:ascii="Arial" w:cs="Arial" w:eastAsia="Arial" w:hAnsi="Arial"/>
                <w:sz w:val="14"/>
                <w:szCs w:val="14"/>
                <w:b w:val="1"/>
                <w:bCs w:val="1"/>
                <w:color w:val="auto"/>
              </w:rPr>
              <w:t>March 31,</w:t>
            </w:r>
          </w:p>
        </w:tc>
        <w:tc>
          <w:tcPr>
            <w:tcW w:w="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480" w:type="dxa"/>
            <w:vAlign w:val="bottom"/>
            <w:gridSpan w:val="2"/>
          </w:tcPr>
          <w:p>
            <w:pPr>
              <w:jc w:val="right"/>
              <w:ind w:right="500"/>
              <w:spacing w:after="0"/>
              <w:rPr>
                <w:sz w:val="20"/>
                <w:szCs w:val="20"/>
                <w:color w:val="auto"/>
              </w:rPr>
            </w:pPr>
            <w:r>
              <w:rPr>
                <w:rFonts w:ascii="Arial" w:cs="Arial" w:eastAsia="Arial" w:hAnsi="Arial"/>
                <w:sz w:val="14"/>
                <w:szCs w:val="14"/>
                <w:b w:val="1"/>
                <w:bCs w:val="1"/>
                <w:color w:val="auto"/>
              </w:rPr>
              <w:t>December 31,</w:t>
            </w:r>
          </w:p>
        </w:tc>
      </w:tr>
      <w:tr>
        <w:trPr>
          <w:trHeight w:val="171"/>
        </w:trPr>
        <w:tc>
          <w:tcPr>
            <w:tcW w:w="7860" w:type="dxa"/>
            <w:vAlign w:val="bottom"/>
            <w:tcBorders>
              <w:bottom w:val="single" w:sz="8" w:color="CFF0FC"/>
            </w:tcBorders>
          </w:tcPr>
          <w:p>
            <w:pPr>
              <w:spacing w:after="0"/>
              <w:rPr>
                <w:sz w:val="20"/>
                <w:szCs w:val="20"/>
                <w:color w:val="auto"/>
              </w:rPr>
            </w:pPr>
            <w:r>
              <w:rPr>
                <w:rFonts w:ascii="Arial" w:cs="Arial" w:eastAsia="Arial" w:hAnsi="Arial"/>
                <w:sz w:val="14"/>
                <w:szCs w:val="14"/>
                <w:i w:val="1"/>
                <w:iCs w:val="1"/>
                <w:color w:val="auto"/>
              </w:rPr>
              <w:t>(in thousands, except share data)</w:t>
            </w:r>
          </w:p>
        </w:tc>
        <w:tc>
          <w:tcPr>
            <w:tcW w:w="280" w:type="dxa"/>
            <w:vAlign w:val="bottom"/>
            <w:tcBorders>
              <w:bottom w:val="single" w:sz="8" w:color="auto"/>
            </w:tcBorders>
          </w:tcPr>
          <w:p>
            <w:pPr>
              <w:spacing w:after="0"/>
              <w:rPr>
                <w:sz w:val="14"/>
                <w:szCs w:val="14"/>
                <w:color w:val="auto"/>
              </w:rPr>
            </w:pPr>
          </w:p>
        </w:tc>
        <w:tc>
          <w:tcPr>
            <w:tcW w:w="1300" w:type="dxa"/>
            <w:vAlign w:val="bottom"/>
            <w:tcBorders>
              <w:bottom w:val="single" w:sz="8" w:color="auto"/>
            </w:tcBorders>
          </w:tcPr>
          <w:p>
            <w:pPr>
              <w:jc w:val="right"/>
              <w:ind w:right="576"/>
              <w:spacing w:after="0"/>
              <w:rPr>
                <w:sz w:val="20"/>
                <w:szCs w:val="20"/>
                <w:color w:val="auto"/>
              </w:rPr>
            </w:pPr>
            <w:r>
              <w:rPr>
                <w:rFonts w:ascii="Arial" w:cs="Arial" w:eastAsia="Arial" w:hAnsi="Arial"/>
                <w:sz w:val="14"/>
                <w:szCs w:val="14"/>
                <w:b w:val="1"/>
                <w:bCs w:val="1"/>
                <w:color w:val="auto"/>
              </w:rPr>
              <w:t>2018</w:t>
            </w:r>
          </w:p>
        </w:tc>
        <w:tc>
          <w:tcPr>
            <w:tcW w:w="280" w:type="dxa"/>
            <w:vAlign w:val="bottom"/>
            <w:tcBorders>
              <w:bottom w:val="single" w:sz="8" w:color="CFF0FC"/>
            </w:tcBorders>
          </w:tcPr>
          <w:p>
            <w:pPr>
              <w:spacing w:after="0"/>
              <w:rPr>
                <w:sz w:val="14"/>
                <w:szCs w:val="14"/>
                <w:color w:val="auto"/>
              </w:rPr>
            </w:pPr>
          </w:p>
        </w:tc>
        <w:tc>
          <w:tcPr>
            <w:tcW w:w="20" w:type="dxa"/>
            <w:vAlign w:val="bottom"/>
            <w:tcBorders>
              <w:bottom w:val="single" w:sz="8" w:color="CFF0FC"/>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1360" w:type="dxa"/>
            <w:vAlign w:val="bottom"/>
            <w:tcBorders>
              <w:bottom w:val="single" w:sz="8" w:color="auto"/>
            </w:tcBorders>
          </w:tcPr>
          <w:p>
            <w:pPr>
              <w:jc w:val="right"/>
              <w:ind w:right="576"/>
              <w:spacing w:after="0"/>
              <w:rPr>
                <w:sz w:val="20"/>
                <w:szCs w:val="20"/>
                <w:color w:val="auto"/>
              </w:rPr>
            </w:pPr>
            <w:r>
              <w:rPr>
                <w:rFonts w:ascii="Arial" w:cs="Arial" w:eastAsia="Arial" w:hAnsi="Arial"/>
                <w:sz w:val="14"/>
                <w:szCs w:val="14"/>
                <w:b w:val="1"/>
                <w:bCs w:val="1"/>
                <w:color w:val="auto"/>
              </w:rPr>
              <w:t>2017</w:t>
            </w:r>
          </w:p>
        </w:tc>
        <w:tc>
          <w:tcPr>
            <w:tcW w:w="120" w:type="dxa"/>
            <w:vAlign w:val="bottom"/>
            <w:tcBorders>
              <w:bottom w:val="single" w:sz="8" w:color="CFF0FC"/>
            </w:tcBorders>
          </w:tcPr>
          <w:p>
            <w:pPr>
              <w:spacing w:after="0"/>
              <w:rPr>
                <w:sz w:val="14"/>
                <w:szCs w:val="14"/>
                <w:color w:val="auto"/>
              </w:rPr>
            </w:pPr>
          </w:p>
        </w:tc>
      </w:tr>
      <w:tr>
        <w:trPr>
          <w:trHeight w:val="209"/>
        </w:trPr>
        <w:tc>
          <w:tcPr>
            <w:tcW w:w="7860" w:type="dxa"/>
            <w:vAlign w:val="bottom"/>
            <w:shd w:val="clear" w:color="auto" w:fill="CFF0FC"/>
          </w:tcPr>
          <w:p>
            <w:pPr>
              <w:ind w:left="3620"/>
              <w:spacing w:after="0"/>
              <w:rPr>
                <w:sz w:val="20"/>
                <w:szCs w:val="20"/>
                <w:color w:val="auto"/>
              </w:rPr>
            </w:pPr>
            <w:r>
              <w:rPr>
                <w:rFonts w:ascii="Arial" w:cs="Arial" w:eastAsia="Arial" w:hAnsi="Arial"/>
                <w:sz w:val="17"/>
                <w:szCs w:val="17"/>
                <w:b w:val="1"/>
                <w:bCs w:val="1"/>
                <w:color w:val="auto"/>
              </w:rPr>
              <w:t>Assets</w:t>
            </w:r>
          </w:p>
        </w:tc>
        <w:tc>
          <w:tcPr>
            <w:tcW w:w="280" w:type="dxa"/>
            <w:vAlign w:val="bottom"/>
            <w:shd w:val="clear" w:color="auto" w:fill="CFF0FC"/>
          </w:tcPr>
          <w:p>
            <w:pPr>
              <w:spacing w:after="0"/>
              <w:rPr>
                <w:sz w:val="18"/>
                <w:szCs w:val="18"/>
                <w:color w:val="auto"/>
              </w:rPr>
            </w:pPr>
          </w:p>
        </w:tc>
        <w:tc>
          <w:tcPr>
            <w:tcW w:w="1300" w:type="dxa"/>
            <w:vAlign w:val="bottom"/>
            <w:shd w:val="clear" w:color="auto" w:fill="CFF0FC"/>
          </w:tcPr>
          <w:p>
            <w:pPr>
              <w:spacing w:after="0"/>
              <w:rPr>
                <w:sz w:val="18"/>
                <w:szCs w:val="18"/>
                <w:color w:val="auto"/>
              </w:rPr>
            </w:pPr>
          </w:p>
        </w:tc>
        <w:tc>
          <w:tcPr>
            <w:tcW w:w="280" w:type="dxa"/>
            <w:vAlign w:val="bottom"/>
            <w:shd w:val="clear" w:color="auto" w:fill="CFF0FC"/>
          </w:tcPr>
          <w:p>
            <w:pPr>
              <w:spacing w:after="0"/>
              <w:rPr>
                <w:sz w:val="18"/>
                <w:szCs w:val="18"/>
                <w:color w:val="auto"/>
              </w:rPr>
            </w:pPr>
          </w:p>
        </w:tc>
        <w:tc>
          <w:tcPr>
            <w:tcW w:w="20" w:type="dxa"/>
            <w:vAlign w:val="bottom"/>
            <w:shd w:val="clear" w:color="auto" w:fill="CFF0FC"/>
          </w:tcPr>
          <w:p>
            <w:pPr>
              <w:spacing w:after="0"/>
              <w:rPr>
                <w:sz w:val="18"/>
                <w:szCs w:val="18"/>
                <w:color w:val="auto"/>
              </w:rPr>
            </w:pPr>
          </w:p>
        </w:tc>
        <w:tc>
          <w:tcPr>
            <w:tcW w:w="200" w:type="dxa"/>
            <w:vAlign w:val="bottom"/>
            <w:shd w:val="clear" w:color="auto" w:fill="CFF0FC"/>
          </w:tcPr>
          <w:p>
            <w:pPr>
              <w:spacing w:after="0"/>
              <w:rPr>
                <w:sz w:val="18"/>
                <w:szCs w:val="18"/>
                <w:color w:val="auto"/>
              </w:rPr>
            </w:pPr>
          </w:p>
        </w:tc>
        <w:tc>
          <w:tcPr>
            <w:tcW w:w="136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r>
      <w:tr>
        <w:trPr>
          <w:trHeight w:val="215"/>
        </w:trPr>
        <w:tc>
          <w:tcPr>
            <w:tcW w:w="7860" w:type="dxa"/>
            <w:vAlign w:val="bottom"/>
          </w:tcPr>
          <w:p>
            <w:pPr>
              <w:spacing w:after="0"/>
              <w:rPr>
                <w:sz w:val="20"/>
                <w:szCs w:val="20"/>
                <w:color w:val="auto"/>
              </w:rPr>
            </w:pPr>
            <w:r>
              <w:rPr>
                <w:rFonts w:ascii="Arial" w:cs="Arial" w:eastAsia="Arial" w:hAnsi="Arial"/>
                <w:sz w:val="17"/>
                <w:szCs w:val="17"/>
                <w:b w:val="1"/>
                <w:bCs w:val="1"/>
                <w:color w:val="auto"/>
              </w:rPr>
              <w:t>Current assets</w:t>
            </w:r>
          </w:p>
        </w:tc>
        <w:tc>
          <w:tcPr>
            <w:tcW w:w="28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120" w:type="dxa"/>
            <w:vAlign w:val="bottom"/>
          </w:tcPr>
          <w:p>
            <w:pPr>
              <w:spacing w:after="0"/>
              <w:rPr>
                <w:sz w:val="18"/>
                <w:szCs w:val="18"/>
                <w:color w:val="auto"/>
              </w:rPr>
            </w:pPr>
          </w:p>
        </w:tc>
      </w:tr>
      <w:tr>
        <w:trPr>
          <w:trHeight w:val="215"/>
        </w:trPr>
        <w:tc>
          <w:tcPr>
            <w:tcW w:w="7860" w:type="dxa"/>
            <w:vAlign w:val="bottom"/>
            <w:shd w:val="clear" w:color="auto" w:fill="CFF0FC"/>
          </w:tcPr>
          <w:p>
            <w:pPr>
              <w:ind w:left="260"/>
              <w:spacing w:after="0"/>
              <w:rPr>
                <w:sz w:val="20"/>
                <w:szCs w:val="20"/>
                <w:color w:val="auto"/>
              </w:rPr>
            </w:pPr>
            <w:r>
              <w:rPr>
                <w:rFonts w:ascii="Arial" w:cs="Arial" w:eastAsia="Arial" w:hAnsi="Arial"/>
                <w:sz w:val="17"/>
                <w:szCs w:val="17"/>
                <w:color w:val="auto"/>
              </w:rPr>
              <w:t>Cash and cash equivalents</w:t>
            </w:r>
          </w:p>
        </w:tc>
        <w:tc>
          <w:tcPr>
            <w:tcW w:w="280" w:type="dxa"/>
            <w:vAlign w:val="bottom"/>
            <w:shd w:val="clear" w:color="auto" w:fill="CFF0FC"/>
          </w:tcPr>
          <w:p>
            <w:pPr>
              <w:jc w:val="right"/>
              <w:ind w:right="126"/>
              <w:spacing w:after="0"/>
              <w:rPr>
                <w:sz w:val="20"/>
                <w:szCs w:val="20"/>
                <w:color w:val="auto"/>
              </w:rPr>
            </w:pPr>
            <w:r>
              <w:rPr>
                <w:rFonts w:ascii="Arial" w:cs="Arial" w:eastAsia="Arial" w:hAnsi="Arial"/>
                <w:sz w:val="15"/>
                <w:szCs w:val="15"/>
                <w:color w:val="auto"/>
                <w:w w:val="71"/>
              </w:rPr>
              <w:t>$</w:t>
            </w:r>
          </w:p>
        </w:tc>
        <w:tc>
          <w:tcPr>
            <w:tcW w:w="1300" w:type="dxa"/>
            <w:vAlign w:val="bottom"/>
            <w:shd w:val="clear" w:color="auto" w:fill="CFF0FC"/>
          </w:tcPr>
          <w:p>
            <w:pPr>
              <w:jc w:val="right"/>
              <w:spacing w:after="0"/>
              <w:rPr>
                <w:sz w:val="20"/>
                <w:szCs w:val="20"/>
                <w:color w:val="auto"/>
              </w:rPr>
            </w:pPr>
            <w:r>
              <w:rPr>
                <w:rFonts w:ascii="Arial" w:cs="Arial" w:eastAsia="Arial" w:hAnsi="Arial"/>
                <w:sz w:val="17"/>
                <w:szCs w:val="17"/>
                <w:color w:val="auto"/>
              </w:rPr>
              <w:t>42,340</w:t>
            </w:r>
          </w:p>
        </w:tc>
        <w:tc>
          <w:tcPr>
            <w:tcW w:w="280" w:type="dxa"/>
            <w:vAlign w:val="bottom"/>
            <w:shd w:val="clear" w:color="auto" w:fill="CFF0FC"/>
          </w:tcPr>
          <w:p>
            <w:pPr>
              <w:spacing w:after="0"/>
              <w:rPr>
                <w:sz w:val="18"/>
                <w:szCs w:val="18"/>
                <w:color w:val="auto"/>
              </w:rPr>
            </w:pPr>
          </w:p>
        </w:tc>
        <w:tc>
          <w:tcPr>
            <w:tcW w:w="220" w:type="dxa"/>
            <w:vAlign w:val="bottom"/>
            <w:gridSpan w:val="2"/>
            <w:shd w:val="clear" w:color="auto" w:fill="CFF0FC"/>
          </w:tcPr>
          <w:p>
            <w:pPr>
              <w:jc w:val="right"/>
              <w:ind w:right="92"/>
              <w:spacing w:after="0"/>
              <w:rPr>
                <w:sz w:val="20"/>
                <w:szCs w:val="20"/>
                <w:color w:val="auto"/>
              </w:rPr>
            </w:pPr>
            <w:r>
              <w:rPr>
                <w:rFonts w:ascii="Arial" w:cs="Arial" w:eastAsia="Arial" w:hAnsi="Arial"/>
                <w:sz w:val="15"/>
                <w:szCs w:val="15"/>
                <w:color w:val="auto"/>
                <w:w w:val="71"/>
              </w:rPr>
              <w:t>$</w:t>
            </w:r>
          </w:p>
        </w:tc>
        <w:tc>
          <w:tcPr>
            <w:tcW w:w="1360" w:type="dxa"/>
            <w:vAlign w:val="bottom"/>
            <w:shd w:val="clear" w:color="auto" w:fill="CFF0FC"/>
          </w:tcPr>
          <w:p>
            <w:pPr>
              <w:jc w:val="right"/>
              <w:spacing w:after="0"/>
              <w:rPr>
                <w:sz w:val="20"/>
                <w:szCs w:val="20"/>
                <w:color w:val="auto"/>
              </w:rPr>
            </w:pPr>
            <w:r>
              <w:rPr>
                <w:rFonts w:ascii="Arial" w:cs="Arial" w:eastAsia="Arial" w:hAnsi="Arial"/>
                <w:sz w:val="17"/>
                <w:szCs w:val="17"/>
                <w:color w:val="auto"/>
              </w:rPr>
              <w:t>53,723</w:t>
            </w:r>
          </w:p>
        </w:tc>
        <w:tc>
          <w:tcPr>
            <w:tcW w:w="120" w:type="dxa"/>
            <w:vAlign w:val="bottom"/>
            <w:shd w:val="clear" w:color="auto" w:fill="CFF0FC"/>
          </w:tcPr>
          <w:p>
            <w:pPr>
              <w:spacing w:after="0"/>
              <w:rPr>
                <w:sz w:val="18"/>
                <w:szCs w:val="18"/>
                <w:color w:val="auto"/>
              </w:rPr>
            </w:pPr>
          </w:p>
        </w:tc>
      </w:tr>
      <w:tr>
        <w:trPr>
          <w:trHeight w:val="197"/>
        </w:trPr>
        <w:tc>
          <w:tcPr>
            <w:tcW w:w="7860" w:type="dxa"/>
            <w:vAlign w:val="bottom"/>
          </w:tcPr>
          <w:p>
            <w:pPr>
              <w:ind w:left="260"/>
              <w:spacing w:after="0"/>
              <w:rPr>
                <w:sz w:val="20"/>
                <w:szCs w:val="20"/>
                <w:color w:val="auto"/>
              </w:rPr>
            </w:pPr>
            <w:r>
              <w:rPr>
                <w:rFonts w:ascii="Arial" w:cs="Arial" w:eastAsia="Arial" w:hAnsi="Arial"/>
                <w:sz w:val="17"/>
                <w:szCs w:val="17"/>
                <w:color w:val="auto"/>
              </w:rPr>
              <w:t>Accounts receivable, net of allowances for doubtful accounts of $1,953 and $2,023,</w:t>
            </w:r>
          </w:p>
        </w:tc>
        <w:tc>
          <w:tcPr>
            <w:tcW w:w="280" w:type="dxa"/>
            <w:vAlign w:val="bottom"/>
          </w:tcPr>
          <w:p>
            <w:pPr>
              <w:spacing w:after="0"/>
              <w:rPr>
                <w:sz w:val="17"/>
                <w:szCs w:val="17"/>
                <w:color w:val="auto"/>
              </w:rPr>
            </w:pPr>
          </w:p>
        </w:tc>
        <w:tc>
          <w:tcPr>
            <w:tcW w:w="13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360" w:type="dxa"/>
            <w:vAlign w:val="bottom"/>
          </w:tcPr>
          <w:p>
            <w:pPr>
              <w:spacing w:after="0"/>
              <w:rPr>
                <w:sz w:val="17"/>
                <w:szCs w:val="17"/>
                <w:color w:val="auto"/>
              </w:rPr>
            </w:pPr>
          </w:p>
        </w:tc>
        <w:tc>
          <w:tcPr>
            <w:tcW w:w="120" w:type="dxa"/>
            <w:vAlign w:val="bottom"/>
          </w:tcPr>
          <w:p>
            <w:pPr>
              <w:spacing w:after="0"/>
              <w:rPr>
                <w:sz w:val="17"/>
                <w:szCs w:val="17"/>
                <w:color w:val="auto"/>
              </w:rPr>
            </w:pPr>
          </w:p>
        </w:tc>
      </w:tr>
      <w:tr>
        <w:trPr>
          <w:trHeight w:val="218"/>
        </w:trPr>
        <w:tc>
          <w:tcPr>
            <w:tcW w:w="7860" w:type="dxa"/>
            <w:vAlign w:val="bottom"/>
          </w:tcPr>
          <w:p>
            <w:pPr>
              <w:ind w:left="380"/>
              <w:spacing w:after="0"/>
              <w:rPr>
                <w:sz w:val="20"/>
                <w:szCs w:val="20"/>
                <w:color w:val="auto"/>
              </w:rPr>
            </w:pPr>
            <w:r>
              <w:rPr>
                <w:rFonts w:ascii="Arial" w:cs="Arial" w:eastAsia="Arial" w:hAnsi="Arial"/>
                <w:sz w:val="17"/>
                <w:szCs w:val="17"/>
                <w:color w:val="auto"/>
              </w:rPr>
              <w:t>respectively</w:t>
            </w:r>
          </w:p>
        </w:tc>
        <w:tc>
          <w:tcPr>
            <w:tcW w:w="280" w:type="dxa"/>
            <w:vAlign w:val="bottom"/>
          </w:tcPr>
          <w:p>
            <w:pPr>
              <w:spacing w:after="0"/>
              <w:rPr>
                <w:sz w:val="18"/>
                <w:szCs w:val="18"/>
                <w:color w:val="auto"/>
              </w:rPr>
            </w:pPr>
          </w:p>
        </w:tc>
        <w:tc>
          <w:tcPr>
            <w:tcW w:w="1300" w:type="dxa"/>
            <w:vAlign w:val="bottom"/>
          </w:tcPr>
          <w:p>
            <w:pPr>
              <w:jc w:val="right"/>
              <w:spacing w:after="0"/>
              <w:rPr>
                <w:sz w:val="20"/>
                <w:szCs w:val="20"/>
                <w:color w:val="auto"/>
              </w:rPr>
            </w:pPr>
            <w:r>
              <w:rPr>
                <w:rFonts w:ascii="Arial" w:cs="Arial" w:eastAsia="Arial" w:hAnsi="Arial"/>
                <w:sz w:val="17"/>
                <w:szCs w:val="17"/>
                <w:color w:val="auto"/>
              </w:rPr>
              <w:t>118,284</w:t>
            </w:r>
          </w:p>
        </w:tc>
        <w:tc>
          <w:tcPr>
            <w:tcW w:w="2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360" w:type="dxa"/>
            <w:vAlign w:val="bottom"/>
          </w:tcPr>
          <w:p>
            <w:pPr>
              <w:jc w:val="right"/>
              <w:spacing w:after="0"/>
              <w:rPr>
                <w:sz w:val="20"/>
                <w:szCs w:val="20"/>
                <w:color w:val="auto"/>
              </w:rPr>
            </w:pPr>
            <w:r>
              <w:rPr>
                <w:rFonts w:ascii="Arial" w:cs="Arial" w:eastAsia="Arial" w:hAnsi="Arial"/>
                <w:sz w:val="17"/>
                <w:szCs w:val="17"/>
                <w:color w:val="auto"/>
              </w:rPr>
              <w:t>104,811</w:t>
            </w:r>
          </w:p>
        </w:tc>
        <w:tc>
          <w:tcPr>
            <w:tcW w:w="120" w:type="dxa"/>
            <w:vAlign w:val="bottom"/>
          </w:tcPr>
          <w:p>
            <w:pPr>
              <w:spacing w:after="0"/>
              <w:rPr>
                <w:sz w:val="18"/>
                <w:szCs w:val="18"/>
                <w:color w:val="auto"/>
              </w:rPr>
            </w:pPr>
          </w:p>
        </w:tc>
      </w:tr>
      <w:tr>
        <w:trPr>
          <w:trHeight w:val="217"/>
        </w:trPr>
        <w:tc>
          <w:tcPr>
            <w:tcW w:w="7860" w:type="dxa"/>
            <w:vAlign w:val="bottom"/>
            <w:shd w:val="clear" w:color="auto" w:fill="CFF0FC"/>
          </w:tcPr>
          <w:p>
            <w:pPr>
              <w:ind w:left="260"/>
              <w:spacing w:after="0"/>
              <w:rPr>
                <w:sz w:val="20"/>
                <w:szCs w:val="20"/>
                <w:color w:val="auto"/>
              </w:rPr>
            </w:pPr>
            <w:r>
              <w:rPr>
                <w:rFonts w:ascii="Arial" w:cs="Arial" w:eastAsia="Arial" w:hAnsi="Arial"/>
                <w:sz w:val="17"/>
                <w:szCs w:val="17"/>
                <w:color w:val="auto"/>
              </w:rPr>
              <w:t>Inventories</w:t>
            </w:r>
          </w:p>
        </w:tc>
        <w:tc>
          <w:tcPr>
            <w:tcW w:w="280" w:type="dxa"/>
            <w:vAlign w:val="bottom"/>
            <w:shd w:val="clear" w:color="auto" w:fill="CFF0FC"/>
          </w:tcPr>
          <w:p>
            <w:pPr>
              <w:spacing w:after="0"/>
              <w:rPr>
                <w:sz w:val="18"/>
                <w:szCs w:val="18"/>
                <w:color w:val="auto"/>
              </w:rPr>
            </w:pPr>
          </w:p>
        </w:tc>
        <w:tc>
          <w:tcPr>
            <w:tcW w:w="1300" w:type="dxa"/>
            <w:vAlign w:val="bottom"/>
            <w:shd w:val="clear" w:color="auto" w:fill="CFF0FC"/>
          </w:tcPr>
          <w:p>
            <w:pPr>
              <w:jc w:val="right"/>
              <w:spacing w:after="0"/>
              <w:rPr>
                <w:sz w:val="20"/>
                <w:szCs w:val="20"/>
                <w:color w:val="auto"/>
              </w:rPr>
            </w:pPr>
            <w:r>
              <w:rPr>
                <w:rFonts w:ascii="Arial" w:cs="Arial" w:eastAsia="Arial" w:hAnsi="Arial"/>
                <w:sz w:val="17"/>
                <w:szCs w:val="17"/>
                <w:color w:val="auto"/>
              </w:rPr>
              <w:t>17,514</w:t>
            </w:r>
          </w:p>
        </w:tc>
        <w:tc>
          <w:tcPr>
            <w:tcW w:w="280" w:type="dxa"/>
            <w:vAlign w:val="bottom"/>
            <w:shd w:val="clear" w:color="auto" w:fill="CFF0FC"/>
          </w:tcPr>
          <w:p>
            <w:pPr>
              <w:spacing w:after="0"/>
              <w:rPr>
                <w:sz w:val="18"/>
                <w:szCs w:val="18"/>
                <w:color w:val="auto"/>
              </w:rPr>
            </w:pPr>
          </w:p>
        </w:tc>
        <w:tc>
          <w:tcPr>
            <w:tcW w:w="20" w:type="dxa"/>
            <w:vAlign w:val="bottom"/>
            <w:shd w:val="clear" w:color="auto" w:fill="CFF0FC"/>
          </w:tcPr>
          <w:p>
            <w:pPr>
              <w:spacing w:after="0"/>
              <w:rPr>
                <w:sz w:val="18"/>
                <w:szCs w:val="18"/>
                <w:color w:val="auto"/>
              </w:rPr>
            </w:pPr>
          </w:p>
        </w:tc>
        <w:tc>
          <w:tcPr>
            <w:tcW w:w="200" w:type="dxa"/>
            <w:vAlign w:val="bottom"/>
            <w:shd w:val="clear" w:color="auto" w:fill="CFF0FC"/>
          </w:tcPr>
          <w:p>
            <w:pPr>
              <w:spacing w:after="0"/>
              <w:rPr>
                <w:sz w:val="18"/>
                <w:szCs w:val="18"/>
                <w:color w:val="auto"/>
              </w:rPr>
            </w:pPr>
          </w:p>
        </w:tc>
        <w:tc>
          <w:tcPr>
            <w:tcW w:w="1360" w:type="dxa"/>
            <w:vAlign w:val="bottom"/>
            <w:shd w:val="clear" w:color="auto" w:fill="CFF0FC"/>
          </w:tcPr>
          <w:p>
            <w:pPr>
              <w:jc w:val="right"/>
              <w:spacing w:after="0"/>
              <w:rPr>
                <w:sz w:val="20"/>
                <w:szCs w:val="20"/>
                <w:color w:val="auto"/>
              </w:rPr>
            </w:pPr>
            <w:r>
              <w:rPr>
                <w:rFonts w:ascii="Arial" w:cs="Arial" w:eastAsia="Arial" w:hAnsi="Arial"/>
                <w:sz w:val="17"/>
                <w:szCs w:val="17"/>
                <w:color w:val="auto"/>
              </w:rPr>
              <w:t>17,550</w:t>
            </w:r>
          </w:p>
        </w:tc>
        <w:tc>
          <w:tcPr>
            <w:tcW w:w="120" w:type="dxa"/>
            <w:vAlign w:val="bottom"/>
            <w:shd w:val="clear" w:color="auto" w:fill="CFF0FC"/>
          </w:tcPr>
          <w:p>
            <w:pPr>
              <w:spacing w:after="0"/>
              <w:rPr>
                <w:sz w:val="18"/>
                <w:szCs w:val="18"/>
                <w:color w:val="auto"/>
              </w:rPr>
            </w:pPr>
          </w:p>
        </w:tc>
      </w:tr>
      <w:tr>
        <w:trPr>
          <w:trHeight w:val="215"/>
        </w:trPr>
        <w:tc>
          <w:tcPr>
            <w:tcW w:w="7860" w:type="dxa"/>
            <w:vAlign w:val="bottom"/>
          </w:tcPr>
          <w:p>
            <w:pPr>
              <w:ind w:left="260"/>
              <w:spacing w:after="0"/>
              <w:rPr>
                <w:sz w:val="20"/>
                <w:szCs w:val="20"/>
                <w:color w:val="auto"/>
              </w:rPr>
            </w:pPr>
            <w:r>
              <w:rPr>
                <w:rFonts w:ascii="Arial" w:cs="Arial" w:eastAsia="Arial" w:hAnsi="Arial"/>
                <w:sz w:val="17"/>
                <w:szCs w:val="17"/>
                <w:color w:val="auto"/>
              </w:rPr>
              <w:t>Current contract costs</w:t>
            </w:r>
          </w:p>
        </w:tc>
        <w:tc>
          <w:tcPr>
            <w:tcW w:w="280" w:type="dxa"/>
            <w:vAlign w:val="bottom"/>
          </w:tcPr>
          <w:p>
            <w:pPr>
              <w:spacing w:after="0"/>
              <w:rPr>
                <w:sz w:val="18"/>
                <w:szCs w:val="18"/>
                <w:color w:val="auto"/>
              </w:rPr>
            </w:pPr>
          </w:p>
        </w:tc>
        <w:tc>
          <w:tcPr>
            <w:tcW w:w="1300" w:type="dxa"/>
            <w:vAlign w:val="bottom"/>
          </w:tcPr>
          <w:p>
            <w:pPr>
              <w:jc w:val="right"/>
              <w:spacing w:after="0"/>
              <w:rPr>
                <w:sz w:val="20"/>
                <w:szCs w:val="20"/>
                <w:color w:val="auto"/>
              </w:rPr>
            </w:pPr>
            <w:r>
              <w:rPr>
                <w:rFonts w:ascii="Arial" w:cs="Arial" w:eastAsia="Arial" w:hAnsi="Arial"/>
                <w:sz w:val="17"/>
                <w:szCs w:val="17"/>
                <w:color w:val="auto"/>
              </w:rPr>
              <w:t>22,620</w:t>
            </w:r>
          </w:p>
        </w:tc>
        <w:tc>
          <w:tcPr>
            <w:tcW w:w="2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360" w:type="dxa"/>
            <w:vAlign w:val="bottom"/>
          </w:tcPr>
          <w:p>
            <w:pPr>
              <w:jc w:val="right"/>
              <w:spacing w:after="0"/>
              <w:rPr>
                <w:sz w:val="20"/>
                <w:szCs w:val="20"/>
                <w:color w:val="auto"/>
              </w:rPr>
            </w:pPr>
            <w:r>
              <w:rPr>
                <w:rFonts w:ascii="Arial" w:cs="Arial" w:eastAsia="Arial" w:hAnsi="Arial"/>
                <w:sz w:val="17"/>
                <w:szCs w:val="17"/>
                <w:color w:val="auto"/>
              </w:rPr>
              <w:t>13,436</w:t>
            </w:r>
          </w:p>
        </w:tc>
        <w:tc>
          <w:tcPr>
            <w:tcW w:w="120" w:type="dxa"/>
            <w:vAlign w:val="bottom"/>
          </w:tcPr>
          <w:p>
            <w:pPr>
              <w:spacing w:after="0"/>
              <w:rPr>
                <w:sz w:val="18"/>
                <w:szCs w:val="18"/>
                <w:color w:val="auto"/>
              </w:rPr>
            </w:pPr>
          </w:p>
        </w:tc>
      </w:tr>
      <w:tr>
        <w:trPr>
          <w:trHeight w:val="215"/>
        </w:trPr>
        <w:tc>
          <w:tcPr>
            <w:tcW w:w="7860" w:type="dxa"/>
            <w:vAlign w:val="bottom"/>
            <w:shd w:val="clear" w:color="auto" w:fill="CFF0FC"/>
          </w:tcPr>
          <w:p>
            <w:pPr>
              <w:ind w:left="260"/>
              <w:spacing w:after="0"/>
              <w:rPr>
                <w:sz w:val="20"/>
                <w:szCs w:val="20"/>
                <w:color w:val="auto"/>
              </w:rPr>
            </w:pPr>
            <w:r>
              <w:rPr>
                <w:rFonts w:ascii="Arial" w:cs="Arial" w:eastAsia="Arial" w:hAnsi="Arial"/>
                <w:sz w:val="17"/>
                <w:szCs w:val="17"/>
                <w:color w:val="auto"/>
              </w:rPr>
              <w:t>Other current assets</w:t>
            </w:r>
          </w:p>
        </w:tc>
        <w:tc>
          <w:tcPr>
            <w:tcW w:w="280" w:type="dxa"/>
            <w:vAlign w:val="bottom"/>
            <w:tcBorders>
              <w:bottom w:val="single" w:sz="8" w:color="auto"/>
            </w:tcBorders>
            <w:shd w:val="clear" w:color="auto" w:fill="CFF0FC"/>
          </w:tcPr>
          <w:p>
            <w:pPr>
              <w:spacing w:after="0"/>
              <w:rPr>
                <w:sz w:val="18"/>
                <w:szCs w:val="18"/>
                <w:color w:val="auto"/>
              </w:rPr>
            </w:pPr>
          </w:p>
        </w:tc>
        <w:tc>
          <w:tcPr>
            <w:tcW w:w="13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7"/>
                <w:szCs w:val="17"/>
                <w:color w:val="auto"/>
              </w:rPr>
              <w:t>23,077</w:t>
            </w:r>
          </w:p>
        </w:tc>
        <w:tc>
          <w:tcPr>
            <w:tcW w:w="280" w:type="dxa"/>
            <w:vAlign w:val="bottom"/>
            <w:shd w:val="clear" w:color="auto" w:fill="CFF0FC"/>
          </w:tcPr>
          <w:p>
            <w:pPr>
              <w:spacing w:after="0"/>
              <w:rPr>
                <w:sz w:val="18"/>
                <w:szCs w:val="18"/>
                <w:color w:val="auto"/>
              </w:rPr>
            </w:pPr>
          </w:p>
        </w:tc>
        <w:tc>
          <w:tcPr>
            <w:tcW w:w="20" w:type="dxa"/>
            <w:vAlign w:val="bottom"/>
            <w:shd w:val="clear" w:color="auto" w:fill="CFF0FC"/>
          </w:tcPr>
          <w:p>
            <w:pPr>
              <w:spacing w:after="0"/>
              <w:rPr>
                <w:sz w:val="18"/>
                <w:szCs w:val="18"/>
                <w:color w:val="auto"/>
              </w:rPr>
            </w:pPr>
          </w:p>
        </w:tc>
        <w:tc>
          <w:tcPr>
            <w:tcW w:w="200" w:type="dxa"/>
            <w:vAlign w:val="bottom"/>
            <w:tcBorders>
              <w:bottom w:val="single" w:sz="8" w:color="auto"/>
            </w:tcBorders>
            <w:shd w:val="clear" w:color="auto" w:fill="CFF0FC"/>
          </w:tcPr>
          <w:p>
            <w:pPr>
              <w:spacing w:after="0"/>
              <w:rPr>
                <w:sz w:val="18"/>
                <w:szCs w:val="18"/>
                <w:color w:val="auto"/>
              </w:rPr>
            </w:pPr>
          </w:p>
        </w:tc>
        <w:tc>
          <w:tcPr>
            <w:tcW w:w="13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7"/>
                <w:szCs w:val="17"/>
                <w:color w:val="auto"/>
              </w:rPr>
              <w:t>19,741</w:t>
            </w:r>
          </w:p>
        </w:tc>
        <w:tc>
          <w:tcPr>
            <w:tcW w:w="120" w:type="dxa"/>
            <w:vAlign w:val="bottom"/>
            <w:shd w:val="clear" w:color="auto" w:fill="CFF0FC"/>
          </w:tcPr>
          <w:p>
            <w:pPr>
              <w:spacing w:after="0"/>
              <w:rPr>
                <w:sz w:val="18"/>
                <w:szCs w:val="18"/>
                <w:color w:val="auto"/>
              </w:rPr>
            </w:pPr>
          </w:p>
        </w:tc>
      </w:tr>
      <w:tr>
        <w:trPr>
          <w:trHeight w:val="209"/>
        </w:trPr>
        <w:tc>
          <w:tcPr>
            <w:tcW w:w="7860" w:type="dxa"/>
            <w:vAlign w:val="bottom"/>
          </w:tcPr>
          <w:p>
            <w:pPr>
              <w:spacing w:after="0"/>
              <w:rPr>
                <w:sz w:val="20"/>
                <w:szCs w:val="20"/>
                <w:color w:val="auto"/>
              </w:rPr>
            </w:pPr>
            <w:r>
              <w:rPr>
                <w:rFonts w:ascii="Arial" w:cs="Arial" w:eastAsia="Arial" w:hAnsi="Arial"/>
                <w:sz w:val="17"/>
                <w:szCs w:val="17"/>
                <w:b w:val="1"/>
                <w:bCs w:val="1"/>
                <w:color w:val="auto"/>
              </w:rPr>
              <w:t>Total current assets</w:t>
            </w:r>
          </w:p>
        </w:tc>
        <w:tc>
          <w:tcPr>
            <w:tcW w:w="280" w:type="dxa"/>
            <w:vAlign w:val="bottom"/>
          </w:tcPr>
          <w:p>
            <w:pPr>
              <w:spacing w:after="0"/>
              <w:rPr>
                <w:sz w:val="18"/>
                <w:szCs w:val="18"/>
                <w:color w:val="auto"/>
              </w:rPr>
            </w:pPr>
          </w:p>
        </w:tc>
        <w:tc>
          <w:tcPr>
            <w:tcW w:w="1300" w:type="dxa"/>
            <w:vAlign w:val="bottom"/>
          </w:tcPr>
          <w:p>
            <w:pPr>
              <w:jc w:val="right"/>
              <w:spacing w:after="0"/>
              <w:rPr>
                <w:sz w:val="20"/>
                <w:szCs w:val="20"/>
                <w:color w:val="auto"/>
              </w:rPr>
            </w:pPr>
            <w:r>
              <w:rPr>
                <w:rFonts w:ascii="Arial" w:cs="Arial" w:eastAsia="Arial" w:hAnsi="Arial"/>
                <w:sz w:val="17"/>
                <w:szCs w:val="17"/>
                <w:color w:val="auto"/>
              </w:rPr>
              <w:t>223,835</w:t>
            </w:r>
          </w:p>
        </w:tc>
        <w:tc>
          <w:tcPr>
            <w:tcW w:w="2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360" w:type="dxa"/>
            <w:vAlign w:val="bottom"/>
          </w:tcPr>
          <w:p>
            <w:pPr>
              <w:jc w:val="right"/>
              <w:spacing w:after="0"/>
              <w:rPr>
                <w:sz w:val="20"/>
                <w:szCs w:val="20"/>
                <w:color w:val="auto"/>
              </w:rPr>
            </w:pPr>
            <w:r>
              <w:rPr>
                <w:rFonts w:ascii="Arial" w:cs="Arial" w:eastAsia="Arial" w:hAnsi="Arial"/>
                <w:sz w:val="17"/>
                <w:szCs w:val="17"/>
                <w:color w:val="auto"/>
              </w:rPr>
              <w:t>209,261</w:t>
            </w:r>
          </w:p>
        </w:tc>
        <w:tc>
          <w:tcPr>
            <w:tcW w:w="120" w:type="dxa"/>
            <w:vAlign w:val="bottom"/>
          </w:tcPr>
          <w:p>
            <w:pPr>
              <w:spacing w:after="0"/>
              <w:rPr>
                <w:sz w:val="18"/>
                <w:szCs w:val="18"/>
                <w:color w:val="auto"/>
              </w:rPr>
            </w:pPr>
          </w:p>
        </w:tc>
      </w:tr>
      <w:tr>
        <w:trPr>
          <w:trHeight w:val="215"/>
        </w:trPr>
        <w:tc>
          <w:tcPr>
            <w:tcW w:w="7860" w:type="dxa"/>
            <w:vAlign w:val="bottom"/>
            <w:shd w:val="clear" w:color="auto" w:fill="CFF0FC"/>
          </w:tcPr>
          <w:p>
            <w:pPr>
              <w:spacing w:after="0"/>
              <w:rPr>
                <w:sz w:val="20"/>
                <w:szCs w:val="20"/>
                <w:color w:val="auto"/>
              </w:rPr>
            </w:pPr>
            <w:r>
              <w:rPr>
                <w:rFonts w:ascii="Arial" w:cs="Arial" w:eastAsia="Arial" w:hAnsi="Arial"/>
                <w:sz w:val="17"/>
                <w:szCs w:val="17"/>
                <w:color w:val="auto"/>
              </w:rPr>
              <w:t>Property and equipment, net</w:t>
            </w:r>
          </w:p>
        </w:tc>
        <w:tc>
          <w:tcPr>
            <w:tcW w:w="280" w:type="dxa"/>
            <w:vAlign w:val="bottom"/>
            <w:shd w:val="clear" w:color="auto" w:fill="CFF0FC"/>
          </w:tcPr>
          <w:p>
            <w:pPr>
              <w:spacing w:after="0"/>
              <w:rPr>
                <w:sz w:val="18"/>
                <w:szCs w:val="18"/>
                <w:color w:val="auto"/>
              </w:rPr>
            </w:pPr>
          </w:p>
        </w:tc>
        <w:tc>
          <w:tcPr>
            <w:tcW w:w="1300" w:type="dxa"/>
            <w:vAlign w:val="bottom"/>
            <w:shd w:val="clear" w:color="auto" w:fill="CFF0FC"/>
          </w:tcPr>
          <w:p>
            <w:pPr>
              <w:jc w:val="right"/>
              <w:spacing w:after="0"/>
              <w:rPr>
                <w:sz w:val="20"/>
                <w:szCs w:val="20"/>
                <w:color w:val="auto"/>
              </w:rPr>
            </w:pPr>
            <w:r>
              <w:rPr>
                <w:rFonts w:ascii="Arial" w:cs="Arial" w:eastAsia="Arial" w:hAnsi="Arial"/>
                <w:sz w:val="17"/>
                <w:szCs w:val="17"/>
                <w:color w:val="auto"/>
              </w:rPr>
              <w:t>316,879</w:t>
            </w:r>
          </w:p>
        </w:tc>
        <w:tc>
          <w:tcPr>
            <w:tcW w:w="280" w:type="dxa"/>
            <w:vAlign w:val="bottom"/>
            <w:shd w:val="clear" w:color="auto" w:fill="CFF0FC"/>
          </w:tcPr>
          <w:p>
            <w:pPr>
              <w:spacing w:after="0"/>
              <w:rPr>
                <w:sz w:val="18"/>
                <w:szCs w:val="18"/>
                <w:color w:val="auto"/>
              </w:rPr>
            </w:pPr>
          </w:p>
        </w:tc>
        <w:tc>
          <w:tcPr>
            <w:tcW w:w="20" w:type="dxa"/>
            <w:vAlign w:val="bottom"/>
            <w:shd w:val="clear" w:color="auto" w:fill="CFF0FC"/>
          </w:tcPr>
          <w:p>
            <w:pPr>
              <w:spacing w:after="0"/>
              <w:rPr>
                <w:sz w:val="18"/>
                <w:szCs w:val="18"/>
                <w:color w:val="auto"/>
              </w:rPr>
            </w:pPr>
          </w:p>
        </w:tc>
        <w:tc>
          <w:tcPr>
            <w:tcW w:w="200" w:type="dxa"/>
            <w:vAlign w:val="bottom"/>
            <w:shd w:val="clear" w:color="auto" w:fill="CFF0FC"/>
          </w:tcPr>
          <w:p>
            <w:pPr>
              <w:spacing w:after="0"/>
              <w:rPr>
                <w:sz w:val="18"/>
                <w:szCs w:val="18"/>
                <w:color w:val="auto"/>
              </w:rPr>
            </w:pPr>
          </w:p>
        </w:tc>
        <w:tc>
          <w:tcPr>
            <w:tcW w:w="1360" w:type="dxa"/>
            <w:vAlign w:val="bottom"/>
            <w:shd w:val="clear" w:color="auto" w:fill="CFF0FC"/>
          </w:tcPr>
          <w:p>
            <w:pPr>
              <w:jc w:val="right"/>
              <w:spacing w:after="0"/>
              <w:rPr>
                <w:sz w:val="20"/>
                <w:szCs w:val="20"/>
                <w:color w:val="auto"/>
              </w:rPr>
            </w:pPr>
            <w:r>
              <w:rPr>
                <w:rFonts w:ascii="Arial" w:cs="Arial" w:eastAsia="Arial" w:hAnsi="Arial"/>
                <w:sz w:val="17"/>
                <w:szCs w:val="17"/>
                <w:color w:val="auto"/>
              </w:rPr>
              <w:t>305,571</w:t>
            </w:r>
          </w:p>
        </w:tc>
        <w:tc>
          <w:tcPr>
            <w:tcW w:w="120" w:type="dxa"/>
            <w:vAlign w:val="bottom"/>
            <w:shd w:val="clear" w:color="auto" w:fill="CFF0FC"/>
          </w:tcPr>
          <w:p>
            <w:pPr>
              <w:spacing w:after="0"/>
              <w:rPr>
                <w:sz w:val="18"/>
                <w:szCs w:val="18"/>
                <w:color w:val="auto"/>
              </w:rPr>
            </w:pPr>
          </w:p>
        </w:tc>
      </w:tr>
      <w:tr>
        <w:trPr>
          <w:trHeight w:val="215"/>
        </w:trPr>
        <w:tc>
          <w:tcPr>
            <w:tcW w:w="7860" w:type="dxa"/>
            <w:vAlign w:val="bottom"/>
          </w:tcPr>
          <w:p>
            <w:pPr>
              <w:spacing w:after="0"/>
              <w:rPr>
                <w:sz w:val="20"/>
                <w:szCs w:val="20"/>
                <w:color w:val="auto"/>
              </w:rPr>
            </w:pPr>
            <w:r>
              <w:rPr>
                <w:rFonts w:ascii="Arial" w:cs="Arial" w:eastAsia="Arial" w:hAnsi="Arial"/>
                <w:sz w:val="17"/>
                <w:szCs w:val="17"/>
                <w:color w:val="auto"/>
              </w:rPr>
              <w:t>Other investments and assets</w:t>
            </w:r>
          </w:p>
        </w:tc>
        <w:tc>
          <w:tcPr>
            <w:tcW w:w="280" w:type="dxa"/>
            <w:vAlign w:val="bottom"/>
          </w:tcPr>
          <w:p>
            <w:pPr>
              <w:spacing w:after="0"/>
              <w:rPr>
                <w:sz w:val="18"/>
                <w:szCs w:val="18"/>
                <w:color w:val="auto"/>
              </w:rPr>
            </w:pPr>
          </w:p>
        </w:tc>
        <w:tc>
          <w:tcPr>
            <w:tcW w:w="1300" w:type="dxa"/>
            <w:vAlign w:val="bottom"/>
          </w:tcPr>
          <w:p>
            <w:pPr>
              <w:jc w:val="right"/>
              <w:spacing w:after="0"/>
              <w:rPr>
                <w:sz w:val="20"/>
                <w:szCs w:val="20"/>
                <w:color w:val="auto"/>
              </w:rPr>
            </w:pPr>
            <w:r>
              <w:rPr>
                <w:rFonts w:ascii="Arial" w:cs="Arial" w:eastAsia="Arial" w:hAnsi="Arial"/>
                <w:sz w:val="17"/>
                <w:szCs w:val="17"/>
                <w:color w:val="auto"/>
              </w:rPr>
              <w:t>48,789</w:t>
            </w:r>
          </w:p>
        </w:tc>
        <w:tc>
          <w:tcPr>
            <w:tcW w:w="2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360" w:type="dxa"/>
            <w:vAlign w:val="bottom"/>
          </w:tcPr>
          <w:p>
            <w:pPr>
              <w:jc w:val="right"/>
              <w:spacing w:after="0"/>
              <w:rPr>
                <w:sz w:val="20"/>
                <w:szCs w:val="20"/>
                <w:color w:val="auto"/>
              </w:rPr>
            </w:pPr>
            <w:r>
              <w:rPr>
                <w:rFonts w:ascii="Arial" w:cs="Arial" w:eastAsia="Arial" w:hAnsi="Arial"/>
                <w:sz w:val="17"/>
                <w:szCs w:val="17"/>
                <w:color w:val="auto"/>
              </w:rPr>
              <w:t>48,187</w:t>
            </w:r>
          </w:p>
        </w:tc>
        <w:tc>
          <w:tcPr>
            <w:tcW w:w="120" w:type="dxa"/>
            <w:vAlign w:val="bottom"/>
          </w:tcPr>
          <w:p>
            <w:pPr>
              <w:spacing w:after="0"/>
              <w:rPr>
                <w:sz w:val="18"/>
                <w:szCs w:val="18"/>
                <w:color w:val="auto"/>
              </w:rPr>
            </w:pPr>
          </w:p>
        </w:tc>
      </w:tr>
      <w:tr>
        <w:trPr>
          <w:trHeight w:val="215"/>
        </w:trPr>
        <w:tc>
          <w:tcPr>
            <w:tcW w:w="7860" w:type="dxa"/>
            <w:vAlign w:val="bottom"/>
            <w:shd w:val="clear" w:color="auto" w:fill="CFF0FC"/>
          </w:tcPr>
          <w:p>
            <w:pPr>
              <w:spacing w:after="0"/>
              <w:rPr>
                <w:sz w:val="20"/>
                <w:szCs w:val="20"/>
                <w:color w:val="auto"/>
              </w:rPr>
            </w:pPr>
            <w:r>
              <w:rPr>
                <w:rFonts w:ascii="Arial" w:cs="Arial" w:eastAsia="Arial" w:hAnsi="Arial"/>
                <w:sz w:val="17"/>
                <w:szCs w:val="17"/>
                <w:color w:val="auto"/>
              </w:rPr>
              <w:t>Deferred income taxes</w:t>
            </w:r>
          </w:p>
        </w:tc>
        <w:tc>
          <w:tcPr>
            <w:tcW w:w="280" w:type="dxa"/>
            <w:vAlign w:val="bottom"/>
            <w:shd w:val="clear" w:color="auto" w:fill="CFF0FC"/>
          </w:tcPr>
          <w:p>
            <w:pPr>
              <w:spacing w:after="0"/>
              <w:rPr>
                <w:sz w:val="18"/>
                <w:szCs w:val="18"/>
                <w:color w:val="auto"/>
              </w:rPr>
            </w:pPr>
          </w:p>
        </w:tc>
        <w:tc>
          <w:tcPr>
            <w:tcW w:w="1300" w:type="dxa"/>
            <w:vAlign w:val="bottom"/>
            <w:shd w:val="clear" w:color="auto" w:fill="CFF0FC"/>
          </w:tcPr>
          <w:p>
            <w:pPr>
              <w:jc w:val="right"/>
              <w:spacing w:after="0"/>
              <w:rPr>
                <w:sz w:val="20"/>
                <w:szCs w:val="20"/>
                <w:color w:val="auto"/>
              </w:rPr>
            </w:pPr>
            <w:r>
              <w:rPr>
                <w:rFonts w:ascii="Arial" w:cs="Arial" w:eastAsia="Arial" w:hAnsi="Arial"/>
                <w:sz w:val="17"/>
                <w:szCs w:val="17"/>
                <w:color w:val="auto"/>
              </w:rPr>
              <w:t>28,055</w:t>
            </w:r>
          </w:p>
        </w:tc>
        <w:tc>
          <w:tcPr>
            <w:tcW w:w="280" w:type="dxa"/>
            <w:vAlign w:val="bottom"/>
            <w:shd w:val="clear" w:color="auto" w:fill="CFF0FC"/>
          </w:tcPr>
          <w:p>
            <w:pPr>
              <w:spacing w:after="0"/>
              <w:rPr>
                <w:sz w:val="18"/>
                <w:szCs w:val="18"/>
                <w:color w:val="auto"/>
              </w:rPr>
            </w:pPr>
          </w:p>
        </w:tc>
        <w:tc>
          <w:tcPr>
            <w:tcW w:w="20" w:type="dxa"/>
            <w:vAlign w:val="bottom"/>
            <w:shd w:val="clear" w:color="auto" w:fill="CFF0FC"/>
          </w:tcPr>
          <w:p>
            <w:pPr>
              <w:spacing w:after="0"/>
              <w:rPr>
                <w:sz w:val="18"/>
                <w:szCs w:val="18"/>
                <w:color w:val="auto"/>
              </w:rPr>
            </w:pPr>
          </w:p>
        </w:tc>
        <w:tc>
          <w:tcPr>
            <w:tcW w:w="200" w:type="dxa"/>
            <w:vAlign w:val="bottom"/>
            <w:shd w:val="clear" w:color="auto" w:fill="CFF0FC"/>
          </w:tcPr>
          <w:p>
            <w:pPr>
              <w:spacing w:after="0"/>
              <w:rPr>
                <w:sz w:val="18"/>
                <w:szCs w:val="18"/>
                <w:color w:val="auto"/>
              </w:rPr>
            </w:pPr>
          </w:p>
        </w:tc>
        <w:tc>
          <w:tcPr>
            <w:tcW w:w="1360" w:type="dxa"/>
            <w:vAlign w:val="bottom"/>
            <w:shd w:val="clear" w:color="auto" w:fill="CFF0FC"/>
          </w:tcPr>
          <w:p>
            <w:pPr>
              <w:jc w:val="right"/>
              <w:spacing w:after="0"/>
              <w:rPr>
                <w:sz w:val="20"/>
                <w:szCs w:val="20"/>
                <w:color w:val="auto"/>
              </w:rPr>
            </w:pPr>
            <w:r>
              <w:rPr>
                <w:rFonts w:ascii="Arial" w:cs="Arial" w:eastAsia="Arial" w:hAnsi="Arial"/>
                <w:sz w:val="17"/>
                <w:szCs w:val="17"/>
                <w:color w:val="auto"/>
              </w:rPr>
              <w:t>23,548</w:t>
            </w:r>
          </w:p>
        </w:tc>
        <w:tc>
          <w:tcPr>
            <w:tcW w:w="120" w:type="dxa"/>
            <w:vAlign w:val="bottom"/>
            <w:shd w:val="clear" w:color="auto" w:fill="CFF0FC"/>
          </w:tcPr>
          <w:p>
            <w:pPr>
              <w:spacing w:after="0"/>
              <w:rPr>
                <w:sz w:val="18"/>
                <w:szCs w:val="18"/>
                <w:color w:val="auto"/>
              </w:rPr>
            </w:pPr>
          </w:p>
        </w:tc>
      </w:tr>
      <w:tr>
        <w:trPr>
          <w:trHeight w:val="215"/>
        </w:trPr>
        <w:tc>
          <w:tcPr>
            <w:tcW w:w="7860" w:type="dxa"/>
            <w:vAlign w:val="bottom"/>
          </w:tcPr>
          <w:p>
            <w:pPr>
              <w:spacing w:after="0"/>
              <w:rPr>
                <w:sz w:val="20"/>
                <w:szCs w:val="20"/>
                <w:color w:val="auto"/>
              </w:rPr>
            </w:pPr>
            <w:r>
              <w:rPr>
                <w:rFonts w:ascii="Arial" w:cs="Arial" w:eastAsia="Arial" w:hAnsi="Arial"/>
                <w:sz w:val="17"/>
                <w:szCs w:val="17"/>
                <w:color w:val="auto"/>
              </w:rPr>
              <w:t>Goodwill</w:t>
            </w:r>
          </w:p>
        </w:tc>
        <w:tc>
          <w:tcPr>
            <w:tcW w:w="280" w:type="dxa"/>
            <w:vAlign w:val="bottom"/>
          </w:tcPr>
          <w:p>
            <w:pPr>
              <w:spacing w:after="0"/>
              <w:rPr>
                <w:sz w:val="18"/>
                <w:szCs w:val="18"/>
                <w:color w:val="auto"/>
              </w:rPr>
            </w:pPr>
          </w:p>
        </w:tc>
        <w:tc>
          <w:tcPr>
            <w:tcW w:w="1300" w:type="dxa"/>
            <w:vAlign w:val="bottom"/>
          </w:tcPr>
          <w:p>
            <w:pPr>
              <w:jc w:val="right"/>
              <w:spacing w:after="0"/>
              <w:rPr>
                <w:sz w:val="20"/>
                <w:szCs w:val="20"/>
                <w:color w:val="auto"/>
              </w:rPr>
            </w:pPr>
            <w:r>
              <w:rPr>
                <w:rFonts w:ascii="Arial" w:cs="Arial" w:eastAsia="Arial" w:hAnsi="Arial"/>
                <w:sz w:val="17"/>
                <w:szCs w:val="17"/>
                <w:color w:val="auto"/>
              </w:rPr>
              <w:t>269,794</w:t>
            </w:r>
          </w:p>
        </w:tc>
        <w:tc>
          <w:tcPr>
            <w:tcW w:w="2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360" w:type="dxa"/>
            <w:vAlign w:val="bottom"/>
          </w:tcPr>
          <w:p>
            <w:pPr>
              <w:jc w:val="right"/>
              <w:spacing w:after="0"/>
              <w:rPr>
                <w:sz w:val="20"/>
                <w:szCs w:val="20"/>
                <w:color w:val="auto"/>
              </w:rPr>
            </w:pPr>
            <w:r>
              <w:rPr>
                <w:rFonts w:ascii="Arial" w:cs="Arial" w:eastAsia="Arial" w:hAnsi="Arial"/>
                <w:sz w:val="17"/>
                <w:szCs w:val="17"/>
                <w:color w:val="auto"/>
              </w:rPr>
              <w:t>270,551</w:t>
            </w:r>
          </w:p>
        </w:tc>
        <w:tc>
          <w:tcPr>
            <w:tcW w:w="120" w:type="dxa"/>
            <w:vAlign w:val="bottom"/>
          </w:tcPr>
          <w:p>
            <w:pPr>
              <w:spacing w:after="0"/>
              <w:rPr>
                <w:sz w:val="18"/>
                <w:szCs w:val="18"/>
                <w:color w:val="auto"/>
              </w:rPr>
            </w:pPr>
          </w:p>
        </w:tc>
      </w:tr>
      <w:tr>
        <w:trPr>
          <w:trHeight w:val="215"/>
        </w:trPr>
        <w:tc>
          <w:tcPr>
            <w:tcW w:w="7860" w:type="dxa"/>
            <w:vAlign w:val="bottom"/>
            <w:shd w:val="clear" w:color="auto" w:fill="CFF0FC"/>
          </w:tcPr>
          <w:p>
            <w:pPr>
              <w:spacing w:after="0"/>
              <w:rPr>
                <w:sz w:val="20"/>
                <w:szCs w:val="20"/>
                <w:color w:val="auto"/>
              </w:rPr>
            </w:pPr>
            <w:r>
              <w:rPr>
                <w:rFonts w:ascii="Arial" w:cs="Arial" w:eastAsia="Arial" w:hAnsi="Arial"/>
                <w:sz w:val="17"/>
                <w:szCs w:val="17"/>
                <w:color w:val="auto"/>
              </w:rPr>
              <w:t>Other intangible assets, net</w:t>
            </w:r>
          </w:p>
        </w:tc>
        <w:tc>
          <w:tcPr>
            <w:tcW w:w="280" w:type="dxa"/>
            <w:vAlign w:val="bottom"/>
            <w:tcBorders>
              <w:bottom w:val="single" w:sz="8" w:color="auto"/>
            </w:tcBorders>
            <w:shd w:val="clear" w:color="auto" w:fill="CFF0FC"/>
          </w:tcPr>
          <w:p>
            <w:pPr>
              <w:spacing w:after="0"/>
              <w:rPr>
                <w:sz w:val="18"/>
                <w:szCs w:val="18"/>
                <w:color w:val="auto"/>
              </w:rPr>
            </w:pPr>
          </w:p>
        </w:tc>
        <w:tc>
          <w:tcPr>
            <w:tcW w:w="13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7"/>
                <w:szCs w:val="17"/>
                <w:color w:val="auto"/>
              </w:rPr>
              <w:t>60,795</w:t>
            </w:r>
          </w:p>
        </w:tc>
        <w:tc>
          <w:tcPr>
            <w:tcW w:w="280" w:type="dxa"/>
            <w:vAlign w:val="bottom"/>
            <w:shd w:val="clear" w:color="auto" w:fill="CFF0FC"/>
          </w:tcPr>
          <w:p>
            <w:pPr>
              <w:spacing w:after="0"/>
              <w:rPr>
                <w:sz w:val="18"/>
                <w:szCs w:val="18"/>
                <w:color w:val="auto"/>
              </w:rPr>
            </w:pPr>
          </w:p>
        </w:tc>
        <w:tc>
          <w:tcPr>
            <w:tcW w:w="20" w:type="dxa"/>
            <w:vAlign w:val="bottom"/>
            <w:shd w:val="clear" w:color="auto" w:fill="CFF0FC"/>
          </w:tcPr>
          <w:p>
            <w:pPr>
              <w:spacing w:after="0"/>
              <w:rPr>
                <w:sz w:val="18"/>
                <w:szCs w:val="18"/>
                <w:color w:val="auto"/>
              </w:rPr>
            </w:pPr>
          </w:p>
        </w:tc>
        <w:tc>
          <w:tcPr>
            <w:tcW w:w="200" w:type="dxa"/>
            <w:vAlign w:val="bottom"/>
            <w:tcBorders>
              <w:bottom w:val="single" w:sz="8" w:color="auto"/>
            </w:tcBorders>
            <w:shd w:val="clear" w:color="auto" w:fill="CFF0FC"/>
          </w:tcPr>
          <w:p>
            <w:pPr>
              <w:spacing w:after="0"/>
              <w:rPr>
                <w:sz w:val="18"/>
                <w:szCs w:val="18"/>
                <w:color w:val="auto"/>
              </w:rPr>
            </w:pPr>
          </w:p>
        </w:tc>
        <w:tc>
          <w:tcPr>
            <w:tcW w:w="13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7"/>
                <w:szCs w:val="17"/>
                <w:color w:val="auto"/>
              </w:rPr>
              <w:t>62,781</w:t>
            </w:r>
          </w:p>
        </w:tc>
        <w:tc>
          <w:tcPr>
            <w:tcW w:w="120" w:type="dxa"/>
            <w:vAlign w:val="bottom"/>
            <w:shd w:val="clear" w:color="auto" w:fill="CFF0FC"/>
          </w:tcPr>
          <w:p>
            <w:pPr>
              <w:spacing w:after="0"/>
              <w:rPr>
                <w:sz w:val="18"/>
                <w:szCs w:val="18"/>
                <w:color w:val="auto"/>
              </w:rPr>
            </w:pPr>
          </w:p>
        </w:tc>
      </w:tr>
      <w:tr>
        <w:trPr>
          <w:trHeight w:val="249"/>
        </w:trPr>
        <w:tc>
          <w:tcPr>
            <w:tcW w:w="7860" w:type="dxa"/>
            <w:vAlign w:val="bottom"/>
            <w:tcBorders>
              <w:bottom w:val="single" w:sz="8" w:color="CFF0FC"/>
            </w:tcBorders>
          </w:tcPr>
          <w:p>
            <w:pPr>
              <w:spacing w:after="0"/>
              <w:rPr>
                <w:sz w:val="20"/>
                <w:szCs w:val="20"/>
                <w:color w:val="auto"/>
              </w:rPr>
            </w:pPr>
            <w:r>
              <w:rPr>
                <w:rFonts w:ascii="Arial" w:cs="Arial" w:eastAsia="Arial" w:hAnsi="Arial"/>
                <w:sz w:val="17"/>
                <w:szCs w:val="17"/>
                <w:b w:val="1"/>
                <w:bCs w:val="1"/>
                <w:color w:val="auto"/>
              </w:rPr>
              <w:t>Total Assets</w:t>
            </w:r>
          </w:p>
        </w:tc>
        <w:tc>
          <w:tcPr>
            <w:tcW w:w="280" w:type="dxa"/>
            <w:vAlign w:val="bottom"/>
            <w:tcBorders>
              <w:bottom w:val="single" w:sz="8" w:color="auto"/>
            </w:tcBorders>
          </w:tcPr>
          <w:p>
            <w:pPr>
              <w:jc w:val="right"/>
              <w:ind w:right="126"/>
              <w:spacing w:after="0"/>
              <w:rPr>
                <w:sz w:val="20"/>
                <w:szCs w:val="20"/>
                <w:color w:val="auto"/>
              </w:rPr>
            </w:pPr>
            <w:r>
              <w:rPr>
                <w:rFonts w:ascii="Arial" w:cs="Arial" w:eastAsia="Arial" w:hAnsi="Arial"/>
                <w:sz w:val="15"/>
                <w:szCs w:val="15"/>
                <w:color w:val="auto"/>
                <w:w w:val="71"/>
              </w:rPr>
              <w:t>$</w:t>
            </w:r>
          </w:p>
        </w:tc>
        <w:tc>
          <w:tcPr>
            <w:tcW w:w="13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948,147</w:t>
            </w:r>
          </w:p>
        </w:tc>
        <w:tc>
          <w:tcPr>
            <w:tcW w:w="280" w:type="dxa"/>
            <w:vAlign w:val="bottom"/>
            <w:tcBorders>
              <w:bottom w:val="single" w:sz="8" w:color="CFF0FC"/>
            </w:tcBorders>
          </w:tcPr>
          <w:p>
            <w:pPr>
              <w:spacing w:after="0"/>
              <w:rPr>
                <w:sz w:val="21"/>
                <w:szCs w:val="21"/>
                <w:color w:val="auto"/>
              </w:rPr>
            </w:pPr>
          </w:p>
        </w:tc>
        <w:tc>
          <w:tcPr>
            <w:tcW w:w="20" w:type="dxa"/>
            <w:vAlign w:val="bottom"/>
            <w:tcBorders>
              <w:bottom w:val="single" w:sz="8" w:color="CFF0FC"/>
            </w:tcBorders>
          </w:tcPr>
          <w:p>
            <w:pPr>
              <w:spacing w:after="0"/>
              <w:rPr>
                <w:sz w:val="21"/>
                <w:szCs w:val="21"/>
                <w:color w:val="auto"/>
              </w:rPr>
            </w:pPr>
          </w:p>
        </w:tc>
        <w:tc>
          <w:tcPr>
            <w:tcW w:w="200" w:type="dxa"/>
            <w:vAlign w:val="bottom"/>
            <w:tcBorders>
              <w:bottom w:val="single" w:sz="8" w:color="auto"/>
            </w:tcBorders>
          </w:tcPr>
          <w:p>
            <w:pPr>
              <w:jc w:val="right"/>
              <w:ind w:right="92"/>
              <w:spacing w:after="0"/>
              <w:rPr>
                <w:sz w:val="20"/>
                <w:szCs w:val="20"/>
                <w:color w:val="auto"/>
              </w:rPr>
            </w:pPr>
            <w:r>
              <w:rPr>
                <w:rFonts w:ascii="Arial" w:cs="Arial" w:eastAsia="Arial" w:hAnsi="Arial"/>
                <w:sz w:val="10"/>
                <w:szCs w:val="10"/>
                <w:color w:val="auto"/>
                <w:w w:val="71"/>
              </w:rPr>
              <w:t>$</w:t>
            </w:r>
          </w:p>
        </w:tc>
        <w:tc>
          <w:tcPr>
            <w:tcW w:w="136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919,899</w:t>
            </w:r>
          </w:p>
        </w:tc>
        <w:tc>
          <w:tcPr>
            <w:tcW w:w="120" w:type="dxa"/>
            <w:vAlign w:val="bottom"/>
            <w:tcBorders>
              <w:bottom w:val="single" w:sz="8" w:color="CFF0FC"/>
            </w:tcBorders>
          </w:tcPr>
          <w:p>
            <w:pPr>
              <w:spacing w:after="0"/>
              <w:rPr>
                <w:sz w:val="21"/>
                <w:szCs w:val="21"/>
                <w:color w:val="auto"/>
              </w:rPr>
            </w:pPr>
          </w:p>
        </w:tc>
      </w:tr>
      <w:tr>
        <w:trPr>
          <w:trHeight w:val="195"/>
        </w:trPr>
        <w:tc>
          <w:tcPr>
            <w:tcW w:w="7860" w:type="dxa"/>
            <w:vAlign w:val="bottom"/>
            <w:shd w:val="clear" w:color="auto" w:fill="CFF0FC"/>
          </w:tcPr>
          <w:p>
            <w:pPr>
              <w:ind w:left="2520"/>
              <w:spacing w:after="0" w:line="192" w:lineRule="exact"/>
              <w:rPr>
                <w:sz w:val="20"/>
                <w:szCs w:val="20"/>
                <w:color w:val="auto"/>
              </w:rPr>
            </w:pPr>
            <w:r>
              <w:rPr>
                <w:rFonts w:ascii="Arial" w:cs="Arial" w:eastAsia="Arial" w:hAnsi="Arial"/>
                <w:sz w:val="17"/>
                <w:szCs w:val="17"/>
                <w:b w:val="1"/>
                <w:bCs w:val="1"/>
                <w:color w:val="auto"/>
              </w:rPr>
              <w:t>Liabilities and Stockholders’ Equity</w:t>
            </w:r>
          </w:p>
        </w:tc>
        <w:tc>
          <w:tcPr>
            <w:tcW w:w="280" w:type="dxa"/>
            <w:vAlign w:val="bottom"/>
            <w:shd w:val="clear" w:color="auto" w:fill="CFF0FC"/>
          </w:tcPr>
          <w:p>
            <w:pPr>
              <w:spacing w:after="0"/>
              <w:rPr>
                <w:sz w:val="16"/>
                <w:szCs w:val="16"/>
                <w:color w:val="auto"/>
              </w:rPr>
            </w:pPr>
          </w:p>
        </w:tc>
        <w:tc>
          <w:tcPr>
            <w:tcW w:w="1300" w:type="dxa"/>
            <w:vAlign w:val="bottom"/>
            <w:shd w:val="clear" w:color="auto" w:fill="CFF0FC"/>
          </w:tcPr>
          <w:p>
            <w:pPr>
              <w:spacing w:after="0"/>
              <w:rPr>
                <w:sz w:val="16"/>
                <w:szCs w:val="16"/>
                <w:color w:val="auto"/>
              </w:rPr>
            </w:pPr>
          </w:p>
        </w:tc>
        <w:tc>
          <w:tcPr>
            <w:tcW w:w="280" w:type="dxa"/>
            <w:vAlign w:val="bottom"/>
            <w:shd w:val="clear" w:color="auto" w:fill="CFF0FC"/>
          </w:tcPr>
          <w:p>
            <w:pPr>
              <w:spacing w:after="0"/>
              <w:rPr>
                <w:sz w:val="16"/>
                <w:szCs w:val="16"/>
                <w:color w:val="auto"/>
              </w:rPr>
            </w:pPr>
          </w:p>
        </w:tc>
        <w:tc>
          <w:tcPr>
            <w:tcW w:w="20" w:type="dxa"/>
            <w:vAlign w:val="bottom"/>
            <w:shd w:val="clear" w:color="auto" w:fill="CFF0FC"/>
          </w:tcPr>
          <w:p>
            <w:pPr>
              <w:spacing w:after="0"/>
              <w:rPr>
                <w:sz w:val="16"/>
                <w:szCs w:val="16"/>
                <w:color w:val="auto"/>
              </w:rPr>
            </w:pPr>
          </w:p>
        </w:tc>
        <w:tc>
          <w:tcPr>
            <w:tcW w:w="200" w:type="dxa"/>
            <w:vAlign w:val="bottom"/>
            <w:shd w:val="clear" w:color="auto" w:fill="CFF0FC"/>
          </w:tcPr>
          <w:p>
            <w:pPr>
              <w:spacing w:after="0"/>
              <w:rPr>
                <w:sz w:val="16"/>
                <w:szCs w:val="16"/>
                <w:color w:val="auto"/>
              </w:rPr>
            </w:pPr>
          </w:p>
        </w:tc>
        <w:tc>
          <w:tcPr>
            <w:tcW w:w="1360" w:type="dxa"/>
            <w:vAlign w:val="bottom"/>
            <w:shd w:val="clear" w:color="auto" w:fill="CFF0FC"/>
          </w:tcPr>
          <w:p>
            <w:pPr>
              <w:spacing w:after="0"/>
              <w:rPr>
                <w:sz w:val="16"/>
                <w:szCs w:val="16"/>
                <w:color w:val="auto"/>
              </w:rPr>
            </w:pPr>
          </w:p>
        </w:tc>
        <w:tc>
          <w:tcPr>
            <w:tcW w:w="120" w:type="dxa"/>
            <w:vAlign w:val="bottom"/>
            <w:shd w:val="clear" w:color="auto" w:fill="CFF0FC"/>
          </w:tcPr>
          <w:p>
            <w:pPr>
              <w:spacing w:after="0"/>
              <w:rPr>
                <w:sz w:val="16"/>
                <w:szCs w:val="16"/>
                <w:color w:val="auto"/>
              </w:rPr>
            </w:pPr>
          </w:p>
        </w:tc>
      </w:tr>
      <w:tr>
        <w:trPr>
          <w:trHeight w:val="215"/>
        </w:trPr>
        <w:tc>
          <w:tcPr>
            <w:tcW w:w="7860" w:type="dxa"/>
            <w:vAlign w:val="bottom"/>
          </w:tcPr>
          <w:p>
            <w:pPr>
              <w:spacing w:after="0"/>
              <w:rPr>
                <w:sz w:val="20"/>
                <w:szCs w:val="20"/>
                <w:color w:val="auto"/>
              </w:rPr>
            </w:pPr>
            <w:r>
              <w:rPr>
                <w:rFonts w:ascii="Arial" w:cs="Arial" w:eastAsia="Arial" w:hAnsi="Arial"/>
                <w:sz w:val="17"/>
                <w:szCs w:val="17"/>
                <w:b w:val="1"/>
                <w:bCs w:val="1"/>
                <w:color w:val="auto"/>
              </w:rPr>
              <w:t>Current liabilities</w:t>
            </w:r>
          </w:p>
        </w:tc>
        <w:tc>
          <w:tcPr>
            <w:tcW w:w="28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120" w:type="dxa"/>
            <w:vAlign w:val="bottom"/>
          </w:tcPr>
          <w:p>
            <w:pPr>
              <w:spacing w:after="0"/>
              <w:rPr>
                <w:sz w:val="18"/>
                <w:szCs w:val="18"/>
                <w:color w:val="auto"/>
              </w:rPr>
            </w:pPr>
          </w:p>
        </w:tc>
      </w:tr>
      <w:tr>
        <w:trPr>
          <w:trHeight w:val="215"/>
        </w:trPr>
        <w:tc>
          <w:tcPr>
            <w:tcW w:w="7860" w:type="dxa"/>
            <w:vAlign w:val="bottom"/>
            <w:shd w:val="clear" w:color="auto" w:fill="CFF0FC"/>
          </w:tcPr>
          <w:p>
            <w:pPr>
              <w:ind w:left="260"/>
              <w:spacing w:after="0"/>
              <w:rPr>
                <w:sz w:val="20"/>
                <w:szCs w:val="20"/>
                <w:color w:val="auto"/>
              </w:rPr>
            </w:pPr>
            <w:r>
              <w:rPr>
                <w:rFonts w:ascii="Arial" w:cs="Arial" w:eastAsia="Arial" w:hAnsi="Arial"/>
                <w:sz w:val="17"/>
                <w:szCs w:val="17"/>
                <w:color w:val="auto"/>
              </w:rPr>
              <w:t>Accounts payable</w:t>
            </w:r>
          </w:p>
        </w:tc>
        <w:tc>
          <w:tcPr>
            <w:tcW w:w="280" w:type="dxa"/>
            <w:vAlign w:val="bottom"/>
            <w:shd w:val="clear" w:color="auto" w:fill="CFF0FC"/>
          </w:tcPr>
          <w:p>
            <w:pPr>
              <w:jc w:val="right"/>
              <w:ind w:right="126"/>
              <w:spacing w:after="0"/>
              <w:rPr>
                <w:sz w:val="20"/>
                <w:szCs w:val="20"/>
                <w:color w:val="auto"/>
              </w:rPr>
            </w:pPr>
            <w:r>
              <w:rPr>
                <w:rFonts w:ascii="Arial" w:cs="Arial" w:eastAsia="Arial" w:hAnsi="Arial"/>
                <w:sz w:val="15"/>
                <w:szCs w:val="15"/>
                <w:color w:val="auto"/>
                <w:w w:val="71"/>
              </w:rPr>
              <w:t>$</w:t>
            </w:r>
          </w:p>
        </w:tc>
        <w:tc>
          <w:tcPr>
            <w:tcW w:w="1300" w:type="dxa"/>
            <w:vAlign w:val="bottom"/>
            <w:shd w:val="clear" w:color="auto" w:fill="CFF0FC"/>
          </w:tcPr>
          <w:p>
            <w:pPr>
              <w:jc w:val="right"/>
              <w:spacing w:after="0"/>
              <w:rPr>
                <w:sz w:val="20"/>
                <w:szCs w:val="20"/>
                <w:color w:val="auto"/>
              </w:rPr>
            </w:pPr>
            <w:r>
              <w:rPr>
                <w:rFonts w:ascii="Arial" w:cs="Arial" w:eastAsia="Arial" w:hAnsi="Arial"/>
                <w:sz w:val="17"/>
                <w:szCs w:val="17"/>
                <w:color w:val="auto"/>
              </w:rPr>
              <w:t>82,019</w:t>
            </w:r>
          </w:p>
        </w:tc>
        <w:tc>
          <w:tcPr>
            <w:tcW w:w="280" w:type="dxa"/>
            <w:vAlign w:val="bottom"/>
            <w:shd w:val="clear" w:color="auto" w:fill="CFF0FC"/>
          </w:tcPr>
          <w:p>
            <w:pPr>
              <w:spacing w:after="0"/>
              <w:rPr>
                <w:sz w:val="18"/>
                <w:szCs w:val="18"/>
                <w:color w:val="auto"/>
              </w:rPr>
            </w:pPr>
          </w:p>
        </w:tc>
        <w:tc>
          <w:tcPr>
            <w:tcW w:w="220" w:type="dxa"/>
            <w:vAlign w:val="bottom"/>
            <w:gridSpan w:val="2"/>
            <w:shd w:val="clear" w:color="auto" w:fill="CFF0FC"/>
          </w:tcPr>
          <w:p>
            <w:pPr>
              <w:jc w:val="right"/>
              <w:ind w:right="92"/>
              <w:spacing w:after="0"/>
              <w:rPr>
                <w:sz w:val="20"/>
                <w:szCs w:val="20"/>
                <w:color w:val="auto"/>
              </w:rPr>
            </w:pPr>
            <w:r>
              <w:rPr>
                <w:rFonts w:ascii="Arial" w:cs="Arial" w:eastAsia="Arial" w:hAnsi="Arial"/>
                <w:sz w:val="15"/>
                <w:szCs w:val="15"/>
                <w:color w:val="auto"/>
                <w:w w:val="71"/>
              </w:rPr>
              <w:t>$</w:t>
            </w:r>
          </w:p>
        </w:tc>
        <w:tc>
          <w:tcPr>
            <w:tcW w:w="1360" w:type="dxa"/>
            <w:vAlign w:val="bottom"/>
            <w:shd w:val="clear" w:color="auto" w:fill="CFF0FC"/>
          </w:tcPr>
          <w:p>
            <w:pPr>
              <w:jc w:val="right"/>
              <w:spacing w:after="0"/>
              <w:rPr>
                <w:sz w:val="20"/>
                <w:szCs w:val="20"/>
                <w:color w:val="auto"/>
              </w:rPr>
            </w:pPr>
            <w:r>
              <w:rPr>
                <w:rFonts w:ascii="Arial" w:cs="Arial" w:eastAsia="Arial" w:hAnsi="Arial"/>
                <w:sz w:val="17"/>
                <w:szCs w:val="17"/>
                <w:color w:val="auto"/>
              </w:rPr>
              <w:t>77,380</w:t>
            </w:r>
          </w:p>
        </w:tc>
        <w:tc>
          <w:tcPr>
            <w:tcW w:w="120" w:type="dxa"/>
            <w:vAlign w:val="bottom"/>
            <w:shd w:val="clear" w:color="auto" w:fill="CFF0FC"/>
          </w:tcPr>
          <w:p>
            <w:pPr>
              <w:spacing w:after="0"/>
              <w:rPr>
                <w:sz w:val="18"/>
                <w:szCs w:val="18"/>
                <w:color w:val="auto"/>
              </w:rPr>
            </w:pPr>
          </w:p>
        </w:tc>
      </w:tr>
      <w:tr>
        <w:trPr>
          <w:trHeight w:val="215"/>
        </w:trPr>
        <w:tc>
          <w:tcPr>
            <w:tcW w:w="7860" w:type="dxa"/>
            <w:vAlign w:val="bottom"/>
          </w:tcPr>
          <w:p>
            <w:pPr>
              <w:ind w:left="260"/>
              <w:spacing w:after="0"/>
              <w:rPr>
                <w:sz w:val="20"/>
                <w:szCs w:val="20"/>
                <w:color w:val="auto"/>
              </w:rPr>
            </w:pPr>
            <w:r>
              <w:rPr>
                <w:rFonts w:ascii="Arial" w:cs="Arial" w:eastAsia="Arial" w:hAnsi="Arial"/>
                <w:sz w:val="17"/>
                <w:szCs w:val="17"/>
                <w:color w:val="auto"/>
              </w:rPr>
              <w:t>Contract liabilities</w:t>
            </w:r>
          </w:p>
        </w:tc>
        <w:tc>
          <w:tcPr>
            <w:tcW w:w="280" w:type="dxa"/>
            <w:vAlign w:val="bottom"/>
          </w:tcPr>
          <w:p>
            <w:pPr>
              <w:spacing w:after="0"/>
              <w:rPr>
                <w:sz w:val="18"/>
                <w:szCs w:val="18"/>
                <w:color w:val="auto"/>
              </w:rPr>
            </w:pPr>
          </w:p>
        </w:tc>
        <w:tc>
          <w:tcPr>
            <w:tcW w:w="1300" w:type="dxa"/>
            <w:vAlign w:val="bottom"/>
          </w:tcPr>
          <w:p>
            <w:pPr>
              <w:jc w:val="right"/>
              <w:spacing w:after="0"/>
              <w:rPr>
                <w:sz w:val="20"/>
                <w:szCs w:val="20"/>
                <w:color w:val="auto"/>
              </w:rPr>
            </w:pPr>
            <w:r>
              <w:rPr>
                <w:rFonts w:ascii="Arial" w:cs="Arial" w:eastAsia="Arial" w:hAnsi="Arial"/>
                <w:sz w:val="17"/>
                <w:szCs w:val="17"/>
                <w:color w:val="auto"/>
              </w:rPr>
              <w:t>51,891</w:t>
            </w:r>
          </w:p>
        </w:tc>
        <w:tc>
          <w:tcPr>
            <w:tcW w:w="2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360" w:type="dxa"/>
            <w:vAlign w:val="bottom"/>
          </w:tcPr>
          <w:p>
            <w:pPr>
              <w:jc w:val="right"/>
              <w:spacing w:after="0"/>
              <w:rPr>
                <w:sz w:val="20"/>
                <w:szCs w:val="20"/>
                <w:color w:val="auto"/>
              </w:rPr>
            </w:pPr>
            <w:r>
              <w:rPr>
                <w:rFonts w:ascii="Arial" w:cs="Arial" w:eastAsia="Arial" w:hAnsi="Arial"/>
                <w:sz w:val="17"/>
                <w:szCs w:val="17"/>
                <w:color w:val="auto"/>
              </w:rPr>
              <w:t>31,981</w:t>
            </w:r>
          </w:p>
        </w:tc>
        <w:tc>
          <w:tcPr>
            <w:tcW w:w="120" w:type="dxa"/>
            <w:vAlign w:val="bottom"/>
          </w:tcPr>
          <w:p>
            <w:pPr>
              <w:spacing w:after="0"/>
              <w:rPr>
                <w:sz w:val="18"/>
                <w:szCs w:val="18"/>
                <w:color w:val="auto"/>
              </w:rPr>
            </w:pPr>
          </w:p>
        </w:tc>
      </w:tr>
      <w:tr>
        <w:trPr>
          <w:trHeight w:val="215"/>
        </w:trPr>
        <w:tc>
          <w:tcPr>
            <w:tcW w:w="7860" w:type="dxa"/>
            <w:vAlign w:val="bottom"/>
            <w:shd w:val="clear" w:color="auto" w:fill="CFF0FC"/>
          </w:tcPr>
          <w:p>
            <w:pPr>
              <w:ind w:left="260"/>
              <w:spacing w:after="0"/>
              <w:rPr>
                <w:sz w:val="20"/>
                <w:szCs w:val="20"/>
                <w:color w:val="auto"/>
              </w:rPr>
            </w:pPr>
            <w:r>
              <w:rPr>
                <w:rFonts w:ascii="Arial" w:cs="Arial" w:eastAsia="Arial" w:hAnsi="Arial"/>
                <w:sz w:val="17"/>
                <w:szCs w:val="17"/>
                <w:color w:val="auto"/>
              </w:rPr>
              <w:t>Accrued compensation</w:t>
            </w:r>
          </w:p>
        </w:tc>
        <w:tc>
          <w:tcPr>
            <w:tcW w:w="280" w:type="dxa"/>
            <w:vAlign w:val="bottom"/>
            <w:shd w:val="clear" w:color="auto" w:fill="CFF0FC"/>
          </w:tcPr>
          <w:p>
            <w:pPr>
              <w:spacing w:after="0"/>
              <w:rPr>
                <w:sz w:val="18"/>
                <w:szCs w:val="18"/>
                <w:color w:val="auto"/>
              </w:rPr>
            </w:pPr>
          </w:p>
        </w:tc>
        <w:tc>
          <w:tcPr>
            <w:tcW w:w="1300" w:type="dxa"/>
            <w:vAlign w:val="bottom"/>
            <w:shd w:val="clear" w:color="auto" w:fill="CFF0FC"/>
          </w:tcPr>
          <w:p>
            <w:pPr>
              <w:jc w:val="right"/>
              <w:spacing w:after="0"/>
              <w:rPr>
                <w:sz w:val="20"/>
                <w:szCs w:val="20"/>
                <w:color w:val="auto"/>
              </w:rPr>
            </w:pPr>
            <w:r>
              <w:rPr>
                <w:rFonts w:ascii="Arial" w:cs="Arial" w:eastAsia="Arial" w:hAnsi="Arial"/>
                <w:sz w:val="17"/>
                <w:szCs w:val="17"/>
                <w:color w:val="auto"/>
              </w:rPr>
              <w:t>18,734</w:t>
            </w:r>
          </w:p>
        </w:tc>
        <w:tc>
          <w:tcPr>
            <w:tcW w:w="280" w:type="dxa"/>
            <w:vAlign w:val="bottom"/>
            <w:shd w:val="clear" w:color="auto" w:fill="CFF0FC"/>
          </w:tcPr>
          <w:p>
            <w:pPr>
              <w:spacing w:after="0"/>
              <w:rPr>
                <w:sz w:val="18"/>
                <w:szCs w:val="18"/>
                <w:color w:val="auto"/>
              </w:rPr>
            </w:pPr>
          </w:p>
        </w:tc>
        <w:tc>
          <w:tcPr>
            <w:tcW w:w="20" w:type="dxa"/>
            <w:vAlign w:val="bottom"/>
            <w:shd w:val="clear" w:color="auto" w:fill="CFF0FC"/>
          </w:tcPr>
          <w:p>
            <w:pPr>
              <w:spacing w:after="0"/>
              <w:rPr>
                <w:sz w:val="18"/>
                <w:szCs w:val="18"/>
                <w:color w:val="auto"/>
              </w:rPr>
            </w:pPr>
          </w:p>
        </w:tc>
        <w:tc>
          <w:tcPr>
            <w:tcW w:w="200" w:type="dxa"/>
            <w:vAlign w:val="bottom"/>
            <w:shd w:val="clear" w:color="auto" w:fill="CFF0FC"/>
          </w:tcPr>
          <w:p>
            <w:pPr>
              <w:spacing w:after="0"/>
              <w:rPr>
                <w:sz w:val="18"/>
                <w:szCs w:val="18"/>
                <w:color w:val="auto"/>
              </w:rPr>
            </w:pPr>
          </w:p>
        </w:tc>
        <w:tc>
          <w:tcPr>
            <w:tcW w:w="1360" w:type="dxa"/>
            <w:vAlign w:val="bottom"/>
            <w:shd w:val="clear" w:color="auto" w:fill="CFF0FC"/>
          </w:tcPr>
          <w:p>
            <w:pPr>
              <w:jc w:val="right"/>
              <w:spacing w:after="0"/>
              <w:rPr>
                <w:sz w:val="20"/>
                <w:szCs w:val="20"/>
                <w:color w:val="auto"/>
              </w:rPr>
            </w:pPr>
            <w:r>
              <w:rPr>
                <w:rFonts w:ascii="Arial" w:cs="Arial" w:eastAsia="Arial" w:hAnsi="Arial"/>
                <w:sz w:val="17"/>
                <w:szCs w:val="17"/>
                <w:color w:val="auto"/>
              </w:rPr>
              <w:t>30,614</w:t>
            </w:r>
          </w:p>
        </w:tc>
        <w:tc>
          <w:tcPr>
            <w:tcW w:w="120" w:type="dxa"/>
            <w:vAlign w:val="bottom"/>
            <w:shd w:val="clear" w:color="auto" w:fill="CFF0FC"/>
          </w:tcPr>
          <w:p>
            <w:pPr>
              <w:spacing w:after="0"/>
              <w:rPr>
                <w:sz w:val="18"/>
                <w:szCs w:val="18"/>
                <w:color w:val="auto"/>
              </w:rPr>
            </w:pPr>
          </w:p>
        </w:tc>
      </w:tr>
      <w:tr>
        <w:trPr>
          <w:trHeight w:val="215"/>
        </w:trPr>
        <w:tc>
          <w:tcPr>
            <w:tcW w:w="7860" w:type="dxa"/>
            <w:vAlign w:val="bottom"/>
          </w:tcPr>
          <w:p>
            <w:pPr>
              <w:ind w:left="260"/>
              <w:spacing w:after="0"/>
              <w:rPr>
                <w:sz w:val="20"/>
                <w:szCs w:val="20"/>
                <w:color w:val="auto"/>
              </w:rPr>
            </w:pPr>
            <w:r>
              <w:rPr>
                <w:rFonts w:ascii="Arial" w:cs="Arial" w:eastAsia="Arial" w:hAnsi="Arial"/>
                <w:sz w:val="17"/>
                <w:szCs w:val="17"/>
                <w:color w:val="auto"/>
              </w:rPr>
              <w:t>Other current liabilities</w:t>
            </w:r>
          </w:p>
        </w:tc>
        <w:tc>
          <w:tcPr>
            <w:tcW w:w="280" w:type="dxa"/>
            <w:vAlign w:val="bottom"/>
          </w:tcPr>
          <w:p>
            <w:pPr>
              <w:spacing w:after="0"/>
              <w:rPr>
                <w:sz w:val="18"/>
                <w:szCs w:val="18"/>
                <w:color w:val="auto"/>
              </w:rPr>
            </w:pPr>
          </w:p>
        </w:tc>
        <w:tc>
          <w:tcPr>
            <w:tcW w:w="1300" w:type="dxa"/>
            <w:vAlign w:val="bottom"/>
          </w:tcPr>
          <w:p>
            <w:pPr>
              <w:jc w:val="right"/>
              <w:spacing w:after="0"/>
              <w:rPr>
                <w:sz w:val="20"/>
                <w:szCs w:val="20"/>
                <w:color w:val="auto"/>
              </w:rPr>
            </w:pPr>
            <w:r>
              <w:rPr>
                <w:rFonts w:ascii="Arial" w:cs="Arial" w:eastAsia="Arial" w:hAnsi="Arial"/>
                <w:sz w:val="17"/>
                <w:szCs w:val="17"/>
                <w:color w:val="auto"/>
              </w:rPr>
              <w:t>50,817</w:t>
            </w:r>
          </w:p>
        </w:tc>
        <w:tc>
          <w:tcPr>
            <w:tcW w:w="2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360" w:type="dxa"/>
            <w:vAlign w:val="bottom"/>
          </w:tcPr>
          <w:p>
            <w:pPr>
              <w:jc w:val="right"/>
              <w:spacing w:after="0"/>
              <w:rPr>
                <w:sz w:val="20"/>
                <w:szCs w:val="20"/>
                <w:color w:val="auto"/>
              </w:rPr>
            </w:pPr>
            <w:r>
              <w:rPr>
                <w:rFonts w:ascii="Arial" w:cs="Arial" w:eastAsia="Arial" w:hAnsi="Arial"/>
                <w:sz w:val="17"/>
                <w:szCs w:val="17"/>
                <w:color w:val="auto"/>
              </w:rPr>
              <w:t>40,154</w:t>
            </w:r>
          </w:p>
        </w:tc>
        <w:tc>
          <w:tcPr>
            <w:tcW w:w="120" w:type="dxa"/>
            <w:vAlign w:val="bottom"/>
          </w:tcPr>
          <w:p>
            <w:pPr>
              <w:spacing w:after="0"/>
              <w:rPr>
                <w:sz w:val="18"/>
                <w:szCs w:val="18"/>
                <w:color w:val="auto"/>
              </w:rPr>
            </w:pPr>
          </w:p>
        </w:tc>
      </w:tr>
      <w:tr>
        <w:trPr>
          <w:trHeight w:val="215"/>
        </w:trPr>
        <w:tc>
          <w:tcPr>
            <w:tcW w:w="7860" w:type="dxa"/>
            <w:vAlign w:val="bottom"/>
            <w:shd w:val="clear" w:color="auto" w:fill="CFF0FC"/>
          </w:tcPr>
          <w:p>
            <w:pPr>
              <w:ind w:left="260"/>
              <w:spacing w:after="0"/>
              <w:rPr>
                <w:sz w:val="20"/>
                <w:szCs w:val="20"/>
                <w:color w:val="auto"/>
              </w:rPr>
            </w:pPr>
            <w:r>
              <w:rPr>
                <w:rFonts w:ascii="Arial" w:cs="Arial" w:eastAsia="Arial" w:hAnsi="Arial"/>
                <w:sz w:val="17"/>
                <w:szCs w:val="17"/>
                <w:color w:val="auto"/>
              </w:rPr>
              <w:t>Current portion of debt and capital lease obligations</w:t>
            </w:r>
          </w:p>
        </w:tc>
        <w:tc>
          <w:tcPr>
            <w:tcW w:w="280" w:type="dxa"/>
            <w:vAlign w:val="bottom"/>
            <w:tcBorders>
              <w:bottom w:val="single" w:sz="8" w:color="auto"/>
            </w:tcBorders>
            <w:shd w:val="clear" w:color="auto" w:fill="CFF0FC"/>
          </w:tcPr>
          <w:p>
            <w:pPr>
              <w:spacing w:after="0"/>
              <w:rPr>
                <w:sz w:val="18"/>
                <w:szCs w:val="18"/>
                <w:color w:val="auto"/>
              </w:rPr>
            </w:pPr>
          </w:p>
        </w:tc>
        <w:tc>
          <w:tcPr>
            <w:tcW w:w="13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7"/>
                <w:szCs w:val="17"/>
                <w:color w:val="auto"/>
              </w:rPr>
              <w:t>178,252</w:t>
            </w:r>
          </w:p>
        </w:tc>
        <w:tc>
          <w:tcPr>
            <w:tcW w:w="280" w:type="dxa"/>
            <w:vAlign w:val="bottom"/>
            <w:shd w:val="clear" w:color="auto" w:fill="CFF0FC"/>
          </w:tcPr>
          <w:p>
            <w:pPr>
              <w:spacing w:after="0"/>
              <w:rPr>
                <w:sz w:val="18"/>
                <w:szCs w:val="18"/>
                <w:color w:val="auto"/>
              </w:rPr>
            </w:pPr>
          </w:p>
        </w:tc>
        <w:tc>
          <w:tcPr>
            <w:tcW w:w="20" w:type="dxa"/>
            <w:vAlign w:val="bottom"/>
            <w:shd w:val="clear" w:color="auto" w:fill="CFF0FC"/>
          </w:tcPr>
          <w:p>
            <w:pPr>
              <w:spacing w:after="0"/>
              <w:rPr>
                <w:sz w:val="18"/>
                <w:szCs w:val="18"/>
                <w:color w:val="auto"/>
              </w:rPr>
            </w:pPr>
          </w:p>
        </w:tc>
        <w:tc>
          <w:tcPr>
            <w:tcW w:w="200" w:type="dxa"/>
            <w:vAlign w:val="bottom"/>
            <w:tcBorders>
              <w:bottom w:val="single" w:sz="8" w:color="auto"/>
            </w:tcBorders>
            <w:shd w:val="clear" w:color="auto" w:fill="CFF0FC"/>
          </w:tcPr>
          <w:p>
            <w:pPr>
              <w:spacing w:after="0"/>
              <w:rPr>
                <w:sz w:val="18"/>
                <w:szCs w:val="18"/>
                <w:color w:val="auto"/>
              </w:rPr>
            </w:pPr>
          </w:p>
        </w:tc>
        <w:tc>
          <w:tcPr>
            <w:tcW w:w="13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7"/>
                <w:szCs w:val="17"/>
                <w:color w:val="auto"/>
              </w:rPr>
              <w:t>152,599</w:t>
            </w:r>
          </w:p>
        </w:tc>
        <w:tc>
          <w:tcPr>
            <w:tcW w:w="120" w:type="dxa"/>
            <w:vAlign w:val="bottom"/>
            <w:shd w:val="clear" w:color="auto" w:fill="CFF0FC"/>
          </w:tcPr>
          <w:p>
            <w:pPr>
              <w:spacing w:after="0"/>
              <w:rPr>
                <w:sz w:val="18"/>
                <w:szCs w:val="18"/>
                <w:color w:val="auto"/>
              </w:rPr>
            </w:pPr>
          </w:p>
        </w:tc>
      </w:tr>
      <w:tr>
        <w:trPr>
          <w:trHeight w:val="209"/>
        </w:trPr>
        <w:tc>
          <w:tcPr>
            <w:tcW w:w="7860" w:type="dxa"/>
            <w:vAlign w:val="bottom"/>
          </w:tcPr>
          <w:p>
            <w:pPr>
              <w:spacing w:after="0"/>
              <w:rPr>
                <w:sz w:val="20"/>
                <w:szCs w:val="20"/>
                <w:color w:val="auto"/>
              </w:rPr>
            </w:pPr>
            <w:r>
              <w:rPr>
                <w:rFonts w:ascii="Arial" w:cs="Arial" w:eastAsia="Arial" w:hAnsi="Arial"/>
                <w:sz w:val="17"/>
                <w:szCs w:val="17"/>
                <w:b w:val="1"/>
                <w:bCs w:val="1"/>
                <w:color w:val="auto"/>
              </w:rPr>
              <w:t>Total current liabilities</w:t>
            </w:r>
          </w:p>
        </w:tc>
        <w:tc>
          <w:tcPr>
            <w:tcW w:w="280" w:type="dxa"/>
            <w:vAlign w:val="bottom"/>
          </w:tcPr>
          <w:p>
            <w:pPr>
              <w:spacing w:after="0"/>
              <w:rPr>
                <w:sz w:val="18"/>
                <w:szCs w:val="18"/>
                <w:color w:val="auto"/>
              </w:rPr>
            </w:pPr>
          </w:p>
        </w:tc>
        <w:tc>
          <w:tcPr>
            <w:tcW w:w="1300" w:type="dxa"/>
            <w:vAlign w:val="bottom"/>
          </w:tcPr>
          <w:p>
            <w:pPr>
              <w:jc w:val="right"/>
              <w:spacing w:after="0"/>
              <w:rPr>
                <w:sz w:val="20"/>
                <w:szCs w:val="20"/>
                <w:color w:val="auto"/>
              </w:rPr>
            </w:pPr>
            <w:r>
              <w:rPr>
                <w:rFonts w:ascii="Arial" w:cs="Arial" w:eastAsia="Arial" w:hAnsi="Arial"/>
                <w:sz w:val="17"/>
                <w:szCs w:val="17"/>
                <w:color w:val="auto"/>
              </w:rPr>
              <w:t>381,713</w:t>
            </w:r>
          </w:p>
        </w:tc>
        <w:tc>
          <w:tcPr>
            <w:tcW w:w="2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360" w:type="dxa"/>
            <w:vAlign w:val="bottom"/>
          </w:tcPr>
          <w:p>
            <w:pPr>
              <w:jc w:val="right"/>
              <w:spacing w:after="0"/>
              <w:rPr>
                <w:sz w:val="20"/>
                <w:szCs w:val="20"/>
                <w:color w:val="auto"/>
              </w:rPr>
            </w:pPr>
            <w:r>
              <w:rPr>
                <w:rFonts w:ascii="Arial" w:cs="Arial" w:eastAsia="Arial" w:hAnsi="Arial"/>
                <w:sz w:val="17"/>
                <w:szCs w:val="17"/>
                <w:color w:val="auto"/>
              </w:rPr>
              <w:t>332,728</w:t>
            </w:r>
          </w:p>
        </w:tc>
        <w:tc>
          <w:tcPr>
            <w:tcW w:w="120" w:type="dxa"/>
            <w:vAlign w:val="bottom"/>
          </w:tcPr>
          <w:p>
            <w:pPr>
              <w:spacing w:after="0"/>
              <w:rPr>
                <w:sz w:val="18"/>
                <w:szCs w:val="18"/>
                <w:color w:val="auto"/>
              </w:rPr>
            </w:pPr>
          </w:p>
        </w:tc>
      </w:tr>
      <w:tr>
        <w:trPr>
          <w:trHeight w:val="215"/>
        </w:trPr>
        <w:tc>
          <w:tcPr>
            <w:tcW w:w="7860" w:type="dxa"/>
            <w:vAlign w:val="bottom"/>
            <w:shd w:val="clear" w:color="auto" w:fill="CFF0FC"/>
          </w:tcPr>
          <w:p>
            <w:pPr>
              <w:spacing w:after="0"/>
              <w:rPr>
                <w:sz w:val="20"/>
                <w:szCs w:val="20"/>
                <w:color w:val="auto"/>
              </w:rPr>
            </w:pPr>
            <w:r>
              <w:rPr>
                <w:rFonts w:ascii="Arial" w:cs="Arial" w:eastAsia="Arial" w:hAnsi="Arial"/>
                <w:sz w:val="17"/>
                <w:szCs w:val="17"/>
                <w:color w:val="auto"/>
              </w:rPr>
              <w:t>Long-term debt and capital lease obligations</w:t>
            </w:r>
          </w:p>
        </w:tc>
        <w:tc>
          <w:tcPr>
            <w:tcW w:w="280" w:type="dxa"/>
            <w:vAlign w:val="bottom"/>
            <w:shd w:val="clear" w:color="auto" w:fill="CFF0FC"/>
          </w:tcPr>
          <w:p>
            <w:pPr>
              <w:spacing w:after="0"/>
              <w:rPr>
                <w:sz w:val="18"/>
                <w:szCs w:val="18"/>
                <w:color w:val="auto"/>
              </w:rPr>
            </w:pPr>
          </w:p>
        </w:tc>
        <w:tc>
          <w:tcPr>
            <w:tcW w:w="1300" w:type="dxa"/>
            <w:vAlign w:val="bottom"/>
            <w:shd w:val="clear" w:color="auto" w:fill="CFF0FC"/>
          </w:tcPr>
          <w:p>
            <w:pPr>
              <w:jc w:val="right"/>
              <w:spacing w:after="0"/>
              <w:rPr>
                <w:sz w:val="20"/>
                <w:szCs w:val="20"/>
                <w:color w:val="auto"/>
              </w:rPr>
            </w:pPr>
            <w:r>
              <w:rPr>
                <w:rFonts w:ascii="Arial" w:cs="Arial" w:eastAsia="Arial" w:hAnsi="Arial"/>
                <w:sz w:val="17"/>
                <w:szCs w:val="17"/>
                <w:color w:val="auto"/>
              </w:rPr>
              <w:t>53,066</w:t>
            </w:r>
          </w:p>
        </w:tc>
        <w:tc>
          <w:tcPr>
            <w:tcW w:w="280" w:type="dxa"/>
            <w:vAlign w:val="bottom"/>
            <w:shd w:val="clear" w:color="auto" w:fill="CFF0FC"/>
          </w:tcPr>
          <w:p>
            <w:pPr>
              <w:spacing w:after="0"/>
              <w:rPr>
                <w:sz w:val="18"/>
                <w:szCs w:val="18"/>
                <w:color w:val="auto"/>
              </w:rPr>
            </w:pPr>
          </w:p>
        </w:tc>
        <w:tc>
          <w:tcPr>
            <w:tcW w:w="20" w:type="dxa"/>
            <w:vAlign w:val="bottom"/>
            <w:shd w:val="clear" w:color="auto" w:fill="CFF0FC"/>
          </w:tcPr>
          <w:p>
            <w:pPr>
              <w:spacing w:after="0"/>
              <w:rPr>
                <w:sz w:val="18"/>
                <w:szCs w:val="18"/>
                <w:color w:val="auto"/>
              </w:rPr>
            </w:pPr>
          </w:p>
        </w:tc>
        <w:tc>
          <w:tcPr>
            <w:tcW w:w="200" w:type="dxa"/>
            <w:vAlign w:val="bottom"/>
            <w:shd w:val="clear" w:color="auto" w:fill="CFF0FC"/>
          </w:tcPr>
          <w:p>
            <w:pPr>
              <w:spacing w:after="0"/>
              <w:rPr>
                <w:sz w:val="18"/>
                <w:szCs w:val="18"/>
                <w:color w:val="auto"/>
              </w:rPr>
            </w:pPr>
          </w:p>
        </w:tc>
        <w:tc>
          <w:tcPr>
            <w:tcW w:w="1360" w:type="dxa"/>
            <w:vAlign w:val="bottom"/>
            <w:shd w:val="clear" w:color="auto" w:fill="CFF0FC"/>
          </w:tcPr>
          <w:p>
            <w:pPr>
              <w:jc w:val="right"/>
              <w:spacing w:after="0"/>
              <w:rPr>
                <w:sz w:val="20"/>
                <w:szCs w:val="20"/>
                <w:color w:val="auto"/>
              </w:rPr>
            </w:pPr>
            <w:r>
              <w:rPr>
                <w:rFonts w:ascii="Arial" w:cs="Arial" w:eastAsia="Arial" w:hAnsi="Arial"/>
                <w:sz w:val="17"/>
                <w:szCs w:val="17"/>
                <w:color w:val="auto"/>
              </w:rPr>
              <w:t>56,593</w:t>
            </w:r>
          </w:p>
        </w:tc>
        <w:tc>
          <w:tcPr>
            <w:tcW w:w="120" w:type="dxa"/>
            <w:vAlign w:val="bottom"/>
            <w:shd w:val="clear" w:color="auto" w:fill="CFF0FC"/>
          </w:tcPr>
          <w:p>
            <w:pPr>
              <w:spacing w:after="0"/>
              <w:rPr>
                <w:sz w:val="18"/>
                <w:szCs w:val="18"/>
                <w:color w:val="auto"/>
              </w:rPr>
            </w:pPr>
          </w:p>
        </w:tc>
      </w:tr>
      <w:tr>
        <w:trPr>
          <w:trHeight w:val="215"/>
        </w:trPr>
        <w:tc>
          <w:tcPr>
            <w:tcW w:w="7860" w:type="dxa"/>
            <w:vAlign w:val="bottom"/>
          </w:tcPr>
          <w:p>
            <w:pPr>
              <w:spacing w:after="0"/>
              <w:rPr>
                <w:sz w:val="20"/>
                <w:szCs w:val="20"/>
                <w:color w:val="auto"/>
              </w:rPr>
            </w:pPr>
            <w:r>
              <w:rPr>
                <w:rFonts w:ascii="Arial" w:cs="Arial" w:eastAsia="Arial" w:hAnsi="Arial"/>
                <w:sz w:val="17"/>
                <w:szCs w:val="17"/>
                <w:color w:val="auto"/>
              </w:rPr>
              <w:t>Pension and postretirement benefits</w:t>
            </w:r>
          </w:p>
        </w:tc>
        <w:tc>
          <w:tcPr>
            <w:tcW w:w="280" w:type="dxa"/>
            <w:vAlign w:val="bottom"/>
          </w:tcPr>
          <w:p>
            <w:pPr>
              <w:spacing w:after="0"/>
              <w:rPr>
                <w:sz w:val="18"/>
                <w:szCs w:val="18"/>
                <w:color w:val="auto"/>
              </w:rPr>
            </w:pPr>
          </w:p>
        </w:tc>
        <w:tc>
          <w:tcPr>
            <w:tcW w:w="1300" w:type="dxa"/>
            <w:vAlign w:val="bottom"/>
          </w:tcPr>
          <w:p>
            <w:pPr>
              <w:jc w:val="right"/>
              <w:spacing w:after="0"/>
              <w:rPr>
                <w:sz w:val="20"/>
                <w:szCs w:val="20"/>
                <w:color w:val="auto"/>
              </w:rPr>
            </w:pPr>
            <w:r>
              <w:rPr>
                <w:rFonts w:ascii="Arial" w:cs="Arial" w:eastAsia="Arial" w:hAnsi="Arial"/>
                <w:sz w:val="17"/>
                <w:szCs w:val="17"/>
                <w:color w:val="auto"/>
              </w:rPr>
              <w:t>28,153</w:t>
            </w:r>
          </w:p>
        </w:tc>
        <w:tc>
          <w:tcPr>
            <w:tcW w:w="2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360" w:type="dxa"/>
            <w:vAlign w:val="bottom"/>
          </w:tcPr>
          <w:p>
            <w:pPr>
              <w:jc w:val="right"/>
              <w:spacing w:after="0"/>
              <w:rPr>
                <w:sz w:val="20"/>
                <w:szCs w:val="20"/>
                <w:color w:val="auto"/>
              </w:rPr>
            </w:pPr>
            <w:r>
              <w:rPr>
                <w:rFonts w:ascii="Arial" w:cs="Arial" w:eastAsia="Arial" w:hAnsi="Arial"/>
                <w:sz w:val="17"/>
                <w:szCs w:val="17"/>
                <w:color w:val="auto"/>
              </w:rPr>
              <w:t>28,135</w:t>
            </w:r>
          </w:p>
        </w:tc>
        <w:tc>
          <w:tcPr>
            <w:tcW w:w="120" w:type="dxa"/>
            <w:vAlign w:val="bottom"/>
          </w:tcPr>
          <w:p>
            <w:pPr>
              <w:spacing w:after="0"/>
              <w:rPr>
                <w:sz w:val="18"/>
                <w:szCs w:val="18"/>
                <w:color w:val="auto"/>
              </w:rPr>
            </w:pPr>
          </w:p>
        </w:tc>
      </w:tr>
      <w:tr>
        <w:trPr>
          <w:trHeight w:val="215"/>
        </w:trPr>
        <w:tc>
          <w:tcPr>
            <w:tcW w:w="7860" w:type="dxa"/>
            <w:vAlign w:val="bottom"/>
            <w:shd w:val="clear" w:color="auto" w:fill="CFF0FC"/>
          </w:tcPr>
          <w:p>
            <w:pPr>
              <w:spacing w:after="0"/>
              <w:rPr>
                <w:sz w:val="20"/>
                <w:szCs w:val="20"/>
                <w:color w:val="auto"/>
              </w:rPr>
            </w:pPr>
            <w:r>
              <w:rPr>
                <w:rFonts w:ascii="Arial" w:cs="Arial" w:eastAsia="Arial" w:hAnsi="Arial"/>
                <w:sz w:val="17"/>
                <w:szCs w:val="17"/>
                <w:color w:val="auto"/>
              </w:rPr>
              <w:t>Other deferred items and liabilities</w:t>
            </w:r>
          </w:p>
        </w:tc>
        <w:tc>
          <w:tcPr>
            <w:tcW w:w="280" w:type="dxa"/>
            <w:vAlign w:val="bottom"/>
            <w:tcBorders>
              <w:bottom w:val="single" w:sz="8" w:color="auto"/>
            </w:tcBorders>
            <w:shd w:val="clear" w:color="auto" w:fill="CFF0FC"/>
          </w:tcPr>
          <w:p>
            <w:pPr>
              <w:spacing w:after="0"/>
              <w:rPr>
                <w:sz w:val="18"/>
                <w:szCs w:val="18"/>
                <w:color w:val="auto"/>
              </w:rPr>
            </w:pPr>
          </w:p>
        </w:tc>
        <w:tc>
          <w:tcPr>
            <w:tcW w:w="13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7"/>
                <w:szCs w:val="17"/>
                <w:color w:val="auto"/>
              </w:rPr>
              <w:t>48,786</w:t>
            </w:r>
          </w:p>
        </w:tc>
        <w:tc>
          <w:tcPr>
            <w:tcW w:w="280" w:type="dxa"/>
            <w:vAlign w:val="bottom"/>
            <w:shd w:val="clear" w:color="auto" w:fill="CFF0FC"/>
          </w:tcPr>
          <w:p>
            <w:pPr>
              <w:spacing w:after="0"/>
              <w:rPr>
                <w:sz w:val="18"/>
                <w:szCs w:val="18"/>
                <w:color w:val="auto"/>
              </w:rPr>
            </w:pPr>
          </w:p>
        </w:tc>
        <w:tc>
          <w:tcPr>
            <w:tcW w:w="20" w:type="dxa"/>
            <w:vAlign w:val="bottom"/>
            <w:shd w:val="clear" w:color="auto" w:fill="CFF0FC"/>
          </w:tcPr>
          <w:p>
            <w:pPr>
              <w:spacing w:after="0"/>
              <w:rPr>
                <w:sz w:val="18"/>
                <w:szCs w:val="18"/>
                <w:color w:val="auto"/>
              </w:rPr>
            </w:pPr>
          </w:p>
        </w:tc>
        <w:tc>
          <w:tcPr>
            <w:tcW w:w="200" w:type="dxa"/>
            <w:vAlign w:val="bottom"/>
            <w:tcBorders>
              <w:bottom w:val="single" w:sz="8" w:color="auto"/>
            </w:tcBorders>
            <w:shd w:val="clear" w:color="auto" w:fill="CFF0FC"/>
          </w:tcPr>
          <w:p>
            <w:pPr>
              <w:spacing w:after="0"/>
              <w:rPr>
                <w:sz w:val="18"/>
                <w:szCs w:val="18"/>
                <w:color w:val="auto"/>
              </w:rPr>
            </w:pPr>
          </w:p>
        </w:tc>
        <w:tc>
          <w:tcPr>
            <w:tcW w:w="13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7"/>
                <w:szCs w:val="17"/>
                <w:color w:val="auto"/>
              </w:rPr>
              <w:t>52,858</w:t>
            </w:r>
          </w:p>
        </w:tc>
        <w:tc>
          <w:tcPr>
            <w:tcW w:w="120" w:type="dxa"/>
            <w:vAlign w:val="bottom"/>
            <w:shd w:val="clear" w:color="auto" w:fill="CFF0FC"/>
          </w:tcPr>
          <w:p>
            <w:pPr>
              <w:spacing w:after="0"/>
              <w:rPr>
                <w:sz w:val="18"/>
                <w:szCs w:val="18"/>
                <w:color w:val="auto"/>
              </w:rPr>
            </w:pPr>
          </w:p>
        </w:tc>
      </w:tr>
      <w:tr>
        <w:trPr>
          <w:trHeight w:val="209"/>
        </w:trPr>
        <w:tc>
          <w:tcPr>
            <w:tcW w:w="7860" w:type="dxa"/>
            <w:vAlign w:val="bottom"/>
            <w:tcBorders>
              <w:bottom w:val="single" w:sz="8" w:color="CFF0FC"/>
            </w:tcBorders>
          </w:tcPr>
          <w:p>
            <w:pPr>
              <w:spacing w:after="0"/>
              <w:rPr>
                <w:sz w:val="20"/>
                <w:szCs w:val="20"/>
                <w:color w:val="auto"/>
              </w:rPr>
            </w:pPr>
            <w:r>
              <w:rPr>
                <w:rFonts w:ascii="Arial" w:cs="Arial" w:eastAsia="Arial" w:hAnsi="Arial"/>
                <w:sz w:val="17"/>
                <w:szCs w:val="17"/>
                <w:b w:val="1"/>
                <w:bCs w:val="1"/>
                <w:color w:val="auto"/>
              </w:rPr>
              <w:t>Total liabilities</w:t>
            </w:r>
          </w:p>
        </w:tc>
        <w:tc>
          <w:tcPr>
            <w:tcW w:w="280" w:type="dxa"/>
            <w:vAlign w:val="bottom"/>
            <w:tcBorders>
              <w:bottom w:val="single" w:sz="8" w:color="auto"/>
            </w:tcBorders>
          </w:tcPr>
          <w:p>
            <w:pPr>
              <w:spacing w:after="0"/>
              <w:rPr>
                <w:sz w:val="18"/>
                <w:szCs w:val="18"/>
                <w:color w:val="auto"/>
              </w:rPr>
            </w:pPr>
          </w:p>
        </w:tc>
        <w:tc>
          <w:tcPr>
            <w:tcW w:w="13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511,718</w:t>
            </w:r>
          </w:p>
        </w:tc>
        <w:tc>
          <w:tcPr>
            <w:tcW w:w="280" w:type="dxa"/>
            <w:vAlign w:val="bottom"/>
            <w:tcBorders>
              <w:bottom w:val="single" w:sz="8" w:color="CFF0FC"/>
            </w:tcBorders>
          </w:tcPr>
          <w:p>
            <w:pPr>
              <w:spacing w:after="0"/>
              <w:rPr>
                <w:sz w:val="18"/>
                <w:szCs w:val="18"/>
                <w:color w:val="auto"/>
              </w:rPr>
            </w:pPr>
          </w:p>
        </w:tc>
        <w:tc>
          <w:tcPr>
            <w:tcW w:w="20" w:type="dxa"/>
            <w:vAlign w:val="bottom"/>
            <w:tcBorders>
              <w:bottom w:val="single" w:sz="8" w:color="CFF0FC"/>
            </w:tcBorders>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136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470,314</w:t>
            </w:r>
          </w:p>
        </w:tc>
        <w:tc>
          <w:tcPr>
            <w:tcW w:w="120" w:type="dxa"/>
            <w:vAlign w:val="bottom"/>
            <w:tcBorders>
              <w:bottom w:val="single" w:sz="8" w:color="CFF0FC"/>
            </w:tcBorders>
          </w:tcPr>
          <w:p>
            <w:pPr>
              <w:spacing w:after="0"/>
              <w:rPr>
                <w:sz w:val="18"/>
                <w:szCs w:val="18"/>
                <w:color w:val="auto"/>
              </w:rPr>
            </w:pPr>
          </w:p>
        </w:tc>
      </w:tr>
      <w:tr>
        <w:trPr>
          <w:trHeight w:val="209"/>
        </w:trPr>
        <w:tc>
          <w:tcPr>
            <w:tcW w:w="7860" w:type="dxa"/>
            <w:vAlign w:val="bottom"/>
            <w:shd w:val="clear" w:color="auto" w:fill="CFF0FC"/>
          </w:tcPr>
          <w:p>
            <w:pPr>
              <w:spacing w:after="0"/>
              <w:rPr>
                <w:sz w:val="20"/>
                <w:szCs w:val="20"/>
                <w:color w:val="auto"/>
              </w:rPr>
            </w:pPr>
            <w:r>
              <w:rPr>
                <w:rFonts w:ascii="Arial" w:cs="Arial" w:eastAsia="Arial" w:hAnsi="Arial"/>
                <w:sz w:val="17"/>
                <w:szCs w:val="17"/>
                <w:color w:val="auto"/>
              </w:rPr>
              <w:t>Commitments and contingencies</w:t>
            </w:r>
          </w:p>
        </w:tc>
        <w:tc>
          <w:tcPr>
            <w:tcW w:w="280" w:type="dxa"/>
            <w:vAlign w:val="bottom"/>
            <w:shd w:val="clear" w:color="auto" w:fill="CFF0FC"/>
          </w:tcPr>
          <w:p>
            <w:pPr>
              <w:spacing w:after="0"/>
              <w:rPr>
                <w:sz w:val="18"/>
                <w:szCs w:val="18"/>
                <w:color w:val="auto"/>
              </w:rPr>
            </w:pPr>
          </w:p>
        </w:tc>
        <w:tc>
          <w:tcPr>
            <w:tcW w:w="1300" w:type="dxa"/>
            <w:vAlign w:val="bottom"/>
            <w:shd w:val="clear" w:color="auto" w:fill="CFF0FC"/>
          </w:tcPr>
          <w:p>
            <w:pPr>
              <w:spacing w:after="0"/>
              <w:rPr>
                <w:sz w:val="18"/>
                <w:szCs w:val="18"/>
                <w:color w:val="auto"/>
              </w:rPr>
            </w:pPr>
          </w:p>
        </w:tc>
        <w:tc>
          <w:tcPr>
            <w:tcW w:w="280" w:type="dxa"/>
            <w:vAlign w:val="bottom"/>
            <w:shd w:val="clear" w:color="auto" w:fill="CFF0FC"/>
          </w:tcPr>
          <w:p>
            <w:pPr>
              <w:spacing w:after="0"/>
              <w:rPr>
                <w:sz w:val="18"/>
                <w:szCs w:val="18"/>
                <w:color w:val="auto"/>
              </w:rPr>
            </w:pPr>
          </w:p>
        </w:tc>
        <w:tc>
          <w:tcPr>
            <w:tcW w:w="20" w:type="dxa"/>
            <w:vAlign w:val="bottom"/>
            <w:shd w:val="clear" w:color="auto" w:fill="CFF0FC"/>
          </w:tcPr>
          <w:p>
            <w:pPr>
              <w:spacing w:after="0"/>
              <w:rPr>
                <w:sz w:val="18"/>
                <w:szCs w:val="18"/>
                <w:color w:val="auto"/>
              </w:rPr>
            </w:pPr>
          </w:p>
        </w:tc>
        <w:tc>
          <w:tcPr>
            <w:tcW w:w="200" w:type="dxa"/>
            <w:vAlign w:val="bottom"/>
            <w:shd w:val="clear" w:color="auto" w:fill="CFF0FC"/>
          </w:tcPr>
          <w:p>
            <w:pPr>
              <w:spacing w:after="0"/>
              <w:rPr>
                <w:sz w:val="18"/>
                <w:szCs w:val="18"/>
                <w:color w:val="auto"/>
              </w:rPr>
            </w:pPr>
          </w:p>
        </w:tc>
        <w:tc>
          <w:tcPr>
            <w:tcW w:w="136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r>
      <w:tr>
        <w:trPr>
          <w:trHeight w:val="215"/>
        </w:trPr>
        <w:tc>
          <w:tcPr>
            <w:tcW w:w="7860" w:type="dxa"/>
            <w:vAlign w:val="bottom"/>
          </w:tcPr>
          <w:p>
            <w:pPr>
              <w:spacing w:after="0"/>
              <w:rPr>
                <w:sz w:val="20"/>
                <w:szCs w:val="20"/>
                <w:color w:val="auto"/>
              </w:rPr>
            </w:pPr>
            <w:r>
              <w:rPr>
                <w:rFonts w:ascii="Arial" w:cs="Arial" w:eastAsia="Arial" w:hAnsi="Arial"/>
                <w:sz w:val="17"/>
                <w:szCs w:val="17"/>
                <w:color w:val="auto"/>
              </w:rPr>
              <w:t>Redeemable noncontrolling interest</w:t>
            </w:r>
          </w:p>
        </w:tc>
        <w:tc>
          <w:tcPr>
            <w:tcW w:w="280" w:type="dxa"/>
            <w:vAlign w:val="bottom"/>
          </w:tcPr>
          <w:p>
            <w:pPr>
              <w:spacing w:after="0"/>
              <w:rPr>
                <w:sz w:val="18"/>
                <w:szCs w:val="18"/>
                <w:color w:val="auto"/>
              </w:rPr>
            </w:pPr>
          </w:p>
        </w:tc>
        <w:tc>
          <w:tcPr>
            <w:tcW w:w="1300" w:type="dxa"/>
            <w:vAlign w:val="bottom"/>
          </w:tcPr>
          <w:p>
            <w:pPr>
              <w:jc w:val="right"/>
              <w:spacing w:after="0"/>
              <w:rPr>
                <w:sz w:val="20"/>
                <w:szCs w:val="20"/>
                <w:color w:val="auto"/>
              </w:rPr>
            </w:pPr>
            <w:r>
              <w:rPr>
                <w:rFonts w:ascii="Arial" w:cs="Arial" w:eastAsia="Arial" w:hAnsi="Arial"/>
                <w:sz w:val="17"/>
                <w:szCs w:val="17"/>
                <w:color w:val="auto"/>
              </w:rPr>
              <w:t>6,950</w:t>
            </w:r>
          </w:p>
        </w:tc>
        <w:tc>
          <w:tcPr>
            <w:tcW w:w="2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360" w:type="dxa"/>
            <w:vAlign w:val="bottom"/>
          </w:tcPr>
          <w:p>
            <w:pPr>
              <w:jc w:val="right"/>
              <w:spacing w:after="0"/>
              <w:rPr>
                <w:sz w:val="20"/>
                <w:szCs w:val="20"/>
                <w:color w:val="auto"/>
              </w:rPr>
            </w:pPr>
            <w:r>
              <w:rPr>
                <w:rFonts w:ascii="Arial" w:cs="Arial" w:eastAsia="Arial" w:hAnsi="Arial"/>
                <w:sz w:val="17"/>
                <w:szCs w:val="17"/>
                <w:color w:val="auto"/>
              </w:rPr>
              <w:t>6,648</w:t>
            </w:r>
          </w:p>
        </w:tc>
        <w:tc>
          <w:tcPr>
            <w:tcW w:w="120" w:type="dxa"/>
            <w:vAlign w:val="bottom"/>
          </w:tcPr>
          <w:p>
            <w:pPr>
              <w:spacing w:after="0"/>
              <w:rPr>
                <w:sz w:val="18"/>
                <w:szCs w:val="18"/>
                <w:color w:val="auto"/>
              </w:rPr>
            </w:pPr>
          </w:p>
        </w:tc>
      </w:tr>
      <w:tr>
        <w:trPr>
          <w:trHeight w:val="215"/>
        </w:trPr>
        <w:tc>
          <w:tcPr>
            <w:tcW w:w="7860" w:type="dxa"/>
            <w:vAlign w:val="bottom"/>
            <w:shd w:val="clear" w:color="auto" w:fill="CFF0FC"/>
          </w:tcPr>
          <w:p>
            <w:pPr>
              <w:spacing w:after="0"/>
              <w:rPr>
                <w:sz w:val="20"/>
                <w:szCs w:val="20"/>
                <w:color w:val="auto"/>
              </w:rPr>
            </w:pPr>
            <w:r>
              <w:rPr>
                <w:rFonts w:ascii="Arial" w:cs="Arial" w:eastAsia="Arial" w:hAnsi="Arial"/>
                <w:sz w:val="17"/>
                <w:szCs w:val="17"/>
                <w:b w:val="1"/>
                <w:bCs w:val="1"/>
                <w:color w:val="auto"/>
              </w:rPr>
              <w:t>Stockholders’ equity</w:t>
            </w:r>
          </w:p>
        </w:tc>
        <w:tc>
          <w:tcPr>
            <w:tcW w:w="280" w:type="dxa"/>
            <w:vAlign w:val="bottom"/>
            <w:shd w:val="clear" w:color="auto" w:fill="CFF0FC"/>
          </w:tcPr>
          <w:p>
            <w:pPr>
              <w:spacing w:after="0"/>
              <w:rPr>
                <w:sz w:val="18"/>
                <w:szCs w:val="18"/>
                <w:color w:val="auto"/>
              </w:rPr>
            </w:pPr>
          </w:p>
        </w:tc>
        <w:tc>
          <w:tcPr>
            <w:tcW w:w="1300" w:type="dxa"/>
            <w:vAlign w:val="bottom"/>
            <w:shd w:val="clear" w:color="auto" w:fill="CFF0FC"/>
          </w:tcPr>
          <w:p>
            <w:pPr>
              <w:spacing w:after="0"/>
              <w:rPr>
                <w:sz w:val="18"/>
                <w:szCs w:val="18"/>
                <w:color w:val="auto"/>
              </w:rPr>
            </w:pPr>
          </w:p>
        </w:tc>
        <w:tc>
          <w:tcPr>
            <w:tcW w:w="280" w:type="dxa"/>
            <w:vAlign w:val="bottom"/>
            <w:shd w:val="clear" w:color="auto" w:fill="CFF0FC"/>
          </w:tcPr>
          <w:p>
            <w:pPr>
              <w:spacing w:after="0"/>
              <w:rPr>
                <w:sz w:val="18"/>
                <w:szCs w:val="18"/>
                <w:color w:val="auto"/>
              </w:rPr>
            </w:pPr>
          </w:p>
        </w:tc>
        <w:tc>
          <w:tcPr>
            <w:tcW w:w="20" w:type="dxa"/>
            <w:vAlign w:val="bottom"/>
            <w:shd w:val="clear" w:color="auto" w:fill="CFF0FC"/>
          </w:tcPr>
          <w:p>
            <w:pPr>
              <w:spacing w:after="0"/>
              <w:rPr>
                <w:sz w:val="18"/>
                <w:szCs w:val="18"/>
                <w:color w:val="auto"/>
              </w:rPr>
            </w:pPr>
          </w:p>
        </w:tc>
        <w:tc>
          <w:tcPr>
            <w:tcW w:w="200" w:type="dxa"/>
            <w:vAlign w:val="bottom"/>
            <w:shd w:val="clear" w:color="auto" w:fill="CFF0FC"/>
          </w:tcPr>
          <w:p>
            <w:pPr>
              <w:spacing w:after="0"/>
              <w:rPr>
                <w:sz w:val="18"/>
                <w:szCs w:val="18"/>
                <w:color w:val="auto"/>
              </w:rPr>
            </w:pPr>
          </w:p>
        </w:tc>
        <w:tc>
          <w:tcPr>
            <w:tcW w:w="136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r>
      <w:tr>
        <w:trPr>
          <w:trHeight w:val="215"/>
        </w:trPr>
        <w:tc>
          <w:tcPr>
            <w:tcW w:w="7860" w:type="dxa"/>
            <w:vAlign w:val="bottom"/>
          </w:tcPr>
          <w:p>
            <w:pPr>
              <w:spacing w:after="0"/>
              <w:rPr>
                <w:sz w:val="20"/>
                <w:szCs w:val="20"/>
                <w:color w:val="auto"/>
              </w:rPr>
            </w:pPr>
            <w:r>
              <w:rPr>
                <w:rFonts w:ascii="Arial" w:cs="Arial" w:eastAsia="Arial" w:hAnsi="Arial"/>
                <w:sz w:val="17"/>
                <w:szCs w:val="17"/>
                <w:color w:val="auto"/>
              </w:rPr>
              <w:t>Viad Corp stockholders’ equity:</w:t>
            </w:r>
          </w:p>
        </w:tc>
        <w:tc>
          <w:tcPr>
            <w:tcW w:w="28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120" w:type="dxa"/>
            <w:vAlign w:val="bottom"/>
          </w:tcPr>
          <w:p>
            <w:pPr>
              <w:spacing w:after="0"/>
              <w:rPr>
                <w:sz w:val="18"/>
                <w:szCs w:val="18"/>
                <w:color w:val="auto"/>
              </w:rPr>
            </w:pPr>
          </w:p>
        </w:tc>
      </w:tr>
      <w:tr>
        <w:trPr>
          <w:trHeight w:val="197"/>
        </w:trPr>
        <w:tc>
          <w:tcPr>
            <w:tcW w:w="7860" w:type="dxa"/>
            <w:vAlign w:val="bottom"/>
            <w:shd w:val="clear" w:color="auto" w:fill="CFF0FC"/>
          </w:tcPr>
          <w:p>
            <w:pPr>
              <w:ind w:left="260"/>
              <w:spacing w:after="0"/>
              <w:rPr>
                <w:sz w:val="20"/>
                <w:szCs w:val="20"/>
                <w:color w:val="auto"/>
              </w:rPr>
            </w:pPr>
            <w:r>
              <w:rPr>
                <w:rFonts w:ascii="Arial" w:cs="Arial" w:eastAsia="Arial" w:hAnsi="Arial"/>
                <w:sz w:val="17"/>
                <w:szCs w:val="17"/>
                <w:color w:val="auto"/>
              </w:rPr>
              <w:t>Common stock, $1.50 par value, 200,000,000 shares authorized, 24,934,981 shares</w:t>
            </w:r>
          </w:p>
        </w:tc>
        <w:tc>
          <w:tcPr>
            <w:tcW w:w="280" w:type="dxa"/>
            <w:vAlign w:val="bottom"/>
            <w:shd w:val="clear" w:color="auto" w:fill="CFF0FC"/>
          </w:tcPr>
          <w:p>
            <w:pPr>
              <w:spacing w:after="0"/>
              <w:rPr>
                <w:sz w:val="17"/>
                <w:szCs w:val="17"/>
                <w:color w:val="auto"/>
              </w:rPr>
            </w:pPr>
          </w:p>
        </w:tc>
        <w:tc>
          <w:tcPr>
            <w:tcW w:w="1300" w:type="dxa"/>
            <w:vAlign w:val="bottom"/>
            <w:shd w:val="clear" w:color="auto" w:fill="CFF0FC"/>
          </w:tcPr>
          <w:p>
            <w:pPr>
              <w:spacing w:after="0"/>
              <w:rPr>
                <w:sz w:val="17"/>
                <w:szCs w:val="17"/>
                <w:color w:val="auto"/>
              </w:rPr>
            </w:pPr>
          </w:p>
        </w:tc>
        <w:tc>
          <w:tcPr>
            <w:tcW w:w="280" w:type="dxa"/>
            <w:vAlign w:val="bottom"/>
            <w:shd w:val="clear" w:color="auto" w:fill="CFF0FC"/>
          </w:tcPr>
          <w:p>
            <w:pPr>
              <w:spacing w:after="0"/>
              <w:rPr>
                <w:sz w:val="17"/>
                <w:szCs w:val="17"/>
                <w:color w:val="auto"/>
              </w:rPr>
            </w:pPr>
          </w:p>
        </w:tc>
        <w:tc>
          <w:tcPr>
            <w:tcW w:w="20" w:type="dxa"/>
            <w:vAlign w:val="bottom"/>
            <w:shd w:val="clear" w:color="auto" w:fill="CFF0FC"/>
          </w:tcPr>
          <w:p>
            <w:pPr>
              <w:spacing w:after="0"/>
              <w:rPr>
                <w:sz w:val="17"/>
                <w:szCs w:val="17"/>
                <w:color w:val="auto"/>
              </w:rPr>
            </w:pPr>
          </w:p>
        </w:tc>
        <w:tc>
          <w:tcPr>
            <w:tcW w:w="200" w:type="dxa"/>
            <w:vAlign w:val="bottom"/>
            <w:shd w:val="clear" w:color="auto" w:fill="CFF0FC"/>
          </w:tcPr>
          <w:p>
            <w:pPr>
              <w:spacing w:after="0"/>
              <w:rPr>
                <w:sz w:val="17"/>
                <w:szCs w:val="17"/>
                <w:color w:val="auto"/>
              </w:rPr>
            </w:pPr>
          </w:p>
        </w:tc>
        <w:tc>
          <w:tcPr>
            <w:tcW w:w="1360" w:type="dxa"/>
            <w:vAlign w:val="bottom"/>
            <w:shd w:val="clear" w:color="auto" w:fill="CFF0FC"/>
          </w:tcPr>
          <w:p>
            <w:pPr>
              <w:spacing w:after="0"/>
              <w:rPr>
                <w:sz w:val="17"/>
                <w:szCs w:val="17"/>
                <w:color w:val="auto"/>
              </w:rPr>
            </w:pPr>
          </w:p>
        </w:tc>
        <w:tc>
          <w:tcPr>
            <w:tcW w:w="120" w:type="dxa"/>
            <w:vAlign w:val="bottom"/>
            <w:shd w:val="clear" w:color="auto" w:fill="CFF0FC"/>
          </w:tcPr>
          <w:p>
            <w:pPr>
              <w:spacing w:after="0"/>
              <w:rPr>
                <w:sz w:val="17"/>
                <w:szCs w:val="17"/>
                <w:color w:val="auto"/>
              </w:rPr>
            </w:pPr>
          </w:p>
        </w:tc>
      </w:tr>
      <w:tr>
        <w:trPr>
          <w:trHeight w:val="219"/>
        </w:trPr>
        <w:tc>
          <w:tcPr>
            <w:tcW w:w="7860" w:type="dxa"/>
            <w:vAlign w:val="bottom"/>
            <w:shd w:val="clear" w:color="auto" w:fill="CFF0FC"/>
          </w:tcPr>
          <w:p>
            <w:pPr>
              <w:ind w:left="380"/>
              <w:spacing w:after="0"/>
              <w:rPr>
                <w:sz w:val="20"/>
                <w:szCs w:val="20"/>
                <w:color w:val="auto"/>
              </w:rPr>
            </w:pPr>
            <w:r>
              <w:rPr>
                <w:rFonts w:ascii="Arial" w:cs="Arial" w:eastAsia="Arial" w:hAnsi="Arial"/>
                <w:sz w:val="17"/>
                <w:szCs w:val="17"/>
                <w:color w:val="auto"/>
              </w:rPr>
              <w:t>issued and outstanding</w:t>
            </w:r>
          </w:p>
        </w:tc>
        <w:tc>
          <w:tcPr>
            <w:tcW w:w="280" w:type="dxa"/>
            <w:vAlign w:val="bottom"/>
            <w:shd w:val="clear" w:color="auto" w:fill="CFF0FC"/>
          </w:tcPr>
          <w:p>
            <w:pPr>
              <w:spacing w:after="0"/>
              <w:rPr>
                <w:sz w:val="19"/>
                <w:szCs w:val="19"/>
                <w:color w:val="auto"/>
              </w:rPr>
            </w:pPr>
          </w:p>
        </w:tc>
        <w:tc>
          <w:tcPr>
            <w:tcW w:w="1300" w:type="dxa"/>
            <w:vAlign w:val="bottom"/>
            <w:shd w:val="clear" w:color="auto" w:fill="CFF0FC"/>
          </w:tcPr>
          <w:p>
            <w:pPr>
              <w:jc w:val="right"/>
              <w:spacing w:after="0"/>
              <w:rPr>
                <w:sz w:val="20"/>
                <w:szCs w:val="20"/>
                <w:color w:val="auto"/>
              </w:rPr>
            </w:pPr>
            <w:r>
              <w:rPr>
                <w:rFonts w:ascii="Arial" w:cs="Arial" w:eastAsia="Arial" w:hAnsi="Arial"/>
                <w:sz w:val="17"/>
                <w:szCs w:val="17"/>
                <w:color w:val="auto"/>
              </w:rPr>
              <w:t>37,402</w:t>
            </w:r>
          </w:p>
        </w:tc>
        <w:tc>
          <w:tcPr>
            <w:tcW w:w="28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360" w:type="dxa"/>
            <w:vAlign w:val="bottom"/>
            <w:shd w:val="clear" w:color="auto" w:fill="CFF0FC"/>
          </w:tcPr>
          <w:p>
            <w:pPr>
              <w:jc w:val="right"/>
              <w:spacing w:after="0"/>
              <w:rPr>
                <w:sz w:val="20"/>
                <w:szCs w:val="20"/>
                <w:color w:val="auto"/>
              </w:rPr>
            </w:pPr>
            <w:r>
              <w:rPr>
                <w:rFonts w:ascii="Arial" w:cs="Arial" w:eastAsia="Arial" w:hAnsi="Arial"/>
                <w:sz w:val="17"/>
                <w:szCs w:val="17"/>
                <w:color w:val="auto"/>
              </w:rPr>
              <w:t>37,402</w:t>
            </w:r>
          </w:p>
        </w:tc>
        <w:tc>
          <w:tcPr>
            <w:tcW w:w="120" w:type="dxa"/>
            <w:vAlign w:val="bottom"/>
            <w:shd w:val="clear" w:color="auto" w:fill="CFF0FC"/>
          </w:tcPr>
          <w:p>
            <w:pPr>
              <w:spacing w:after="0"/>
              <w:rPr>
                <w:sz w:val="19"/>
                <w:szCs w:val="19"/>
                <w:color w:val="auto"/>
              </w:rPr>
            </w:pPr>
          </w:p>
        </w:tc>
      </w:tr>
      <w:tr>
        <w:trPr>
          <w:trHeight w:val="215"/>
        </w:trPr>
        <w:tc>
          <w:tcPr>
            <w:tcW w:w="7860" w:type="dxa"/>
            <w:vAlign w:val="bottom"/>
          </w:tcPr>
          <w:p>
            <w:pPr>
              <w:ind w:left="260"/>
              <w:spacing w:after="0"/>
              <w:rPr>
                <w:sz w:val="20"/>
                <w:szCs w:val="20"/>
                <w:color w:val="auto"/>
              </w:rPr>
            </w:pPr>
            <w:r>
              <w:rPr>
                <w:rFonts w:ascii="Arial" w:cs="Arial" w:eastAsia="Arial" w:hAnsi="Arial"/>
                <w:sz w:val="17"/>
                <w:szCs w:val="17"/>
                <w:color w:val="auto"/>
              </w:rPr>
              <w:t>Additional capital</w:t>
            </w:r>
          </w:p>
        </w:tc>
        <w:tc>
          <w:tcPr>
            <w:tcW w:w="280" w:type="dxa"/>
            <w:vAlign w:val="bottom"/>
          </w:tcPr>
          <w:p>
            <w:pPr>
              <w:spacing w:after="0"/>
              <w:rPr>
                <w:sz w:val="18"/>
                <w:szCs w:val="18"/>
                <w:color w:val="auto"/>
              </w:rPr>
            </w:pPr>
          </w:p>
        </w:tc>
        <w:tc>
          <w:tcPr>
            <w:tcW w:w="1300" w:type="dxa"/>
            <w:vAlign w:val="bottom"/>
          </w:tcPr>
          <w:p>
            <w:pPr>
              <w:jc w:val="right"/>
              <w:spacing w:after="0"/>
              <w:rPr>
                <w:sz w:val="20"/>
                <w:szCs w:val="20"/>
                <w:color w:val="auto"/>
              </w:rPr>
            </w:pPr>
            <w:r>
              <w:rPr>
                <w:rFonts w:ascii="Arial" w:cs="Arial" w:eastAsia="Arial" w:hAnsi="Arial"/>
                <w:sz w:val="17"/>
                <w:szCs w:val="17"/>
                <w:color w:val="auto"/>
              </w:rPr>
              <w:t>573,223</w:t>
            </w:r>
          </w:p>
        </w:tc>
        <w:tc>
          <w:tcPr>
            <w:tcW w:w="2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360" w:type="dxa"/>
            <w:vAlign w:val="bottom"/>
          </w:tcPr>
          <w:p>
            <w:pPr>
              <w:jc w:val="right"/>
              <w:spacing w:after="0"/>
              <w:rPr>
                <w:sz w:val="20"/>
                <w:szCs w:val="20"/>
                <w:color w:val="auto"/>
              </w:rPr>
            </w:pPr>
            <w:r>
              <w:rPr>
                <w:rFonts w:ascii="Arial" w:cs="Arial" w:eastAsia="Arial" w:hAnsi="Arial"/>
                <w:sz w:val="17"/>
                <w:szCs w:val="17"/>
                <w:color w:val="auto"/>
              </w:rPr>
              <w:t>574,458</w:t>
            </w:r>
          </w:p>
        </w:tc>
        <w:tc>
          <w:tcPr>
            <w:tcW w:w="120" w:type="dxa"/>
            <w:vAlign w:val="bottom"/>
          </w:tcPr>
          <w:p>
            <w:pPr>
              <w:spacing w:after="0"/>
              <w:rPr>
                <w:sz w:val="18"/>
                <w:szCs w:val="18"/>
                <w:color w:val="auto"/>
              </w:rPr>
            </w:pPr>
          </w:p>
        </w:tc>
      </w:tr>
      <w:tr>
        <w:trPr>
          <w:trHeight w:val="215"/>
        </w:trPr>
        <w:tc>
          <w:tcPr>
            <w:tcW w:w="7860" w:type="dxa"/>
            <w:vAlign w:val="bottom"/>
            <w:shd w:val="clear" w:color="auto" w:fill="CFF0FC"/>
          </w:tcPr>
          <w:p>
            <w:pPr>
              <w:ind w:left="260"/>
              <w:spacing w:after="0"/>
              <w:rPr>
                <w:sz w:val="20"/>
                <w:szCs w:val="20"/>
                <w:color w:val="auto"/>
              </w:rPr>
            </w:pPr>
            <w:r>
              <w:rPr>
                <w:rFonts w:ascii="Arial" w:cs="Arial" w:eastAsia="Arial" w:hAnsi="Arial"/>
                <w:sz w:val="17"/>
                <w:szCs w:val="17"/>
                <w:color w:val="auto"/>
              </w:rPr>
              <w:t>Retained earnings</w:t>
            </w:r>
          </w:p>
        </w:tc>
        <w:tc>
          <w:tcPr>
            <w:tcW w:w="280" w:type="dxa"/>
            <w:vAlign w:val="bottom"/>
            <w:shd w:val="clear" w:color="auto" w:fill="CFF0FC"/>
          </w:tcPr>
          <w:p>
            <w:pPr>
              <w:spacing w:after="0"/>
              <w:rPr>
                <w:sz w:val="18"/>
                <w:szCs w:val="18"/>
                <w:color w:val="auto"/>
              </w:rPr>
            </w:pPr>
          </w:p>
        </w:tc>
        <w:tc>
          <w:tcPr>
            <w:tcW w:w="1300" w:type="dxa"/>
            <w:vAlign w:val="bottom"/>
            <w:shd w:val="clear" w:color="auto" w:fill="CFF0FC"/>
          </w:tcPr>
          <w:p>
            <w:pPr>
              <w:jc w:val="right"/>
              <w:spacing w:after="0"/>
              <w:rPr>
                <w:sz w:val="20"/>
                <w:szCs w:val="20"/>
                <w:color w:val="auto"/>
              </w:rPr>
            </w:pPr>
            <w:r>
              <w:rPr>
                <w:rFonts w:ascii="Arial" w:cs="Arial" w:eastAsia="Arial" w:hAnsi="Arial"/>
                <w:sz w:val="17"/>
                <w:szCs w:val="17"/>
                <w:color w:val="auto"/>
              </w:rPr>
              <w:t>55,000</w:t>
            </w:r>
          </w:p>
        </w:tc>
        <w:tc>
          <w:tcPr>
            <w:tcW w:w="280" w:type="dxa"/>
            <w:vAlign w:val="bottom"/>
            <w:shd w:val="clear" w:color="auto" w:fill="CFF0FC"/>
          </w:tcPr>
          <w:p>
            <w:pPr>
              <w:spacing w:after="0"/>
              <w:rPr>
                <w:sz w:val="18"/>
                <w:szCs w:val="18"/>
                <w:color w:val="auto"/>
              </w:rPr>
            </w:pPr>
          </w:p>
        </w:tc>
        <w:tc>
          <w:tcPr>
            <w:tcW w:w="20" w:type="dxa"/>
            <w:vAlign w:val="bottom"/>
            <w:shd w:val="clear" w:color="auto" w:fill="CFF0FC"/>
          </w:tcPr>
          <w:p>
            <w:pPr>
              <w:spacing w:after="0"/>
              <w:rPr>
                <w:sz w:val="18"/>
                <w:szCs w:val="18"/>
                <w:color w:val="auto"/>
              </w:rPr>
            </w:pPr>
          </w:p>
        </w:tc>
        <w:tc>
          <w:tcPr>
            <w:tcW w:w="200" w:type="dxa"/>
            <w:vAlign w:val="bottom"/>
            <w:shd w:val="clear" w:color="auto" w:fill="CFF0FC"/>
          </w:tcPr>
          <w:p>
            <w:pPr>
              <w:spacing w:after="0"/>
              <w:rPr>
                <w:sz w:val="18"/>
                <w:szCs w:val="18"/>
                <w:color w:val="auto"/>
              </w:rPr>
            </w:pPr>
          </w:p>
        </w:tc>
        <w:tc>
          <w:tcPr>
            <w:tcW w:w="1360" w:type="dxa"/>
            <w:vAlign w:val="bottom"/>
            <w:shd w:val="clear" w:color="auto" w:fill="CFF0FC"/>
          </w:tcPr>
          <w:p>
            <w:pPr>
              <w:jc w:val="right"/>
              <w:spacing w:after="0"/>
              <w:rPr>
                <w:sz w:val="20"/>
                <w:szCs w:val="20"/>
                <w:color w:val="auto"/>
              </w:rPr>
            </w:pPr>
            <w:r>
              <w:rPr>
                <w:rFonts w:ascii="Arial" w:cs="Arial" w:eastAsia="Arial" w:hAnsi="Arial"/>
                <w:sz w:val="17"/>
                <w:szCs w:val="17"/>
                <w:color w:val="auto"/>
              </w:rPr>
              <w:t>65,836</w:t>
            </w:r>
          </w:p>
        </w:tc>
        <w:tc>
          <w:tcPr>
            <w:tcW w:w="120" w:type="dxa"/>
            <w:vAlign w:val="bottom"/>
            <w:shd w:val="clear" w:color="auto" w:fill="CFF0FC"/>
          </w:tcPr>
          <w:p>
            <w:pPr>
              <w:spacing w:after="0"/>
              <w:rPr>
                <w:sz w:val="18"/>
                <w:szCs w:val="18"/>
                <w:color w:val="auto"/>
              </w:rPr>
            </w:pPr>
          </w:p>
        </w:tc>
      </w:tr>
      <w:tr>
        <w:trPr>
          <w:trHeight w:val="215"/>
        </w:trPr>
        <w:tc>
          <w:tcPr>
            <w:tcW w:w="7860" w:type="dxa"/>
            <w:vAlign w:val="bottom"/>
          </w:tcPr>
          <w:p>
            <w:pPr>
              <w:ind w:left="260"/>
              <w:spacing w:after="0"/>
              <w:rPr>
                <w:sz w:val="20"/>
                <w:szCs w:val="20"/>
                <w:color w:val="auto"/>
              </w:rPr>
            </w:pPr>
            <w:r>
              <w:rPr>
                <w:rFonts w:ascii="Arial" w:cs="Arial" w:eastAsia="Arial" w:hAnsi="Arial"/>
                <w:sz w:val="17"/>
                <w:szCs w:val="17"/>
                <w:color w:val="auto"/>
              </w:rPr>
              <w:t>Unearned employee benefits and other</w:t>
            </w:r>
          </w:p>
        </w:tc>
        <w:tc>
          <w:tcPr>
            <w:tcW w:w="280" w:type="dxa"/>
            <w:vAlign w:val="bottom"/>
          </w:tcPr>
          <w:p>
            <w:pPr>
              <w:spacing w:after="0"/>
              <w:rPr>
                <w:sz w:val="18"/>
                <w:szCs w:val="18"/>
                <w:color w:val="auto"/>
              </w:rPr>
            </w:pPr>
          </w:p>
        </w:tc>
        <w:tc>
          <w:tcPr>
            <w:tcW w:w="1300" w:type="dxa"/>
            <w:vAlign w:val="bottom"/>
          </w:tcPr>
          <w:p>
            <w:pPr>
              <w:jc w:val="right"/>
              <w:spacing w:after="0"/>
              <w:rPr>
                <w:sz w:val="20"/>
                <w:szCs w:val="20"/>
                <w:color w:val="auto"/>
              </w:rPr>
            </w:pPr>
            <w:r>
              <w:rPr>
                <w:rFonts w:ascii="Arial" w:cs="Arial" w:eastAsia="Arial" w:hAnsi="Arial"/>
                <w:sz w:val="17"/>
                <w:szCs w:val="17"/>
                <w:color w:val="auto"/>
              </w:rPr>
              <w:t>207</w:t>
            </w:r>
          </w:p>
        </w:tc>
        <w:tc>
          <w:tcPr>
            <w:tcW w:w="2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360" w:type="dxa"/>
            <w:vAlign w:val="bottom"/>
          </w:tcPr>
          <w:p>
            <w:pPr>
              <w:jc w:val="right"/>
              <w:spacing w:after="0"/>
              <w:rPr>
                <w:sz w:val="20"/>
                <w:szCs w:val="20"/>
                <w:color w:val="auto"/>
              </w:rPr>
            </w:pPr>
            <w:r>
              <w:rPr>
                <w:rFonts w:ascii="Arial" w:cs="Arial" w:eastAsia="Arial" w:hAnsi="Arial"/>
                <w:sz w:val="17"/>
                <w:szCs w:val="17"/>
                <w:color w:val="auto"/>
              </w:rPr>
              <w:t>218</w:t>
            </w:r>
          </w:p>
        </w:tc>
        <w:tc>
          <w:tcPr>
            <w:tcW w:w="120" w:type="dxa"/>
            <w:vAlign w:val="bottom"/>
          </w:tcPr>
          <w:p>
            <w:pPr>
              <w:spacing w:after="0"/>
              <w:rPr>
                <w:sz w:val="18"/>
                <w:szCs w:val="18"/>
                <w:color w:val="auto"/>
              </w:rPr>
            </w:pPr>
          </w:p>
        </w:tc>
      </w:tr>
      <w:tr>
        <w:trPr>
          <w:trHeight w:val="215"/>
        </w:trPr>
        <w:tc>
          <w:tcPr>
            <w:tcW w:w="7860" w:type="dxa"/>
            <w:vAlign w:val="bottom"/>
            <w:shd w:val="clear" w:color="auto" w:fill="CFF0FC"/>
          </w:tcPr>
          <w:p>
            <w:pPr>
              <w:ind w:left="260"/>
              <w:spacing w:after="0"/>
              <w:rPr>
                <w:sz w:val="20"/>
                <w:szCs w:val="20"/>
                <w:color w:val="auto"/>
              </w:rPr>
            </w:pPr>
            <w:r>
              <w:rPr>
                <w:rFonts w:ascii="Arial" w:cs="Arial" w:eastAsia="Arial" w:hAnsi="Arial"/>
                <w:sz w:val="17"/>
                <w:szCs w:val="17"/>
                <w:color w:val="auto"/>
              </w:rPr>
              <w:t>Accumulated other comprehensive loss</w:t>
            </w:r>
          </w:p>
        </w:tc>
        <w:tc>
          <w:tcPr>
            <w:tcW w:w="280" w:type="dxa"/>
            <w:vAlign w:val="bottom"/>
            <w:shd w:val="clear" w:color="auto" w:fill="CFF0FC"/>
          </w:tcPr>
          <w:p>
            <w:pPr>
              <w:spacing w:after="0"/>
              <w:rPr>
                <w:sz w:val="18"/>
                <w:szCs w:val="18"/>
                <w:color w:val="auto"/>
              </w:rPr>
            </w:pPr>
          </w:p>
        </w:tc>
        <w:tc>
          <w:tcPr>
            <w:tcW w:w="1580" w:type="dxa"/>
            <w:vAlign w:val="bottom"/>
            <w:gridSpan w:val="2"/>
            <w:shd w:val="clear" w:color="auto" w:fill="CFF0FC"/>
          </w:tcPr>
          <w:p>
            <w:pPr>
              <w:jc w:val="right"/>
              <w:ind w:right="240"/>
              <w:spacing w:after="0"/>
              <w:rPr>
                <w:sz w:val="20"/>
                <w:szCs w:val="20"/>
                <w:color w:val="auto"/>
              </w:rPr>
            </w:pPr>
            <w:r>
              <w:rPr>
                <w:rFonts w:ascii="Arial" w:cs="Arial" w:eastAsia="Arial" w:hAnsi="Arial"/>
                <w:sz w:val="17"/>
                <w:szCs w:val="17"/>
                <w:color w:val="auto"/>
              </w:rPr>
              <w:t>(25,848)</w:t>
            </w:r>
          </w:p>
        </w:tc>
        <w:tc>
          <w:tcPr>
            <w:tcW w:w="20" w:type="dxa"/>
            <w:vAlign w:val="bottom"/>
            <w:shd w:val="clear" w:color="auto" w:fill="CFF0FC"/>
          </w:tcPr>
          <w:p>
            <w:pPr>
              <w:spacing w:after="0"/>
              <w:rPr>
                <w:sz w:val="18"/>
                <w:szCs w:val="18"/>
                <w:color w:val="auto"/>
              </w:rPr>
            </w:pPr>
          </w:p>
        </w:tc>
        <w:tc>
          <w:tcPr>
            <w:tcW w:w="200" w:type="dxa"/>
            <w:vAlign w:val="bottom"/>
            <w:shd w:val="clear" w:color="auto" w:fill="CFF0FC"/>
          </w:tcPr>
          <w:p>
            <w:pPr>
              <w:spacing w:after="0"/>
              <w:rPr>
                <w:sz w:val="18"/>
                <w:szCs w:val="18"/>
                <w:color w:val="auto"/>
              </w:rPr>
            </w:pPr>
          </w:p>
        </w:tc>
        <w:tc>
          <w:tcPr>
            <w:tcW w:w="1480" w:type="dxa"/>
            <w:vAlign w:val="bottom"/>
            <w:gridSpan w:val="2"/>
            <w:shd w:val="clear" w:color="auto" w:fill="CFF0FC"/>
          </w:tcPr>
          <w:p>
            <w:pPr>
              <w:jc w:val="right"/>
              <w:ind w:right="60"/>
              <w:spacing w:after="0"/>
              <w:rPr>
                <w:sz w:val="20"/>
                <w:szCs w:val="20"/>
                <w:color w:val="auto"/>
              </w:rPr>
            </w:pPr>
            <w:r>
              <w:rPr>
                <w:rFonts w:ascii="Arial" w:cs="Arial" w:eastAsia="Arial" w:hAnsi="Arial"/>
                <w:sz w:val="17"/>
                <w:szCs w:val="17"/>
                <w:color w:val="auto"/>
              </w:rPr>
              <w:t>(22,568)</w:t>
            </w:r>
          </w:p>
        </w:tc>
      </w:tr>
      <w:tr>
        <w:trPr>
          <w:trHeight w:val="215"/>
        </w:trPr>
        <w:tc>
          <w:tcPr>
            <w:tcW w:w="7860" w:type="dxa"/>
            <w:vAlign w:val="bottom"/>
          </w:tcPr>
          <w:p>
            <w:pPr>
              <w:ind w:left="260"/>
              <w:spacing w:after="0"/>
              <w:rPr>
                <w:sz w:val="20"/>
                <w:szCs w:val="20"/>
                <w:color w:val="auto"/>
              </w:rPr>
            </w:pPr>
            <w:r>
              <w:rPr>
                <w:rFonts w:ascii="Arial" w:cs="Arial" w:eastAsia="Arial" w:hAnsi="Arial"/>
                <w:sz w:val="17"/>
                <w:szCs w:val="17"/>
                <w:color w:val="auto"/>
              </w:rPr>
              <w:t>Common stock in treasury, at cost, 4,468,334 and 4,518,099 shares, respectively</w:t>
            </w:r>
          </w:p>
        </w:tc>
        <w:tc>
          <w:tcPr>
            <w:tcW w:w="280" w:type="dxa"/>
            <w:vAlign w:val="bottom"/>
          </w:tcPr>
          <w:p>
            <w:pPr>
              <w:spacing w:after="0"/>
              <w:rPr>
                <w:sz w:val="18"/>
                <w:szCs w:val="18"/>
                <w:color w:val="auto"/>
              </w:rPr>
            </w:pPr>
          </w:p>
        </w:tc>
        <w:tc>
          <w:tcPr>
            <w:tcW w:w="1580" w:type="dxa"/>
            <w:vAlign w:val="bottom"/>
            <w:gridSpan w:val="2"/>
          </w:tcPr>
          <w:p>
            <w:pPr>
              <w:jc w:val="right"/>
              <w:ind w:right="240"/>
              <w:spacing w:after="0"/>
              <w:rPr>
                <w:sz w:val="20"/>
                <w:szCs w:val="20"/>
                <w:color w:val="auto"/>
              </w:rPr>
            </w:pPr>
            <w:r>
              <w:rPr>
                <w:rFonts w:ascii="Arial" w:cs="Arial" w:eastAsia="Arial" w:hAnsi="Arial"/>
                <w:sz w:val="17"/>
                <w:szCs w:val="17"/>
                <w:color w:val="auto"/>
              </w:rPr>
              <w:t>(223,947)</w:t>
            </w: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80" w:type="dxa"/>
            <w:vAlign w:val="bottom"/>
            <w:gridSpan w:val="2"/>
          </w:tcPr>
          <w:p>
            <w:pPr>
              <w:jc w:val="right"/>
              <w:ind w:right="60"/>
              <w:spacing w:after="0"/>
              <w:rPr>
                <w:sz w:val="20"/>
                <w:szCs w:val="20"/>
                <w:color w:val="auto"/>
              </w:rPr>
            </w:pPr>
            <w:r>
              <w:rPr>
                <w:rFonts w:ascii="Arial" w:cs="Arial" w:eastAsia="Arial" w:hAnsi="Arial"/>
                <w:sz w:val="17"/>
                <w:szCs w:val="17"/>
                <w:color w:val="auto"/>
              </w:rPr>
              <w:t>(226,215)</w:t>
            </w:r>
          </w:p>
        </w:tc>
      </w:tr>
      <w:tr>
        <w:trPr>
          <w:trHeight w:val="209"/>
        </w:trPr>
        <w:tc>
          <w:tcPr>
            <w:tcW w:w="786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7"/>
                <w:szCs w:val="17"/>
                <w:b w:val="1"/>
                <w:bCs w:val="1"/>
                <w:color w:val="auto"/>
              </w:rPr>
              <w:t>Total Viad stockholders’ equity</w:t>
            </w:r>
          </w:p>
        </w:tc>
        <w:tc>
          <w:tcPr>
            <w:tcW w:w="280" w:type="dxa"/>
            <w:vAlign w:val="bottom"/>
            <w:tcBorders>
              <w:top w:val="single" w:sz="8" w:color="auto"/>
            </w:tcBorders>
            <w:shd w:val="clear" w:color="auto" w:fill="CFF0FC"/>
          </w:tcPr>
          <w:p>
            <w:pPr>
              <w:spacing w:after="0"/>
              <w:rPr>
                <w:sz w:val="18"/>
                <w:szCs w:val="18"/>
                <w:color w:val="auto"/>
              </w:rPr>
            </w:pPr>
          </w:p>
        </w:tc>
        <w:tc>
          <w:tcPr>
            <w:tcW w:w="130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7"/>
                <w:szCs w:val="17"/>
                <w:color w:val="auto"/>
              </w:rPr>
              <w:t>416,037</w:t>
            </w:r>
          </w:p>
        </w:tc>
        <w:tc>
          <w:tcPr>
            <w:tcW w:w="280" w:type="dxa"/>
            <w:vAlign w:val="bottom"/>
            <w:tcBorders>
              <w:top w:val="single" w:sz="8" w:color="CFF0FC"/>
            </w:tcBorders>
            <w:shd w:val="clear" w:color="auto" w:fill="CFF0FC"/>
          </w:tcPr>
          <w:p>
            <w:pPr>
              <w:spacing w:after="0"/>
              <w:rPr>
                <w:sz w:val="18"/>
                <w:szCs w:val="18"/>
                <w:color w:val="auto"/>
              </w:rPr>
            </w:pPr>
          </w:p>
        </w:tc>
        <w:tc>
          <w:tcPr>
            <w:tcW w:w="20" w:type="dxa"/>
            <w:vAlign w:val="bottom"/>
            <w:tcBorders>
              <w:top w:val="single" w:sz="8" w:color="CFF0FC"/>
            </w:tcBorders>
            <w:shd w:val="clear" w:color="auto" w:fill="CFF0FC"/>
          </w:tcPr>
          <w:p>
            <w:pPr>
              <w:spacing w:after="0"/>
              <w:rPr>
                <w:sz w:val="18"/>
                <w:szCs w:val="18"/>
                <w:color w:val="auto"/>
              </w:rPr>
            </w:pPr>
          </w:p>
        </w:tc>
        <w:tc>
          <w:tcPr>
            <w:tcW w:w="200" w:type="dxa"/>
            <w:vAlign w:val="bottom"/>
            <w:tcBorders>
              <w:top w:val="single" w:sz="8" w:color="auto"/>
            </w:tcBorders>
            <w:shd w:val="clear" w:color="auto" w:fill="CFF0FC"/>
          </w:tcPr>
          <w:p>
            <w:pPr>
              <w:spacing w:after="0"/>
              <w:rPr>
                <w:sz w:val="18"/>
                <w:szCs w:val="18"/>
                <w:color w:val="auto"/>
              </w:rPr>
            </w:pPr>
          </w:p>
        </w:tc>
        <w:tc>
          <w:tcPr>
            <w:tcW w:w="136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7"/>
                <w:szCs w:val="17"/>
                <w:color w:val="auto"/>
              </w:rPr>
              <w:t>429,131</w:t>
            </w:r>
          </w:p>
        </w:tc>
        <w:tc>
          <w:tcPr>
            <w:tcW w:w="120" w:type="dxa"/>
            <w:vAlign w:val="bottom"/>
            <w:tcBorders>
              <w:top w:val="single" w:sz="8" w:color="CFF0FC"/>
            </w:tcBorders>
            <w:shd w:val="clear" w:color="auto" w:fill="CFF0FC"/>
          </w:tcPr>
          <w:p>
            <w:pPr>
              <w:spacing w:after="0"/>
              <w:rPr>
                <w:sz w:val="18"/>
                <w:szCs w:val="18"/>
                <w:color w:val="auto"/>
              </w:rPr>
            </w:pPr>
          </w:p>
        </w:tc>
      </w:tr>
      <w:tr>
        <w:trPr>
          <w:trHeight w:val="215"/>
        </w:trPr>
        <w:tc>
          <w:tcPr>
            <w:tcW w:w="7860" w:type="dxa"/>
            <w:vAlign w:val="bottom"/>
            <w:tcBorders>
              <w:bottom w:val="single" w:sz="8" w:color="CFF0FC"/>
            </w:tcBorders>
          </w:tcPr>
          <w:p>
            <w:pPr>
              <w:spacing w:after="0"/>
              <w:rPr>
                <w:sz w:val="20"/>
                <w:szCs w:val="20"/>
                <w:color w:val="auto"/>
              </w:rPr>
            </w:pPr>
            <w:r>
              <w:rPr>
                <w:rFonts w:ascii="Arial" w:cs="Arial" w:eastAsia="Arial" w:hAnsi="Arial"/>
                <w:sz w:val="17"/>
                <w:szCs w:val="17"/>
                <w:b w:val="1"/>
                <w:bCs w:val="1"/>
                <w:color w:val="auto"/>
              </w:rPr>
              <w:t>Non-redeemable noncontrolling interest</w:t>
            </w:r>
          </w:p>
        </w:tc>
        <w:tc>
          <w:tcPr>
            <w:tcW w:w="280" w:type="dxa"/>
            <w:vAlign w:val="bottom"/>
            <w:tcBorders>
              <w:bottom w:val="single" w:sz="8" w:color="auto"/>
            </w:tcBorders>
          </w:tcPr>
          <w:p>
            <w:pPr>
              <w:spacing w:after="0"/>
              <w:rPr>
                <w:sz w:val="18"/>
                <w:szCs w:val="18"/>
                <w:color w:val="auto"/>
              </w:rPr>
            </w:pPr>
          </w:p>
        </w:tc>
        <w:tc>
          <w:tcPr>
            <w:tcW w:w="13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13,442</w:t>
            </w:r>
          </w:p>
        </w:tc>
        <w:tc>
          <w:tcPr>
            <w:tcW w:w="280" w:type="dxa"/>
            <w:vAlign w:val="bottom"/>
            <w:tcBorders>
              <w:bottom w:val="single" w:sz="8" w:color="CFF0FC"/>
            </w:tcBorders>
          </w:tcPr>
          <w:p>
            <w:pPr>
              <w:spacing w:after="0"/>
              <w:rPr>
                <w:sz w:val="18"/>
                <w:szCs w:val="18"/>
                <w:color w:val="auto"/>
              </w:rPr>
            </w:pPr>
          </w:p>
        </w:tc>
        <w:tc>
          <w:tcPr>
            <w:tcW w:w="20" w:type="dxa"/>
            <w:vAlign w:val="bottom"/>
            <w:tcBorders>
              <w:bottom w:val="single" w:sz="8" w:color="CFF0FC"/>
            </w:tcBorders>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136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13,806</w:t>
            </w:r>
          </w:p>
        </w:tc>
        <w:tc>
          <w:tcPr>
            <w:tcW w:w="120" w:type="dxa"/>
            <w:vAlign w:val="bottom"/>
            <w:tcBorders>
              <w:bottom w:val="single" w:sz="8" w:color="CFF0FC"/>
            </w:tcBorders>
          </w:tcPr>
          <w:p>
            <w:pPr>
              <w:spacing w:after="0"/>
              <w:rPr>
                <w:sz w:val="18"/>
                <w:szCs w:val="18"/>
                <w:color w:val="auto"/>
              </w:rPr>
            </w:pPr>
          </w:p>
        </w:tc>
      </w:tr>
      <w:tr>
        <w:trPr>
          <w:trHeight w:val="209"/>
        </w:trPr>
        <w:tc>
          <w:tcPr>
            <w:tcW w:w="7860" w:type="dxa"/>
            <w:vAlign w:val="bottom"/>
            <w:shd w:val="clear" w:color="auto" w:fill="CFF0FC"/>
          </w:tcPr>
          <w:p>
            <w:pPr>
              <w:spacing w:after="0"/>
              <w:rPr>
                <w:sz w:val="20"/>
                <w:szCs w:val="20"/>
                <w:color w:val="auto"/>
              </w:rPr>
            </w:pPr>
            <w:r>
              <w:rPr>
                <w:rFonts w:ascii="Arial" w:cs="Arial" w:eastAsia="Arial" w:hAnsi="Arial"/>
                <w:sz w:val="17"/>
                <w:szCs w:val="17"/>
                <w:b w:val="1"/>
                <w:bCs w:val="1"/>
                <w:color w:val="auto"/>
              </w:rPr>
              <w:t>Total stockholders’ equity</w:t>
            </w:r>
          </w:p>
        </w:tc>
        <w:tc>
          <w:tcPr>
            <w:tcW w:w="280" w:type="dxa"/>
            <w:vAlign w:val="bottom"/>
            <w:tcBorders>
              <w:bottom w:val="single" w:sz="8" w:color="auto"/>
            </w:tcBorders>
            <w:shd w:val="clear" w:color="auto" w:fill="CFF0FC"/>
          </w:tcPr>
          <w:p>
            <w:pPr>
              <w:spacing w:after="0"/>
              <w:rPr>
                <w:sz w:val="18"/>
                <w:szCs w:val="18"/>
                <w:color w:val="auto"/>
              </w:rPr>
            </w:pPr>
          </w:p>
        </w:tc>
        <w:tc>
          <w:tcPr>
            <w:tcW w:w="13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7"/>
                <w:szCs w:val="17"/>
                <w:color w:val="auto"/>
              </w:rPr>
              <w:t>429,479</w:t>
            </w:r>
          </w:p>
        </w:tc>
        <w:tc>
          <w:tcPr>
            <w:tcW w:w="280" w:type="dxa"/>
            <w:vAlign w:val="bottom"/>
            <w:shd w:val="clear" w:color="auto" w:fill="CFF0FC"/>
          </w:tcPr>
          <w:p>
            <w:pPr>
              <w:spacing w:after="0"/>
              <w:rPr>
                <w:sz w:val="18"/>
                <w:szCs w:val="18"/>
                <w:color w:val="auto"/>
              </w:rPr>
            </w:pPr>
          </w:p>
        </w:tc>
        <w:tc>
          <w:tcPr>
            <w:tcW w:w="20" w:type="dxa"/>
            <w:vAlign w:val="bottom"/>
            <w:shd w:val="clear" w:color="auto" w:fill="CFF0FC"/>
          </w:tcPr>
          <w:p>
            <w:pPr>
              <w:spacing w:after="0"/>
              <w:rPr>
                <w:sz w:val="18"/>
                <w:szCs w:val="18"/>
                <w:color w:val="auto"/>
              </w:rPr>
            </w:pPr>
          </w:p>
        </w:tc>
        <w:tc>
          <w:tcPr>
            <w:tcW w:w="200" w:type="dxa"/>
            <w:vAlign w:val="bottom"/>
            <w:tcBorders>
              <w:bottom w:val="single" w:sz="8" w:color="auto"/>
            </w:tcBorders>
            <w:shd w:val="clear" w:color="auto" w:fill="CFF0FC"/>
          </w:tcPr>
          <w:p>
            <w:pPr>
              <w:spacing w:after="0"/>
              <w:rPr>
                <w:sz w:val="18"/>
                <w:szCs w:val="18"/>
                <w:color w:val="auto"/>
              </w:rPr>
            </w:pPr>
          </w:p>
        </w:tc>
        <w:tc>
          <w:tcPr>
            <w:tcW w:w="13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7"/>
                <w:szCs w:val="17"/>
                <w:color w:val="auto"/>
              </w:rPr>
              <w:t>442,937</w:t>
            </w:r>
          </w:p>
        </w:tc>
        <w:tc>
          <w:tcPr>
            <w:tcW w:w="120" w:type="dxa"/>
            <w:vAlign w:val="bottom"/>
            <w:shd w:val="clear" w:color="auto" w:fill="CFF0FC"/>
          </w:tcPr>
          <w:p>
            <w:pPr>
              <w:spacing w:after="0"/>
              <w:rPr>
                <w:sz w:val="18"/>
                <w:szCs w:val="18"/>
                <w:color w:val="auto"/>
              </w:rPr>
            </w:pPr>
          </w:p>
        </w:tc>
      </w:tr>
      <w:tr>
        <w:trPr>
          <w:trHeight w:val="209"/>
        </w:trPr>
        <w:tc>
          <w:tcPr>
            <w:tcW w:w="7860" w:type="dxa"/>
            <w:vAlign w:val="bottom"/>
          </w:tcPr>
          <w:p>
            <w:pPr>
              <w:spacing w:after="0"/>
              <w:rPr>
                <w:sz w:val="20"/>
                <w:szCs w:val="20"/>
                <w:color w:val="auto"/>
              </w:rPr>
            </w:pPr>
            <w:r>
              <w:rPr>
                <w:rFonts w:ascii="Arial" w:cs="Arial" w:eastAsia="Arial" w:hAnsi="Arial"/>
                <w:sz w:val="17"/>
                <w:szCs w:val="17"/>
                <w:b w:val="1"/>
                <w:bCs w:val="1"/>
                <w:color w:val="auto"/>
              </w:rPr>
              <w:t>Total Liabilities and Stockholders’ Equity</w:t>
            </w:r>
          </w:p>
        </w:tc>
        <w:tc>
          <w:tcPr>
            <w:tcW w:w="280" w:type="dxa"/>
            <w:vAlign w:val="bottom"/>
            <w:tcBorders>
              <w:bottom w:val="single" w:sz="8" w:color="auto"/>
            </w:tcBorders>
          </w:tcPr>
          <w:p>
            <w:pPr>
              <w:jc w:val="right"/>
              <w:ind w:right="126"/>
              <w:spacing w:after="0"/>
              <w:rPr>
                <w:sz w:val="20"/>
                <w:szCs w:val="20"/>
                <w:color w:val="auto"/>
              </w:rPr>
            </w:pPr>
            <w:r>
              <w:rPr>
                <w:rFonts w:ascii="Arial" w:cs="Arial" w:eastAsia="Arial" w:hAnsi="Arial"/>
                <w:sz w:val="15"/>
                <w:szCs w:val="15"/>
                <w:color w:val="auto"/>
                <w:w w:val="71"/>
              </w:rPr>
              <w:t>$</w:t>
            </w:r>
          </w:p>
        </w:tc>
        <w:tc>
          <w:tcPr>
            <w:tcW w:w="13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948,147</w:t>
            </w:r>
          </w:p>
        </w:tc>
        <w:tc>
          <w:tcPr>
            <w:tcW w:w="280" w:type="dxa"/>
            <w:vAlign w:val="bottom"/>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200" w:type="dxa"/>
            <w:vAlign w:val="bottom"/>
            <w:tcBorders>
              <w:bottom w:val="single" w:sz="8" w:color="auto"/>
            </w:tcBorders>
          </w:tcPr>
          <w:p>
            <w:pPr>
              <w:jc w:val="right"/>
              <w:ind w:right="92"/>
              <w:spacing w:after="0"/>
              <w:rPr>
                <w:sz w:val="20"/>
                <w:szCs w:val="20"/>
                <w:color w:val="auto"/>
              </w:rPr>
            </w:pPr>
            <w:r>
              <w:rPr>
                <w:rFonts w:ascii="Arial" w:cs="Arial" w:eastAsia="Arial" w:hAnsi="Arial"/>
                <w:sz w:val="10"/>
                <w:szCs w:val="10"/>
                <w:color w:val="auto"/>
                <w:w w:val="71"/>
              </w:rPr>
              <w:t>$</w:t>
            </w:r>
          </w:p>
        </w:tc>
        <w:tc>
          <w:tcPr>
            <w:tcW w:w="136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919,899</w:t>
            </w:r>
          </w:p>
        </w:tc>
        <w:tc>
          <w:tcPr>
            <w:tcW w:w="120" w:type="dxa"/>
            <w:vAlign w:val="bottom"/>
          </w:tcPr>
          <w:p>
            <w:pPr>
              <w:spacing w:after="0"/>
              <w:rPr>
                <w:sz w:val="18"/>
                <w:szCs w:val="18"/>
                <w:color w:val="auto"/>
              </w:rPr>
            </w:pPr>
          </w:p>
        </w:tc>
      </w:tr>
      <w:tr>
        <w:trPr>
          <w:trHeight w:val="20"/>
        </w:trPr>
        <w:tc>
          <w:tcPr>
            <w:tcW w:w="786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r>
    </w:tbl>
    <w:p>
      <w:pPr>
        <w:spacing w:after="0" w:line="13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Refer to Notes to Condensed Consolidated Financial Statements.</w:t>
      </w:r>
    </w:p>
    <w:p>
      <w:pPr>
        <w:spacing w:after="0" w:line="2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69850</wp:posOffset>
            </wp:positionV>
            <wp:extent cx="7289800" cy="425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1420"/>
          </w:cols>
          <w:pgMar w:left="240" w:top="336" w:right="239" w:bottom="1440" w:gutter="0" w:footer="0" w:header="0"/>
        </w:sectPr>
      </w:pPr>
    </w:p>
    <w:bookmarkStart w:id="3" w:name="page4"/>
    <w:bookmarkEnd w:id="3"/>
    <w:p>
      <w:pPr>
        <w:jc w:val="center"/>
        <w:spacing w:after="0"/>
        <w:rPr>
          <w:sz w:val="20"/>
          <w:szCs w:val="20"/>
          <w:color w:val="auto"/>
        </w:rPr>
      </w:pPr>
      <w:r>
        <w:rPr>
          <w:rFonts w:ascii="Arial" w:cs="Arial" w:eastAsia="Arial" w:hAnsi="Arial"/>
          <w:sz w:val="18"/>
          <w:szCs w:val="18"/>
          <w:b w:val="1"/>
          <w:bCs w:val="1"/>
          <w:color w:val="auto"/>
        </w:rPr>
        <w:t>VIAD CORP</w:t>
      </w:r>
    </w:p>
    <w:p>
      <w:pPr>
        <w:spacing w:after="0" w:line="11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CONSOLIDATED STATEMENTS OF OPERATIONS</w:t>
      </w:r>
    </w:p>
    <w:p>
      <w:pPr>
        <w:spacing w:after="0" w:line="11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99"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786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2060" w:type="dxa"/>
            <w:vAlign w:val="bottom"/>
            <w:gridSpan w:val="4"/>
          </w:tcPr>
          <w:p>
            <w:pPr>
              <w:jc w:val="right"/>
              <w:ind w:right="10"/>
              <w:spacing w:after="0"/>
              <w:rPr>
                <w:sz w:val="20"/>
                <w:szCs w:val="20"/>
                <w:color w:val="auto"/>
              </w:rPr>
            </w:pPr>
            <w:r>
              <w:rPr>
                <w:rFonts w:ascii="Arial" w:cs="Arial" w:eastAsia="Arial" w:hAnsi="Arial"/>
                <w:sz w:val="14"/>
                <w:szCs w:val="14"/>
                <w:b w:val="1"/>
                <w:bCs w:val="1"/>
                <w:color w:val="auto"/>
              </w:rPr>
              <w:t>Three Months Ended</w:t>
            </w:r>
          </w:p>
        </w:tc>
        <w:tc>
          <w:tcPr>
            <w:tcW w:w="10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1"/>
        </w:trPr>
        <w:tc>
          <w:tcPr>
            <w:tcW w:w="7860" w:type="dxa"/>
            <w:vAlign w:val="bottom"/>
            <w:vMerge w:val="restart"/>
          </w:tcPr>
          <w:p>
            <w:pPr>
              <w:spacing w:after="0"/>
              <w:rPr>
                <w:sz w:val="20"/>
                <w:szCs w:val="20"/>
                <w:color w:val="auto"/>
              </w:rPr>
            </w:pPr>
            <w:r>
              <w:rPr>
                <w:rFonts w:ascii="Arial" w:cs="Arial" w:eastAsia="Arial" w:hAnsi="Arial"/>
                <w:sz w:val="14"/>
                <w:szCs w:val="14"/>
                <w:i w:val="1"/>
                <w:iCs w:val="1"/>
                <w:color w:val="auto"/>
              </w:rPr>
              <w:t>(in thousands, except per share data)</w:t>
            </w:r>
          </w:p>
        </w:tc>
        <w:tc>
          <w:tcPr>
            <w:tcW w:w="360" w:type="dxa"/>
            <w:vAlign w:val="bottom"/>
            <w:tcBorders>
              <w:bottom w:val="single" w:sz="8" w:color="auto"/>
            </w:tcBorders>
          </w:tcPr>
          <w:p>
            <w:pPr>
              <w:spacing w:after="0"/>
              <w:rPr>
                <w:sz w:val="14"/>
                <w:szCs w:val="14"/>
                <w:color w:val="auto"/>
              </w:rPr>
            </w:pPr>
          </w:p>
        </w:tc>
        <w:tc>
          <w:tcPr>
            <w:tcW w:w="2060" w:type="dxa"/>
            <w:vAlign w:val="bottom"/>
            <w:tcBorders>
              <w:bottom w:val="single" w:sz="8" w:color="auto"/>
            </w:tcBorders>
            <w:gridSpan w:val="4"/>
          </w:tcPr>
          <w:p>
            <w:pPr>
              <w:jc w:val="right"/>
              <w:ind w:right="350"/>
              <w:spacing w:after="0"/>
              <w:rPr>
                <w:sz w:val="20"/>
                <w:szCs w:val="20"/>
                <w:color w:val="auto"/>
              </w:rPr>
            </w:pPr>
            <w:r>
              <w:rPr>
                <w:rFonts w:ascii="Arial" w:cs="Arial" w:eastAsia="Arial" w:hAnsi="Arial"/>
                <w:sz w:val="14"/>
                <w:szCs w:val="14"/>
                <w:b w:val="1"/>
                <w:bCs w:val="1"/>
                <w:color w:val="auto"/>
              </w:rPr>
              <w:t>March 31,</w:t>
            </w:r>
          </w:p>
        </w:tc>
        <w:tc>
          <w:tcPr>
            <w:tcW w:w="1020" w:type="dxa"/>
            <w:vAlign w:val="bottom"/>
            <w:tcBorders>
              <w:bottom w:val="single" w:sz="8" w:color="auto"/>
            </w:tcBorders>
          </w:tcPr>
          <w:p>
            <w:pPr>
              <w:spacing w:after="0"/>
              <w:rPr>
                <w:sz w:val="14"/>
                <w:szCs w:val="14"/>
                <w:color w:val="auto"/>
              </w:rPr>
            </w:pP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5"/>
        </w:trPr>
        <w:tc>
          <w:tcPr>
            <w:tcW w:w="7860" w:type="dxa"/>
            <w:vAlign w:val="bottom"/>
            <w:tcBorders>
              <w:bottom w:val="single" w:sz="8" w:color="CFF0FC"/>
            </w:tcBorders>
            <w:vMerge w:val="continue"/>
          </w:tcPr>
          <w:p>
            <w:pPr>
              <w:spacing w:after="0"/>
              <w:rPr>
                <w:sz w:val="13"/>
                <w:szCs w:val="13"/>
                <w:color w:val="auto"/>
              </w:rPr>
            </w:pPr>
          </w:p>
        </w:tc>
        <w:tc>
          <w:tcPr>
            <w:tcW w:w="360" w:type="dxa"/>
            <w:vAlign w:val="bottom"/>
            <w:tcBorders>
              <w:bottom w:val="single" w:sz="8" w:color="auto"/>
            </w:tcBorders>
          </w:tcPr>
          <w:p>
            <w:pPr>
              <w:spacing w:after="0"/>
              <w:rPr>
                <w:sz w:val="13"/>
                <w:szCs w:val="13"/>
                <w:color w:val="auto"/>
              </w:rPr>
            </w:pPr>
          </w:p>
        </w:tc>
        <w:tc>
          <w:tcPr>
            <w:tcW w:w="1220" w:type="dxa"/>
            <w:vAlign w:val="bottom"/>
            <w:tcBorders>
              <w:bottom w:val="single" w:sz="8" w:color="auto"/>
            </w:tcBorders>
          </w:tcPr>
          <w:p>
            <w:pPr>
              <w:jc w:val="right"/>
              <w:ind w:right="572"/>
              <w:spacing w:after="0" w:line="155" w:lineRule="exact"/>
              <w:rPr>
                <w:sz w:val="20"/>
                <w:szCs w:val="20"/>
                <w:color w:val="auto"/>
              </w:rPr>
            </w:pPr>
            <w:r>
              <w:rPr>
                <w:rFonts w:ascii="Arial" w:cs="Arial" w:eastAsia="Arial" w:hAnsi="Arial"/>
                <w:sz w:val="14"/>
                <w:szCs w:val="14"/>
                <w:b w:val="1"/>
                <w:bCs w:val="1"/>
                <w:color w:val="auto"/>
              </w:rPr>
              <w:t>2018</w:t>
            </w:r>
          </w:p>
        </w:tc>
        <w:tc>
          <w:tcPr>
            <w:tcW w:w="280" w:type="dxa"/>
            <w:vAlign w:val="bottom"/>
            <w:tcBorders>
              <w:bottom w:val="single" w:sz="8" w:color="CFF0FC"/>
            </w:tcBorders>
          </w:tcPr>
          <w:p>
            <w:pPr>
              <w:spacing w:after="0"/>
              <w:rPr>
                <w:sz w:val="13"/>
                <w:szCs w:val="13"/>
                <w:color w:val="auto"/>
              </w:rPr>
            </w:pPr>
          </w:p>
        </w:tc>
        <w:tc>
          <w:tcPr>
            <w:tcW w:w="20" w:type="dxa"/>
            <w:vAlign w:val="bottom"/>
            <w:tcBorders>
              <w:bottom w:val="single" w:sz="8" w:color="CFF0FC"/>
            </w:tcBorders>
          </w:tcPr>
          <w:p>
            <w:pPr>
              <w:spacing w:after="0"/>
              <w:rPr>
                <w:sz w:val="13"/>
                <w:szCs w:val="13"/>
                <w:color w:val="auto"/>
              </w:rPr>
            </w:pPr>
          </w:p>
        </w:tc>
        <w:tc>
          <w:tcPr>
            <w:tcW w:w="540" w:type="dxa"/>
            <w:vAlign w:val="bottom"/>
            <w:tcBorders>
              <w:bottom w:val="single" w:sz="8" w:color="auto"/>
            </w:tcBorders>
          </w:tcPr>
          <w:p>
            <w:pPr>
              <w:spacing w:after="0"/>
              <w:rPr>
                <w:sz w:val="13"/>
                <w:szCs w:val="13"/>
                <w:color w:val="auto"/>
              </w:rPr>
            </w:pPr>
          </w:p>
        </w:tc>
        <w:tc>
          <w:tcPr>
            <w:tcW w:w="1020" w:type="dxa"/>
            <w:vAlign w:val="bottom"/>
            <w:tcBorders>
              <w:bottom w:val="single" w:sz="8" w:color="auto"/>
            </w:tcBorders>
          </w:tcPr>
          <w:p>
            <w:pPr>
              <w:jc w:val="right"/>
              <w:ind w:right="571"/>
              <w:spacing w:after="0" w:line="155" w:lineRule="exact"/>
              <w:rPr>
                <w:sz w:val="20"/>
                <w:szCs w:val="20"/>
                <w:color w:val="auto"/>
              </w:rPr>
            </w:pPr>
            <w:r>
              <w:rPr>
                <w:rFonts w:ascii="Arial" w:cs="Arial" w:eastAsia="Arial" w:hAnsi="Arial"/>
                <w:sz w:val="14"/>
                <w:szCs w:val="14"/>
                <w:b w:val="1"/>
                <w:bCs w:val="1"/>
                <w:color w:val="auto"/>
              </w:rPr>
              <w:t>2017</w:t>
            </w:r>
          </w:p>
        </w:tc>
        <w:tc>
          <w:tcPr>
            <w:tcW w:w="120" w:type="dxa"/>
            <w:vAlign w:val="bottom"/>
            <w:tcBorders>
              <w:bottom w:val="single" w:sz="8" w:color="CFF0FC"/>
            </w:tcBorders>
          </w:tcPr>
          <w:p>
            <w:pPr>
              <w:spacing w:after="0"/>
              <w:rPr>
                <w:sz w:val="13"/>
                <w:szCs w:val="13"/>
                <w:color w:val="auto"/>
              </w:rPr>
            </w:pPr>
          </w:p>
        </w:tc>
        <w:tc>
          <w:tcPr>
            <w:tcW w:w="0" w:type="dxa"/>
            <w:vAlign w:val="bottom"/>
          </w:tcPr>
          <w:p>
            <w:pPr>
              <w:spacing w:after="0"/>
              <w:rPr>
                <w:sz w:val="1"/>
                <w:szCs w:val="1"/>
                <w:color w:val="auto"/>
              </w:rPr>
            </w:pPr>
          </w:p>
        </w:tc>
      </w:tr>
      <w:tr>
        <w:trPr>
          <w:trHeight w:val="222"/>
        </w:trPr>
        <w:tc>
          <w:tcPr>
            <w:tcW w:w="7860" w:type="dxa"/>
            <w:vAlign w:val="bottom"/>
            <w:shd w:val="clear" w:color="auto" w:fill="CFF0FC"/>
          </w:tcPr>
          <w:p>
            <w:pPr>
              <w:spacing w:after="0"/>
              <w:rPr>
                <w:sz w:val="20"/>
                <w:szCs w:val="20"/>
                <w:color w:val="auto"/>
              </w:rPr>
            </w:pPr>
            <w:r>
              <w:rPr>
                <w:rFonts w:ascii="Arial" w:cs="Arial" w:eastAsia="Arial" w:hAnsi="Arial"/>
                <w:sz w:val="18"/>
                <w:szCs w:val="18"/>
                <w:b w:val="1"/>
                <w:bCs w:val="1"/>
                <w:color w:val="auto"/>
              </w:rPr>
              <w:t>Revenue:</w:t>
            </w:r>
          </w:p>
        </w:tc>
        <w:tc>
          <w:tcPr>
            <w:tcW w:w="360" w:type="dxa"/>
            <w:vAlign w:val="bottom"/>
            <w:shd w:val="clear" w:color="auto" w:fill="CFF0FC"/>
          </w:tcPr>
          <w:p>
            <w:pPr>
              <w:spacing w:after="0"/>
              <w:rPr>
                <w:sz w:val="19"/>
                <w:szCs w:val="19"/>
                <w:color w:val="auto"/>
              </w:rPr>
            </w:pPr>
          </w:p>
        </w:tc>
        <w:tc>
          <w:tcPr>
            <w:tcW w:w="122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540" w:type="dxa"/>
            <w:vAlign w:val="bottom"/>
            <w:shd w:val="clear" w:color="auto" w:fill="CFF0FC"/>
          </w:tcPr>
          <w:p>
            <w:pPr>
              <w:spacing w:after="0"/>
              <w:rPr>
                <w:sz w:val="19"/>
                <w:szCs w:val="19"/>
                <w:color w:val="auto"/>
              </w:rPr>
            </w:pPr>
          </w:p>
        </w:tc>
        <w:tc>
          <w:tcPr>
            <w:tcW w:w="10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7860" w:type="dxa"/>
            <w:vAlign w:val="bottom"/>
          </w:tcPr>
          <w:p>
            <w:pPr>
              <w:ind w:left="260"/>
              <w:spacing w:after="0"/>
              <w:rPr>
                <w:sz w:val="20"/>
                <w:szCs w:val="20"/>
                <w:color w:val="auto"/>
              </w:rPr>
            </w:pPr>
            <w:r>
              <w:rPr>
                <w:rFonts w:ascii="Arial" w:cs="Arial" w:eastAsia="Arial" w:hAnsi="Arial"/>
                <w:sz w:val="18"/>
                <w:szCs w:val="18"/>
                <w:color w:val="auto"/>
              </w:rPr>
              <w:t>Services</w:t>
            </w:r>
          </w:p>
        </w:tc>
        <w:tc>
          <w:tcPr>
            <w:tcW w:w="360" w:type="dxa"/>
            <w:vAlign w:val="bottom"/>
          </w:tcPr>
          <w:p>
            <w:pPr>
              <w:jc w:val="right"/>
              <w:ind w:right="207"/>
              <w:spacing w:after="0"/>
              <w:rPr>
                <w:sz w:val="20"/>
                <w:szCs w:val="20"/>
                <w:color w:val="auto"/>
              </w:rPr>
            </w:pPr>
            <w:r>
              <w:rPr>
                <w:rFonts w:ascii="Arial" w:cs="Arial" w:eastAsia="Arial" w:hAnsi="Arial"/>
                <w:sz w:val="15"/>
                <w:szCs w:val="15"/>
                <w:color w:val="auto"/>
                <w:w w:val="71"/>
              </w:rPr>
              <w:t>$</w:t>
            </w:r>
          </w:p>
        </w:tc>
        <w:tc>
          <w:tcPr>
            <w:tcW w:w="1220" w:type="dxa"/>
            <w:vAlign w:val="bottom"/>
          </w:tcPr>
          <w:p>
            <w:pPr>
              <w:jc w:val="right"/>
              <w:spacing w:after="0"/>
              <w:rPr>
                <w:sz w:val="20"/>
                <w:szCs w:val="20"/>
                <w:color w:val="auto"/>
              </w:rPr>
            </w:pPr>
            <w:r>
              <w:rPr>
                <w:rFonts w:ascii="Arial" w:cs="Arial" w:eastAsia="Arial" w:hAnsi="Arial"/>
                <w:sz w:val="18"/>
                <w:szCs w:val="18"/>
                <w:color w:val="auto"/>
              </w:rPr>
              <w:t>245,548</w:t>
            </w:r>
          </w:p>
        </w:tc>
        <w:tc>
          <w:tcPr>
            <w:tcW w:w="280" w:type="dxa"/>
            <w:vAlign w:val="bottom"/>
          </w:tcPr>
          <w:p>
            <w:pPr>
              <w:spacing w:after="0"/>
              <w:rPr>
                <w:sz w:val="19"/>
                <w:szCs w:val="19"/>
                <w:color w:val="auto"/>
              </w:rPr>
            </w:pPr>
          </w:p>
        </w:tc>
        <w:tc>
          <w:tcPr>
            <w:tcW w:w="560" w:type="dxa"/>
            <w:vAlign w:val="bottom"/>
            <w:gridSpan w:val="2"/>
          </w:tcPr>
          <w:p>
            <w:pPr>
              <w:jc w:val="right"/>
              <w:ind w:right="430"/>
              <w:spacing w:after="0"/>
              <w:rPr>
                <w:sz w:val="20"/>
                <w:szCs w:val="20"/>
                <w:color w:val="auto"/>
              </w:rPr>
            </w:pPr>
            <w:r>
              <w:rPr>
                <w:rFonts w:ascii="Arial" w:cs="Arial" w:eastAsia="Arial" w:hAnsi="Arial"/>
                <w:sz w:val="15"/>
                <w:szCs w:val="15"/>
                <w:color w:val="auto"/>
                <w:w w:val="71"/>
              </w:rPr>
              <w:t>$</w:t>
            </w:r>
          </w:p>
        </w:tc>
        <w:tc>
          <w:tcPr>
            <w:tcW w:w="1020" w:type="dxa"/>
            <w:vAlign w:val="bottom"/>
          </w:tcPr>
          <w:p>
            <w:pPr>
              <w:jc w:val="right"/>
              <w:spacing w:after="0"/>
              <w:rPr>
                <w:sz w:val="20"/>
                <w:szCs w:val="20"/>
                <w:color w:val="auto"/>
              </w:rPr>
            </w:pPr>
            <w:r>
              <w:rPr>
                <w:rFonts w:ascii="Arial" w:cs="Arial" w:eastAsia="Arial" w:hAnsi="Arial"/>
                <w:sz w:val="18"/>
                <w:szCs w:val="18"/>
                <w:color w:val="auto"/>
              </w:rPr>
              <w:t>290,643</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7860" w:type="dxa"/>
            <w:vAlign w:val="bottom"/>
            <w:shd w:val="clear" w:color="auto" w:fill="CFF0FC"/>
          </w:tcPr>
          <w:p>
            <w:pPr>
              <w:ind w:left="260"/>
              <w:spacing w:after="0"/>
              <w:rPr>
                <w:sz w:val="20"/>
                <w:szCs w:val="20"/>
                <w:color w:val="auto"/>
              </w:rPr>
            </w:pPr>
            <w:r>
              <w:rPr>
                <w:rFonts w:ascii="Arial" w:cs="Arial" w:eastAsia="Arial" w:hAnsi="Arial"/>
                <w:sz w:val="18"/>
                <w:szCs w:val="18"/>
                <w:color w:val="auto"/>
              </w:rPr>
              <w:t>Products</w:t>
            </w:r>
          </w:p>
        </w:tc>
        <w:tc>
          <w:tcPr>
            <w:tcW w:w="360" w:type="dxa"/>
            <w:vAlign w:val="bottom"/>
            <w:tcBorders>
              <w:bottom w:val="single" w:sz="8" w:color="auto"/>
            </w:tcBorders>
            <w:shd w:val="clear" w:color="auto" w:fill="CFF0FC"/>
          </w:tcPr>
          <w:p>
            <w:pPr>
              <w:spacing w:after="0"/>
              <w:rPr>
                <w:sz w:val="19"/>
                <w:szCs w:val="19"/>
                <w:color w:val="auto"/>
              </w:rPr>
            </w:pPr>
          </w:p>
        </w:tc>
        <w:tc>
          <w:tcPr>
            <w:tcW w:w="12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31,880</w:t>
            </w:r>
          </w:p>
        </w:tc>
        <w:tc>
          <w:tcPr>
            <w:tcW w:w="28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540" w:type="dxa"/>
            <w:vAlign w:val="bottom"/>
            <w:tcBorders>
              <w:bottom w:val="single" w:sz="8" w:color="auto"/>
            </w:tcBorders>
            <w:shd w:val="clear" w:color="auto" w:fill="CFF0FC"/>
          </w:tcPr>
          <w:p>
            <w:pPr>
              <w:spacing w:after="0"/>
              <w:rPr>
                <w:sz w:val="19"/>
                <w:szCs w:val="19"/>
                <w:color w:val="auto"/>
              </w:rPr>
            </w:pPr>
          </w:p>
        </w:tc>
        <w:tc>
          <w:tcPr>
            <w:tcW w:w="10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35,164</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2"/>
        </w:trPr>
        <w:tc>
          <w:tcPr>
            <w:tcW w:w="7860" w:type="dxa"/>
            <w:vAlign w:val="bottom"/>
            <w:tcBorders>
              <w:bottom w:val="single" w:sz="8" w:color="CFF0FC"/>
            </w:tcBorders>
          </w:tcPr>
          <w:p>
            <w:pPr>
              <w:spacing w:after="0"/>
              <w:rPr>
                <w:sz w:val="20"/>
                <w:szCs w:val="20"/>
                <w:color w:val="auto"/>
              </w:rPr>
            </w:pPr>
            <w:r>
              <w:rPr>
                <w:rFonts w:ascii="Arial" w:cs="Arial" w:eastAsia="Arial" w:hAnsi="Arial"/>
                <w:sz w:val="18"/>
                <w:szCs w:val="18"/>
                <w:b w:val="1"/>
                <w:bCs w:val="1"/>
                <w:color w:val="auto"/>
              </w:rPr>
              <w:t>Total revenue</w:t>
            </w:r>
          </w:p>
        </w:tc>
        <w:tc>
          <w:tcPr>
            <w:tcW w:w="360" w:type="dxa"/>
            <w:vAlign w:val="bottom"/>
            <w:tcBorders>
              <w:bottom w:val="single" w:sz="8" w:color="auto"/>
            </w:tcBorders>
          </w:tcPr>
          <w:p>
            <w:pPr>
              <w:spacing w:after="0"/>
              <w:rPr>
                <w:sz w:val="19"/>
                <w:szCs w:val="19"/>
                <w:color w:val="auto"/>
              </w:rPr>
            </w:pP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277,428</w:t>
            </w:r>
          </w:p>
        </w:tc>
        <w:tc>
          <w:tcPr>
            <w:tcW w:w="280" w:type="dxa"/>
            <w:vAlign w:val="bottom"/>
            <w:tcBorders>
              <w:bottom w:val="single" w:sz="8" w:color="CFF0FC"/>
            </w:tcBorders>
          </w:tcPr>
          <w:p>
            <w:pPr>
              <w:spacing w:after="0"/>
              <w:rPr>
                <w:sz w:val="19"/>
                <w:szCs w:val="19"/>
                <w:color w:val="auto"/>
              </w:rPr>
            </w:pPr>
          </w:p>
        </w:tc>
        <w:tc>
          <w:tcPr>
            <w:tcW w:w="20" w:type="dxa"/>
            <w:vAlign w:val="bottom"/>
            <w:tcBorders>
              <w:bottom w:val="single" w:sz="8" w:color="CFF0FC"/>
            </w:tcBorders>
          </w:tcPr>
          <w:p>
            <w:pPr>
              <w:spacing w:after="0"/>
              <w:rPr>
                <w:sz w:val="19"/>
                <w:szCs w:val="19"/>
                <w:color w:val="auto"/>
              </w:rPr>
            </w:pPr>
          </w:p>
        </w:tc>
        <w:tc>
          <w:tcPr>
            <w:tcW w:w="540" w:type="dxa"/>
            <w:vAlign w:val="bottom"/>
            <w:tcBorders>
              <w:bottom w:val="single" w:sz="8" w:color="auto"/>
            </w:tcBorders>
          </w:tcPr>
          <w:p>
            <w:pPr>
              <w:spacing w:after="0"/>
              <w:rPr>
                <w:sz w:val="19"/>
                <w:szCs w:val="19"/>
                <w:color w:val="auto"/>
              </w:rPr>
            </w:pP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325,807</w:t>
            </w:r>
          </w:p>
        </w:tc>
        <w:tc>
          <w:tcPr>
            <w:tcW w:w="120" w:type="dxa"/>
            <w:vAlign w:val="bottom"/>
            <w:tcBorders>
              <w:bottom w:val="single" w:sz="8" w:color="CFF0FC"/>
            </w:tcBorders>
          </w:tcPr>
          <w:p>
            <w:pPr>
              <w:spacing w:after="0"/>
              <w:rPr>
                <w:sz w:val="19"/>
                <w:szCs w:val="19"/>
                <w:color w:val="auto"/>
              </w:rPr>
            </w:pPr>
          </w:p>
        </w:tc>
        <w:tc>
          <w:tcPr>
            <w:tcW w:w="0" w:type="dxa"/>
            <w:vAlign w:val="bottom"/>
          </w:tcPr>
          <w:p>
            <w:pPr>
              <w:spacing w:after="0"/>
              <w:rPr>
                <w:sz w:val="1"/>
                <w:szCs w:val="1"/>
                <w:color w:val="auto"/>
              </w:rPr>
            </w:pPr>
          </w:p>
        </w:tc>
      </w:tr>
      <w:tr>
        <w:trPr>
          <w:trHeight w:val="222"/>
        </w:trPr>
        <w:tc>
          <w:tcPr>
            <w:tcW w:w="7860" w:type="dxa"/>
            <w:vAlign w:val="bottom"/>
            <w:shd w:val="clear" w:color="auto" w:fill="CFF0FC"/>
          </w:tcPr>
          <w:p>
            <w:pPr>
              <w:spacing w:after="0"/>
              <w:rPr>
                <w:sz w:val="20"/>
                <w:szCs w:val="20"/>
                <w:color w:val="auto"/>
              </w:rPr>
            </w:pPr>
            <w:r>
              <w:rPr>
                <w:rFonts w:ascii="Arial" w:cs="Arial" w:eastAsia="Arial" w:hAnsi="Arial"/>
                <w:sz w:val="18"/>
                <w:szCs w:val="18"/>
                <w:b w:val="1"/>
                <w:bCs w:val="1"/>
                <w:color w:val="auto"/>
              </w:rPr>
              <w:t>Costs and expenses:</w:t>
            </w:r>
          </w:p>
        </w:tc>
        <w:tc>
          <w:tcPr>
            <w:tcW w:w="360" w:type="dxa"/>
            <w:vAlign w:val="bottom"/>
            <w:shd w:val="clear" w:color="auto" w:fill="CFF0FC"/>
          </w:tcPr>
          <w:p>
            <w:pPr>
              <w:spacing w:after="0"/>
              <w:rPr>
                <w:sz w:val="19"/>
                <w:szCs w:val="19"/>
                <w:color w:val="auto"/>
              </w:rPr>
            </w:pPr>
          </w:p>
        </w:tc>
        <w:tc>
          <w:tcPr>
            <w:tcW w:w="122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540" w:type="dxa"/>
            <w:vAlign w:val="bottom"/>
            <w:shd w:val="clear" w:color="auto" w:fill="CFF0FC"/>
          </w:tcPr>
          <w:p>
            <w:pPr>
              <w:spacing w:after="0"/>
              <w:rPr>
                <w:sz w:val="19"/>
                <w:szCs w:val="19"/>
                <w:color w:val="auto"/>
              </w:rPr>
            </w:pPr>
          </w:p>
        </w:tc>
        <w:tc>
          <w:tcPr>
            <w:tcW w:w="10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7860" w:type="dxa"/>
            <w:vAlign w:val="bottom"/>
          </w:tcPr>
          <w:p>
            <w:pPr>
              <w:ind w:left="260"/>
              <w:spacing w:after="0"/>
              <w:rPr>
                <w:sz w:val="20"/>
                <w:szCs w:val="20"/>
                <w:color w:val="auto"/>
              </w:rPr>
            </w:pPr>
            <w:r>
              <w:rPr>
                <w:rFonts w:ascii="Arial" w:cs="Arial" w:eastAsia="Arial" w:hAnsi="Arial"/>
                <w:sz w:val="18"/>
                <w:szCs w:val="18"/>
                <w:color w:val="auto"/>
              </w:rPr>
              <w:t>Costs of services</w:t>
            </w:r>
          </w:p>
        </w:tc>
        <w:tc>
          <w:tcPr>
            <w:tcW w:w="360" w:type="dxa"/>
            <w:vAlign w:val="bottom"/>
          </w:tcPr>
          <w:p>
            <w:pPr>
              <w:spacing w:after="0"/>
              <w:rPr>
                <w:sz w:val="19"/>
                <w:szCs w:val="19"/>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257,295</w:t>
            </w:r>
          </w:p>
        </w:tc>
        <w:tc>
          <w:tcPr>
            <w:tcW w:w="2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280,638</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7860" w:type="dxa"/>
            <w:vAlign w:val="bottom"/>
            <w:shd w:val="clear" w:color="auto" w:fill="CFF0FC"/>
          </w:tcPr>
          <w:p>
            <w:pPr>
              <w:ind w:left="260"/>
              <w:spacing w:after="0"/>
              <w:rPr>
                <w:sz w:val="20"/>
                <w:szCs w:val="20"/>
                <w:color w:val="auto"/>
              </w:rPr>
            </w:pPr>
            <w:r>
              <w:rPr>
                <w:rFonts w:ascii="Arial" w:cs="Arial" w:eastAsia="Arial" w:hAnsi="Arial"/>
                <w:sz w:val="18"/>
                <w:szCs w:val="18"/>
                <w:color w:val="auto"/>
              </w:rPr>
              <w:t>Costs of products</w:t>
            </w:r>
          </w:p>
        </w:tc>
        <w:tc>
          <w:tcPr>
            <w:tcW w:w="360" w:type="dxa"/>
            <w:vAlign w:val="bottom"/>
            <w:shd w:val="clear" w:color="auto" w:fill="CFF0FC"/>
          </w:tcPr>
          <w:p>
            <w:pPr>
              <w:spacing w:after="0"/>
              <w:rPr>
                <w:sz w:val="19"/>
                <w:szCs w:val="19"/>
                <w:color w:val="auto"/>
              </w:rPr>
            </w:pPr>
          </w:p>
        </w:tc>
        <w:tc>
          <w:tcPr>
            <w:tcW w:w="12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31,122</w:t>
            </w:r>
          </w:p>
        </w:tc>
        <w:tc>
          <w:tcPr>
            <w:tcW w:w="28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540" w:type="dxa"/>
            <w:vAlign w:val="bottom"/>
            <w:shd w:val="clear" w:color="auto" w:fill="CFF0FC"/>
          </w:tcPr>
          <w:p>
            <w:pPr>
              <w:spacing w:after="0"/>
              <w:rPr>
                <w:sz w:val="19"/>
                <w:szCs w:val="19"/>
                <w:color w:val="auto"/>
              </w:rPr>
            </w:pPr>
          </w:p>
        </w:tc>
        <w:tc>
          <w:tcPr>
            <w:tcW w:w="10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32,102</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7860" w:type="dxa"/>
            <w:vAlign w:val="bottom"/>
          </w:tcPr>
          <w:p>
            <w:pPr>
              <w:ind w:left="260"/>
              <w:spacing w:after="0"/>
              <w:rPr>
                <w:sz w:val="20"/>
                <w:szCs w:val="20"/>
                <w:color w:val="auto"/>
              </w:rPr>
            </w:pPr>
            <w:r>
              <w:rPr>
                <w:rFonts w:ascii="Arial" w:cs="Arial" w:eastAsia="Arial" w:hAnsi="Arial"/>
                <w:sz w:val="18"/>
                <w:szCs w:val="18"/>
                <w:color w:val="auto"/>
              </w:rPr>
              <w:t>Business interruption gain</w:t>
            </w:r>
          </w:p>
        </w:tc>
        <w:tc>
          <w:tcPr>
            <w:tcW w:w="360" w:type="dxa"/>
            <w:vAlign w:val="bottom"/>
          </w:tcPr>
          <w:p>
            <w:pPr>
              <w:spacing w:after="0"/>
              <w:rPr>
                <w:sz w:val="19"/>
                <w:szCs w:val="19"/>
                <w:color w:val="auto"/>
              </w:rPr>
            </w:pPr>
          </w:p>
        </w:tc>
        <w:tc>
          <w:tcPr>
            <w:tcW w:w="1500" w:type="dxa"/>
            <w:vAlign w:val="bottom"/>
            <w:gridSpan w:val="2"/>
          </w:tcPr>
          <w:p>
            <w:pPr>
              <w:jc w:val="right"/>
              <w:ind w:right="220"/>
              <w:spacing w:after="0"/>
              <w:rPr>
                <w:sz w:val="20"/>
                <w:szCs w:val="20"/>
                <w:color w:val="auto"/>
              </w:rPr>
            </w:pPr>
            <w:r>
              <w:rPr>
                <w:rFonts w:ascii="Arial" w:cs="Arial" w:eastAsia="Arial" w:hAnsi="Arial"/>
                <w:sz w:val="18"/>
                <w:szCs w:val="18"/>
                <w:color w:val="auto"/>
              </w:rPr>
              <w:t>(190)</w:t>
            </w:r>
          </w:p>
        </w:tc>
        <w:tc>
          <w:tcPr>
            <w:tcW w:w="2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1140" w:type="dxa"/>
            <w:vAlign w:val="bottom"/>
            <w:gridSpan w:val="2"/>
          </w:tcPr>
          <w:p>
            <w:pPr>
              <w:jc w:val="right"/>
              <w:ind w:right="60"/>
              <w:spacing w:after="0"/>
              <w:rPr>
                <w:sz w:val="20"/>
                <w:szCs w:val="20"/>
                <w:color w:val="auto"/>
              </w:rPr>
            </w:pPr>
            <w:r>
              <w:rPr>
                <w:rFonts w:ascii="Arial" w:cs="Arial" w:eastAsia="Arial" w:hAnsi="Arial"/>
                <w:sz w:val="18"/>
                <w:szCs w:val="18"/>
                <w:color w:val="auto"/>
              </w:rPr>
              <w:t>(53)</w:t>
            </w:r>
          </w:p>
        </w:tc>
        <w:tc>
          <w:tcPr>
            <w:tcW w:w="0" w:type="dxa"/>
            <w:vAlign w:val="bottom"/>
          </w:tcPr>
          <w:p>
            <w:pPr>
              <w:spacing w:after="0"/>
              <w:rPr>
                <w:sz w:val="1"/>
                <w:szCs w:val="1"/>
                <w:color w:val="auto"/>
              </w:rPr>
            </w:pPr>
          </w:p>
        </w:tc>
      </w:tr>
      <w:tr>
        <w:trPr>
          <w:trHeight w:val="229"/>
        </w:trPr>
        <w:tc>
          <w:tcPr>
            <w:tcW w:w="7860" w:type="dxa"/>
            <w:vAlign w:val="bottom"/>
            <w:shd w:val="clear" w:color="auto" w:fill="CFF0FC"/>
          </w:tcPr>
          <w:p>
            <w:pPr>
              <w:ind w:left="260"/>
              <w:spacing w:after="0"/>
              <w:rPr>
                <w:sz w:val="20"/>
                <w:szCs w:val="20"/>
                <w:color w:val="auto"/>
              </w:rPr>
            </w:pPr>
            <w:r>
              <w:rPr>
                <w:rFonts w:ascii="Arial" w:cs="Arial" w:eastAsia="Arial" w:hAnsi="Arial"/>
                <w:sz w:val="18"/>
                <w:szCs w:val="18"/>
                <w:color w:val="auto"/>
              </w:rPr>
              <w:t>Corporate activities</w:t>
            </w:r>
          </w:p>
        </w:tc>
        <w:tc>
          <w:tcPr>
            <w:tcW w:w="360" w:type="dxa"/>
            <w:vAlign w:val="bottom"/>
            <w:shd w:val="clear" w:color="auto" w:fill="CFF0FC"/>
          </w:tcPr>
          <w:p>
            <w:pPr>
              <w:spacing w:after="0"/>
              <w:rPr>
                <w:sz w:val="19"/>
                <w:szCs w:val="19"/>
                <w:color w:val="auto"/>
              </w:rPr>
            </w:pPr>
          </w:p>
        </w:tc>
        <w:tc>
          <w:tcPr>
            <w:tcW w:w="12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2,217</w:t>
            </w:r>
          </w:p>
        </w:tc>
        <w:tc>
          <w:tcPr>
            <w:tcW w:w="28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540" w:type="dxa"/>
            <w:vAlign w:val="bottom"/>
            <w:shd w:val="clear" w:color="auto" w:fill="CFF0FC"/>
          </w:tcPr>
          <w:p>
            <w:pPr>
              <w:spacing w:after="0"/>
              <w:rPr>
                <w:sz w:val="19"/>
                <w:szCs w:val="19"/>
                <w:color w:val="auto"/>
              </w:rPr>
            </w:pPr>
          </w:p>
        </w:tc>
        <w:tc>
          <w:tcPr>
            <w:tcW w:w="10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2,541</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7860" w:type="dxa"/>
            <w:vAlign w:val="bottom"/>
          </w:tcPr>
          <w:p>
            <w:pPr>
              <w:ind w:left="260"/>
              <w:spacing w:after="0"/>
              <w:rPr>
                <w:sz w:val="20"/>
                <w:szCs w:val="20"/>
                <w:color w:val="auto"/>
              </w:rPr>
            </w:pPr>
            <w:r>
              <w:rPr>
                <w:rFonts w:ascii="Arial" w:cs="Arial" w:eastAsia="Arial" w:hAnsi="Arial"/>
                <w:sz w:val="18"/>
                <w:szCs w:val="18"/>
                <w:color w:val="auto"/>
              </w:rPr>
              <w:t>Interest income</w:t>
            </w:r>
          </w:p>
        </w:tc>
        <w:tc>
          <w:tcPr>
            <w:tcW w:w="360" w:type="dxa"/>
            <w:vAlign w:val="bottom"/>
          </w:tcPr>
          <w:p>
            <w:pPr>
              <w:spacing w:after="0"/>
              <w:rPr>
                <w:sz w:val="19"/>
                <w:szCs w:val="19"/>
                <w:color w:val="auto"/>
              </w:rPr>
            </w:pPr>
          </w:p>
        </w:tc>
        <w:tc>
          <w:tcPr>
            <w:tcW w:w="1500" w:type="dxa"/>
            <w:vAlign w:val="bottom"/>
            <w:gridSpan w:val="2"/>
          </w:tcPr>
          <w:p>
            <w:pPr>
              <w:jc w:val="right"/>
              <w:ind w:right="220"/>
              <w:spacing w:after="0"/>
              <w:rPr>
                <w:sz w:val="20"/>
                <w:szCs w:val="20"/>
                <w:color w:val="auto"/>
              </w:rPr>
            </w:pPr>
            <w:r>
              <w:rPr>
                <w:rFonts w:ascii="Arial" w:cs="Arial" w:eastAsia="Arial" w:hAnsi="Arial"/>
                <w:sz w:val="18"/>
                <w:szCs w:val="18"/>
                <w:color w:val="auto"/>
              </w:rPr>
              <w:t>(84)</w:t>
            </w:r>
          </w:p>
        </w:tc>
        <w:tc>
          <w:tcPr>
            <w:tcW w:w="2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1140" w:type="dxa"/>
            <w:vAlign w:val="bottom"/>
            <w:gridSpan w:val="2"/>
          </w:tcPr>
          <w:p>
            <w:pPr>
              <w:jc w:val="right"/>
              <w:ind w:right="60"/>
              <w:spacing w:after="0"/>
              <w:rPr>
                <w:sz w:val="20"/>
                <w:szCs w:val="20"/>
                <w:color w:val="auto"/>
              </w:rPr>
            </w:pPr>
            <w:r>
              <w:rPr>
                <w:rFonts w:ascii="Arial" w:cs="Arial" w:eastAsia="Arial" w:hAnsi="Arial"/>
                <w:sz w:val="18"/>
                <w:szCs w:val="18"/>
                <w:color w:val="auto"/>
              </w:rPr>
              <w:t>(58)</w:t>
            </w:r>
          </w:p>
        </w:tc>
        <w:tc>
          <w:tcPr>
            <w:tcW w:w="0" w:type="dxa"/>
            <w:vAlign w:val="bottom"/>
          </w:tcPr>
          <w:p>
            <w:pPr>
              <w:spacing w:after="0"/>
              <w:rPr>
                <w:sz w:val="1"/>
                <w:szCs w:val="1"/>
                <w:color w:val="auto"/>
              </w:rPr>
            </w:pPr>
          </w:p>
        </w:tc>
      </w:tr>
      <w:tr>
        <w:trPr>
          <w:trHeight w:val="229"/>
        </w:trPr>
        <w:tc>
          <w:tcPr>
            <w:tcW w:w="7860" w:type="dxa"/>
            <w:vAlign w:val="bottom"/>
            <w:shd w:val="clear" w:color="auto" w:fill="CFF0FC"/>
          </w:tcPr>
          <w:p>
            <w:pPr>
              <w:ind w:left="260"/>
              <w:spacing w:after="0"/>
              <w:rPr>
                <w:sz w:val="20"/>
                <w:szCs w:val="20"/>
                <w:color w:val="auto"/>
              </w:rPr>
            </w:pPr>
            <w:r>
              <w:rPr>
                <w:rFonts w:ascii="Arial" w:cs="Arial" w:eastAsia="Arial" w:hAnsi="Arial"/>
                <w:sz w:val="18"/>
                <w:szCs w:val="18"/>
                <w:color w:val="auto"/>
              </w:rPr>
              <w:t>Interest expense</w:t>
            </w:r>
          </w:p>
        </w:tc>
        <w:tc>
          <w:tcPr>
            <w:tcW w:w="360" w:type="dxa"/>
            <w:vAlign w:val="bottom"/>
            <w:shd w:val="clear" w:color="auto" w:fill="CFF0FC"/>
          </w:tcPr>
          <w:p>
            <w:pPr>
              <w:spacing w:after="0"/>
              <w:rPr>
                <w:sz w:val="19"/>
                <w:szCs w:val="19"/>
                <w:color w:val="auto"/>
              </w:rPr>
            </w:pPr>
          </w:p>
        </w:tc>
        <w:tc>
          <w:tcPr>
            <w:tcW w:w="12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2,069</w:t>
            </w:r>
          </w:p>
        </w:tc>
        <w:tc>
          <w:tcPr>
            <w:tcW w:w="28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540" w:type="dxa"/>
            <w:vAlign w:val="bottom"/>
            <w:shd w:val="clear" w:color="auto" w:fill="CFF0FC"/>
          </w:tcPr>
          <w:p>
            <w:pPr>
              <w:spacing w:after="0"/>
              <w:rPr>
                <w:sz w:val="19"/>
                <w:szCs w:val="19"/>
                <w:color w:val="auto"/>
              </w:rPr>
            </w:pPr>
          </w:p>
        </w:tc>
        <w:tc>
          <w:tcPr>
            <w:tcW w:w="10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2,105</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7860" w:type="dxa"/>
            <w:vAlign w:val="bottom"/>
          </w:tcPr>
          <w:p>
            <w:pPr>
              <w:ind w:left="260"/>
              <w:spacing w:after="0"/>
              <w:rPr>
                <w:sz w:val="20"/>
                <w:szCs w:val="20"/>
                <w:color w:val="auto"/>
              </w:rPr>
            </w:pPr>
            <w:r>
              <w:rPr>
                <w:rFonts w:ascii="Arial" w:cs="Arial" w:eastAsia="Arial" w:hAnsi="Arial"/>
                <w:sz w:val="18"/>
                <w:szCs w:val="18"/>
                <w:color w:val="auto"/>
              </w:rPr>
              <w:t>Other expense</w:t>
            </w:r>
          </w:p>
        </w:tc>
        <w:tc>
          <w:tcPr>
            <w:tcW w:w="360" w:type="dxa"/>
            <w:vAlign w:val="bottom"/>
          </w:tcPr>
          <w:p>
            <w:pPr>
              <w:spacing w:after="0"/>
              <w:rPr>
                <w:sz w:val="19"/>
                <w:szCs w:val="19"/>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238</w:t>
            </w:r>
          </w:p>
        </w:tc>
        <w:tc>
          <w:tcPr>
            <w:tcW w:w="2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452</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7860" w:type="dxa"/>
            <w:vAlign w:val="bottom"/>
            <w:shd w:val="clear" w:color="auto" w:fill="CFF0FC"/>
          </w:tcPr>
          <w:p>
            <w:pPr>
              <w:ind w:left="260"/>
              <w:spacing w:after="0"/>
              <w:rPr>
                <w:sz w:val="20"/>
                <w:szCs w:val="20"/>
                <w:color w:val="auto"/>
              </w:rPr>
            </w:pPr>
            <w:r>
              <w:rPr>
                <w:rFonts w:ascii="Arial" w:cs="Arial" w:eastAsia="Arial" w:hAnsi="Arial"/>
                <w:sz w:val="18"/>
                <w:szCs w:val="18"/>
                <w:color w:val="auto"/>
              </w:rPr>
              <w:t>Restructuring charges</w:t>
            </w:r>
          </w:p>
        </w:tc>
        <w:tc>
          <w:tcPr>
            <w:tcW w:w="360" w:type="dxa"/>
            <w:vAlign w:val="bottom"/>
            <w:shd w:val="clear" w:color="auto" w:fill="CFF0FC"/>
          </w:tcPr>
          <w:p>
            <w:pPr>
              <w:spacing w:after="0"/>
              <w:rPr>
                <w:sz w:val="19"/>
                <w:szCs w:val="19"/>
                <w:color w:val="auto"/>
              </w:rPr>
            </w:pPr>
          </w:p>
        </w:tc>
        <w:tc>
          <w:tcPr>
            <w:tcW w:w="12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162</w:t>
            </w:r>
          </w:p>
        </w:tc>
        <w:tc>
          <w:tcPr>
            <w:tcW w:w="28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540" w:type="dxa"/>
            <w:vAlign w:val="bottom"/>
            <w:shd w:val="clear" w:color="auto" w:fill="CFF0FC"/>
          </w:tcPr>
          <w:p>
            <w:pPr>
              <w:spacing w:after="0"/>
              <w:rPr>
                <w:sz w:val="19"/>
                <w:szCs w:val="19"/>
                <w:color w:val="auto"/>
              </w:rPr>
            </w:pPr>
          </w:p>
        </w:tc>
        <w:tc>
          <w:tcPr>
            <w:tcW w:w="10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394</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7860" w:type="dxa"/>
            <w:vAlign w:val="bottom"/>
          </w:tcPr>
          <w:p>
            <w:pPr>
              <w:ind w:left="260"/>
              <w:spacing w:after="0"/>
              <w:rPr>
                <w:sz w:val="20"/>
                <w:szCs w:val="20"/>
                <w:color w:val="auto"/>
              </w:rPr>
            </w:pPr>
            <w:r>
              <w:rPr>
                <w:rFonts w:ascii="Arial" w:cs="Arial" w:eastAsia="Arial" w:hAnsi="Arial"/>
                <w:sz w:val="18"/>
                <w:szCs w:val="18"/>
                <w:color w:val="auto"/>
              </w:rPr>
              <w:t>Impairment recoveries</w:t>
            </w:r>
          </w:p>
        </w:tc>
        <w:tc>
          <w:tcPr>
            <w:tcW w:w="360" w:type="dxa"/>
            <w:vAlign w:val="bottom"/>
          </w:tcPr>
          <w:p>
            <w:pPr>
              <w:spacing w:after="0"/>
              <w:rPr>
                <w:sz w:val="19"/>
                <w:szCs w:val="19"/>
                <w:color w:val="auto"/>
              </w:rPr>
            </w:pPr>
          </w:p>
        </w:tc>
        <w:tc>
          <w:tcPr>
            <w:tcW w:w="150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1140" w:type="dxa"/>
            <w:vAlign w:val="bottom"/>
            <w:gridSpan w:val="2"/>
          </w:tcPr>
          <w:p>
            <w:pPr>
              <w:jc w:val="right"/>
              <w:ind w:right="60"/>
              <w:spacing w:after="0"/>
              <w:rPr>
                <w:sz w:val="20"/>
                <w:szCs w:val="20"/>
                <w:color w:val="auto"/>
              </w:rPr>
            </w:pPr>
            <w:r>
              <w:rPr>
                <w:rFonts w:ascii="Arial" w:cs="Arial" w:eastAsia="Arial" w:hAnsi="Arial"/>
                <w:sz w:val="18"/>
                <w:szCs w:val="18"/>
                <w:color w:val="auto"/>
              </w:rPr>
              <w:t>(2,384)</w:t>
            </w:r>
          </w:p>
        </w:tc>
        <w:tc>
          <w:tcPr>
            <w:tcW w:w="0" w:type="dxa"/>
            <w:vAlign w:val="bottom"/>
          </w:tcPr>
          <w:p>
            <w:pPr>
              <w:spacing w:after="0"/>
              <w:rPr>
                <w:sz w:val="1"/>
                <w:szCs w:val="1"/>
                <w:color w:val="auto"/>
              </w:rPr>
            </w:pPr>
          </w:p>
        </w:tc>
      </w:tr>
      <w:tr>
        <w:trPr>
          <w:trHeight w:val="222"/>
        </w:trPr>
        <w:tc>
          <w:tcPr>
            <w:tcW w:w="786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8"/>
                <w:szCs w:val="18"/>
                <w:b w:val="1"/>
                <w:bCs w:val="1"/>
                <w:color w:val="auto"/>
              </w:rPr>
              <w:t>Total costs and expenses</w:t>
            </w:r>
          </w:p>
        </w:tc>
        <w:tc>
          <w:tcPr>
            <w:tcW w:w="360" w:type="dxa"/>
            <w:vAlign w:val="bottom"/>
            <w:tcBorders>
              <w:top w:val="single" w:sz="8" w:color="auto"/>
              <w:bottom w:val="single" w:sz="8" w:color="auto"/>
            </w:tcBorders>
            <w:shd w:val="clear" w:color="auto" w:fill="CFF0FC"/>
          </w:tcPr>
          <w:p>
            <w:pPr>
              <w:spacing w:after="0"/>
              <w:rPr>
                <w:sz w:val="19"/>
                <w:szCs w:val="19"/>
                <w:color w:val="auto"/>
              </w:rPr>
            </w:pPr>
          </w:p>
        </w:tc>
        <w:tc>
          <w:tcPr>
            <w:tcW w:w="122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292,829</w:t>
            </w:r>
          </w:p>
        </w:tc>
        <w:tc>
          <w:tcPr>
            <w:tcW w:w="280" w:type="dxa"/>
            <w:vAlign w:val="bottom"/>
            <w:tcBorders>
              <w:top w:val="single" w:sz="8" w:color="CFF0FC"/>
            </w:tcBorders>
            <w:shd w:val="clear" w:color="auto" w:fill="CFF0FC"/>
          </w:tcPr>
          <w:p>
            <w:pPr>
              <w:spacing w:after="0"/>
              <w:rPr>
                <w:sz w:val="19"/>
                <w:szCs w:val="19"/>
                <w:color w:val="auto"/>
              </w:rPr>
            </w:pPr>
          </w:p>
        </w:tc>
        <w:tc>
          <w:tcPr>
            <w:tcW w:w="20" w:type="dxa"/>
            <w:vAlign w:val="bottom"/>
            <w:tcBorders>
              <w:top w:val="single" w:sz="8" w:color="CFF0FC"/>
            </w:tcBorders>
            <w:shd w:val="clear" w:color="auto" w:fill="CFF0FC"/>
          </w:tcPr>
          <w:p>
            <w:pPr>
              <w:spacing w:after="0"/>
              <w:rPr>
                <w:sz w:val="19"/>
                <w:szCs w:val="19"/>
                <w:color w:val="auto"/>
              </w:rPr>
            </w:pPr>
          </w:p>
        </w:tc>
        <w:tc>
          <w:tcPr>
            <w:tcW w:w="540" w:type="dxa"/>
            <w:vAlign w:val="bottom"/>
            <w:tcBorders>
              <w:top w:val="single" w:sz="8" w:color="auto"/>
              <w:bottom w:val="single" w:sz="8" w:color="auto"/>
            </w:tcBorders>
            <w:shd w:val="clear" w:color="auto" w:fill="CFF0FC"/>
          </w:tcPr>
          <w:p>
            <w:pPr>
              <w:spacing w:after="0"/>
              <w:rPr>
                <w:sz w:val="19"/>
                <w:szCs w:val="19"/>
                <w:color w:val="auto"/>
              </w:rPr>
            </w:pPr>
          </w:p>
        </w:tc>
        <w:tc>
          <w:tcPr>
            <w:tcW w:w="102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315,737</w:t>
            </w:r>
          </w:p>
        </w:tc>
        <w:tc>
          <w:tcPr>
            <w:tcW w:w="120" w:type="dxa"/>
            <w:vAlign w:val="bottom"/>
            <w:tcBorders>
              <w:top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2"/>
        </w:trPr>
        <w:tc>
          <w:tcPr>
            <w:tcW w:w="7860" w:type="dxa"/>
            <w:vAlign w:val="bottom"/>
          </w:tcPr>
          <w:p>
            <w:pPr>
              <w:spacing w:after="0"/>
              <w:rPr>
                <w:sz w:val="20"/>
                <w:szCs w:val="20"/>
                <w:color w:val="auto"/>
              </w:rPr>
            </w:pPr>
            <w:r>
              <w:rPr>
                <w:rFonts w:ascii="Arial" w:cs="Arial" w:eastAsia="Arial" w:hAnsi="Arial"/>
                <w:sz w:val="18"/>
                <w:szCs w:val="18"/>
                <w:b w:val="1"/>
                <w:bCs w:val="1"/>
                <w:color w:val="auto"/>
              </w:rPr>
              <w:t>Income (loss) from continuing operations before income taxes</w:t>
            </w:r>
          </w:p>
        </w:tc>
        <w:tc>
          <w:tcPr>
            <w:tcW w:w="360" w:type="dxa"/>
            <w:vAlign w:val="bottom"/>
          </w:tcPr>
          <w:p>
            <w:pPr>
              <w:spacing w:after="0"/>
              <w:rPr>
                <w:sz w:val="19"/>
                <w:szCs w:val="19"/>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(15,401)</w:t>
            </w:r>
          </w:p>
        </w:tc>
        <w:tc>
          <w:tcPr>
            <w:tcW w:w="2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10,070</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7860" w:type="dxa"/>
            <w:vAlign w:val="bottom"/>
            <w:shd w:val="clear" w:color="auto" w:fill="CFF0FC"/>
          </w:tcPr>
          <w:p>
            <w:pPr>
              <w:spacing w:after="0"/>
              <w:rPr>
                <w:sz w:val="20"/>
                <w:szCs w:val="20"/>
                <w:color w:val="auto"/>
              </w:rPr>
            </w:pPr>
            <w:r>
              <w:rPr>
                <w:rFonts w:ascii="Arial" w:cs="Arial" w:eastAsia="Arial" w:hAnsi="Arial"/>
                <w:sz w:val="18"/>
                <w:szCs w:val="18"/>
                <w:color w:val="auto"/>
              </w:rPr>
              <w:t>Income tax expense (benefit)</w:t>
            </w:r>
          </w:p>
        </w:tc>
        <w:tc>
          <w:tcPr>
            <w:tcW w:w="360" w:type="dxa"/>
            <w:vAlign w:val="bottom"/>
            <w:shd w:val="clear" w:color="auto" w:fill="CFF0FC"/>
          </w:tcPr>
          <w:p>
            <w:pPr>
              <w:spacing w:after="0"/>
              <w:rPr>
                <w:sz w:val="19"/>
                <w:szCs w:val="19"/>
                <w:color w:val="auto"/>
              </w:rPr>
            </w:pPr>
          </w:p>
        </w:tc>
        <w:tc>
          <w:tcPr>
            <w:tcW w:w="1500" w:type="dxa"/>
            <w:vAlign w:val="bottom"/>
            <w:gridSpan w:val="2"/>
            <w:shd w:val="clear" w:color="auto" w:fill="CFF0FC"/>
          </w:tcPr>
          <w:p>
            <w:pPr>
              <w:jc w:val="right"/>
              <w:ind w:right="220"/>
              <w:spacing w:after="0"/>
              <w:rPr>
                <w:sz w:val="20"/>
                <w:szCs w:val="20"/>
                <w:color w:val="auto"/>
              </w:rPr>
            </w:pPr>
            <w:r>
              <w:rPr>
                <w:rFonts w:ascii="Arial" w:cs="Arial" w:eastAsia="Arial" w:hAnsi="Arial"/>
                <w:sz w:val="18"/>
                <w:szCs w:val="18"/>
                <w:color w:val="auto"/>
              </w:rPr>
              <w:t>(4,638)</w:t>
            </w:r>
          </w:p>
        </w:tc>
        <w:tc>
          <w:tcPr>
            <w:tcW w:w="20" w:type="dxa"/>
            <w:vAlign w:val="bottom"/>
            <w:shd w:val="clear" w:color="auto" w:fill="CFF0FC"/>
          </w:tcPr>
          <w:p>
            <w:pPr>
              <w:spacing w:after="0"/>
              <w:rPr>
                <w:sz w:val="19"/>
                <w:szCs w:val="19"/>
                <w:color w:val="auto"/>
              </w:rPr>
            </w:pPr>
          </w:p>
        </w:tc>
        <w:tc>
          <w:tcPr>
            <w:tcW w:w="540" w:type="dxa"/>
            <w:vAlign w:val="bottom"/>
            <w:shd w:val="clear" w:color="auto" w:fill="CFF0FC"/>
          </w:tcPr>
          <w:p>
            <w:pPr>
              <w:spacing w:after="0"/>
              <w:rPr>
                <w:sz w:val="19"/>
                <w:szCs w:val="19"/>
                <w:color w:val="auto"/>
              </w:rPr>
            </w:pPr>
          </w:p>
        </w:tc>
        <w:tc>
          <w:tcPr>
            <w:tcW w:w="10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2,741</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2"/>
        </w:trPr>
        <w:tc>
          <w:tcPr>
            <w:tcW w:w="7860" w:type="dxa"/>
            <w:vAlign w:val="bottom"/>
          </w:tcPr>
          <w:p>
            <w:pPr>
              <w:spacing w:after="0"/>
              <w:rPr>
                <w:sz w:val="20"/>
                <w:szCs w:val="20"/>
                <w:color w:val="auto"/>
              </w:rPr>
            </w:pPr>
            <w:r>
              <w:rPr>
                <w:rFonts w:ascii="Arial" w:cs="Arial" w:eastAsia="Arial" w:hAnsi="Arial"/>
                <w:sz w:val="18"/>
                <w:szCs w:val="18"/>
                <w:b w:val="1"/>
                <w:bCs w:val="1"/>
                <w:color w:val="auto"/>
              </w:rPr>
              <w:t>Income (loss) from continuing operations</w:t>
            </w:r>
          </w:p>
        </w:tc>
        <w:tc>
          <w:tcPr>
            <w:tcW w:w="360" w:type="dxa"/>
            <w:vAlign w:val="bottom"/>
            <w:tcBorders>
              <w:top w:val="single" w:sz="8" w:color="auto"/>
            </w:tcBorders>
          </w:tcPr>
          <w:p>
            <w:pPr>
              <w:spacing w:after="0"/>
              <w:rPr>
                <w:sz w:val="19"/>
                <w:szCs w:val="19"/>
                <w:color w:val="auto"/>
              </w:rPr>
            </w:pPr>
          </w:p>
        </w:tc>
        <w:tc>
          <w:tcPr>
            <w:tcW w:w="12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(10,763)</w:t>
            </w:r>
          </w:p>
        </w:tc>
        <w:tc>
          <w:tcPr>
            <w:tcW w:w="2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540" w:type="dxa"/>
            <w:vAlign w:val="bottom"/>
            <w:tcBorders>
              <w:top w:val="single" w:sz="8" w:color="auto"/>
            </w:tcBorders>
          </w:tcPr>
          <w:p>
            <w:pPr>
              <w:spacing w:after="0"/>
              <w:rPr>
                <w:sz w:val="19"/>
                <w:szCs w:val="19"/>
                <w:color w:val="auto"/>
              </w:rPr>
            </w:pPr>
          </w:p>
        </w:tc>
        <w:tc>
          <w:tcPr>
            <w:tcW w:w="10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7,329</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7860" w:type="dxa"/>
            <w:vAlign w:val="bottom"/>
            <w:shd w:val="clear" w:color="auto" w:fill="CFF0FC"/>
          </w:tcPr>
          <w:p>
            <w:pPr>
              <w:spacing w:after="0"/>
              <w:rPr>
                <w:sz w:val="20"/>
                <w:szCs w:val="20"/>
                <w:color w:val="auto"/>
              </w:rPr>
            </w:pPr>
            <w:r>
              <w:rPr>
                <w:rFonts w:ascii="Arial" w:cs="Arial" w:eastAsia="Arial" w:hAnsi="Arial"/>
                <w:sz w:val="18"/>
                <w:szCs w:val="18"/>
                <w:color w:val="auto"/>
              </w:rPr>
              <w:t>Income (loss) from discontinued operations</w:t>
            </w:r>
          </w:p>
        </w:tc>
        <w:tc>
          <w:tcPr>
            <w:tcW w:w="360" w:type="dxa"/>
            <w:vAlign w:val="bottom"/>
            <w:shd w:val="clear" w:color="auto" w:fill="CFF0FC"/>
          </w:tcPr>
          <w:p>
            <w:pPr>
              <w:spacing w:after="0"/>
              <w:rPr>
                <w:sz w:val="19"/>
                <w:szCs w:val="19"/>
                <w:color w:val="auto"/>
              </w:rPr>
            </w:pPr>
          </w:p>
        </w:tc>
        <w:tc>
          <w:tcPr>
            <w:tcW w:w="12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928</w:t>
            </w:r>
          </w:p>
        </w:tc>
        <w:tc>
          <w:tcPr>
            <w:tcW w:w="28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540" w:type="dxa"/>
            <w:vAlign w:val="bottom"/>
            <w:shd w:val="clear" w:color="auto" w:fill="CFF0FC"/>
          </w:tcPr>
          <w:p>
            <w:pPr>
              <w:spacing w:after="0"/>
              <w:rPr>
                <w:sz w:val="19"/>
                <w:szCs w:val="19"/>
                <w:color w:val="auto"/>
              </w:rPr>
            </w:pPr>
          </w:p>
        </w:tc>
        <w:tc>
          <w:tcPr>
            <w:tcW w:w="1140" w:type="dxa"/>
            <w:vAlign w:val="bottom"/>
            <w:gridSpan w:val="2"/>
            <w:shd w:val="clear" w:color="auto" w:fill="CFF0FC"/>
          </w:tcPr>
          <w:p>
            <w:pPr>
              <w:jc w:val="right"/>
              <w:ind w:right="60"/>
              <w:spacing w:after="0"/>
              <w:rPr>
                <w:sz w:val="20"/>
                <w:szCs w:val="20"/>
                <w:color w:val="auto"/>
              </w:rPr>
            </w:pPr>
            <w:r>
              <w:rPr>
                <w:rFonts w:ascii="Arial" w:cs="Arial" w:eastAsia="Arial" w:hAnsi="Arial"/>
                <w:sz w:val="18"/>
                <w:szCs w:val="18"/>
                <w:color w:val="auto"/>
              </w:rPr>
              <w:t>(816)</w:t>
            </w:r>
          </w:p>
        </w:tc>
        <w:tc>
          <w:tcPr>
            <w:tcW w:w="0" w:type="dxa"/>
            <w:vAlign w:val="bottom"/>
          </w:tcPr>
          <w:p>
            <w:pPr>
              <w:spacing w:after="0"/>
              <w:rPr>
                <w:sz w:val="1"/>
                <w:szCs w:val="1"/>
                <w:color w:val="auto"/>
              </w:rPr>
            </w:pPr>
          </w:p>
        </w:tc>
      </w:tr>
      <w:tr>
        <w:trPr>
          <w:trHeight w:val="222"/>
        </w:trPr>
        <w:tc>
          <w:tcPr>
            <w:tcW w:w="7860" w:type="dxa"/>
            <w:vAlign w:val="bottom"/>
          </w:tcPr>
          <w:p>
            <w:pPr>
              <w:spacing w:after="0"/>
              <w:rPr>
                <w:sz w:val="20"/>
                <w:szCs w:val="20"/>
                <w:color w:val="auto"/>
              </w:rPr>
            </w:pPr>
            <w:r>
              <w:rPr>
                <w:rFonts w:ascii="Arial" w:cs="Arial" w:eastAsia="Arial" w:hAnsi="Arial"/>
                <w:sz w:val="18"/>
                <w:szCs w:val="18"/>
                <w:b w:val="1"/>
                <w:bCs w:val="1"/>
                <w:color w:val="auto"/>
              </w:rPr>
              <w:t>Net income (loss)</w:t>
            </w:r>
          </w:p>
        </w:tc>
        <w:tc>
          <w:tcPr>
            <w:tcW w:w="360" w:type="dxa"/>
            <w:vAlign w:val="bottom"/>
            <w:tcBorders>
              <w:top w:val="single" w:sz="8" w:color="auto"/>
            </w:tcBorders>
          </w:tcPr>
          <w:p>
            <w:pPr>
              <w:spacing w:after="0"/>
              <w:rPr>
                <w:sz w:val="19"/>
                <w:szCs w:val="19"/>
                <w:color w:val="auto"/>
              </w:rPr>
            </w:pPr>
          </w:p>
        </w:tc>
        <w:tc>
          <w:tcPr>
            <w:tcW w:w="12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(9,835)</w:t>
            </w:r>
          </w:p>
        </w:tc>
        <w:tc>
          <w:tcPr>
            <w:tcW w:w="2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540" w:type="dxa"/>
            <w:vAlign w:val="bottom"/>
            <w:tcBorders>
              <w:top w:val="single" w:sz="8" w:color="auto"/>
            </w:tcBorders>
          </w:tcPr>
          <w:p>
            <w:pPr>
              <w:spacing w:after="0"/>
              <w:rPr>
                <w:sz w:val="19"/>
                <w:szCs w:val="19"/>
                <w:color w:val="auto"/>
              </w:rPr>
            </w:pPr>
          </w:p>
        </w:tc>
        <w:tc>
          <w:tcPr>
            <w:tcW w:w="10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6,513</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7860" w:type="dxa"/>
            <w:vAlign w:val="bottom"/>
            <w:shd w:val="clear" w:color="auto" w:fill="CFF0FC"/>
          </w:tcPr>
          <w:p>
            <w:pPr>
              <w:spacing w:after="0"/>
              <w:rPr>
                <w:sz w:val="20"/>
                <w:szCs w:val="20"/>
                <w:color w:val="auto"/>
              </w:rPr>
            </w:pPr>
            <w:r>
              <w:rPr>
                <w:rFonts w:ascii="Arial" w:cs="Arial" w:eastAsia="Arial" w:hAnsi="Arial"/>
                <w:sz w:val="18"/>
                <w:szCs w:val="18"/>
                <w:color w:val="auto"/>
              </w:rPr>
              <w:t>Net loss attributable to non-redeemable noncontrolling interest</w:t>
            </w:r>
          </w:p>
        </w:tc>
        <w:tc>
          <w:tcPr>
            <w:tcW w:w="360" w:type="dxa"/>
            <w:vAlign w:val="bottom"/>
            <w:shd w:val="clear" w:color="auto" w:fill="CFF0FC"/>
          </w:tcPr>
          <w:p>
            <w:pPr>
              <w:spacing w:after="0"/>
              <w:rPr>
                <w:sz w:val="19"/>
                <w:szCs w:val="19"/>
                <w:color w:val="auto"/>
              </w:rPr>
            </w:pPr>
          </w:p>
        </w:tc>
        <w:tc>
          <w:tcPr>
            <w:tcW w:w="12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364</w:t>
            </w:r>
          </w:p>
        </w:tc>
        <w:tc>
          <w:tcPr>
            <w:tcW w:w="28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540" w:type="dxa"/>
            <w:vAlign w:val="bottom"/>
            <w:shd w:val="clear" w:color="auto" w:fill="CFF0FC"/>
          </w:tcPr>
          <w:p>
            <w:pPr>
              <w:spacing w:after="0"/>
              <w:rPr>
                <w:sz w:val="19"/>
                <w:szCs w:val="19"/>
                <w:color w:val="auto"/>
              </w:rPr>
            </w:pPr>
          </w:p>
        </w:tc>
        <w:tc>
          <w:tcPr>
            <w:tcW w:w="10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264</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7860" w:type="dxa"/>
            <w:vAlign w:val="bottom"/>
          </w:tcPr>
          <w:p>
            <w:pPr>
              <w:spacing w:after="0"/>
              <w:rPr>
                <w:sz w:val="20"/>
                <w:szCs w:val="20"/>
                <w:color w:val="auto"/>
              </w:rPr>
            </w:pPr>
            <w:r>
              <w:rPr>
                <w:rFonts w:ascii="Arial" w:cs="Arial" w:eastAsia="Arial" w:hAnsi="Arial"/>
                <w:sz w:val="18"/>
                <w:szCs w:val="18"/>
                <w:color w:val="auto"/>
              </w:rPr>
              <w:t>Net loss attributable to redeemable noncontrolling interest</w:t>
            </w:r>
          </w:p>
        </w:tc>
        <w:tc>
          <w:tcPr>
            <w:tcW w:w="360" w:type="dxa"/>
            <w:vAlign w:val="bottom"/>
          </w:tcPr>
          <w:p>
            <w:pPr>
              <w:spacing w:after="0"/>
              <w:rPr>
                <w:sz w:val="19"/>
                <w:szCs w:val="19"/>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84</w:t>
            </w:r>
          </w:p>
        </w:tc>
        <w:tc>
          <w:tcPr>
            <w:tcW w:w="2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114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2"/>
        </w:trPr>
        <w:tc>
          <w:tcPr>
            <w:tcW w:w="7860" w:type="dxa"/>
            <w:vAlign w:val="bottom"/>
            <w:tcBorders>
              <w:top w:val="single" w:sz="8" w:color="CFF0FC"/>
              <w:bottom w:val="single" w:sz="8" w:color="CFF0FC"/>
            </w:tcBorders>
            <w:shd w:val="clear" w:color="auto" w:fill="CFF0FC"/>
          </w:tcPr>
          <w:p>
            <w:pPr>
              <w:spacing w:after="0"/>
              <w:rPr>
                <w:sz w:val="20"/>
                <w:szCs w:val="20"/>
                <w:color w:val="auto"/>
              </w:rPr>
            </w:pPr>
            <w:r>
              <w:rPr>
                <w:rFonts w:ascii="Arial" w:cs="Arial" w:eastAsia="Arial" w:hAnsi="Arial"/>
                <w:sz w:val="18"/>
                <w:szCs w:val="18"/>
                <w:b w:val="1"/>
                <w:bCs w:val="1"/>
                <w:color w:val="auto"/>
              </w:rPr>
              <w:t>Net income (loss) attributable to Viad</w:t>
            </w:r>
          </w:p>
        </w:tc>
        <w:tc>
          <w:tcPr>
            <w:tcW w:w="360" w:type="dxa"/>
            <w:vAlign w:val="bottom"/>
            <w:tcBorders>
              <w:top w:val="single" w:sz="8" w:color="auto"/>
              <w:bottom w:val="single" w:sz="8" w:color="auto"/>
            </w:tcBorders>
            <w:shd w:val="clear" w:color="auto" w:fill="CFF0FC"/>
          </w:tcPr>
          <w:p>
            <w:pPr>
              <w:jc w:val="right"/>
              <w:ind w:right="207"/>
              <w:spacing w:after="0"/>
              <w:rPr>
                <w:sz w:val="20"/>
                <w:szCs w:val="20"/>
                <w:color w:val="auto"/>
              </w:rPr>
            </w:pPr>
            <w:r>
              <w:rPr>
                <w:rFonts w:ascii="Arial" w:cs="Arial" w:eastAsia="Arial" w:hAnsi="Arial"/>
                <w:sz w:val="15"/>
                <w:szCs w:val="15"/>
                <w:color w:val="auto"/>
                <w:w w:val="71"/>
              </w:rPr>
              <w:t>$</w:t>
            </w:r>
          </w:p>
        </w:tc>
        <w:tc>
          <w:tcPr>
            <w:tcW w:w="122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(9,387)</w:t>
            </w:r>
          </w:p>
        </w:tc>
        <w:tc>
          <w:tcPr>
            <w:tcW w:w="280" w:type="dxa"/>
            <w:vAlign w:val="bottom"/>
            <w:tcBorders>
              <w:top w:val="single" w:sz="8" w:color="CFF0FC"/>
              <w:bottom w:val="single" w:sz="8" w:color="CFF0FC"/>
            </w:tcBorders>
            <w:shd w:val="clear" w:color="auto" w:fill="CFF0FC"/>
          </w:tcPr>
          <w:p>
            <w:pPr>
              <w:spacing w:after="0"/>
              <w:rPr>
                <w:sz w:val="19"/>
                <w:szCs w:val="19"/>
                <w:color w:val="auto"/>
              </w:rPr>
            </w:pPr>
          </w:p>
        </w:tc>
        <w:tc>
          <w:tcPr>
            <w:tcW w:w="20" w:type="dxa"/>
            <w:vAlign w:val="bottom"/>
            <w:tcBorders>
              <w:top w:val="single" w:sz="8" w:color="CFF0FC"/>
              <w:bottom w:val="single" w:sz="8" w:color="CFF0FC"/>
            </w:tcBorders>
            <w:shd w:val="clear" w:color="auto" w:fill="CFF0FC"/>
          </w:tcPr>
          <w:p>
            <w:pPr>
              <w:spacing w:after="0"/>
              <w:rPr>
                <w:sz w:val="19"/>
                <w:szCs w:val="19"/>
                <w:color w:val="auto"/>
              </w:rPr>
            </w:pPr>
          </w:p>
        </w:tc>
        <w:tc>
          <w:tcPr>
            <w:tcW w:w="540" w:type="dxa"/>
            <w:vAlign w:val="bottom"/>
            <w:tcBorders>
              <w:top w:val="single" w:sz="8" w:color="auto"/>
              <w:bottom w:val="single" w:sz="8" w:color="auto"/>
            </w:tcBorders>
            <w:shd w:val="clear" w:color="auto" w:fill="CFF0FC"/>
          </w:tcPr>
          <w:p>
            <w:pPr>
              <w:jc w:val="right"/>
              <w:ind w:right="430"/>
              <w:spacing w:after="0"/>
              <w:rPr>
                <w:sz w:val="20"/>
                <w:szCs w:val="20"/>
                <w:color w:val="auto"/>
              </w:rPr>
            </w:pPr>
            <w:r>
              <w:rPr>
                <w:rFonts w:ascii="Arial" w:cs="Arial" w:eastAsia="Arial" w:hAnsi="Arial"/>
                <w:sz w:val="10"/>
                <w:szCs w:val="10"/>
                <w:color w:val="auto"/>
                <w:w w:val="71"/>
              </w:rPr>
              <w:t>$</w:t>
            </w:r>
          </w:p>
        </w:tc>
        <w:tc>
          <w:tcPr>
            <w:tcW w:w="102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6,777</w:t>
            </w:r>
          </w:p>
        </w:tc>
        <w:tc>
          <w:tcPr>
            <w:tcW w:w="120" w:type="dxa"/>
            <w:vAlign w:val="bottom"/>
            <w:tcBorders>
              <w:top w:val="single" w:sz="8" w:color="CFF0FC"/>
              <w:bottom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7860" w:type="dxa"/>
            <w:vAlign w:val="bottom"/>
            <w:vMerge w:val="restart"/>
          </w:tcPr>
          <w:p>
            <w:pPr>
              <w:spacing w:after="0"/>
              <w:rPr>
                <w:sz w:val="20"/>
                <w:szCs w:val="20"/>
                <w:color w:val="auto"/>
              </w:rPr>
            </w:pPr>
            <w:r>
              <w:rPr>
                <w:rFonts w:ascii="Arial" w:cs="Arial" w:eastAsia="Arial" w:hAnsi="Arial"/>
                <w:sz w:val="18"/>
                <w:szCs w:val="18"/>
                <w:b w:val="1"/>
                <w:bCs w:val="1"/>
                <w:color w:val="auto"/>
              </w:rPr>
              <w:t>Diluted income (loss) per common share:</w:t>
            </w:r>
          </w:p>
        </w:tc>
        <w:tc>
          <w:tcPr>
            <w:tcW w:w="36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7860" w:type="dxa"/>
            <w:vAlign w:val="bottom"/>
            <w:vMerge w:val="continue"/>
          </w:tcPr>
          <w:p>
            <w:pPr>
              <w:spacing w:after="0"/>
              <w:rPr>
                <w:sz w:val="18"/>
                <w:szCs w:val="18"/>
                <w:color w:val="auto"/>
              </w:rPr>
            </w:pPr>
          </w:p>
        </w:tc>
        <w:tc>
          <w:tcPr>
            <w:tcW w:w="36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9"/>
        </w:trPr>
        <w:tc>
          <w:tcPr>
            <w:tcW w:w="7860" w:type="dxa"/>
            <w:vAlign w:val="bottom"/>
            <w:shd w:val="clear" w:color="auto" w:fill="CFF0FC"/>
          </w:tcPr>
          <w:p>
            <w:pPr>
              <w:spacing w:after="0"/>
              <w:rPr>
                <w:sz w:val="20"/>
                <w:szCs w:val="20"/>
                <w:color w:val="auto"/>
              </w:rPr>
            </w:pPr>
            <w:r>
              <w:rPr>
                <w:rFonts w:ascii="Arial" w:cs="Arial" w:eastAsia="Arial" w:hAnsi="Arial"/>
                <w:sz w:val="18"/>
                <w:szCs w:val="18"/>
                <w:color w:val="auto"/>
              </w:rPr>
              <w:t>Continuing operations attributable to Viad common stockholders</w:t>
            </w:r>
          </w:p>
        </w:tc>
        <w:tc>
          <w:tcPr>
            <w:tcW w:w="360" w:type="dxa"/>
            <w:vAlign w:val="bottom"/>
            <w:shd w:val="clear" w:color="auto" w:fill="CFF0FC"/>
          </w:tcPr>
          <w:p>
            <w:pPr>
              <w:jc w:val="right"/>
              <w:ind w:right="207"/>
              <w:spacing w:after="0"/>
              <w:rPr>
                <w:sz w:val="20"/>
                <w:szCs w:val="20"/>
                <w:color w:val="auto"/>
              </w:rPr>
            </w:pPr>
            <w:r>
              <w:rPr>
                <w:rFonts w:ascii="Arial" w:cs="Arial" w:eastAsia="Arial" w:hAnsi="Arial"/>
                <w:sz w:val="15"/>
                <w:szCs w:val="15"/>
                <w:color w:val="auto"/>
                <w:w w:val="71"/>
              </w:rPr>
              <w:t>$</w:t>
            </w:r>
          </w:p>
        </w:tc>
        <w:tc>
          <w:tcPr>
            <w:tcW w:w="1500" w:type="dxa"/>
            <w:vAlign w:val="bottom"/>
            <w:gridSpan w:val="2"/>
            <w:shd w:val="clear" w:color="auto" w:fill="CFF0FC"/>
          </w:tcPr>
          <w:p>
            <w:pPr>
              <w:jc w:val="right"/>
              <w:ind w:right="220"/>
              <w:spacing w:after="0"/>
              <w:rPr>
                <w:sz w:val="20"/>
                <w:szCs w:val="20"/>
                <w:color w:val="auto"/>
              </w:rPr>
            </w:pPr>
            <w:r>
              <w:rPr>
                <w:rFonts w:ascii="Arial" w:cs="Arial" w:eastAsia="Arial" w:hAnsi="Arial"/>
                <w:sz w:val="18"/>
                <w:szCs w:val="18"/>
                <w:color w:val="auto"/>
              </w:rPr>
              <w:t>(0.51)</w:t>
            </w:r>
          </w:p>
        </w:tc>
        <w:tc>
          <w:tcPr>
            <w:tcW w:w="560" w:type="dxa"/>
            <w:vAlign w:val="bottom"/>
            <w:gridSpan w:val="2"/>
            <w:shd w:val="clear" w:color="auto" w:fill="CFF0FC"/>
          </w:tcPr>
          <w:p>
            <w:pPr>
              <w:jc w:val="right"/>
              <w:ind w:right="430"/>
              <w:spacing w:after="0"/>
              <w:rPr>
                <w:sz w:val="20"/>
                <w:szCs w:val="20"/>
                <w:color w:val="auto"/>
              </w:rPr>
            </w:pPr>
            <w:r>
              <w:rPr>
                <w:rFonts w:ascii="Arial" w:cs="Arial" w:eastAsia="Arial" w:hAnsi="Arial"/>
                <w:sz w:val="15"/>
                <w:szCs w:val="15"/>
                <w:color w:val="auto"/>
                <w:w w:val="71"/>
              </w:rPr>
              <w:t>$</w:t>
            </w:r>
          </w:p>
        </w:tc>
        <w:tc>
          <w:tcPr>
            <w:tcW w:w="10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0.37</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7860" w:type="dxa"/>
            <w:vAlign w:val="bottom"/>
          </w:tcPr>
          <w:p>
            <w:pPr>
              <w:spacing w:after="0"/>
              <w:rPr>
                <w:sz w:val="20"/>
                <w:szCs w:val="20"/>
                <w:color w:val="auto"/>
              </w:rPr>
            </w:pPr>
            <w:r>
              <w:rPr>
                <w:rFonts w:ascii="Arial" w:cs="Arial" w:eastAsia="Arial" w:hAnsi="Arial"/>
                <w:sz w:val="18"/>
                <w:szCs w:val="18"/>
                <w:color w:val="auto"/>
              </w:rPr>
              <w:t>Discontinued operations attributable to Viad common stockholders</w:t>
            </w:r>
          </w:p>
        </w:tc>
        <w:tc>
          <w:tcPr>
            <w:tcW w:w="360" w:type="dxa"/>
            <w:vAlign w:val="bottom"/>
          </w:tcPr>
          <w:p>
            <w:pPr>
              <w:spacing w:after="0"/>
              <w:rPr>
                <w:sz w:val="19"/>
                <w:szCs w:val="19"/>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0.04</w:t>
            </w:r>
          </w:p>
        </w:tc>
        <w:tc>
          <w:tcPr>
            <w:tcW w:w="2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1140" w:type="dxa"/>
            <w:vAlign w:val="bottom"/>
            <w:gridSpan w:val="2"/>
          </w:tcPr>
          <w:p>
            <w:pPr>
              <w:jc w:val="right"/>
              <w:ind w:right="60"/>
              <w:spacing w:after="0"/>
              <w:rPr>
                <w:sz w:val="20"/>
                <w:szCs w:val="20"/>
                <w:color w:val="auto"/>
              </w:rPr>
            </w:pPr>
            <w:r>
              <w:rPr>
                <w:rFonts w:ascii="Arial" w:cs="Arial" w:eastAsia="Arial" w:hAnsi="Arial"/>
                <w:sz w:val="18"/>
                <w:szCs w:val="18"/>
                <w:color w:val="auto"/>
              </w:rPr>
              <w:t>(0.04)</w:t>
            </w:r>
          </w:p>
        </w:tc>
        <w:tc>
          <w:tcPr>
            <w:tcW w:w="0" w:type="dxa"/>
            <w:vAlign w:val="bottom"/>
          </w:tcPr>
          <w:p>
            <w:pPr>
              <w:spacing w:after="0"/>
              <w:rPr>
                <w:sz w:val="1"/>
                <w:szCs w:val="1"/>
                <w:color w:val="auto"/>
              </w:rPr>
            </w:pPr>
          </w:p>
        </w:tc>
      </w:tr>
      <w:tr>
        <w:trPr>
          <w:trHeight w:val="222"/>
        </w:trPr>
        <w:tc>
          <w:tcPr>
            <w:tcW w:w="7860" w:type="dxa"/>
            <w:vAlign w:val="bottom"/>
            <w:tcBorders>
              <w:top w:val="single" w:sz="8" w:color="CFF0FC"/>
              <w:bottom w:val="single" w:sz="8" w:color="CFF0FC"/>
            </w:tcBorders>
            <w:shd w:val="clear" w:color="auto" w:fill="CFF0FC"/>
          </w:tcPr>
          <w:p>
            <w:pPr>
              <w:spacing w:after="0"/>
              <w:rPr>
                <w:sz w:val="20"/>
                <w:szCs w:val="20"/>
                <w:color w:val="auto"/>
              </w:rPr>
            </w:pPr>
            <w:r>
              <w:rPr>
                <w:rFonts w:ascii="Arial" w:cs="Arial" w:eastAsia="Arial" w:hAnsi="Arial"/>
                <w:sz w:val="18"/>
                <w:szCs w:val="18"/>
                <w:b w:val="1"/>
                <w:bCs w:val="1"/>
                <w:color w:val="auto"/>
              </w:rPr>
              <w:t>Net income (loss) attributable to Viad common stockholders</w:t>
            </w:r>
          </w:p>
        </w:tc>
        <w:tc>
          <w:tcPr>
            <w:tcW w:w="360" w:type="dxa"/>
            <w:vAlign w:val="bottom"/>
            <w:tcBorders>
              <w:top w:val="single" w:sz="8" w:color="auto"/>
              <w:bottom w:val="single" w:sz="8" w:color="auto"/>
            </w:tcBorders>
            <w:shd w:val="clear" w:color="auto" w:fill="CFF0FC"/>
          </w:tcPr>
          <w:p>
            <w:pPr>
              <w:jc w:val="right"/>
              <w:ind w:right="207"/>
              <w:spacing w:after="0"/>
              <w:rPr>
                <w:sz w:val="20"/>
                <w:szCs w:val="20"/>
                <w:color w:val="auto"/>
              </w:rPr>
            </w:pPr>
            <w:r>
              <w:rPr>
                <w:rFonts w:ascii="Arial" w:cs="Arial" w:eastAsia="Arial" w:hAnsi="Arial"/>
                <w:sz w:val="15"/>
                <w:szCs w:val="15"/>
                <w:color w:val="auto"/>
                <w:w w:val="71"/>
              </w:rPr>
              <w:t>$</w:t>
            </w:r>
          </w:p>
        </w:tc>
        <w:tc>
          <w:tcPr>
            <w:tcW w:w="122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(0.47)</w:t>
            </w:r>
          </w:p>
        </w:tc>
        <w:tc>
          <w:tcPr>
            <w:tcW w:w="280" w:type="dxa"/>
            <w:vAlign w:val="bottom"/>
            <w:tcBorders>
              <w:top w:val="single" w:sz="8" w:color="CFF0FC"/>
              <w:bottom w:val="single" w:sz="8" w:color="CFF0FC"/>
            </w:tcBorders>
            <w:shd w:val="clear" w:color="auto" w:fill="CFF0FC"/>
          </w:tcPr>
          <w:p>
            <w:pPr>
              <w:spacing w:after="0"/>
              <w:rPr>
                <w:sz w:val="19"/>
                <w:szCs w:val="19"/>
                <w:color w:val="auto"/>
              </w:rPr>
            </w:pPr>
          </w:p>
        </w:tc>
        <w:tc>
          <w:tcPr>
            <w:tcW w:w="20" w:type="dxa"/>
            <w:vAlign w:val="bottom"/>
            <w:tcBorders>
              <w:top w:val="single" w:sz="8" w:color="CFF0FC"/>
              <w:bottom w:val="single" w:sz="8" w:color="CFF0FC"/>
            </w:tcBorders>
            <w:shd w:val="clear" w:color="auto" w:fill="CFF0FC"/>
          </w:tcPr>
          <w:p>
            <w:pPr>
              <w:spacing w:after="0"/>
              <w:rPr>
                <w:sz w:val="19"/>
                <w:szCs w:val="19"/>
                <w:color w:val="auto"/>
              </w:rPr>
            </w:pPr>
          </w:p>
        </w:tc>
        <w:tc>
          <w:tcPr>
            <w:tcW w:w="540" w:type="dxa"/>
            <w:vAlign w:val="bottom"/>
            <w:tcBorders>
              <w:top w:val="single" w:sz="8" w:color="auto"/>
              <w:bottom w:val="single" w:sz="8" w:color="auto"/>
            </w:tcBorders>
            <w:shd w:val="clear" w:color="auto" w:fill="CFF0FC"/>
          </w:tcPr>
          <w:p>
            <w:pPr>
              <w:jc w:val="right"/>
              <w:ind w:right="430"/>
              <w:spacing w:after="0"/>
              <w:rPr>
                <w:sz w:val="20"/>
                <w:szCs w:val="20"/>
                <w:color w:val="auto"/>
              </w:rPr>
            </w:pPr>
            <w:r>
              <w:rPr>
                <w:rFonts w:ascii="Arial" w:cs="Arial" w:eastAsia="Arial" w:hAnsi="Arial"/>
                <w:sz w:val="10"/>
                <w:szCs w:val="10"/>
                <w:color w:val="auto"/>
                <w:w w:val="71"/>
              </w:rPr>
              <w:t>$</w:t>
            </w:r>
          </w:p>
        </w:tc>
        <w:tc>
          <w:tcPr>
            <w:tcW w:w="102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0.33</w:t>
            </w:r>
          </w:p>
        </w:tc>
        <w:tc>
          <w:tcPr>
            <w:tcW w:w="120" w:type="dxa"/>
            <w:vAlign w:val="bottom"/>
            <w:tcBorders>
              <w:top w:val="single" w:sz="8" w:color="CFF0FC"/>
              <w:bottom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7860" w:type="dxa"/>
            <w:vAlign w:val="bottom"/>
            <w:vMerge w:val="restart"/>
          </w:tcPr>
          <w:p>
            <w:pPr>
              <w:spacing w:after="0"/>
              <w:rPr>
                <w:sz w:val="20"/>
                <w:szCs w:val="20"/>
                <w:color w:val="auto"/>
              </w:rPr>
            </w:pPr>
            <w:r>
              <w:rPr>
                <w:rFonts w:ascii="Arial" w:cs="Arial" w:eastAsia="Arial" w:hAnsi="Arial"/>
                <w:sz w:val="18"/>
                <w:szCs w:val="18"/>
                <w:color w:val="auto"/>
              </w:rPr>
              <w:t>Weighted-average outstanding and potentially dilutive common</w:t>
            </w:r>
          </w:p>
        </w:tc>
        <w:tc>
          <w:tcPr>
            <w:tcW w:w="36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5"/>
        </w:trPr>
        <w:tc>
          <w:tcPr>
            <w:tcW w:w="7860" w:type="dxa"/>
            <w:vAlign w:val="bottom"/>
            <w:vMerge w:val="continue"/>
          </w:tcPr>
          <w:p>
            <w:pPr>
              <w:spacing w:after="0"/>
              <w:rPr>
                <w:sz w:val="16"/>
                <w:szCs w:val="16"/>
                <w:color w:val="auto"/>
              </w:rPr>
            </w:pPr>
          </w:p>
        </w:tc>
        <w:tc>
          <w:tcPr>
            <w:tcW w:w="360" w:type="dxa"/>
            <w:vAlign w:val="bottom"/>
          </w:tcPr>
          <w:p>
            <w:pPr>
              <w:spacing w:after="0"/>
              <w:rPr>
                <w:sz w:val="16"/>
                <w:szCs w:val="16"/>
                <w:color w:val="auto"/>
              </w:rPr>
            </w:pPr>
          </w:p>
        </w:tc>
        <w:tc>
          <w:tcPr>
            <w:tcW w:w="12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10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69"/>
        </w:trPr>
        <w:tc>
          <w:tcPr>
            <w:tcW w:w="7860" w:type="dxa"/>
            <w:vAlign w:val="bottom"/>
            <w:tcBorders>
              <w:bottom w:val="single" w:sz="8" w:color="CFF0FC"/>
            </w:tcBorders>
          </w:tcPr>
          <w:p>
            <w:pPr>
              <w:ind w:left="140"/>
              <w:spacing w:after="0"/>
              <w:rPr>
                <w:sz w:val="20"/>
                <w:szCs w:val="20"/>
                <w:color w:val="auto"/>
              </w:rPr>
            </w:pPr>
            <w:r>
              <w:rPr>
                <w:rFonts w:ascii="Arial" w:cs="Arial" w:eastAsia="Arial" w:hAnsi="Arial"/>
                <w:sz w:val="18"/>
                <w:szCs w:val="18"/>
                <w:color w:val="auto"/>
              </w:rPr>
              <w:t>shares</w:t>
            </w:r>
          </w:p>
        </w:tc>
        <w:tc>
          <w:tcPr>
            <w:tcW w:w="360" w:type="dxa"/>
            <w:vAlign w:val="bottom"/>
            <w:tcBorders>
              <w:bottom w:val="single" w:sz="8" w:color="auto"/>
            </w:tcBorders>
          </w:tcPr>
          <w:p>
            <w:pPr>
              <w:spacing w:after="0"/>
              <w:rPr>
                <w:sz w:val="23"/>
                <w:szCs w:val="23"/>
                <w:color w:val="auto"/>
              </w:rPr>
            </w:pP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20,207</w:t>
            </w:r>
          </w:p>
        </w:tc>
        <w:tc>
          <w:tcPr>
            <w:tcW w:w="280" w:type="dxa"/>
            <w:vAlign w:val="bottom"/>
            <w:tcBorders>
              <w:bottom w:val="single" w:sz="8" w:color="CFF0FC"/>
            </w:tcBorders>
          </w:tcPr>
          <w:p>
            <w:pPr>
              <w:spacing w:after="0"/>
              <w:rPr>
                <w:sz w:val="23"/>
                <w:szCs w:val="23"/>
                <w:color w:val="auto"/>
              </w:rPr>
            </w:pPr>
          </w:p>
        </w:tc>
        <w:tc>
          <w:tcPr>
            <w:tcW w:w="20" w:type="dxa"/>
            <w:vAlign w:val="bottom"/>
            <w:tcBorders>
              <w:bottom w:val="single" w:sz="8" w:color="CFF0FC"/>
            </w:tcBorders>
          </w:tcPr>
          <w:p>
            <w:pPr>
              <w:spacing w:after="0"/>
              <w:rPr>
                <w:sz w:val="23"/>
                <w:szCs w:val="23"/>
                <w:color w:val="auto"/>
              </w:rPr>
            </w:pPr>
          </w:p>
        </w:tc>
        <w:tc>
          <w:tcPr>
            <w:tcW w:w="540" w:type="dxa"/>
            <w:vAlign w:val="bottom"/>
            <w:tcBorders>
              <w:bottom w:val="single" w:sz="8" w:color="auto"/>
            </w:tcBorders>
          </w:tcPr>
          <w:p>
            <w:pPr>
              <w:spacing w:after="0"/>
              <w:rPr>
                <w:sz w:val="23"/>
                <w:szCs w:val="23"/>
                <w:color w:val="auto"/>
              </w:rPr>
            </w:pP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20,346</w:t>
            </w:r>
          </w:p>
        </w:tc>
        <w:tc>
          <w:tcPr>
            <w:tcW w:w="120" w:type="dxa"/>
            <w:vAlign w:val="bottom"/>
            <w:tcBorders>
              <w:bottom w:val="single" w:sz="8" w:color="CFF0FC"/>
            </w:tcBorders>
          </w:tcPr>
          <w:p>
            <w:pPr>
              <w:spacing w:after="0"/>
              <w:rPr>
                <w:sz w:val="23"/>
                <w:szCs w:val="23"/>
                <w:color w:val="auto"/>
              </w:rPr>
            </w:pPr>
          </w:p>
        </w:tc>
        <w:tc>
          <w:tcPr>
            <w:tcW w:w="0" w:type="dxa"/>
            <w:vAlign w:val="bottom"/>
          </w:tcPr>
          <w:p>
            <w:pPr>
              <w:spacing w:after="0"/>
              <w:rPr>
                <w:sz w:val="1"/>
                <w:szCs w:val="1"/>
                <w:color w:val="auto"/>
              </w:rPr>
            </w:pPr>
          </w:p>
        </w:tc>
      </w:tr>
      <w:tr>
        <w:trPr>
          <w:trHeight w:val="209"/>
        </w:trPr>
        <w:tc>
          <w:tcPr>
            <w:tcW w:w="7860" w:type="dxa"/>
            <w:vAlign w:val="bottom"/>
            <w:shd w:val="clear" w:color="auto" w:fill="CFF0FC"/>
          </w:tcPr>
          <w:p>
            <w:pPr>
              <w:spacing w:after="0"/>
              <w:rPr>
                <w:sz w:val="20"/>
                <w:szCs w:val="20"/>
                <w:color w:val="auto"/>
              </w:rPr>
            </w:pPr>
            <w:r>
              <w:rPr>
                <w:rFonts w:ascii="Arial" w:cs="Arial" w:eastAsia="Arial" w:hAnsi="Arial"/>
                <w:sz w:val="18"/>
                <w:szCs w:val="18"/>
                <w:b w:val="1"/>
                <w:bCs w:val="1"/>
                <w:color w:val="auto"/>
              </w:rPr>
              <w:t>Basic income (loss) per common share:</w:t>
            </w:r>
          </w:p>
        </w:tc>
        <w:tc>
          <w:tcPr>
            <w:tcW w:w="360" w:type="dxa"/>
            <w:vAlign w:val="bottom"/>
            <w:shd w:val="clear" w:color="auto" w:fill="CFF0FC"/>
          </w:tcPr>
          <w:p>
            <w:pPr>
              <w:spacing w:after="0"/>
              <w:rPr>
                <w:sz w:val="18"/>
                <w:szCs w:val="18"/>
                <w:color w:val="auto"/>
              </w:rPr>
            </w:pPr>
          </w:p>
        </w:tc>
        <w:tc>
          <w:tcPr>
            <w:tcW w:w="1220" w:type="dxa"/>
            <w:vAlign w:val="bottom"/>
            <w:shd w:val="clear" w:color="auto" w:fill="CFF0FC"/>
          </w:tcPr>
          <w:p>
            <w:pPr>
              <w:spacing w:after="0"/>
              <w:rPr>
                <w:sz w:val="18"/>
                <w:szCs w:val="18"/>
                <w:color w:val="auto"/>
              </w:rPr>
            </w:pPr>
          </w:p>
        </w:tc>
        <w:tc>
          <w:tcPr>
            <w:tcW w:w="280" w:type="dxa"/>
            <w:vAlign w:val="bottom"/>
            <w:shd w:val="clear" w:color="auto" w:fill="CFF0FC"/>
          </w:tcPr>
          <w:p>
            <w:pPr>
              <w:spacing w:after="0"/>
              <w:rPr>
                <w:sz w:val="18"/>
                <w:szCs w:val="18"/>
                <w:color w:val="auto"/>
              </w:rPr>
            </w:pPr>
          </w:p>
        </w:tc>
        <w:tc>
          <w:tcPr>
            <w:tcW w:w="20" w:type="dxa"/>
            <w:vAlign w:val="bottom"/>
            <w:shd w:val="clear" w:color="auto" w:fill="CFF0FC"/>
          </w:tcPr>
          <w:p>
            <w:pPr>
              <w:spacing w:after="0"/>
              <w:rPr>
                <w:sz w:val="18"/>
                <w:szCs w:val="18"/>
                <w:color w:val="auto"/>
              </w:rPr>
            </w:pPr>
          </w:p>
        </w:tc>
        <w:tc>
          <w:tcPr>
            <w:tcW w:w="540" w:type="dxa"/>
            <w:vAlign w:val="bottom"/>
            <w:shd w:val="clear" w:color="auto" w:fill="CFF0FC"/>
          </w:tcPr>
          <w:p>
            <w:pPr>
              <w:spacing w:after="0"/>
              <w:rPr>
                <w:sz w:val="18"/>
                <w:szCs w:val="18"/>
                <w:color w:val="auto"/>
              </w:rPr>
            </w:pPr>
          </w:p>
        </w:tc>
        <w:tc>
          <w:tcPr>
            <w:tcW w:w="102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29"/>
        </w:trPr>
        <w:tc>
          <w:tcPr>
            <w:tcW w:w="7860" w:type="dxa"/>
            <w:vAlign w:val="bottom"/>
          </w:tcPr>
          <w:p>
            <w:pPr>
              <w:spacing w:after="0"/>
              <w:rPr>
                <w:sz w:val="20"/>
                <w:szCs w:val="20"/>
                <w:color w:val="auto"/>
              </w:rPr>
            </w:pPr>
            <w:r>
              <w:rPr>
                <w:rFonts w:ascii="Arial" w:cs="Arial" w:eastAsia="Arial" w:hAnsi="Arial"/>
                <w:sz w:val="18"/>
                <w:szCs w:val="18"/>
                <w:color w:val="auto"/>
              </w:rPr>
              <w:t>Continuing operations attributable to Viad common stockholders</w:t>
            </w:r>
          </w:p>
        </w:tc>
        <w:tc>
          <w:tcPr>
            <w:tcW w:w="360" w:type="dxa"/>
            <w:vAlign w:val="bottom"/>
          </w:tcPr>
          <w:p>
            <w:pPr>
              <w:jc w:val="right"/>
              <w:ind w:right="207"/>
              <w:spacing w:after="0"/>
              <w:rPr>
                <w:sz w:val="20"/>
                <w:szCs w:val="20"/>
                <w:color w:val="auto"/>
              </w:rPr>
            </w:pPr>
            <w:r>
              <w:rPr>
                <w:rFonts w:ascii="Arial" w:cs="Arial" w:eastAsia="Arial" w:hAnsi="Arial"/>
                <w:sz w:val="15"/>
                <w:szCs w:val="15"/>
                <w:color w:val="auto"/>
                <w:w w:val="71"/>
              </w:rPr>
              <w:t>$</w:t>
            </w:r>
          </w:p>
        </w:tc>
        <w:tc>
          <w:tcPr>
            <w:tcW w:w="1500" w:type="dxa"/>
            <w:vAlign w:val="bottom"/>
            <w:gridSpan w:val="2"/>
          </w:tcPr>
          <w:p>
            <w:pPr>
              <w:jc w:val="right"/>
              <w:ind w:right="220"/>
              <w:spacing w:after="0"/>
              <w:rPr>
                <w:sz w:val="20"/>
                <w:szCs w:val="20"/>
                <w:color w:val="auto"/>
              </w:rPr>
            </w:pPr>
            <w:r>
              <w:rPr>
                <w:rFonts w:ascii="Arial" w:cs="Arial" w:eastAsia="Arial" w:hAnsi="Arial"/>
                <w:sz w:val="18"/>
                <w:szCs w:val="18"/>
                <w:color w:val="auto"/>
              </w:rPr>
              <w:t>(0.51)</w:t>
            </w:r>
          </w:p>
        </w:tc>
        <w:tc>
          <w:tcPr>
            <w:tcW w:w="560" w:type="dxa"/>
            <w:vAlign w:val="bottom"/>
            <w:gridSpan w:val="2"/>
          </w:tcPr>
          <w:p>
            <w:pPr>
              <w:jc w:val="right"/>
              <w:ind w:right="430"/>
              <w:spacing w:after="0"/>
              <w:rPr>
                <w:sz w:val="20"/>
                <w:szCs w:val="20"/>
                <w:color w:val="auto"/>
              </w:rPr>
            </w:pPr>
            <w:r>
              <w:rPr>
                <w:rFonts w:ascii="Arial" w:cs="Arial" w:eastAsia="Arial" w:hAnsi="Arial"/>
                <w:sz w:val="15"/>
                <w:szCs w:val="15"/>
                <w:color w:val="auto"/>
                <w:w w:val="71"/>
              </w:rPr>
              <w:t>$</w:t>
            </w:r>
          </w:p>
        </w:tc>
        <w:tc>
          <w:tcPr>
            <w:tcW w:w="1020" w:type="dxa"/>
            <w:vAlign w:val="bottom"/>
          </w:tcPr>
          <w:p>
            <w:pPr>
              <w:jc w:val="right"/>
              <w:spacing w:after="0"/>
              <w:rPr>
                <w:sz w:val="20"/>
                <w:szCs w:val="20"/>
                <w:color w:val="auto"/>
              </w:rPr>
            </w:pPr>
            <w:r>
              <w:rPr>
                <w:rFonts w:ascii="Arial" w:cs="Arial" w:eastAsia="Arial" w:hAnsi="Arial"/>
                <w:sz w:val="18"/>
                <w:szCs w:val="18"/>
                <w:color w:val="auto"/>
              </w:rPr>
              <w:t>0.37</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7860" w:type="dxa"/>
            <w:vAlign w:val="bottom"/>
            <w:shd w:val="clear" w:color="auto" w:fill="CFF0FC"/>
          </w:tcPr>
          <w:p>
            <w:pPr>
              <w:spacing w:after="0"/>
              <w:rPr>
                <w:sz w:val="20"/>
                <w:szCs w:val="20"/>
                <w:color w:val="auto"/>
              </w:rPr>
            </w:pPr>
            <w:r>
              <w:rPr>
                <w:rFonts w:ascii="Arial" w:cs="Arial" w:eastAsia="Arial" w:hAnsi="Arial"/>
                <w:sz w:val="18"/>
                <w:szCs w:val="18"/>
                <w:color w:val="auto"/>
              </w:rPr>
              <w:t>Discontinued operations attributable to Viad common stockholders</w:t>
            </w:r>
          </w:p>
        </w:tc>
        <w:tc>
          <w:tcPr>
            <w:tcW w:w="360" w:type="dxa"/>
            <w:vAlign w:val="bottom"/>
            <w:shd w:val="clear" w:color="auto" w:fill="CFF0FC"/>
          </w:tcPr>
          <w:p>
            <w:pPr>
              <w:spacing w:after="0"/>
              <w:rPr>
                <w:sz w:val="19"/>
                <w:szCs w:val="19"/>
                <w:color w:val="auto"/>
              </w:rPr>
            </w:pPr>
          </w:p>
        </w:tc>
        <w:tc>
          <w:tcPr>
            <w:tcW w:w="12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0.04</w:t>
            </w:r>
          </w:p>
        </w:tc>
        <w:tc>
          <w:tcPr>
            <w:tcW w:w="28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540" w:type="dxa"/>
            <w:vAlign w:val="bottom"/>
            <w:shd w:val="clear" w:color="auto" w:fill="CFF0FC"/>
          </w:tcPr>
          <w:p>
            <w:pPr>
              <w:spacing w:after="0"/>
              <w:rPr>
                <w:sz w:val="19"/>
                <w:szCs w:val="19"/>
                <w:color w:val="auto"/>
              </w:rPr>
            </w:pPr>
          </w:p>
        </w:tc>
        <w:tc>
          <w:tcPr>
            <w:tcW w:w="1140" w:type="dxa"/>
            <w:vAlign w:val="bottom"/>
            <w:gridSpan w:val="2"/>
            <w:shd w:val="clear" w:color="auto" w:fill="CFF0FC"/>
          </w:tcPr>
          <w:p>
            <w:pPr>
              <w:jc w:val="right"/>
              <w:ind w:right="60"/>
              <w:spacing w:after="0"/>
              <w:rPr>
                <w:sz w:val="20"/>
                <w:szCs w:val="20"/>
                <w:color w:val="auto"/>
              </w:rPr>
            </w:pPr>
            <w:r>
              <w:rPr>
                <w:rFonts w:ascii="Arial" w:cs="Arial" w:eastAsia="Arial" w:hAnsi="Arial"/>
                <w:sz w:val="18"/>
                <w:szCs w:val="18"/>
                <w:color w:val="auto"/>
              </w:rPr>
              <w:t>(0.04)</w:t>
            </w:r>
          </w:p>
        </w:tc>
        <w:tc>
          <w:tcPr>
            <w:tcW w:w="0" w:type="dxa"/>
            <w:vAlign w:val="bottom"/>
          </w:tcPr>
          <w:p>
            <w:pPr>
              <w:spacing w:after="0"/>
              <w:rPr>
                <w:sz w:val="1"/>
                <w:szCs w:val="1"/>
                <w:color w:val="auto"/>
              </w:rPr>
            </w:pPr>
          </w:p>
        </w:tc>
      </w:tr>
      <w:tr>
        <w:trPr>
          <w:trHeight w:val="262"/>
        </w:trPr>
        <w:tc>
          <w:tcPr>
            <w:tcW w:w="7860" w:type="dxa"/>
            <w:vAlign w:val="bottom"/>
            <w:tcBorders>
              <w:bottom w:val="single" w:sz="8" w:color="CFF0FC"/>
            </w:tcBorders>
          </w:tcPr>
          <w:p>
            <w:pPr>
              <w:spacing w:after="0"/>
              <w:rPr>
                <w:sz w:val="20"/>
                <w:szCs w:val="20"/>
                <w:color w:val="auto"/>
              </w:rPr>
            </w:pPr>
            <w:r>
              <w:rPr>
                <w:rFonts w:ascii="Arial" w:cs="Arial" w:eastAsia="Arial" w:hAnsi="Arial"/>
                <w:sz w:val="18"/>
                <w:szCs w:val="18"/>
                <w:b w:val="1"/>
                <w:bCs w:val="1"/>
                <w:color w:val="auto"/>
              </w:rPr>
              <w:t>Net income (loss) attributable to Viad common stockholders</w:t>
            </w:r>
          </w:p>
        </w:tc>
        <w:tc>
          <w:tcPr>
            <w:tcW w:w="360" w:type="dxa"/>
            <w:vAlign w:val="bottom"/>
            <w:tcBorders>
              <w:top w:val="single" w:sz="8" w:color="auto"/>
              <w:bottom w:val="single" w:sz="8" w:color="auto"/>
            </w:tcBorders>
          </w:tcPr>
          <w:p>
            <w:pPr>
              <w:jc w:val="right"/>
              <w:ind w:right="207"/>
              <w:spacing w:after="0"/>
              <w:rPr>
                <w:sz w:val="20"/>
                <w:szCs w:val="20"/>
                <w:color w:val="auto"/>
              </w:rPr>
            </w:pPr>
            <w:r>
              <w:rPr>
                <w:rFonts w:ascii="Arial" w:cs="Arial" w:eastAsia="Arial" w:hAnsi="Arial"/>
                <w:sz w:val="15"/>
                <w:szCs w:val="15"/>
                <w:color w:val="auto"/>
                <w:w w:val="71"/>
              </w:rPr>
              <w:t>$</w:t>
            </w:r>
          </w:p>
        </w:tc>
        <w:tc>
          <w:tcPr>
            <w:tcW w:w="12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(0.47)</w:t>
            </w:r>
          </w:p>
        </w:tc>
        <w:tc>
          <w:tcPr>
            <w:tcW w:w="280" w:type="dxa"/>
            <w:vAlign w:val="bottom"/>
            <w:tcBorders>
              <w:bottom w:val="single" w:sz="8" w:color="CFF0FC"/>
            </w:tcBorders>
          </w:tcPr>
          <w:p>
            <w:pPr>
              <w:spacing w:after="0"/>
              <w:rPr>
                <w:sz w:val="22"/>
                <w:szCs w:val="22"/>
                <w:color w:val="auto"/>
              </w:rPr>
            </w:pPr>
          </w:p>
        </w:tc>
        <w:tc>
          <w:tcPr>
            <w:tcW w:w="20" w:type="dxa"/>
            <w:vAlign w:val="bottom"/>
            <w:tcBorders>
              <w:bottom w:val="single" w:sz="8" w:color="CFF0FC"/>
            </w:tcBorders>
          </w:tcPr>
          <w:p>
            <w:pPr>
              <w:spacing w:after="0"/>
              <w:rPr>
                <w:sz w:val="22"/>
                <w:szCs w:val="22"/>
                <w:color w:val="auto"/>
              </w:rPr>
            </w:pPr>
          </w:p>
        </w:tc>
        <w:tc>
          <w:tcPr>
            <w:tcW w:w="540" w:type="dxa"/>
            <w:vAlign w:val="bottom"/>
            <w:tcBorders>
              <w:top w:val="single" w:sz="8" w:color="auto"/>
              <w:bottom w:val="single" w:sz="8" w:color="auto"/>
            </w:tcBorders>
          </w:tcPr>
          <w:p>
            <w:pPr>
              <w:jc w:val="right"/>
              <w:ind w:right="430"/>
              <w:spacing w:after="0"/>
              <w:rPr>
                <w:sz w:val="20"/>
                <w:szCs w:val="20"/>
                <w:color w:val="auto"/>
              </w:rPr>
            </w:pPr>
            <w:r>
              <w:rPr>
                <w:rFonts w:ascii="Arial" w:cs="Arial" w:eastAsia="Arial" w:hAnsi="Arial"/>
                <w:sz w:val="10"/>
                <w:szCs w:val="10"/>
                <w:color w:val="auto"/>
                <w:w w:val="71"/>
              </w:rPr>
              <w:t>$</w:t>
            </w:r>
          </w:p>
        </w:tc>
        <w:tc>
          <w:tcPr>
            <w:tcW w:w="10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0.33</w:t>
            </w:r>
          </w:p>
        </w:tc>
        <w:tc>
          <w:tcPr>
            <w:tcW w:w="120" w:type="dxa"/>
            <w:vAlign w:val="bottom"/>
            <w:tcBorders>
              <w:bottom w:val="single" w:sz="8" w:color="CFF0FC"/>
            </w:tcBorders>
          </w:tcPr>
          <w:p>
            <w:pPr>
              <w:spacing w:after="0"/>
              <w:rPr>
                <w:sz w:val="22"/>
                <w:szCs w:val="22"/>
                <w:color w:val="auto"/>
              </w:rPr>
            </w:pPr>
          </w:p>
        </w:tc>
        <w:tc>
          <w:tcPr>
            <w:tcW w:w="0" w:type="dxa"/>
            <w:vAlign w:val="bottom"/>
          </w:tcPr>
          <w:p>
            <w:pPr>
              <w:spacing w:after="0"/>
              <w:rPr>
                <w:sz w:val="1"/>
                <w:szCs w:val="1"/>
                <w:color w:val="auto"/>
              </w:rPr>
            </w:pPr>
          </w:p>
        </w:tc>
      </w:tr>
      <w:tr>
        <w:trPr>
          <w:trHeight w:val="209"/>
        </w:trPr>
        <w:tc>
          <w:tcPr>
            <w:tcW w:w="7860" w:type="dxa"/>
            <w:vAlign w:val="bottom"/>
            <w:tcBorders>
              <w:bottom w:val="single" w:sz="8" w:color="CFF0FC"/>
            </w:tcBorders>
            <w:shd w:val="clear" w:color="auto" w:fill="CFF0FC"/>
          </w:tcPr>
          <w:p>
            <w:pPr>
              <w:spacing w:after="0"/>
              <w:rPr>
                <w:sz w:val="20"/>
                <w:szCs w:val="20"/>
                <w:color w:val="auto"/>
              </w:rPr>
            </w:pPr>
            <w:r>
              <w:rPr>
                <w:rFonts w:ascii="Arial" w:cs="Arial" w:eastAsia="Arial" w:hAnsi="Arial"/>
                <w:sz w:val="18"/>
                <w:szCs w:val="18"/>
                <w:color w:val="auto"/>
              </w:rPr>
              <w:t>Weighted-average outstanding common shares</w:t>
            </w:r>
          </w:p>
        </w:tc>
        <w:tc>
          <w:tcPr>
            <w:tcW w:w="360" w:type="dxa"/>
            <w:vAlign w:val="bottom"/>
            <w:tcBorders>
              <w:bottom w:val="single" w:sz="8" w:color="auto"/>
            </w:tcBorders>
            <w:shd w:val="clear" w:color="auto" w:fill="CFF0FC"/>
          </w:tcPr>
          <w:p>
            <w:pPr>
              <w:spacing w:after="0"/>
              <w:rPr>
                <w:sz w:val="18"/>
                <w:szCs w:val="18"/>
                <w:color w:val="auto"/>
              </w:rPr>
            </w:pPr>
          </w:p>
        </w:tc>
        <w:tc>
          <w:tcPr>
            <w:tcW w:w="12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20,207</w:t>
            </w:r>
          </w:p>
        </w:tc>
        <w:tc>
          <w:tcPr>
            <w:tcW w:w="280" w:type="dxa"/>
            <w:vAlign w:val="bottom"/>
            <w:tcBorders>
              <w:bottom w:val="single" w:sz="8" w:color="CFF0FC"/>
            </w:tcBorders>
            <w:shd w:val="clear" w:color="auto" w:fill="CFF0FC"/>
          </w:tcPr>
          <w:p>
            <w:pPr>
              <w:spacing w:after="0"/>
              <w:rPr>
                <w:sz w:val="18"/>
                <w:szCs w:val="18"/>
                <w:color w:val="auto"/>
              </w:rPr>
            </w:pPr>
          </w:p>
        </w:tc>
        <w:tc>
          <w:tcPr>
            <w:tcW w:w="20" w:type="dxa"/>
            <w:vAlign w:val="bottom"/>
            <w:tcBorders>
              <w:bottom w:val="single" w:sz="8" w:color="CFF0FC"/>
            </w:tcBorders>
            <w:shd w:val="clear" w:color="auto" w:fill="CFF0FC"/>
          </w:tcPr>
          <w:p>
            <w:pPr>
              <w:spacing w:after="0"/>
              <w:rPr>
                <w:sz w:val="18"/>
                <w:szCs w:val="18"/>
                <w:color w:val="auto"/>
              </w:rPr>
            </w:pPr>
          </w:p>
        </w:tc>
        <w:tc>
          <w:tcPr>
            <w:tcW w:w="540" w:type="dxa"/>
            <w:vAlign w:val="bottom"/>
            <w:tcBorders>
              <w:bottom w:val="single" w:sz="8" w:color="auto"/>
            </w:tcBorders>
            <w:shd w:val="clear" w:color="auto" w:fill="CFF0FC"/>
          </w:tcPr>
          <w:p>
            <w:pPr>
              <w:spacing w:after="0"/>
              <w:rPr>
                <w:sz w:val="18"/>
                <w:szCs w:val="18"/>
                <w:color w:val="auto"/>
              </w:rPr>
            </w:pPr>
          </w:p>
        </w:tc>
        <w:tc>
          <w:tcPr>
            <w:tcW w:w="10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20,083</w:t>
            </w:r>
          </w:p>
        </w:tc>
        <w:tc>
          <w:tcPr>
            <w:tcW w:w="120" w:type="dxa"/>
            <w:vAlign w:val="bottom"/>
            <w:tcBorders>
              <w:bottom w:val="single" w:sz="8" w:color="CFF0FC"/>
            </w:tcBorders>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7860" w:type="dxa"/>
            <w:vAlign w:val="bottom"/>
            <w:vMerge w:val="restart"/>
          </w:tcPr>
          <w:p>
            <w:pPr>
              <w:spacing w:after="0"/>
              <w:rPr>
                <w:sz w:val="20"/>
                <w:szCs w:val="20"/>
                <w:color w:val="auto"/>
              </w:rPr>
            </w:pPr>
            <w:r>
              <w:rPr>
                <w:rFonts w:ascii="Arial" w:cs="Arial" w:eastAsia="Arial" w:hAnsi="Arial"/>
                <w:sz w:val="18"/>
                <w:szCs w:val="18"/>
                <w:color w:val="auto"/>
              </w:rPr>
              <w:t>Dividends declared per common share</w:t>
            </w:r>
          </w:p>
        </w:tc>
        <w:tc>
          <w:tcPr>
            <w:tcW w:w="360" w:type="dxa"/>
            <w:vAlign w:val="bottom"/>
          </w:tcPr>
          <w:p>
            <w:pPr>
              <w:spacing w:after="0" w:line="20" w:lineRule="exact"/>
              <w:rPr>
                <w:sz w:val="1"/>
                <w:szCs w:val="1"/>
                <w:color w:val="auto"/>
              </w:rPr>
            </w:pPr>
          </w:p>
        </w:tc>
        <w:tc>
          <w:tcPr>
            <w:tcW w:w="12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560" w:type="dxa"/>
            <w:vAlign w:val="bottom"/>
            <w:gridSpan w:val="2"/>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49"/>
        </w:trPr>
        <w:tc>
          <w:tcPr>
            <w:tcW w:w="7860" w:type="dxa"/>
            <w:vAlign w:val="bottom"/>
            <w:tcBorders>
              <w:bottom w:val="single" w:sz="8" w:color="CFF0FC"/>
            </w:tcBorders>
            <w:vMerge w:val="continue"/>
          </w:tcPr>
          <w:p>
            <w:pPr>
              <w:spacing w:after="0"/>
              <w:rPr>
                <w:sz w:val="21"/>
                <w:szCs w:val="21"/>
                <w:color w:val="auto"/>
              </w:rPr>
            </w:pPr>
          </w:p>
        </w:tc>
        <w:tc>
          <w:tcPr>
            <w:tcW w:w="360" w:type="dxa"/>
            <w:vAlign w:val="bottom"/>
            <w:tcBorders>
              <w:top w:val="single" w:sz="8" w:color="auto"/>
              <w:bottom w:val="single" w:sz="8" w:color="auto"/>
            </w:tcBorders>
          </w:tcPr>
          <w:p>
            <w:pPr>
              <w:jc w:val="right"/>
              <w:ind w:right="207"/>
              <w:spacing w:after="0"/>
              <w:rPr>
                <w:sz w:val="20"/>
                <w:szCs w:val="20"/>
                <w:color w:val="auto"/>
              </w:rPr>
            </w:pPr>
            <w:r>
              <w:rPr>
                <w:rFonts w:ascii="Arial" w:cs="Arial" w:eastAsia="Arial" w:hAnsi="Arial"/>
                <w:sz w:val="15"/>
                <w:szCs w:val="15"/>
                <w:color w:val="auto"/>
                <w:w w:val="71"/>
              </w:rPr>
              <w:t>$</w:t>
            </w:r>
          </w:p>
        </w:tc>
        <w:tc>
          <w:tcPr>
            <w:tcW w:w="12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0.10</w:t>
            </w:r>
          </w:p>
        </w:tc>
        <w:tc>
          <w:tcPr>
            <w:tcW w:w="280" w:type="dxa"/>
            <w:vAlign w:val="bottom"/>
            <w:tcBorders>
              <w:bottom w:val="single" w:sz="8" w:color="CFF0FC"/>
            </w:tcBorders>
          </w:tcPr>
          <w:p>
            <w:pPr>
              <w:spacing w:after="0"/>
              <w:rPr>
                <w:sz w:val="21"/>
                <w:szCs w:val="21"/>
                <w:color w:val="auto"/>
              </w:rPr>
            </w:pPr>
          </w:p>
        </w:tc>
        <w:tc>
          <w:tcPr>
            <w:tcW w:w="20" w:type="dxa"/>
            <w:vAlign w:val="bottom"/>
            <w:tcBorders>
              <w:bottom w:val="single" w:sz="8" w:color="CFF0FC"/>
            </w:tcBorders>
          </w:tcPr>
          <w:p>
            <w:pPr>
              <w:spacing w:after="0"/>
              <w:rPr>
                <w:sz w:val="21"/>
                <w:szCs w:val="21"/>
                <w:color w:val="auto"/>
              </w:rPr>
            </w:pPr>
          </w:p>
        </w:tc>
        <w:tc>
          <w:tcPr>
            <w:tcW w:w="540" w:type="dxa"/>
            <w:vAlign w:val="bottom"/>
            <w:tcBorders>
              <w:top w:val="single" w:sz="8" w:color="auto"/>
              <w:bottom w:val="single" w:sz="8" w:color="auto"/>
            </w:tcBorders>
          </w:tcPr>
          <w:p>
            <w:pPr>
              <w:jc w:val="right"/>
              <w:ind w:right="430"/>
              <w:spacing w:after="0"/>
              <w:rPr>
                <w:sz w:val="20"/>
                <w:szCs w:val="20"/>
                <w:color w:val="auto"/>
              </w:rPr>
            </w:pPr>
            <w:r>
              <w:rPr>
                <w:rFonts w:ascii="Arial" w:cs="Arial" w:eastAsia="Arial" w:hAnsi="Arial"/>
                <w:sz w:val="10"/>
                <w:szCs w:val="10"/>
                <w:color w:val="auto"/>
                <w:w w:val="71"/>
              </w:rPr>
              <w:t>$</w:t>
            </w:r>
          </w:p>
        </w:tc>
        <w:tc>
          <w:tcPr>
            <w:tcW w:w="10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0.10</w:t>
            </w:r>
          </w:p>
        </w:tc>
        <w:tc>
          <w:tcPr>
            <w:tcW w:w="120" w:type="dxa"/>
            <w:vAlign w:val="bottom"/>
            <w:tcBorders>
              <w:bottom w:val="single" w:sz="8" w:color="CFF0FC"/>
            </w:tcBorders>
          </w:tcPr>
          <w:p>
            <w:pPr>
              <w:spacing w:after="0"/>
              <w:rPr>
                <w:sz w:val="21"/>
                <w:szCs w:val="21"/>
                <w:color w:val="auto"/>
              </w:rPr>
            </w:pPr>
          </w:p>
        </w:tc>
        <w:tc>
          <w:tcPr>
            <w:tcW w:w="0" w:type="dxa"/>
            <w:vAlign w:val="bottom"/>
          </w:tcPr>
          <w:p>
            <w:pPr>
              <w:spacing w:after="0"/>
              <w:rPr>
                <w:sz w:val="1"/>
                <w:szCs w:val="1"/>
                <w:color w:val="auto"/>
              </w:rPr>
            </w:pPr>
          </w:p>
        </w:tc>
      </w:tr>
      <w:tr>
        <w:trPr>
          <w:trHeight w:val="209"/>
        </w:trPr>
        <w:tc>
          <w:tcPr>
            <w:tcW w:w="7860" w:type="dxa"/>
            <w:vAlign w:val="bottom"/>
            <w:shd w:val="clear" w:color="auto" w:fill="CFF0FC"/>
          </w:tcPr>
          <w:p>
            <w:pPr>
              <w:spacing w:after="0"/>
              <w:rPr>
                <w:sz w:val="20"/>
                <w:szCs w:val="20"/>
                <w:color w:val="auto"/>
              </w:rPr>
            </w:pPr>
            <w:r>
              <w:rPr>
                <w:rFonts w:ascii="Arial" w:cs="Arial" w:eastAsia="Arial" w:hAnsi="Arial"/>
                <w:sz w:val="18"/>
                <w:szCs w:val="18"/>
                <w:b w:val="1"/>
                <w:bCs w:val="1"/>
                <w:color w:val="auto"/>
              </w:rPr>
              <w:t>Amounts attributable to Viad common stockholders</w:t>
            </w:r>
          </w:p>
        </w:tc>
        <w:tc>
          <w:tcPr>
            <w:tcW w:w="360" w:type="dxa"/>
            <w:vAlign w:val="bottom"/>
            <w:shd w:val="clear" w:color="auto" w:fill="CFF0FC"/>
          </w:tcPr>
          <w:p>
            <w:pPr>
              <w:spacing w:after="0"/>
              <w:rPr>
                <w:sz w:val="18"/>
                <w:szCs w:val="18"/>
                <w:color w:val="auto"/>
              </w:rPr>
            </w:pPr>
          </w:p>
        </w:tc>
        <w:tc>
          <w:tcPr>
            <w:tcW w:w="1220" w:type="dxa"/>
            <w:vAlign w:val="bottom"/>
            <w:shd w:val="clear" w:color="auto" w:fill="CFF0FC"/>
          </w:tcPr>
          <w:p>
            <w:pPr>
              <w:spacing w:after="0"/>
              <w:rPr>
                <w:sz w:val="18"/>
                <w:szCs w:val="18"/>
                <w:color w:val="auto"/>
              </w:rPr>
            </w:pPr>
          </w:p>
        </w:tc>
        <w:tc>
          <w:tcPr>
            <w:tcW w:w="280" w:type="dxa"/>
            <w:vAlign w:val="bottom"/>
            <w:shd w:val="clear" w:color="auto" w:fill="CFF0FC"/>
          </w:tcPr>
          <w:p>
            <w:pPr>
              <w:spacing w:after="0"/>
              <w:rPr>
                <w:sz w:val="18"/>
                <w:szCs w:val="18"/>
                <w:color w:val="auto"/>
              </w:rPr>
            </w:pPr>
          </w:p>
        </w:tc>
        <w:tc>
          <w:tcPr>
            <w:tcW w:w="20" w:type="dxa"/>
            <w:vAlign w:val="bottom"/>
            <w:shd w:val="clear" w:color="auto" w:fill="CFF0FC"/>
          </w:tcPr>
          <w:p>
            <w:pPr>
              <w:spacing w:after="0"/>
              <w:rPr>
                <w:sz w:val="18"/>
                <w:szCs w:val="18"/>
                <w:color w:val="auto"/>
              </w:rPr>
            </w:pPr>
          </w:p>
        </w:tc>
        <w:tc>
          <w:tcPr>
            <w:tcW w:w="540" w:type="dxa"/>
            <w:vAlign w:val="bottom"/>
            <w:shd w:val="clear" w:color="auto" w:fill="CFF0FC"/>
          </w:tcPr>
          <w:p>
            <w:pPr>
              <w:spacing w:after="0"/>
              <w:rPr>
                <w:sz w:val="18"/>
                <w:szCs w:val="18"/>
                <w:color w:val="auto"/>
              </w:rPr>
            </w:pPr>
          </w:p>
        </w:tc>
        <w:tc>
          <w:tcPr>
            <w:tcW w:w="102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29"/>
        </w:trPr>
        <w:tc>
          <w:tcPr>
            <w:tcW w:w="7860" w:type="dxa"/>
            <w:vAlign w:val="bottom"/>
          </w:tcPr>
          <w:p>
            <w:pPr>
              <w:spacing w:after="0"/>
              <w:rPr>
                <w:sz w:val="20"/>
                <w:szCs w:val="20"/>
                <w:color w:val="auto"/>
              </w:rPr>
            </w:pPr>
            <w:r>
              <w:rPr>
                <w:rFonts w:ascii="Arial" w:cs="Arial" w:eastAsia="Arial" w:hAnsi="Arial"/>
                <w:sz w:val="18"/>
                <w:szCs w:val="18"/>
                <w:color w:val="auto"/>
              </w:rPr>
              <w:t>Income (loss) from continuing operations</w:t>
            </w:r>
          </w:p>
        </w:tc>
        <w:tc>
          <w:tcPr>
            <w:tcW w:w="360" w:type="dxa"/>
            <w:vAlign w:val="bottom"/>
          </w:tcPr>
          <w:p>
            <w:pPr>
              <w:jc w:val="right"/>
              <w:ind w:right="207"/>
              <w:spacing w:after="0"/>
              <w:rPr>
                <w:sz w:val="20"/>
                <w:szCs w:val="20"/>
                <w:color w:val="auto"/>
              </w:rPr>
            </w:pPr>
            <w:r>
              <w:rPr>
                <w:rFonts w:ascii="Arial" w:cs="Arial" w:eastAsia="Arial" w:hAnsi="Arial"/>
                <w:sz w:val="15"/>
                <w:szCs w:val="15"/>
                <w:color w:val="auto"/>
                <w:w w:val="71"/>
              </w:rPr>
              <w:t>$</w:t>
            </w:r>
          </w:p>
        </w:tc>
        <w:tc>
          <w:tcPr>
            <w:tcW w:w="1500" w:type="dxa"/>
            <w:vAlign w:val="bottom"/>
            <w:gridSpan w:val="2"/>
          </w:tcPr>
          <w:p>
            <w:pPr>
              <w:jc w:val="right"/>
              <w:ind w:right="220"/>
              <w:spacing w:after="0"/>
              <w:rPr>
                <w:sz w:val="20"/>
                <w:szCs w:val="20"/>
                <w:color w:val="auto"/>
              </w:rPr>
            </w:pPr>
            <w:r>
              <w:rPr>
                <w:rFonts w:ascii="Arial" w:cs="Arial" w:eastAsia="Arial" w:hAnsi="Arial"/>
                <w:sz w:val="18"/>
                <w:szCs w:val="18"/>
                <w:color w:val="auto"/>
              </w:rPr>
              <w:t>(10,315)</w:t>
            </w:r>
          </w:p>
        </w:tc>
        <w:tc>
          <w:tcPr>
            <w:tcW w:w="560" w:type="dxa"/>
            <w:vAlign w:val="bottom"/>
            <w:gridSpan w:val="2"/>
          </w:tcPr>
          <w:p>
            <w:pPr>
              <w:jc w:val="right"/>
              <w:ind w:right="430"/>
              <w:spacing w:after="0"/>
              <w:rPr>
                <w:sz w:val="20"/>
                <w:szCs w:val="20"/>
                <w:color w:val="auto"/>
              </w:rPr>
            </w:pPr>
            <w:r>
              <w:rPr>
                <w:rFonts w:ascii="Arial" w:cs="Arial" w:eastAsia="Arial" w:hAnsi="Arial"/>
                <w:sz w:val="15"/>
                <w:szCs w:val="15"/>
                <w:color w:val="auto"/>
                <w:w w:val="71"/>
              </w:rPr>
              <w:t>$</w:t>
            </w:r>
          </w:p>
        </w:tc>
        <w:tc>
          <w:tcPr>
            <w:tcW w:w="1020" w:type="dxa"/>
            <w:vAlign w:val="bottom"/>
          </w:tcPr>
          <w:p>
            <w:pPr>
              <w:jc w:val="right"/>
              <w:spacing w:after="0"/>
              <w:rPr>
                <w:sz w:val="20"/>
                <w:szCs w:val="20"/>
                <w:color w:val="auto"/>
              </w:rPr>
            </w:pPr>
            <w:r>
              <w:rPr>
                <w:rFonts w:ascii="Arial" w:cs="Arial" w:eastAsia="Arial" w:hAnsi="Arial"/>
                <w:sz w:val="18"/>
                <w:szCs w:val="18"/>
                <w:color w:val="auto"/>
              </w:rPr>
              <w:t>7,593</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7860" w:type="dxa"/>
            <w:vAlign w:val="bottom"/>
            <w:shd w:val="clear" w:color="auto" w:fill="CFF0FC"/>
          </w:tcPr>
          <w:p>
            <w:pPr>
              <w:spacing w:after="0"/>
              <w:rPr>
                <w:sz w:val="20"/>
                <w:szCs w:val="20"/>
                <w:color w:val="auto"/>
              </w:rPr>
            </w:pPr>
            <w:r>
              <w:rPr>
                <w:rFonts w:ascii="Arial" w:cs="Arial" w:eastAsia="Arial" w:hAnsi="Arial"/>
                <w:sz w:val="18"/>
                <w:szCs w:val="18"/>
                <w:color w:val="auto"/>
              </w:rPr>
              <w:t>Loss from discontinued operations</w:t>
            </w:r>
          </w:p>
        </w:tc>
        <w:tc>
          <w:tcPr>
            <w:tcW w:w="360" w:type="dxa"/>
            <w:vAlign w:val="bottom"/>
            <w:shd w:val="clear" w:color="auto" w:fill="CFF0FC"/>
          </w:tcPr>
          <w:p>
            <w:pPr>
              <w:spacing w:after="0"/>
              <w:rPr>
                <w:sz w:val="19"/>
                <w:szCs w:val="19"/>
                <w:color w:val="auto"/>
              </w:rPr>
            </w:pPr>
          </w:p>
        </w:tc>
        <w:tc>
          <w:tcPr>
            <w:tcW w:w="12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928</w:t>
            </w:r>
          </w:p>
        </w:tc>
        <w:tc>
          <w:tcPr>
            <w:tcW w:w="28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540" w:type="dxa"/>
            <w:vAlign w:val="bottom"/>
            <w:shd w:val="clear" w:color="auto" w:fill="CFF0FC"/>
          </w:tcPr>
          <w:p>
            <w:pPr>
              <w:spacing w:after="0"/>
              <w:rPr>
                <w:sz w:val="19"/>
                <w:szCs w:val="19"/>
                <w:color w:val="auto"/>
              </w:rPr>
            </w:pPr>
          </w:p>
        </w:tc>
        <w:tc>
          <w:tcPr>
            <w:tcW w:w="1140" w:type="dxa"/>
            <w:vAlign w:val="bottom"/>
            <w:gridSpan w:val="2"/>
            <w:shd w:val="clear" w:color="auto" w:fill="CFF0FC"/>
          </w:tcPr>
          <w:p>
            <w:pPr>
              <w:jc w:val="right"/>
              <w:ind w:right="60"/>
              <w:spacing w:after="0"/>
              <w:rPr>
                <w:sz w:val="20"/>
                <w:szCs w:val="20"/>
                <w:color w:val="auto"/>
              </w:rPr>
            </w:pPr>
            <w:r>
              <w:rPr>
                <w:rFonts w:ascii="Arial" w:cs="Arial" w:eastAsia="Arial" w:hAnsi="Arial"/>
                <w:sz w:val="18"/>
                <w:szCs w:val="18"/>
                <w:color w:val="auto"/>
              </w:rPr>
              <w:t>(816)</w:t>
            </w:r>
          </w:p>
        </w:tc>
        <w:tc>
          <w:tcPr>
            <w:tcW w:w="0" w:type="dxa"/>
            <w:vAlign w:val="bottom"/>
          </w:tcPr>
          <w:p>
            <w:pPr>
              <w:spacing w:after="0"/>
              <w:rPr>
                <w:sz w:val="1"/>
                <w:szCs w:val="1"/>
                <w:color w:val="auto"/>
              </w:rPr>
            </w:pPr>
          </w:p>
        </w:tc>
      </w:tr>
      <w:tr>
        <w:trPr>
          <w:trHeight w:val="222"/>
        </w:trPr>
        <w:tc>
          <w:tcPr>
            <w:tcW w:w="7860" w:type="dxa"/>
            <w:vAlign w:val="bottom"/>
          </w:tcPr>
          <w:p>
            <w:pPr>
              <w:spacing w:after="0"/>
              <w:rPr>
                <w:sz w:val="20"/>
                <w:szCs w:val="20"/>
                <w:color w:val="auto"/>
              </w:rPr>
            </w:pPr>
            <w:r>
              <w:rPr>
                <w:rFonts w:ascii="Arial" w:cs="Arial" w:eastAsia="Arial" w:hAnsi="Arial"/>
                <w:sz w:val="18"/>
                <w:szCs w:val="18"/>
                <w:b w:val="1"/>
                <w:bCs w:val="1"/>
                <w:color w:val="auto"/>
              </w:rPr>
              <w:t>Net income (loss)</w:t>
            </w:r>
          </w:p>
        </w:tc>
        <w:tc>
          <w:tcPr>
            <w:tcW w:w="360" w:type="dxa"/>
            <w:vAlign w:val="bottom"/>
            <w:tcBorders>
              <w:top w:val="single" w:sz="8" w:color="auto"/>
              <w:bottom w:val="single" w:sz="8" w:color="auto"/>
            </w:tcBorders>
          </w:tcPr>
          <w:p>
            <w:pPr>
              <w:jc w:val="right"/>
              <w:ind w:right="207"/>
              <w:spacing w:after="0"/>
              <w:rPr>
                <w:sz w:val="20"/>
                <w:szCs w:val="20"/>
                <w:color w:val="auto"/>
              </w:rPr>
            </w:pPr>
            <w:r>
              <w:rPr>
                <w:rFonts w:ascii="Arial" w:cs="Arial" w:eastAsia="Arial" w:hAnsi="Arial"/>
                <w:sz w:val="15"/>
                <w:szCs w:val="15"/>
                <w:color w:val="auto"/>
                <w:w w:val="71"/>
              </w:rPr>
              <w:t>$</w:t>
            </w:r>
          </w:p>
        </w:tc>
        <w:tc>
          <w:tcPr>
            <w:tcW w:w="12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(9,387)</w:t>
            </w:r>
          </w:p>
        </w:tc>
        <w:tc>
          <w:tcPr>
            <w:tcW w:w="280" w:type="dxa"/>
            <w:vAlign w:val="bottom"/>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540" w:type="dxa"/>
            <w:vAlign w:val="bottom"/>
            <w:tcBorders>
              <w:top w:val="single" w:sz="8" w:color="auto"/>
              <w:bottom w:val="single" w:sz="8" w:color="auto"/>
            </w:tcBorders>
          </w:tcPr>
          <w:p>
            <w:pPr>
              <w:jc w:val="right"/>
              <w:ind w:right="430"/>
              <w:spacing w:after="0"/>
              <w:rPr>
                <w:sz w:val="20"/>
                <w:szCs w:val="20"/>
                <w:color w:val="auto"/>
              </w:rPr>
            </w:pPr>
            <w:r>
              <w:rPr>
                <w:rFonts w:ascii="Arial" w:cs="Arial" w:eastAsia="Arial" w:hAnsi="Arial"/>
                <w:sz w:val="10"/>
                <w:szCs w:val="10"/>
                <w:color w:val="auto"/>
                <w:w w:val="71"/>
              </w:rPr>
              <w:t>$</w:t>
            </w:r>
          </w:p>
        </w:tc>
        <w:tc>
          <w:tcPr>
            <w:tcW w:w="10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6,777</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786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4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Refer to Notes to Condensed Consolidated Financial Statements.</w:t>
      </w:r>
    </w:p>
    <w:p>
      <w:pPr>
        <w:spacing w:after="0" w:line="2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69850</wp:posOffset>
            </wp:positionV>
            <wp:extent cx="7289800" cy="425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1420"/>
          </w:cols>
          <w:pgMar w:left="240" w:top="336" w:right="239" w:bottom="1440" w:gutter="0" w:footer="0" w:header="0"/>
        </w:sectPr>
      </w:pPr>
    </w:p>
    <w:bookmarkStart w:id="4" w:name="page5"/>
    <w:bookmarkEnd w:id="4"/>
    <w:p>
      <w:pPr>
        <w:jc w:val="center"/>
        <w:spacing w:after="0"/>
        <w:rPr>
          <w:sz w:val="20"/>
          <w:szCs w:val="20"/>
          <w:color w:val="auto"/>
        </w:rPr>
      </w:pPr>
      <w:r>
        <w:rPr>
          <w:rFonts w:ascii="Arial" w:cs="Arial" w:eastAsia="Arial" w:hAnsi="Arial"/>
          <w:sz w:val="18"/>
          <w:szCs w:val="18"/>
          <w:b w:val="1"/>
          <w:bCs w:val="1"/>
          <w:color w:val="auto"/>
        </w:rPr>
        <w:t>VIAD CORP</w:t>
      </w:r>
    </w:p>
    <w:p>
      <w:pPr>
        <w:spacing w:after="0" w:line="11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CONSOLIDATED STATEMENTS OF COMPREHENSIVE INCOME (LOSS)</w:t>
      </w:r>
    </w:p>
    <w:p>
      <w:pPr>
        <w:spacing w:after="0" w:line="11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99"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786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2060" w:type="dxa"/>
            <w:vAlign w:val="bottom"/>
            <w:gridSpan w:val="4"/>
          </w:tcPr>
          <w:p>
            <w:pPr>
              <w:jc w:val="right"/>
              <w:spacing w:after="0"/>
              <w:rPr>
                <w:sz w:val="20"/>
                <w:szCs w:val="20"/>
                <w:color w:val="auto"/>
              </w:rPr>
            </w:pPr>
            <w:r>
              <w:rPr>
                <w:rFonts w:ascii="Arial" w:cs="Arial" w:eastAsia="Arial" w:hAnsi="Arial"/>
                <w:sz w:val="14"/>
                <w:szCs w:val="14"/>
                <w:b w:val="1"/>
                <w:bCs w:val="1"/>
                <w:color w:val="auto"/>
              </w:rPr>
              <w:t>Three Months Ended</w:t>
            </w:r>
          </w:p>
        </w:tc>
        <w:tc>
          <w:tcPr>
            <w:tcW w:w="10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1"/>
        </w:trPr>
        <w:tc>
          <w:tcPr>
            <w:tcW w:w="7860" w:type="dxa"/>
            <w:vAlign w:val="bottom"/>
            <w:vMerge w:val="restart"/>
          </w:tcPr>
          <w:p>
            <w:pPr>
              <w:spacing w:after="0"/>
              <w:rPr>
                <w:sz w:val="20"/>
                <w:szCs w:val="20"/>
                <w:color w:val="auto"/>
              </w:rPr>
            </w:pPr>
            <w:r>
              <w:rPr>
                <w:rFonts w:ascii="Arial" w:cs="Arial" w:eastAsia="Arial" w:hAnsi="Arial"/>
                <w:sz w:val="14"/>
                <w:szCs w:val="14"/>
                <w:i w:val="1"/>
                <w:iCs w:val="1"/>
                <w:color w:val="auto"/>
              </w:rPr>
              <w:t>(in thousands)</w:t>
            </w:r>
          </w:p>
        </w:tc>
        <w:tc>
          <w:tcPr>
            <w:tcW w:w="360" w:type="dxa"/>
            <w:vAlign w:val="bottom"/>
            <w:tcBorders>
              <w:bottom w:val="single" w:sz="8" w:color="auto"/>
            </w:tcBorders>
          </w:tcPr>
          <w:p>
            <w:pPr>
              <w:spacing w:after="0"/>
              <w:rPr>
                <w:sz w:val="14"/>
                <w:szCs w:val="14"/>
                <w:color w:val="auto"/>
              </w:rPr>
            </w:pPr>
          </w:p>
        </w:tc>
        <w:tc>
          <w:tcPr>
            <w:tcW w:w="2060" w:type="dxa"/>
            <w:vAlign w:val="bottom"/>
            <w:tcBorders>
              <w:bottom w:val="single" w:sz="8" w:color="auto"/>
            </w:tcBorders>
            <w:gridSpan w:val="4"/>
          </w:tcPr>
          <w:p>
            <w:pPr>
              <w:jc w:val="right"/>
              <w:ind w:right="327"/>
              <w:spacing w:after="0"/>
              <w:rPr>
                <w:sz w:val="20"/>
                <w:szCs w:val="20"/>
                <w:color w:val="auto"/>
              </w:rPr>
            </w:pPr>
            <w:r>
              <w:rPr>
                <w:rFonts w:ascii="Arial" w:cs="Arial" w:eastAsia="Arial" w:hAnsi="Arial"/>
                <w:sz w:val="14"/>
                <w:szCs w:val="14"/>
                <w:b w:val="1"/>
                <w:bCs w:val="1"/>
                <w:color w:val="auto"/>
              </w:rPr>
              <w:t>March 31,</w:t>
            </w:r>
          </w:p>
        </w:tc>
        <w:tc>
          <w:tcPr>
            <w:tcW w:w="1020" w:type="dxa"/>
            <w:vAlign w:val="bottom"/>
            <w:tcBorders>
              <w:bottom w:val="single" w:sz="8" w:color="auto"/>
            </w:tcBorders>
          </w:tcPr>
          <w:p>
            <w:pPr>
              <w:spacing w:after="0"/>
              <w:rPr>
                <w:sz w:val="14"/>
                <w:szCs w:val="14"/>
                <w:color w:val="auto"/>
              </w:rPr>
            </w:pP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5"/>
        </w:trPr>
        <w:tc>
          <w:tcPr>
            <w:tcW w:w="7860" w:type="dxa"/>
            <w:vAlign w:val="bottom"/>
            <w:tcBorders>
              <w:bottom w:val="single" w:sz="8" w:color="CFF0FC"/>
            </w:tcBorders>
            <w:vMerge w:val="continue"/>
          </w:tcPr>
          <w:p>
            <w:pPr>
              <w:spacing w:after="0"/>
              <w:rPr>
                <w:sz w:val="13"/>
                <w:szCs w:val="13"/>
                <w:color w:val="auto"/>
              </w:rPr>
            </w:pPr>
          </w:p>
        </w:tc>
        <w:tc>
          <w:tcPr>
            <w:tcW w:w="360" w:type="dxa"/>
            <w:vAlign w:val="bottom"/>
            <w:tcBorders>
              <w:bottom w:val="single" w:sz="8" w:color="auto"/>
            </w:tcBorders>
          </w:tcPr>
          <w:p>
            <w:pPr>
              <w:spacing w:after="0"/>
              <w:rPr>
                <w:sz w:val="13"/>
                <w:szCs w:val="13"/>
                <w:color w:val="auto"/>
              </w:rPr>
            </w:pPr>
          </w:p>
        </w:tc>
        <w:tc>
          <w:tcPr>
            <w:tcW w:w="1220" w:type="dxa"/>
            <w:vAlign w:val="bottom"/>
            <w:tcBorders>
              <w:bottom w:val="single" w:sz="8" w:color="auto"/>
            </w:tcBorders>
          </w:tcPr>
          <w:p>
            <w:pPr>
              <w:jc w:val="right"/>
              <w:ind w:right="575"/>
              <w:spacing w:after="0" w:line="155" w:lineRule="exact"/>
              <w:rPr>
                <w:sz w:val="20"/>
                <w:szCs w:val="20"/>
                <w:color w:val="auto"/>
              </w:rPr>
            </w:pPr>
            <w:r>
              <w:rPr>
                <w:rFonts w:ascii="Arial" w:cs="Arial" w:eastAsia="Arial" w:hAnsi="Arial"/>
                <w:sz w:val="14"/>
                <w:szCs w:val="14"/>
                <w:b w:val="1"/>
                <w:bCs w:val="1"/>
                <w:color w:val="auto"/>
              </w:rPr>
              <w:t>2018</w:t>
            </w:r>
          </w:p>
        </w:tc>
        <w:tc>
          <w:tcPr>
            <w:tcW w:w="160" w:type="dxa"/>
            <w:vAlign w:val="bottom"/>
            <w:tcBorders>
              <w:bottom w:val="single" w:sz="8" w:color="CFF0FC"/>
            </w:tcBorders>
          </w:tcPr>
          <w:p>
            <w:pPr>
              <w:spacing w:after="0"/>
              <w:rPr>
                <w:sz w:val="13"/>
                <w:szCs w:val="13"/>
                <w:color w:val="auto"/>
              </w:rPr>
            </w:pPr>
          </w:p>
        </w:tc>
        <w:tc>
          <w:tcPr>
            <w:tcW w:w="120" w:type="dxa"/>
            <w:vAlign w:val="bottom"/>
            <w:tcBorders>
              <w:bottom w:val="single" w:sz="8" w:color="CFF0FC"/>
            </w:tcBorders>
          </w:tcPr>
          <w:p>
            <w:pPr>
              <w:spacing w:after="0"/>
              <w:rPr>
                <w:sz w:val="13"/>
                <w:szCs w:val="13"/>
                <w:color w:val="auto"/>
              </w:rPr>
            </w:pPr>
          </w:p>
        </w:tc>
        <w:tc>
          <w:tcPr>
            <w:tcW w:w="560" w:type="dxa"/>
            <w:vAlign w:val="bottom"/>
            <w:tcBorders>
              <w:bottom w:val="single" w:sz="8" w:color="auto"/>
            </w:tcBorders>
          </w:tcPr>
          <w:p>
            <w:pPr>
              <w:spacing w:after="0"/>
              <w:rPr>
                <w:sz w:val="13"/>
                <w:szCs w:val="13"/>
                <w:color w:val="auto"/>
              </w:rPr>
            </w:pPr>
          </w:p>
        </w:tc>
        <w:tc>
          <w:tcPr>
            <w:tcW w:w="1020" w:type="dxa"/>
            <w:vAlign w:val="bottom"/>
            <w:tcBorders>
              <w:bottom w:val="single" w:sz="8" w:color="auto"/>
            </w:tcBorders>
          </w:tcPr>
          <w:p>
            <w:pPr>
              <w:jc w:val="right"/>
              <w:ind w:right="572"/>
              <w:spacing w:after="0" w:line="155" w:lineRule="exact"/>
              <w:rPr>
                <w:sz w:val="20"/>
                <w:szCs w:val="20"/>
                <w:color w:val="auto"/>
              </w:rPr>
            </w:pPr>
            <w:r>
              <w:rPr>
                <w:rFonts w:ascii="Arial" w:cs="Arial" w:eastAsia="Arial" w:hAnsi="Arial"/>
                <w:sz w:val="14"/>
                <w:szCs w:val="14"/>
                <w:b w:val="1"/>
                <w:bCs w:val="1"/>
                <w:color w:val="auto"/>
              </w:rPr>
              <w:t>2017</w:t>
            </w:r>
          </w:p>
        </w:tc>
        <w:tc>
          <w:tcPr>
            <w:tcW w:w="120" w:type="dxa"/>
            <w:vAlign w:val="bottom"/>
            <w:tcBorders>
              <w:bottom w:val="single" w:sz="8" w:color="CFF0FC"/>
            </w:tcBorders>
          </w:tcPr>
          <w:p>
            <w:pPr>
              <w:spacing w:after="0"/>
              <w:rPr>
                <w:sz w:val="13"/>
                <w:szCs w:val="13"/>
                <w:color w:val="auto"/>
              </w:rPr>
            </w:pPr>
          </w:p>
        </w:tc>
        <w:tc>
          <w:tcPr>
            <w:tcW w:w="0" w:type="dxa"/>
            <w:vAlign w:val="bottom"/>
          </w:tcPr>
          <w:p>
            <w:pPr>
              <w:spacing w:after="0"/>
              <w:rPr>
                <w:sz w:val="1"/>
                <w:szCs w:val="1"/>
                <w:color w:val="auto"/>
              </w:rPr>
            </w:pPr>
          </w:p>
        </w:tc>
      </w:tr>
      <w:tr>
        <w:trPr>
          <w:trHeight w:val="222"/>
        </w:trPr>
        <w:tc>
          <w:tcPr>
            <w:tcW w:w="7860" w:type="dxa"/>
            <w:vAlign w:val="bottom"/>
            <w:shd w:val="clear" w:color="auto" w:fill="CFF0FC"/>
          </w:tcPr>
          <w:p>
            <w:pPr>
              <w:spacing w:after="0"/>
              <w:rPr>
                <w:sz w:val="20"/>
                <w:szCs w:val="20"/>
                <w:color w:val="auto"/>
              </w:rPr>
            </w:pPr>
            <w:r>
              <w:rPr>
                <w:rFonts w:ascii="Arial" w:cs="Arial" w:eastAsia="Arial" w:hAnsi="Arial"/>
                <w:sz w:val="18"/>
                <w:szCs w:val="18"/>
                <w:b w:val="1"/>
                <w:bCs w:val="1"/>
                <w:color w:val="auto"/>
              </w:rPr>
              <w:t>Net income (loss)</w:t>
            </w:r>
          </w:p>
        </w:tc>
        <w:tc>
          <w:tcPr>
            <w:tcW w:w="360" w:type="dxa"/>
            <w:vAlign w:val="bottom"/>
            <w:shd w:val="clear" w:color="auto" w:fill="CFF0FC"/>
          </w:tcPr>
          <w:p>
            <w:pPr>
              <w:jc w:val="right"/>
              <w:ind w:right="207"/>
              <w:spacing w:after="0"/>
              <w:rPr>
                <w:sz w:val="20"/>
                <w:szCs w:val="20"/>
                <w:color w:val="auto"/>
              </w:rPr>
            </w:pPr>
            <w:r>
              <w:rPr>
                <w:rFonts w:ascii="Arial" w:cs="Arial" w:eastAsia="Arial" w:hAnsi="Arial"/>
                <w:sz w:val="15"/>
                <w:szCs w:val="15"/>
                <w:color w:val="auto"/>
                <w:w w:val="71"/>
              </w:rPr>
              <w:t>$</w:t>
            </w:r>
          </w:p>
        </w:tc>
        <w:tc>
          <w:tcPr>
            <w:tcW w:w="12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(9,835)</w:t>
            </w:r>
          </w:p>
        </w:tc>
        <w:tc>
          <w:tcPr>
            <w:tcW w:w="16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560" w:type="dxa"/>
            <w:vAlign w:val="bottom"/>
            <w:shd w:val="clear" w:color="auto" w:fill="CFF0FC"/>
          </w:tcPr>
          <w:p>
            <w:pPr>
              <w:jc w:val="right"/>
              <w:ind w:right="407"/>
              <w:spacing w:after="0"/>
              <w:rPr>
                <w:sz w:val="20"/>
                <w:szCs w:val="20"/>
                <w:color w:val="auto"/>
              </w:rPr>
            </w:pPr>
            <w:r>
              <w:rPr>
                <w:rFonts w:ascii="Arial" w:cs="Arial" w:eastAsia="Arial" w:hAnsi="Arial"/>
                <w:sz w:val="15"/>
                <w:szCs w:val="15"/>
                <w:color w:val="auto"/>
                <w:w w:val="71"/>
              </w:rPr>
              <w:t>$</w:t>
            </w:r>
          </w:p>
        </w:tc>
        <w:tc>
          <w:tcPr>
            <w:tcW w:w="10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6,513</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7860" w:type="dxa"/>
            <w:vAlign w:val="bottom"/>
          </w:tcPr>
          <w:p>
            <w:pPr>
              <w:spacing w:after="0"/>
              <w:rPr>
                <w:sz w:val="20"/>
                <w:szCs w:val="20"/>
                <w:color w:val="auto"/>
              </w:rPr>
            </w:pPr>
            <w:r>
              <w:rPr>
                <w:rFonts w:ascii="Arial" w:cs="Arial" w:eastAsia="Arial" w:hAnsi="Arial"/>
                <w:sz w:val="18"/>
                <w:szCs w:val="18"/>
                <w:b w:val="1"/>
                <w:bCs w:val="1"/>
                <w:color w:val="auto"/>
              </w:rPr>
              <w:t>Other comprehensive income (loss):</w:t>
            </w:r>
          </w:p>
        </w:tc>
        <w:tc>
          <w:tcPr>
            <w:tcW w:w="36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7860" w:type="dxa"/>
            <w:vAlign w:val="bottom"/>
            <w:shd w:val="clear" w:color="auto" w:fill="CFF0FC"/>
          </w:tcPr>
          <w:p>
            <w:pPr>
              <w:ind w:left="260"/>
              <w:spacing w:after="0"/>
              <w:rPr>
                <w:sz w:val="20"/>
                <w:szCs w:val="20"/>
                <w:color w:val="auto"/>
              </w:rPr>
            </w:pPr>
            <w:r>
              <w:rPr>
                <w:rFonts w:ascii="Arial" w:cs="Arial" w:eastAsia="Arial" w:hAnsi="Arial"/>
                <w:sz w:val="18"/>
                <w:szCs w:val="18"/>
                <w:color w:val="auto"/>
              </w:rPr>
              <w:t>Unrealized gains (losses) on investments, net of tax</w:t>
            </w:r>
            <w:r>
              <w:rPr>
                <w:rFonts w:ascii="Arial" w:cs="Arial" w:eastAsia="Arial" w:hAnsi="Arial"/>
                <w:sz w:val="15"/>
                <w:szCs w:val="15"/>
                <w:color w:val="auto"/>
              </w:rPr>
              <w:t>(1)</w:t>
            </w:r>
          </w:p>
        </w:tc>
        <w:tc>
          <w:tcPr>
            <w:tcW w:w="360" w:type="dxa"/>
            <w:vAlign w:val="bottom"/>
            <w:shd w:val="clear" w:color="auto" w:fill="CFF0FC"/>
          </w:tcPr>
          <w:p>
            <w:pPr>
              <w:spacing w:after="0"/>
              <w:rPr>
                <w:sz w:val="19"/>
                <w:szCs w:val="19"/>
                <w:color w:val="auto"/>
              </w:rPr>
            </w:pPr>
          </w:p>
        </w:tc>
        <w:tc>
          <w:tcPr>
            <w:tcW w:w="1380" w:type="dxa"/>
            <w:vAlign w:val="bottom"/>
            <w:gridSpan w:val="2"/>
            <w:shd w:val="clear" w:color="auto" w:fill="CFF0FC"/>
          </w:tcPr>
          <w:p>
            <w:pPr>
              <w:jc w:val="right"/>
              <w:ind w:right="180"/>
              <w:spacing w:after="0"/>
              <w:rPr>
                <w:sz w:val="20"/>
                <w:szCs w:val="20"/>
                <w:color w:val="auto"/>
              </w:rPr>
            </w:pPr>
            <w:r>
              <w:rPr>
                <w:rFonts w:ascii="Arial" w:cs="Arial" w:eastAsia="Arial" w:hAnsi="Arial"/>
                <w:sz w:val="18"/>
                <w:szCs w:val="18"/>
                <w:color w:val="auto"/>
              </w:rPr>
              <w:t>—</w:t>
            </w:r>
          </w:p>
        </w:tc>
        <w:tc>
          <w:tcPr>
            <w:tcW w:w="120" w:type="dxa"/>
            <w:vAlign w:val="bottom"/>
            <w:shd w:val="clear" w:color="auto" w:fill="CFF0FC"/>
          </w:tcPr>
          <w:p>
            <w:pPr>
              <w:spacing w:after="0"/>
              <w:rPr>
                <w:sz w:val="19"/>
                <w:szCs w:val="19"/>
                <w:color w:val="auto"/>
              </w:rPr>
            </w:pPr>
          </w:p>
        </w:tc>
        <w:tc>
          <w:tcPr>
            <w:tcW w:w="560" w:type="dxa"/>
            <w:vAlign w:val="bottom"/>
            <w:shd w:val="clear" w:color="auto" w:fill="CFF0FC"/>
          </w:tcPr>
          <w:p>
            <w:pPr>
              <w:spacing w:after="0"/>
              <w:rPr>
                <w:sz w:val="19"/>
                <w:szCs w:val="19"/>
                <w:color w:val="auto"/>
              </w:rPr>
            </w:pPr>
          </w:p>
        </w:tc>
        <w:tc>
          <w:tcPr>
            <w:tcW w:w="10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62</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7860" w:type="dxa"/>
            <w:vAlign w:val="bottom"/>
          </w:tcPr>
          <w:p>
            <w:pPr>
              <w:ind w:left="260"/>
              <w:spacing w:after="0"/>
              <w:rPr>
                <w:sz w:val="20"/>
                <w:szCs w:val="20"/>
                <w:color w:val="auto"/>
              </w:rPr>
            </w:pPr>
            <w:r>
              <w:rPr>
                <w:rFonts w:ascii="Arial" w:cs="Arial" w:eastAsia="Arial" w:hAnsi="Arial"/>
                <w:sz w:val="18"/>
                <w:szCs w:val="18"/>
                <w:color w:val="auto"/>
              </w:rPr>
              <w:t>Unrealized foreign currency translation adjustments, net of tax</w:t>
            </w:r>
            <w:r>
              <w:rPr>
                <w:rFonts w:ascii="Arial" w:cs="Arial" w:eastAsia="Arial" w:hAnsi="Arial"/>
                <w:sz w:val="15"/>
                <w:szCs w:val="15"/>
                <w:color w:val="auto"/>
              </w:rPr>
              <w:t>(1)</w:t>
            </w:r>
          </w:p>
        </w:tc>
        <w:tc>
          <w:tcPr>
            <w:tcW w:w="360" w:type="dxa"/>
            <w:vAlign w:val="bottom"/>
          </w:tcPr>
          <w:p>
            <w:pPr>
              <w:spacing w:after="0"/>
              <w:rPr>
                <w:sz w:val="19"/>
                <w:szCs w:val="19"/>
                <w:color w:val="auto"/>
              </w:rPr>
            </w:pPr>
          </w:p>
        </w:tc>
        <w:tc>
          <w:tcPr>
            <w:tcW w:w="1380" w:type="dxa"/>
            <w:vAlign w:val="bottom"/>
            <w:gridSpan w:val="2"/>
          </w:tcPr>
          <w:p>
            <w:pPr>
              <w:jc w:val="right"/>
              <w:ind w:right="100"/>
              <w:spacing w:after="0"/>
              <w:rPr>
                <w:sz w:val="20"/>
                <w:szCs w:val="20"/>
                <w:color w:val="auto"/>
              </w:rPr>
            </w:pPr>
            <w:r>
              <w:rPr>
                <w:rFonts w:ascii="Arial" w:cs="Arial" w:eastAsia="Arial" w:hAnsi="Arial"/>
                <w:sz w:val="18"/>
                <w:szCs w:val="18"/>
                <w:color w:val="auto"/>
              </w:rPr>
              <w:t>(3,109)</w:t>
            </w:r>
          </w:p>
        </w:tc>
        <w:tc>
          <w:tcPr>
            <w:tcW w:w="12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2,345</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7860" w:type="dxa"/>
            <w:vAlign w:val="bottom"/>
            <w:shd w:val="clear" w:color="auto" w:fill="CFF0FC"/>
          </w:tcPr>
          <w:p>
            <w:pPr>
              <w:ind w:left="260"/>
              <w:spacing w:after="0"/>
              <w:rPr>
                <w:sz w:val="20"/>
                <w:szCs w:val="20"/>
                <w:color w:val="auto"/>
              </w:rPr>
            </w:pPr>
            <w:r>
              <w:rPr>
                <w:rFonts w:ascii="Arial" w:cs="Arial" w:eastAsia="Arial" w:hAnsi="Arial"/>
                <w:sz w:val="18"/>
                <w:szCs w:val="18"/>
                <w:color w:val="auto"/>
              </w:rPr>
              <w:t>Change in net actuarial gain, net of tax</w:t>
            </w:r>
            <w:r>
              <w:rPr>
                <w:rFonts w:ascii="Arial" w:cs="Arial" w:eastAsia="Arial" w:hAnsi="Arial"/>
                <w:sz w:val="15"/>
                <w:szCs w:val="15"/>
                <w:color w:val="auto"/>
              </w:rPr>
              <w:t>(1)</w:t>
            </w:r>
          </w:p>
        </w:tc>
        <w:tc>
          <w:tcPr>
            <w:tcW w:w="360" w:type="dxa"/>
            <w:vAlign w:val="bottom"/>
            <w:shd w:val="clear" w:color="auto" w:fill="CFF0FC"/>
          </w:tcPr>
          <w:p>
            <w:pPr>
              <w:spacing w:after="0"/>
              <w:rPr>
                <w:sz w:val="19"/>
                <w:szCs w:val="19"/>
                <w:color w:val="auto"/>
              </w:rPr>
            </w:pPr>
          </w:p>
        </w:tc>
        <w:tc>
          <w:tcPr>
            <w:tcW w:w="12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629</w:t>
            </w:r>
          </w:p>
        </w:tc>
        <w:tc>
          <w:tcPr>
            <w:tcW w:w="16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560" w:type="dxa"/>
            <w:vAlign w:val="bottom"/>
            <w:shd w:val="clear" w:color="auto" w:fill="CFF0FC"/>
          </w:tcPr>
          <w:p>
            <w:pPr>
              <w:spacing w:after="0"/>
              <w:rPr>
                <w:sz w:val="19"/>
                <w:szCs w:val="19"/>
                <w:color w:val="auto"/>
              </w:rPr>
            </w:pPr>
          </w:p>
        </w:tc>
        <w:tc>
          <w:tcPr>
            <w:tcW w:w="10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111</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7860" w:type="dxa"/>
            <w:vAlign w:val="bottom"/>
          </w:tcPr>
          <w:p>
            <w:pPr>
              <w:ind w:left="260"/>
              <w:spacing w:after="0"/>
              <w:rPr>
                <w:sz w:val="20"/>
                <w:szCs w:val="20"/>
                <w:color w:val="auto"/>
              </w:rPr>
            </w:pPr>
            <w:r>
              <w:rPr>
                <w:rFonts w:ascii="Arial" w:cs="Arial" w:eastAsia="Arial" w:hAnsi="Arial"/>
                <w:sz w:val="18"/>
                <w:szCs w:val="18"/>
                <w:color w:val="auto"/>
              </w:rPr>
              <w:t>Change in prior service cost, net of tax</w:t>
            </w:r>
            <w:r>
              <w:rPr>
                <w:rFonts w:ascii="Arial" w:cs="Arial" w:eastAsia="Arial" w:hAnsi="Arial"/>
                <w:sz w:val="15"/>
                <w:szCs w:val="15"/>
                <w:color w:val="auto"/>
              </w:rPr>
              <w:t>(1)</w:t>
            </w:r>
          </w:p>
        </w:tc>
        <w:tc>
          <w:tcPr>
            <w:tcW w:w="360" w:type="dxa"/>
            <w:vAlign w:val="bottom"/>
          </w:tcPr>
          <w:p>
            <w:pPr>
              <w:spacing w:after="0"/>
              <w:rPr>
                <w:sz w:val="19"/>
                <w:szCs w:val="19"/>
                <w:color w:val="auto"/>
              </w:rPr>
            </w:pPr>
          </w:p>
        </w:tc>
        <w:tc>
          <w:tcPr>
            <w:tcW w:w="1380" w:type="dxa"/>
            <w:vAlign w:val="bottom"/>
            <w:gridSpan w:val="2"/>
          </w:tcPr>
          <w:p>
            <w:pPr>
              <w:jc w:val="right"/>
              <w:ind w:right="100"/>
              <w:spacing w:after="0"/>
              <w:rPr>
                <w:sz w:val="20"/>
                <w:szCs w:val="20"/>
                <w:color w:val="auto"/>
              </w:rPr>
            </w:pPr>
            <w:r>
              <w:rPr>
                <w:rFonts w:ascii="Arial" w:cs="Arial" w:eastAsia="Arial" w:hAnsi="Arial"/>
                <w:sz w:val="18"/>
                <w:szCs w:val="18"/>
                <w:color w:val="auto"/>
              </w:rPr>
              <w:t>(184)</w:t>
            </w:r>
          </w:p>
        </w:tc>
        <w:tc>
          <w:tcPr>
            <w:tcW w:w="12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1140" w:type="dxa"/>
            <w:vAlign w:val="bottom"/>
            <w:gridSpan w:val="2"/>
          </w:tcPr>
          <w:p>
            <w:pPr>
              <w:jc w:val="right"/>
              <w:ind w:right="60"/>
              <w:spacing w:after="0"/>
              <w:rPr>
                <w:sz w:val="20"/>
                <w:szCs w:val="20"/>
                <w:color w:val="auto"/>
              </w:rPr>
            </w:pPr>
            <w:r>
              <w:rPr>
                <w:rFonts w:ascii="Arial" w:cs="Arial" w:eastAsia="Arial" w:hAnsi="Arial"/>
                <w:sz w:val="18"/>
                <w:szCs w:val="18"/>
                <w:color w:val="auto"/>
              </w:rPr>
              <w:t>(78)</w:t>
            </w:r>
          </w:p>
        </w:tc>
        <w:tc>
          <w:tcPr>
            <w:tcW w:w="0" w:type="dxa"/>
            <w:vAlign w:val="bottom"/>
          </w:tcPr>
          <w:p>
            <w:pPr>
              <w:spacing w:after="0"/>
              <w:rPr>
                <w:sz w:val="1"/>
                <w:szCs w:val="1"/>
                <w:color w:val="auto"/>
              </w:rPr>
            </w:pPr>
          </w:p>
        </w:tc>
      </w:tr>
      <w:tr>
        <w:trPr>
          <w:trHeight w:val="229"/>
        </w:trPr>
        <w:tc>
          <w:tcPr>
            <w:tcW w:w="7860" w:type="dxa"/>
            <w:vAlign w:val="bottom"/>
            <w:shd w:val="clear" w:color="auto" w:fill="CFF0FC"/>
          </w:tcPr>
          <w:p>
            <w:pPr>
              <w:ind w:left="260"/>
              <w:spacing w:after="0"/>
              <w:rPr>
                <w:sz w:val="20"/>
                <w:szCs w:val="20"/>
                <w:color w:val="auto"/>
              </w:rPr>
            </w:pPr>
            <w:r>
              <w:rPr>
                <w:rFonts w:ascii="Arial" w:cs="Arial" w:eastAsia="Arial" w:hAnsi="Arial"/>
                <w:sz w:val="18"/>
                <w:szCs w:val="18"/>
                <w:color w:val="auto"/>
              </w:rPr>
              <w:t>Adoption of ASU 2016-01</w:t>
            </w:r>
          </w:p>
        </w:tc>
        <w:tc>
          <w:tcPr>
            <w:tcW w:w="360" w:type="dxa"/>
            <w:vAlign w:val="bottom"/>
            <w:shd w:val="clear" w:color="auto" w:fill="CFF0FC"/>
          </w:tcPr>
          <w:p>
            <w:pPr>
              <w:spacing w:after="0"/>
              <w:rPr>
                <w:sz w:val="19"/>
                <w:szCs w:val="19"/>
                <w:color w:val="auto"/>
              </w:rPr>
            </w:pPr>
          </w:p>
        </w:tc>
        <w:tc>
          <w:tcPr>
            <w:tcW w:w="1380" w:type="dxa"/>
            <w:vAlign w:val="bottom"/>
            <w:gridSpan w:val="2"/>
            <w:shd w:val="clear" w:color="auto" w:fill="CFF0FC"/>
          </w:tcPr>
          <w:p>
            <w:pPr>
              <w:jc w:val="right"/>
              <w:ind w:right="100"/>
              <w:spacing w:after="0"/>
              <w:rPr>
                <w:sz w:val="20"/>
                <w:szCs w:val="20"/>
                <w:color w:val="auto"/>
              </w:rPr>
            </w:pPr>
            <w:r>
              <w:rPr>
                <w:rFonts w:ascii="Arial" w:cs="Arial" w:eastAsia="Arial" w:hAnsi="Arial"/>
                <w:sz w:val="18"/>
                <w:szCs w:val="18"/>
                <w:color w:val="auto"/>
              </w:rPr>
              <w:t>(616)</w:t>
            </w:r>
          </w:p>
        </w:tc>
        <w:tc>
          <w:tcPr>
            <w:tcW w:w="120" w:type="dxa"/>
            <w:vAlign w:val="bottom"/>
            <w:shd w:val="clear" w:color="auto" w:fill="CFF0FC"/>
          </w:tcPr>
          <w:p>
            <w:pPr>
              <w:spacing w:after="0"/>
              <w:rPr>
                <w:sz w:val="19"/>
                <w:szCs w:val="19"/>
                <w:color w:val="auto"/>
              </w:rPr>
            </w:pPr>
          </w:p>
        </w:tc>
        <w:tc>
          <w:tcPr>
            <w:tcW w:w="560" w:type="dxa"/>
            <w:vAlign w:val="bottom"/>
            <w:shd w:val="clear" w:color="auto" w:fill="CFF0FC"/>
          </w:tcPr>
          <w:p>
            <w:pPr>
              <w:spacing w:after="0"/>
              <w:rPr>
                <w:sz w:val="19"/>
                <w:szCs w:val="19"/>
                <w:color w:val="auto"/>
              </w:rPr>
            </w:pPr>
          </w:p>
        </w:tc>
        <w:tc>
          <w:tcPr>
            <w:tcW w:w="1140" w:type="dxa"/>
            <w:vAlign w:val="bottom"/>
            <w:gridSpan w:val="2"/>
            <w:shd w:val="clear" w:color="auto" w:fill="CFF0FC"/>
          </w:tcPr>
          <w:p>
            <w:pPr>
              <w:jc w:val="right"/>
              <w:ind w:right="14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2"/>
        </w:trPr>
        <w:tc>
          <w:tcPr>
            <w:tcW w:w="7860" w:type="dxa"/>
            <w:vAlign w:val="bottom"/>
          </w:tcPr>
          <w:p>
            <w:pPr>
              <w:spacing w:after="0"/>
              <w:rPr>
                <w:sz w:val="20"/>
                <w:szCs w:val="20"/>
                <w:color w:val="auto"/>
              </w:rPr>
            </w:pPr>
            <w:r>
              <w:rPr>
                <w:rFonts w:ascii="Arial" w:cs="Arial" w:eastAsia="Arial" w:hAnsi="Arial"/>
                <w:sz w:val="18"/>
                <w:szCs w:val="18"/>
                <w:b w:val="1"/>
                <w:bCs w:val="1"/>
                <w:color w:val="auto"/>
              </w:rPr>
              <w:t>Comprehensive income (loss)</w:t>
            </w:r>
          </w:p>
        </w:tc>
        <w:tc>
          <w:tcPr>
            <w:tcW w:w="360" w:type="dxa"/>
            <w:vAlign w:val="bottom"/>
            <w:tcBorders>
              <w:top w:val="single" w:sz="8" w:color="auto"/>
            </w:tcBorders>
          </w:tcPr>
          <w:p>
            <w:pPr>
              <w:spacing w:after="0"/>
              <w:rPr>
                <w:sz w:val="19"/>
                <w:szCs w:val="19"/>
                <w:color w:val="auto"/>
              </w:rPr>
            </w:pPr>
          </w:p>
        </w:tc>
        <w:tc>
          <w:tcPr>
            <w:tcW w:w="12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(13,115)</w:t>
            </w:r>
          </w:p>
        </w:tc>
        <w:tc>
          <w:tcPr>
            <w:tcW w:w="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560" w:type="dxa"/>
            <w:vAlign w:val="bottom"/>
            <w:tcBorders>
              <w:top w:val="single" w:sz="8" w:color="auto"/>
            </w:tcBorders>
          </w:tcPr>
          <w:p>
            <w:pPr>
              <w:spacing w:after="0"/>
              <w:rPr>
                <w:sz w:val="19"/>
                <w:szCs w:val="19"/>
                <w:color w:val="auto"/>
              </w:rPr>
            </w:pPr>
          </w:p>
        </w:tc>
        <w:tc>
          <w:tcPr>
            <w:tcW w:w="10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8,953</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7860" w:type="dxa"/>
            <w:vAlign w:val="bottom"/>
            <w:shd w:val="clear" w:color="auto" w:fill="CFF0FC"/>
          </w:tcPr>
          <w:p>
            <w:pPr>
              <w:spacing w:after="0"/>
              <w:rPr>
                <w:sz w:val="20"/>
                <w:szCs w:val="20"/>
                <w:color w:val="auto"/>
              </w:rPr>
            </w:pPr>
            <w:r>
              <w:rPr>
                <w:rFonts w:ascii="Arial" w:cs="Arial" w:eastAsia="Arial" w:hAnsi="Arial"/>
                <w:sz w:val="18"/>
                <w:szCs w:val="18"/>
                <w:b w:val="1"/>
                <w:bCs w:val="1"/>
                <w:color w:val="auto"/>
              </w:rPr>
              <w:t>Comprehensive loss attributable to non-redeemable noncontrolling interest</w:t>
            </w:r>
          </w:p>
        </w:tc>
        <w:tc>
          <w:tcPr>
            <w:tcW w:w="360" w:type="dxa"/>
            <w:vAlign w:val="bottom"/>
            <w:shd w:val="clear" w:color="auto" w:fill="CFF0FC"/>
          </w:tcPr>
          <w:p>
            <w:pPr>
              <w:spacing w:after="0"/>
              <w:rPr>
                <w:sz w:val="19"/>
                <w:szCs w:val="19"/>
                <w:color w:val="auto"/>
              </w:rPr>
            </w:pPr>
          </w:p>
        </w:tc>
        <w:tc>
          <w:tcPr>
            <w:tcW w:w="12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364</w:t>
            </w:r>
          </w:p>
        </w:tc>
        <w:tc>
          <w:tcPr>
            <w:tcW w:w="16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560" w:type="dxa"/>
            <w:vAlign w:val="bottom"/>
            <w:shd w:val="clear" w:color="auto" w:fill="CFF0FC"/>
          </w:tcPr>
          <w:p>
            <w:pPr>
              <w:spacing w:after="0"/>
              <w:rPr>
                <w:sz w:val="19"/>
                <w:szCs w:val="19"/>
                <w:color w:val="auto"/>
              </w:rPr>
            </w:pPr>
          </w:p>
        </w:tc>
        <w:tc>
          <w:tcPr>
            <w:tcW w:w="10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264</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7860" w:type="dxa"/>
            <w:vAlign w:val="bottom"/>
          </w:tcPr>
          <w:p>
            <w:pPr>
              <w:spacing w:after="0"/>
              <w:rPr>
                <w:sz w:val="20"/>
                <w:szCs w:val="20"/>
                <w:color w:val="auto"/>
              </w:rPr>
            </w:pPr>
            <w:r>
              <w:rPr>
                <w:rFonts w:ascii="Arial" w:cs="Arial" w:eastAsia="Arial" w:hAnsi="Arial"/>
                <w:sz w:val="18"/>
                <w:szCs w:val="18"/>
                <w:b w:val="1"/>
                <w:bCs w:val="1"/>
                <w:color w:val="auto"/>
              </w:rPr>
              <w:t>Comprehensive loss attributable to redeemable noncontrolling interest</w:t>
            </w:r>
          </w:p>
        </w:tc>
        <w:tc>
          <w:tcPr>
            <w:tcW w:w="360" w:type="dxa"/>
            <w:vAlign w:val="bottom"/>
          </w:tcPr>
          <w:p>
            <w:pPr>
              <w:spacing w:after="0"/>
              <w:rPr>
                <w:sz w:val="19"/>
                <w:szCs w:val="19"/>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84</w:t>
            </w:r>
          </w:p>
        </w:tc>
        <w:tc>
          <w:tcPr>
            <w:tcW w:w="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114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2"/>
        </w:trPr>
        <w:tc>
          <w:tcPr>
            <w:tcW w:w="7860" w:type="dxa"/>
            <w:vAlign w:val="bottom"/>
            <w:tcBorders>
              <w:top w:val="single" w:sz="8" w:color="CFF0FC"/>
              <w:bottom w:val="single" w:sz="8" w:color="CFF0FC"/>
            </w:tcBorders>
            <w:shd w:val="clear" w:color="auto" w:fill="CFF0FC"/>
          </w:tcPr>
          <w:p>
            <w:pPr>
              <w:spacing w:after="0"/>
              <w:rPr>
                <w:sz w:val="20"/>
                <w:szCs w:val="20"/>
                <w:color w:val="auto"/>
              </w:rPr>
            </w:pPr>
            <w:r>
              <w:rPr>
                <w:rFonts w:ascii="Arial" w:cs="Arial" w:eastAsia="Arial" w:hAnsi="Arial"/>
                <w:sz w:val="18"/>
                <w:szCs w:val="18"/>
                <w:b w:val="1"/>
                <w:bCs w:val="1"/>
                <w:color w:val="auto"/>
              </w:rPr>
              <w:t>Comprehensive income (loss) attributable to Viad</w:t>
            </w:r>
          </w:p>
        </w:tc>
        <w:tc>
          <w:tcPr>
            <w:tcW w:w="360" w:type="dxa"/>
            <w:vAlign w:val="bottom"/>
            <w:tcBorders>
              <w:top w:val="single" w:sz="8" w:color="auto"/>
              <w:bottom w:val="single" w:sz="8" w:color="auto"/>
            </w:tcBorders>
            <w:shd w:val="clear" w:color="auto" w:fill="CFF0FC"/>
          </w:tcPr>
          <w:p>
            <w:pPr>
              <w:jc w:val="right"/>
              <w:ind w:right="207"/>
              <w:spacing w:after="0"/>
              <w:rPr>
                <w:sz w:val="20"/>
                <w:szCs w:val="20"/>
                <w:color w:val="auto"/>
              </w:rPr>
            </w:pPr>
            <w:r>
              <w:rPr>
                <w:rFonts w:ascii="Arial" w:cs="Arial" w:eastAsia="Arial" w:hAnsi="Arial"/>
                <w:sz w:val="15"/>
                <w:szCs w:val="15"/>
                <w:color w:val="auto"/>
                <w:w w:val="71"/>
              </w:rPr>
              <w:t>$</w:t>
            </w:r>
          </w:p>
        </w:tc>
        <w:tc>
          <w:tcPr>
            <w:tcW w:w="122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(12,667)</w:t>
            </w:r>
          </w:p>
        </w:tc>
        <w:tc>
          <w:tcPr>
            <w:tcW w:w="160" w:type="dxa"/>
            <w:vAlign w:val="bottom"/>
            <w:tcBorders>
              <w:top w:val="single" w:sz="8" w:color="CFF0FC"/>
              <w:bottom w:val="single" w:sz="8" w:color="CFF0FC"/>
            </w:tcBorders>
            <w:shd w:val="clear" w:color="auto" w:fill="CFF0FC"/>
          </w:tcPr>
          <w:p>
            <w:pPr>
              <w:spacing w:after="0"/>
              <w:rPr>
                <w:sz w:val="19"/>
                <w:szCs w:val="19"/>
                <w:color w:val="auto"/>
              </w:rPr>
            </w:pPr>
          </w:p>
        </w:tc>
        <w:tc>
          <w:tcPr>
            <w:tcW w:w="120" w:type="dxa"/>
            <w:vAlign w:val="bottom"/>
            <w:tcBorders>
              <w:top w:val="single" w:sz="8" w:color="CFF0FC"/>
              <w:bottom w:val="single" w:sz="8" w:color="CFF0FC"/>
            </w:tcBorders>
            <w:shd w:val="clear" w:color="auto" w:fill="CFF0FC"/>
          </w:tcPr>
          <w:p>
            <w:pPr>
              <w:spacing w:after="0"/>
              <w:rPr>
                <w:sz w:val="19"/>
                <w:szCs w:val="19"/>
                <w:color w:val="auto"/>
              </w:rPr>
            </w:pPr>
          </w:p>
        </w:tc>
        <w:tc>
          <w:tcPr>
            <w:tcW w:w="560" w:type="dxa"/>
            <w:vAlign w:val="bottom"/>
            <w:tcBorders>
              <w:top w:val="single" w:sz="8" w:color="auto"/>
              <w:bottom w:val="single" w:sz="8" w:color="auto"/>
            </w:tcBorders>
            <w:shd w:val="clear" w:color="auto" w:fill="CFF0FC"/>
          </w:tcPr>
          <w:p>
            <w:pPr>
              <w:jc w:val="right"/>
              <w:ind w:right="407"/>
              <w:spacing w:after="0"/>
              <w:rPr>
                <w:sz w:val="20"/>
                <w:szCs w:val="20"/>
                <w:color w:val="auto"/>
              </w:rPr>
            </w:pPr>
            <w:r>
              <w:rPr>
                <w:rFonts w:ascii="Arial" w:cs="Arial" w:eastAsia="Arial" w:hAnsi="Arial"/>
                <w:sz w:val="15"/>
                <w:szCs w:val="15"/>
                <w:color w:val="auto"/>
                <w:w w:val="71"/>
              </w:rPr>
              <w:t>$</w:t>
            </w:r>
          </w:p>
        </w:tc>
        <w:tc>
          <w:tcPr>
            <w:tcW w:w="102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9,217</w:t>
            </w:r>
          </w:p>
        </w:tc>
        <w:tc>
          <w:tcPr>
            <w:tcW w:w="120" w:type="dxa"/>
            <w:vAlign w:val="bottom"/>
            <w:tcBorders>
              <w:top w:val="single" w:sz="8" w:color="CFF0FC"/>
              <w:bottom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786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1" w:lineRule="exact"/>
        <w:rPr>
          <w:sz w:val="20"/>
          <w:szCs w:val="20"/>
          <w:color w:val="auto"/>
        </w:rPr>
      </w:pPr>
    </w:p>
    <w:p>
      <w:pPr>
        <w:spacing w:after="0"/>
        <w:tabs>
          <w:tab w:leader="none" w:pos="360" w:val="left"/>
        </w:tabs>
        <w:rPr>
          <w:sz w:val="20"/>
          <w:szCs w:val="20"/>
          <w:color w:val="auto"/>
        </w:rPr>
      </w:pPr>
      <w:r>
        <w:rPr>
          <w:rFonts w:ascii="Arial" w:cs="Arial" w:eastAsia="Arial" w:hAnsi="Arial"/>
          <w:sz w:val="15"/>
          <w:szCs w:val="15"/>
          <w:color w:val="auto"/>
        </w:rPr>
        <w:t>(1)</w:t>
      </w:r>
      <w:r>
        <w:rPr>
          <w:sz w:val="20"/>
          <w:szCs w:val="20"/>
          <w:color w:val="auto"/>
        </w:rPr>
        <w:tab/>
      </w:r>
      <w:r>
        <w:rPr>
          <w:rFonts w:ascii="Arial" w:cs="Arial" w:eastAsia="Arial" w:hAnsi="Arial"/>
          <w:sz w:val="18"/>
          <w:szCs w:val="18"/>
          <w:color w:val="auto"/>
        </w:rPr>
        <w:t>The tax effect on other comprehensive income (loss) is not significant.</w:t>
      </w:r>
    </w:p>
    <w:p>
      <w:pPr>
        <w:spacing w:after="0" w:line="2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Refer to Notes to Condensed Consolidated Financial Statements.</w:t>
      </w:r>
    </w:p>
    <w:p>
      <w:pPr>
        <w:spacing w:after="0" w:line="2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69850</wp:posOffset>
            </wp:positionV>
            <wp:extent cx="7289800" cy="425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1420"/>
          </w:cols>
          <w:pgMar w:left="240" w:top="336" w:right="239" w:bottom="1440" w:gutter="0" w:footer="0" w:header="0"/>
        </w:sectPr>
      </w:pPr>
    </w:p>
    <w:bookmarkStart w:id="5" w:name="page6"/>
    <w:bookmarkEnd w:id="5"/>
    <w:p>
      <w:pPr>
        <w:jc w:val="center"/>
        <w:spacing w:after="0"/>
        <w:rPr>
          <w:sz w:val="20"/>
          <w:szCs w:val="20"/>
          <w:color w:val="auto"/>
        </w:rPr>
      </w:pPr>
      <w:r>
        <w:rPr>
          <w:rFonts w:ascii="Arial" w:cs="Arial" w:eastAsia="Arial" w:hAnsi="Arial"/>
          <w:sz w:val="18"/>
          <w:szCs w:val="18"/>
          <w:b w:val="1"/>
          <w:bCs w:val="1"/>
          <w:color w:val="auto"/>
        </w:rPr>
        <w:t>VIAD CORP</w:t>
      </w:r>
    </w:p>
    <w:p>
      <w:pPr>
        <w:spacing w:after="0" w:line="7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CONSOLIDATED STATEMENTS OF CASH FLOWS</w:t>
      </w:r>
    </w:p>
    <w:p>
      <w:pPr>
        <w:spacing w:after="0" w:line="8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99"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786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2060" w:type="dxa"/>
            <w:vAlign w:val="bottom"/>
            <w:gridSpan w:val="4"/>
          </w:tcPr>
          <w:p>
            <w:pPr>
              <w:jc w:val="right"/>
              <w:spacing w:after="0"/>
              <w:rPr>
                <w:sz w:val="20"/>
                <w:szCs w:val="20"/>
                <w:color w:val="auto"/>
              </w:rPr>
            </w:pPr>
            <w:r>
              <w:rPr>
                <w:rFonts w:ascii="Arial" w:cs="Arial" w:eastAsia="Arial" w:hAnsi="Arial"/>
                <w:sz w:val="14"/>
                <w:szCs w:val="14"/>
                <w:b w:val="1"/>
                <w:bCs w:val="1"/>
                <w:color w:val="auto"/>
              </w:rPr>
              <w:t>Three Months Ended</w:t>
            </w:r>
          </w:p>
        </w:tc>
        <w:tc>
          <w:tcPr>
            <w:tcW w:w="10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1"/>
        </w:trPr>
        <w:tc>
          <w:tcPr>
            <w:tcW w:w="7860" w:type="dxa"/>
            <w:vAlign w:val="bottom"/>
            <w:vMerge w:val="restart"/>
          </w:tcPr>
          <w:p>
            <w:pPr>
              <w:spacing w:after="0"/>
              <w:rPr>
                <w:sz w:val="20"/>
                <w:szCs w:val="20"/>
                <w:color w:val="auto"/>
              </w:rPr>
            </w:pPr>
            <w:r>
              <w:rPr>
                <w:rFonts w:ascii="Arial" w:cs="Arial" w:eastAsia="Arial" w:hAnsi="Arial"/>
                <w:sz w:val="14"/>
                <w:szCs w:val="14"/>
                <w:i w:val="1"/>
                <w:iCs w:val="1"/>
                <w:color w:val="auto"/>
              </w:rPr>
              <w:t>(in thousands)</w:t>
            </w:r>
          </w:p>
        </w:tc>
        <w:tc>
          <w:tcPr>
            <w:tcW w:w="360" w:type="dxa"/>
            <w:vAlign w:val="bottom"/>
            <w:tcBorders>
              <w:bottom w:val="single" w:sz="8" w:color="auto"/>
            </w:tcBorders>
          </w:tcPr>
          <w:p>
            <w:pPr>
              <w:spacing w:after="0"/>
              <w:rPr>
                <w:sz w:val="14"/>
                <w:szCs w:val="14"/>
                <w:color w:val="auto"/>
              </w:rPr>
            </w:pPr>
          </w:p>
        </w:tc>
        <w:tc>
          <w:tcPr>
            <w:tcW w:w="2060" w:type="dxa"/>
            <w:vAlign w:val="bottom"/>
            <w:tcBorders>
              <w:bottom w:val="single" w:sz="8" w:color="auto"/>
            </w:tcBorders>
            <w:gridSpan w:val="4"/>
          </w:tcPr>
          <w:p>
            <w:pPr>
              <w:jc w:val="right"/>
              <w:ind w:right="327"/>
              <w:spacing w:after="0"/>
              <w:rPr>
                <w:sz w:val="20"/>
                <w:szCs w:val="20"/>
                <w:color w:val="auto"/>
              </w:rPr>
            </w:pPr>
            <w:r>
              <w:rPr>
                <w:rFonts w:ascii="Arial" w:cs="Arial" w:eastAsia="Arial" w:hAnsi="Arial"/>
                <w:sz w:val="14"/>
                <w:szCs w:val="14"/>
                <w:b w:val="1"/>
                <w:bCs w:val="1"/>
                <w:color w:val="auto"/>
              </w:rPr>
              <w:t>March 31,</w:t>
            </w:r>
          </w:p>
        </w:tc>
        <w:tc>
          <w:tcPr>
            <w:tcW w:w="1020" w:type="dxa"/>
            <w:vAlign w:val="bottom"/>
            <w:tcBorders>
              <w:bottom w:val="single" w:sz="8" w:color="auto"/>
            </w:tcBorders>
          </w:tcPr>
          <w:p>
            <w:pPr>
              <w:spacing w:after="0"/>
              <w:rPr>
                <w:sz w:val="14"/>
                <w:szCs w:val="14"/>
                <w:color w:val="auto"/>
              </w:rPr>
            </w:pP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5"/>
        </w:trPr>
        <w:tc>
          <w:tcPr>
            <w:tcW w:w="7860" w:type="dxa"/>
            <w:vAlign w:val="bottom"/>
            <w:tcBorders>
              <w:bottom w:val="single" w:sz="8" w:color="CFF0FC"/>
            </w:tcBorders>
            <w:vMerge w:val="continue"/>
          </w:tcPr>
          <w:p>
            <w:pPr>
              <w:spacing w:after="0"/>
              <w:rPr>
                <w:sz w:val="13"/>
                <w:szCs w:val="13"/>
                <w:color w:val="auto"/>
              </w:rPr>
            </w:pPr>
          </w:p>
        </w:tc>
        <w:tc>
          <w:tcPr>
            <w:tcW w:w="360" w:type="dxa"/>
            <w:vAlign w:val="bottom"/>
            <w:tcBorders>
              <w:bottom w:val="single" w:sz="8" w:color="auto"/>
            </w:tcBorders>
          </w:tcPr>
          <w:p>
            <w:pPr>
              <w:spacing w:after="0"/>
              <w:rPr>
                <w:sz w:val="13"/>
                <w:szCs w:val="13"/>
                <w:color w:val="auto"/>
              </w:rPr>
            </w:pPr>
          </w:p>
        </w:tc>
        <w:tc>
          <w:tcPr>
            <w:tcW w:w="1220" w:type="dxa"/>
            <w:vAlign w:val="bottom"/>
            <w:tcBorders>
              <w:bottom w:val="single" w:sz="8" w:color="auto"/>
            </w:tcBorders>
          </w:tcPr>
          <w:p>
            <w:pPr>
              <w:jc w:val="right"/>
              <w:ind w:right="572"/>
              <w:spacing w:after="0" w:line="155" w:lineRule="exact"/>
              <w:rPr>
                <w:sz w:val="20"/>
                <w:szCs w:val="20"/>
                <w:color w:val="auto"/>
              </w:rPr>
            </w:pPr>
            <w:r>
              <w:rPr>
                <w:rFonts w:ascii="Arial" w:cs="Arial" w:eastAsia="Arial" w:hAnsi="Arial"/>
                <w:sz w:val="14"/>
                <w:szCs w:val="14"/>
                <w:b w:val="1"/>
                <w:bCs w:val="1"/>
                <w:color w:val="auto"/>
              </w:rPr>
              <w:t>2018</w:t>
            </w:r>
          </w:p>
        </w:tc>
        <w:tc>
          <w:tcPr>
            <w:tcW w:w="160" w:type="dxa"/>
            <w:vAlign w:val="bottom"/>
            <w:tcBorders>
              <w:bottom w:val="single" w:sz="8" w:color="CFF0FC"/>
            </w:tcBorders>
          </w:tcPr>
          <w:p>
            <w:pPr>
              <w:spacing w:after="0"/>
              <w:rPr>
                <w:sz w:val="13"/>
                <w:szCs w:val="13"/>
                <w:color w:val="auto"/>
              </w:rPr>
            </w:pPr>
          </w:p>
        </w:tc>
        <w:tc>
          <w:tcPr>
            <w:tcW w:w="120" w:type="dxa"/>
            <w:vAlign w:val="bottom"/>
            <w:tcBorders>
              <w:bottom w:val="single" w:sz="8" w:color="CFF0FC"/>
            </w:tcBorders>
          </w:tcPr>
          <w:p>
            <w:pPr>
              <w:spacing w:after="0"/>
              <w:rPr>
                <w:sz w:val="13"/>
                <w:szCs w:val="13"/>
                <w:color w:val="auto"/>
              </w:rPr>
            </w:pPr>
          </w:p>
        </w:tc>
        <w:tc>
          <w:tcPr>
            <w:tcW w:w="560" w:type="dxa"/>
            <w:vAlign w:val="bottom"/>
            <w:tcBorders>
              <w:bottom w:val="single" w:sz="8" w:color="auto"/>
            </w:tcBorders>
          </w:tcPr>
          <w:p>
            <w:pPr>
              <w:spacing w:after="0"/>
              <w:rPr>
                <w:sz w:val="13"/>
                <w:szCs w:val="13"/>
                <w:color w:val="auto"/>
              </w:rPr>
            </w:pPr>
          </w:p>
        </w:tc>
        <w:tc>
          <w:tcPr>
            <w:tcW w:w="1020" w:type="dxa"/>
            <w:vAlign w:val="bottom"/>
            <w:tcBorders>
              <w:bottom w:val="single" w:sz="8" w:color="auto"/>
            </w:tcBorders>
          </w:tcPr>
          <w:p>
            <w:pPr>
              <w:jc w:val="right"/>
              <w:ind w:right="571"/>
              <w:spacing w:after="0" w:line="155" w:lineRule="exact"/>
              <w:rPr>
                <w:sz w:val="20"/>
                <w:szCs w:val="20"/>
                <w:color w:val="auto"/>
              </w:rPr>
            </w:pPr>
            <w:r>
              <w:rPr>
                <w:rFonts w:ascii="Arial" w:cs="Arial" w:eastAsia="Arial" w:hAnsi="Arial"/>
                <w:sz w:val="14"/>
                <w:szCs w:val="14"/>
                <w:b w:val="1"/>
                <w:bCs w:val="1"/>
                <w:color w:val="auto"/>
              </w:rPr>
              <w:t>2017</w:t>
            </w:r>
          </w:p>
        </w:tc>
        <w:tc>
          <w:tcPr>
            <w:tcW w:w="120" w:type="dxa"/>
            <w:vAlign w:val="bottom"/>
            <w:tcBorders>
              <w:bottom w:val="single" w:sz="8" w:color="CFF0FC"/>
            </w:tcBorders>
          </w:tcPr>
          <w:p>
            <w:pPr>
              <w:spacing w:after="0"/>
              <w:rPr>
                <w:sz w:val="13"/>
                <w:szCs w:val="13"/>
                <w:color w:val="auto"/>
              </w:rPr>
            </w:pPr>
          </w:p>
        </w:tc>
        <w:tc>
          <w:tcPr>
            <w:tcW w:w="0" w:type="dxa"/>
            <w:vAlign w:val="bottom"/>
          </w:tcPr>
          <w:p>
            <w:pPr>
              <w:spacing w:after="0"/>
              <w:rPr>
                <w:sz w:val="1"/>
                <w:szCs w:val="1"/>
                <w:color w:val="auto"/>
              </w:rPr>
            </w:pPr>
          </w:p>
        </w:tc>
      </w:tr>
      <w:tr>
        <w:trPr>
          <w:trHeight w:val="222"/>
        </w:trPr>
        <w:tc>
          <w:tcPr>
            <w:tcW w:w="7860" w:type="dxa"/>
            <w:vAlign w:val="bottom"/>
            <w:shd w:val="clear" w:color="auto" w:fill="CFF0FC"/>
          </w:tcPr>
          <w:p>
            <w:pPr>
              <w:spacing w:after="0"/>
              <w:rPr>
                <w:sz w:val="20"/>
                <w:szCs w:val="20"/>
                <w:color w:val="auto"/>
              </w:rPr>
            </w:pPr>
            <w:r>
              <w:rPr>
                <w:rFonts w:ascii="Arial" w:cs="Arial" w:eastAsia="Arial" w:hAnsi="Arial"/>
                <w:sz w:val="18"/>
                <w:szCs w:val="18"/>
                <w:b w:val="1"/>
                <w:bCs w:val="1"/>
                <w:color w:val="auto"/>
              </w:rPr>
              <w:t>Cash flows from operating activities</w:t>
            </w:r>
          </w:p>
        </w:tc>
        <w:tc>
          <w:tcPr>
            <w:tcW w:w="360" w:type="dxa"/>
            <w:vAlign w:val="bottom"/>
            <w:shd w:val="clear" w:color="auto" w:fill="CFF0FC"/>
          </w:tcPr>
          <w:p>
            <w:pPr>
              <w:spacing w:after="0"/>
              <w:rPr>
                <w:sz w:val="19"/>
                <w:szCs w:val="19"/>
                <w:color w:val="auto"/>
              </w:rPr>
            </w:pPr>
          </w:p>
        </w:tc>
        <w:tc>
          <w:tcPr>
            <w:tcW w:w="122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560" w:type="dxa"/>
            <w:vAlign w:val="bottom"/>
            <w:shd w:val="clear" w:color="auto" w:fill="CFF0FC"/>
          </w:tcPr>
          <w:p>
            <w:pPr>
              <w:spacing w:after="0"/>
              <w:rPr>
                <w:sz w:val="19"/>
                <w:szCs w:val="19"/>
                <w:color w:val="auto"/>
              </w:rPr>
            </w:pPr>
          </w:p>
        </w:tc>
        <w:tc>
          <w:tcPr>
            <w:tcW w:w="10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7860" w:type="dxa"/>
            <w:vAlign w:val="bottom"/>
          </w:tcPr>
          <w:p>
            <w:pPr>
              <w:spacing w:after="0"/>
              <w:rPr>
                <w:sz w:val="20"/>
                <w:szCs w:val="20"/>
                <w:color w:val="auto"/>
              </w:rPr>
            </w:pPr>
            <w:r>
              <w:rPr>
                <w:rFonts w:ascii="Arial" w:cs="Arial" w:eastAsia="Arial" w:hAnsi="Arial"/>
                <w:sz w:val="18"/>
                <w:szCs w:val="18"/>
                <w:color w:val="auto"/>
              </w:rPr>
              <w:t>Net income (loss)</w:t>
            </w:r>
          </w:p>
        </w:tc>
        <w:tc>
          <w:tcPr>
            <w:tcW w:w="360" w:type="dxa"/>
            <w:vAlign w:val="bottom"/>
          </w:tcPr>
          <w:p>
            <w:pPr>
              <w:jc w:val="right"/>
              <w:ind w:right="207"/>
              <w:spacing w:after="0"/>
              <w:rPr>
                <w:sz w:val="20"/>
                <w:szCs w:val="20"/>
                <w:color w:val="auto"/>
              </w:rPr>
            </w:pPr>
            <w:r>
              <w:rPr>
                <w:rFonts w:ascii="Arial" w:cs="Arial" w:eastAsia="Arial" w:hAnsi="Arial"/>
                <w:sz w:val="15"/>
                <w:szCs w:val="15"/>
                <w:color w:val="auto"/>
                <w:w w:val="71"/>
              </w:rPr>
              <w:t>$</w:t>
            </w:r>
          </w:p>
        </w:tc>
        <w:tc>
          <w:tcPr>
            <w:tcW w:w="1380" w:type="dxa"/>
            <w:vAlign w:val="bottom"/>
            <w:gridSpan w:val="2"/>
          </w:tcPr>
          <w:p>
            <w:pPr>
              <w:jc w:val="right"/>
              <w:ind w:right="100"/>
              <w:spacing w:after="0"/>
              <w:rPr>
                <w:sz w:val="20"/>
                <w:szCs w:val="20"/>
                <w:color w:val="auto"/>
              </w:rPr>
            </w:pPr>
            <w:r>
              <w:rPr>
                <w:rFonts w:ascii="Arial" w:cs="Arial" w:eastAsia="Arial" w:hAnsi="Arial"/>
                <w:sz w:val="18"/>
                <w:szCs w:val="18"/>
                <w:color w:val="auto"/>
              </w:rPr>
              <w:t>(9,835)</w:t>
            </w:r>
          </w:p>
        </w:tc>
        <w:tc>
          <w:tcPr>
            <w:tcW w:w="680" w:type="dxa"/>
            <w:vAlign w:val="bottom"/>
            <w:gridSpan w:val="2"/>
          </w:tcPr>
          <w:p>
            <w:pPr>
              <w:jc w:val="right"/>
              <w:ind w:right="407"/>
              <w:spacing w:after="0"/>
              <w:rPr>
                <w:sz w:val="20"/>
                <w:szCs w:val="20"/>
                <w:color w:val="auto"/>
              </w:rPr>
            </w:pPr>
            <w:r>
              <w:rPr>
                <w:rFonts w:ascii="Arial" w:cs="Arial" w:eastAsia="Arial" w:hAnsi="Arial"/>
                <w:sz w:val="18"/>
                <w:szCs w:val="18"/>
                <w:color w:val="auto"/>
              </w:rPr>
              <w:t>$</w:t>
            </w:r>
          </w:p>
        </w:tc>
        <w:tc>
          <w:tcPr>
            <w:tcW w:w="1020" w:type="dxa"/>
            <w:vAlign w:val="bottom"/>
          </w:tcPr>
          <w:p>
            <w:pPr>
              <w:jc w:val="right"/>
              <w:spacing w:after="0"/>
              <w:rPr>
                <w:sz w:val="20"/>
                <w:szCs w:val="20"/>
                <w:color w:val="auto"/>
              </w:rPr>
            </w:pPr>
            <w:r>
              <w:rPr>
                <w:rFonts w:ascii="Arial" w:cs="Arial" w:eastAsia="Arial" w:hAnsi="Arial"/>
                <w:sz w:val="18"/>
                <w:szCs w:val="18"/>
                <w:color w:val="auto"/>
              </w:rPr>
              <w:t>6,513</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7860" w:type="dxa"/>
            <w:vAlign w:val="bottom"/>
            <w:shd w:val="clear" w:color="auto" w:fill="CFF0FC"/>
          </w:tcPr>
          <w:p>
            <w:pPr>
              <w:spacing w:after="0"/>
              <w:rPr>
                <w:sz w:val="20"/>
                <w:szCs w:val="20"/>
                <w:color w:val="auto"/>
              </w:rPr>
            </w:pPr>
            <w:r>
              <w:rPr>
                <w:rFonts w:ascii="Arial" w:cs="Arial" w:eastAsia="Arial" w:hAnsi="Arial"/>
                <w:sz w:val="18"/>
                <w:szCs w:val="18"/>
                <w:color w:val="auto"/>
              </w:rPr>
              <w:t>Adjustments to reconcile net income (loss) to net cash provided by (used in) operating activities:</w:t>
            </w:r>
          </w:p>
        </w:tc>
        <w:tc>
          <w:tcPr>
            <w:tcW w:w="360" w:type="dxa"/>
            <w:vAlign w:val="bottom"/>
            <w:shd w:val="clear" w:color="auto" w:fill="CFF0FC"/>
          </w:tcPr>
          <w:p>
            <w:pPr>
              <w:spacing w:after="0"/>
              <w:rPr>
                <w:sz w:val="19"/>
                <w:szCs w:val="19"/>
                <w:color w:val="auto"/>
              </w:rPr>
            </w:pPr>
          </w:p>
        </w:tc>
        <w:tc>
          <w:tcPr>
            <w:tcW w:w="122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560" w:type="dxa"/>
            <w:vAlign w:val="bottom"/>
            <w:shd w:val="clear" w:color="auto" w:fill="CFF0FC"/>
          </w:tcPr>
          <w:p>
            <w:pPr>
              <w:spacing w:after="0"/>
              <w:rPr>
                <w:sz w:val="19"/>
                <w:szCs w:val="19"/>
                <w:color w:val="auto"/>
              </w:rPr>
            </w:pPr>
          </w:p>
        </w:tc>
        <w:tc>
          <w:tcPr>
            <w:tcW w:w="10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7860" w:type="dxa"/>
            <w:vAlign w:val="bottom"/>
          </w:tcPr>
          <w:p>
            <w:pPr>
              <w:ind w:left="260"/>
              <w:spacing w:after="0"/>
              <w:rPr>
                <w:sz w:val="20"/>
                <w:szCs w:val="20"/>
                <w:color w:val="auto"/>
              </w:rPr>
            </w:pPr>
            <w:r>
              <w:rPr>
                <w:rFonts w:ascii="Arial" w:cs="Arial" w:eastAsia="Arial" w:hAnsi="Arial"/>
                <w:sz w:val="18"/>
                <w:szCs w:val="18"/>
                <w:color w:val="auto"/>
              </w:rPr>
              <w:t>Depreciation and amortization</w:t>
            </w:r>
          </w:p>
        </w:tc>
        <w:tc>
          <w:tcPr>
            <w:tcW w:w="360" w:type="dxa"/>
            <w:vAlign w:val="bottom"/>
          </w:tcPr>
          <w:p>
            <w:pPr>
              <w:spacing w:after="0"/>
              <w:rPr>
                <w:sz w:val="19"/>
                <w:szCs w:val="19"/>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13,063</w:t>
            </w:r>
          </w:p>
        </w:tc>
        <w:tc>
          <w:tcPr>
            <w:tcW w:w="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12,144</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7860" w:type="dxa"/>
            <w:vAlign w:val="bottom"/>
            <w:shd w:val="clear" w:color="auto" w:fill="CFF0FC"/>
          </w:tcPr>
          <w:p>
            <w:pPr>
              <w:ind w:left="260"/>
              <w:spacing w:after="0"/>
              <w:rPr>
                <w:sz w:val="20"/>
                <w:szCs w:val="20"/>
                <w:color w:val="auto"/>
              </w:rPr>
            </w:pPr>
            <w:r>
              <w:rPr>
                <w:rFonts w:ascii="Arial" w:cs="Arial" w:eastAsia="Arial" w:hAnsi="Arial"/>
                <w:sz w:val="18"/>
                <w:szCs w:val="18"/>
                <w:color w:val="auto"/>
              </w:rPr>
              <w:t>Deferred income taxes</w:t>
            </w:r>
          </w:p>
        </w:tc>
        <w:tc>
          <w:tcPr>
            <w:tcW w:w="360" w:type="dxa"/>
            <w:vAlign w:val="bottom"/>
            <w:shd w:val="clear" w:color="auto" w:fill="CFF0FC"/>
          </w:tcPr>
          <w:p>
            <w:pPr>
              <w:spacing w:after="0"/>
              <w:rPr>
                <w:sz w:val="19"/>
                <w:szCs w:val="19"/>
                <w:color w:val="auto"/>
              </w:rPr>
            </w:pPr>
          </w:p>
        </w:tc>
        <w:tc>
          <w:tcPr>
            <w:tcW w:w="1380" w:type="dxa"/>
            <w:vAlign w:val="bottom"/>
            <w:gridSpan w:val="2"/>
            <w:shd w:val="clear" w:color="auto" w:fill="CFF0FC"/>
          </w:tcPr>
          <w:p>
            <w:pPr>
              <w:jc w:val="right"/>
              <w:ind w:right="100"/>
              <w:spacing w:after="0"/>
              <w:rPr>
                <w:sz w:val="20"/>
                <w:szCs w:val="20"/>
                <w:color w:val="auto"/>
              </w:rPr>
            </w:pPr>
            <w:r>
              <w:rPr>
                <w:rFonts w:ascii="Arial" w:cs="Arial" w:eastAsia="Arial" w:hAnsi="Arial"/>
                <w:sz w:val="18"/>
                <w:szCs w:val="18"/>
                <w:color w:val="auto"/>
              </w:rPr>
              <w:t>(4,507)</w:t>
            </w:r>
          </w:p>
        </w:tc>
        <w:tc>
          <w:tcPr>
            <w:tcW w:w="120" w:type="dxa"/>
            <w:vAlign w:val="bottom"/>
            <w:shd w:val="clear" w:color="auto" w:fill="CFF0FC"/>
          </w:tcPr>
          <w:p>
            <w:pPr>
              <w:spacing w:after="0"/>
              <w:rPr>
                <w:sz w:val="19"/>
                <w:szCs w:val="19"/>
                <w:color w:val="auto"/>
              </w:rPr>
            </w:pPr>
          </w:p>
        </w:tc>
        <w:tc>
          <w:tcPr>
            <w:tcW w:w="560" w:type="dxa"/>
            <w:vAlign w:val="bottom"/>
            <w:shd w:val="clear" w:color="auto" w:fill="CFF0FC"/>
          </w:tcPr>
          <w:p>
            <w:pPr>
              <w:spacing w:after="0"/>
              <w:rPr>
                <w:sz w:val="19"/>
                <w:szCs w:val="19"/>
                <w:color w:val="auto"/>
              </w:rPr>
            </w:pPr>
          </w:p>
        </w:tc>
        <w:tc>
          <w:tcPr>
            <w:tcW w:w="10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374</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7860" w:type="dxa"/>
            <w:vAlign w:val="bottom"/>
          </w:tcPr>
          <w:p>
            <w:pPr>
              <w:ind w:left="260"/>
              <w:spacing w:after="0"/>
              <w:rPr>
                <w:sz w:val="20"/>
                <w:szCs w:val="20"/>
                <w:color w:val="auto"/>
              </w:rPr>
            </w:pPr>
            <w:r>
              <w:rPr>
                <w:rFonts w:ascii="Arial" w:cs="Arial" w:eastAsia="Arial" w:hAnsi="Arial"/>
                <w:sz w:val="18"/>
                <w:szCs w:val="18"/>
                <w:color w:val="auto"/>
              </w:rPr>
              <w:t>Loss (income) from discontinued operations</w:t>
            </w:r>
          </w:p>
        </w:tc>
        <w:tc>
          <w:tcPr>
            <w:tcW w:w="360" w:type="dxa"/>
            <w:vAlign w:val="bottom"/>
          </w:tcPr>
          <w:p>
            <w:pPr>
              <w:spacing w:after="0"/>
              <w:rPr>
                <w:sz w:val="19"/>
                <w:szCs w:val="19"/>
                <w:color w:val="auto"/>
              </w:rPr>
            </w:pPr>
          </w:p>
        </w:tc>
        <w:tc>
          <w:tcPr>
            <w:tcW w:w="1380" w:type="dxa"/>
            <w:vAlign w:val="bottom"/>
            <w:gridSpan w:val="2"/>
          </w:tcPr>
          <w:p>
            <w:pPr>
              <w:jc w:val="right"/>
              <w:ind w:right="100"/>
              <w:spacing w:after="0"/>
              <w:rPr>
                <w:sz w:val="20"/>
                <w:szCs w:val="20"/>
                <w:color w:val="auto"/>
              </w:rPr>
            </w:pPr>
            <w:r>
              <w:rPr>
                <w:rFonts w:ascii="Arial" w:cs="Arial" w:eastAsia="Arial" w:hAnsi="Arial"/>
                <w:sz w:val="18"/>
                <w:szCs w:val="18"/>
                <w:color w:val="auto"/>
              </w:rPr>
              <w:t>(928)</w:t>
            </w:r>
          </w:p>
        </w:tc>
        <w:tc>
          <w:tcPr>
            <w:tcW w:w="12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816</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7860" w:type="dxa"/>
            <w:vAlign w:val="bottom"/>
            <w:shd w:val="clear" w:color="auto" w:fill="CFF0FC"/>
          </w:tcPr>
          <w:p>
            <w:pPr>
              <w:ind w:left="260"/>
              <w:spacing w:after="0"/>
              <w:rPr>
                <w:sz w:val="20"/>
                <w:szCs w:val="20"/>
                <w:color w:val="auto"/>
              </w:rPr>
            </w:pPr>
            <w:r>
              <w:rPr>
                <w:rFonts w:ascii="Arial" w:cs="Arial" w:eastAsia="Arial" w:hAnsi="Arial"/>
                <w:sz w:val="18"/>
                <w:szCs w:val="18"/>
                <w:color w:val="auto"/>
              </w:rPr>
              <w:t>Restructuring charges</w:t>
            </w:r>
          </w:p>
        </w:tc>
        <w:tc>
          <w:tcPr>
            <w:tcW w:w="360" w:type="dxa"/>
            <w:vAlign w:val="bottom"/>
            <w:shd w:val="clear" w:color="auto" w:fill="CFF0FC"/>
          </w:tcPr>
          <w:p>
            <w:pPr>
              <w:spacing w:after="0"/>
              <w:rPr>
                <w:sz w:val="19"/>
                <w:szCs w:val="19"/>
                <w:color w:val="auto"/>
              </w:rPr>
            </w:pPr>
          </w:p>
        </w:tc>
        <w:tc>
          <w:tcPr>
            <w:tcW w:w="12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162</w:t>
            </w:r>
          </w:p>
        </w:tc>
        <w:tc>
          <w:tcPr>
            <w:tcW w:w="16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560" w:type="dxa"/>
            <w:vAlign w:val="bottom"/>
            <w:shd w:val="clear" w:color="auto" w:fill="CFF0FC"/>
          </w:tcPr>
          <w:p>
            <w:pPr>
              <w:spacing w:after="0"/>
              <w:rPr>
                <w:sz w:val="19"/>
                <w:szCs w:val="19"/>
                <w:color w:val="auto"/>
              </w:rPr>
            </w:pPr>
          </w:p>
        </w:tc>
        <w:tc>
          <w:tcPr>
            <w:tcW w:w="10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394</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7860" w:type="dxa"/>
            <w:vAlign w:val="bottom"/>
          </w:tcPr>
          <w:p>
            <w:pPr>
              <w:ind w:left="260"/>
              <w:spacing w:after="0"/>
              <w:rPr>
                <w:sz w:val="20"/>
                <w:szCs w:val="20"/>
                <w:color w:val="auto"/>
              </w:rPr>
            </w:pPr>
            <w:r>
              <w:rPr>
                <w:rFonts w:ascii="Arial" w:cs="Arial" w:eastAsia="Arial" w:hAnsi="Arial"/>
                <w:sz w:val="18"/>
                <w:szCs w:val="18"/>
                <w:color w:val="auto"/>
              </w:rPr>
              <w:t>Impairment recoveries</w:t>
            </w:r>
          </w:p>
        </w:tc>
        <w:tc>
          <w:tcPr>
            <w:tcW w:w="360" w:type="dxa"/>
            <w:vAlign w:val="bottom"/>
          </w:tcPr>
          <w:p>
            <w:pPr>
              <w:spacing w:after="0"/>
              <w:rPr>
                <w:sz w:val="19"/>
                <w:szCs w:val="19"/>
                <w:color w:val="auto"/>
              </w:rPr>
            </w:pPr>
          </w:p>
        </w:tc>
        <w:tc>
          <w:tcPr>
            <w:tcW w:w="138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1140" w:type="dxa"/>
            <w:vAlign w:val="bottom"/>
            <w:gridSpan w:val="2"/>
          </w:tcPr>
          <w:p>
            <w:pPr>
              <w:jc w:val="right"/>
              <w:ind w:right="60"/>
              <w:spacing w:after="0"/>
              <w:rPr>
                <w:sz w:val="20"/>
                <w:szCs w:val="20"/>
                <w:color w:val="auto"/>
              </w:rPr>
            </w:pPr>
            <w:r>
              <w:rPr>
                <w:rFonts w:ascii="Arial" w:cs="Arial" w:eastAsia="Arial" w:hAnsi="Arial"/>
                <w:sz w:val="18"/>
                <w:szCs w:val="18"/>
                <w:color w:val="auto"/>
              </w:rPr>
              <w:t>(2,384)</w:t>
            </w:r>
          </w:p>
        </w:tc>
        <w:tc>
          <w:tcPr>
            <w:tcW w:w="0" w:type="dxa"/>
            <w:vAlign w:val="bottom"/>
          </w:tcPr>
          <w:p>
            <w:pPr>
              <w:spacing w:after="0"/>
              <w:rPr>
                <w:sz w:val="1"/>
                <w:szCs w:val="1"/>
                <w:color w:val="auto"/>
              </w:rPr>
            </w:pPr>
          </w:p>
        </w:tc>
      </w:tr>
      <w:tr>
        <w:trPr>
          <w:trHeight w:val="229"/>
        </w:trPr>
        <w:tc>
          <w:tcPr>
            <w:tcW w:w="7860" w:type="dxa"/>
            <w:vAlign w:val="bottom"/>
            <w:shd w:val="clear" w:color="auto" w:fill="CFF0FC"/>
          </w:tcPr>
          <w:p>
            <w:pPr>
              <w:ind w:left="260"/>
              <w:spacing w:after="0"/>
              <w:rPr>
                <w:sz w:val="20"/>
                <w:szCs w:val="20"/>
                <w:color w:val="auto"/>
              </w:rPr>
            </w:pPr>
            <w:r>
              <w:rPr>
                <w:rFonts w:ascii="Arial" w:cs="Arial" w:eastAsia="Arial" w:hAnsi="Arial"/>
                <w:sz w:val="18"/>
                <w:szCs w:val="18"/>
                <w:color w:val="auto"/>
              </w:rPr>
              <w:t>Gains on dispositions of property and other assets</w:t>
            </w:r>
          </w:p>
        </w:tc>
        <w:tc>
          <w:tcPr>
            <w:tcW w:w="360" w:type="dxa"/>
            <w:vAlign w:val="bottom"/>
            <w:shd w:val="clear" w:color="auto" w:fill="CFF0FC"/>
          </w:tcPr>
          <w:p>
            <w:pPr>
              <w:spacing w:after="0"/>
              <w:rPr>
                <w:sz w:val="19"/>
                <w:szCs w:val="19"/>
                <w:color w:val="auto"/>
              </w:rPr>
            </w:pPr>
          </w:p>
        </w:tc>
        <w:tc>
          <w:tcPr>
            <w:tcW w:w="1380" w:type="dxa"/>
            <w:vAlign w:val="bottom"/>
            <w:gridSpan w:val="2"/>
            <w:shd w:val="clear" w:color="auto" w:fill="CFF0FC"/>
          </w:tcPr>
          <w:p>
            <w:pPr>
              <w:jc w:val="right"/>
              <w:ind w:right="100"/>
              <w:spacing w:after="0"/>
              <w:rPr>
                <w:sz w:val="20"/>
                <w:szCs w:val="20"/>
                <w:color w:val="auto"/>
              </w:rPr>
            </w:pPr>
            <w:r>
              <w:rPr>
                <w:rFonts w:ascii="Arial" w:cs="Arial" w:eastAsia="Arial" w:hAnsi="Arial"/>
                <w:sz w:val="18"/>
                <w:szCs w:val="18"/>
                <w:color w:val="auto"/>
              </w:rPr>
              <w:t>(73)</w:t>
            </w:r>
          </w:p>
        </w:tc>
        <w:tc>
          <w:tcPr>
            <w:tcW w:w="120" w:type="dxa"/>
            <w:vAlign w:val="bottom"/>
            <w:shd w:val="clear" w:color="auto" w:fill="CFF0FC"/>
          </w:tcPr>
          <w:p>
            <w:pPr>
              <w:spacing w:after="0"/>
              <w:rPr>
                <w:sz w:val="19"/>
                <w:szCs w:val="19"/>
                <w:color w:val="auto"/>
              </w:rPr>
            </w:pPr>
          </w:p>
        </w:tc>
        <w:tc>
          <w:tcPr>
            <w:tcW w:w="560" w:type="dxa"/>
            <w:vAlign w:val="bottom"/>
            <w:shd w:val="clear" w:color="auto" w:fill="CFF0FC"/>
          </w:tcPr>
          <w:p>
            <w:pPr>
              <w:spacing w:after="0"/>
              <w:rPr>
                <w:sz w:val="19"/>
                <w:szCs w:val="19"/>
                <w:color w:val="auto"/>
              </w:rPr>
            </w:pPr>
          </w:p>
        </w:tc>
        <w:tc>
          <w:tcPr>
            <w:tcW w:w="1140" w:type="dxa"/>
            <w:vAlign w:val="bottom"/>
            <w:gridSpan w:val="2"/>
            <w:shd w:val="clear" w:color="auto" w:fill="CFF0FC"/>
          </w:tcPr>
          <w:p>
            <w:pPr>
              <w:jc w:val="right"/>
              <w:ind w:right="60"/>
              <w:spacing w:after="0"/>
              <w:rPr>
                <w:sz w:val="20"/>
                <w:szCs w:val="20"/>
                <w:color w:val="auto"/>
              </w:rPr>
            </w:pPr>
            <w:r>
              <w:rPr>
                <w:rFonts w:ascii="Arial" w:cs="Arial" w:eastAsia="Arial" w:hAnsi="Arial"/>
                <w:sz w:val="18"/>
                <w:szCs w:val="18"/>
                <w:color w:val="auto"/>
              </w:rPr>
              <w:t>(50)</w:t>
            </w:r>
          </w:p>
        </w:tc>
        <w:tc>
          <w:tcPr>
            <w:tcW w:w="0" w:type="dxa"/>
            <w:vAlign w:val="bottom"/>
          </w:tcPr>
          <w:p>
            <w:pPr>
              <w:spacing w:after="0"/>
              <w:rPr>
                <w:sz w:val="1"/>
                <w:szCs w:val="1"/>
                <w:color w:val="auto"/>
              </w:rPr>
            </w:pPr>
          </w:p>
        </w:tc>
      </w:tr>
      <w:tr>
        <w:trPr>
          <w:trHeight w:val="229"/>
        </w:trPr>
        <w:tc>
          <w:tcPr>
            <w:tcW w:w="7860" w:type="dxa"/>
            <w:vAlign w:val="bottom"/>
          </w:tcPr>
          <w:p>
            <w:pPr>
              <w:ind w:left="260"/>
              <w:spacing w:after="0"/>
              <w:rPr>
                <w:sz w:val="20"/>
                <w:szCs w:val="20"/>
                <w:color w:val="auto"/>
              </w:rPr>
            </w:pPr>
            <w:r>
              <w:rPr>
                <w:rFonts w:ascii="Arial" w:cs="Arial" w:eastAsia="Arial" w:hAnsi="Arial"/>
                <w:sz w:val="18"/>
                <w:szCs w:val="18"/>
                <w:color w:val="auto"/>
              </w:rPr>
              <w:t>Share-based compensation expense</w:t>
            </w:r>
          </w:p>
        </w:tc>
        <w:tc>
          <w:tcPr>
            <w:tcW w:w="360" w:type="dxa"/>
            <w:vAlign w:val="bottom"/>
          </w:tcPr>
          <w:p>
            <w:pPr>
              <w:spacing w:after="0"/>
              <w:rPr>
                <w:sz w:val="19"/>
                <w:szCs w:val="19"/>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717</w:t>
            </w:r>
          </w:p>
        </w:tc>
        <w:tc>
          <w:tcPr>
            <w:tcW w:w="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1,999</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7860" w:type="dxa"/>
            <w:vAlign w:val="bottom"/>
            <w:shd w:val="clear" w:color="auto" w:fill="CFF0FC"/>
          </w:tcPr>
          <w:p>
            <w:pPr>
              <w:ind w:left="260"/>
              <w:spacing w:after="0"/>
              <w:rPr>
                <w:sz w:val="20"/>
                <w:szCs w:val="20"/>
                <w:color w:val="auto"/>
              </w:rPr>
            </w:pPr>
            <w:r>
              <w:rPr>
                <w:rFonts w:ascii="Arial" w:cs="Arial" w:eastAsia="Arial" w:hAnsi="Arial"/>
                <w:sz w:val="18"/>
                <w:szCs w:val="18"/>
                <w:color w:val="auto"/>
              </w:rPr>
              <w:t>Other non-cash items, net</w:t>
            </w:r>
          </w:p>
        </w:tc>
        <w:tc>
          <w:tcPr>
            <w:tcW w:w="360" w:type="dxa"/>
            <w:vAlign w:val="bottom"/>
            <w:shd w:val="clear" w:color="auto" w:fill="CFF0FC"/>
          </w:tcPr>
          <w:p>
            <w:pPr>
              <w:spacing w:after="0"/>
              <w:rPr>
                <w:sz w:val="19"/>
                <w:szCs w:val="19"/>
                <w:color w:val="auto"/>
              </w:rPr>
            </w:pPr>
          </w:p>
        </w:tc>
        <w:tc>
          <w:tcPr>
            <w:tcW w:w="12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1,803</w:t>
            </w:r>
          </w:p>
        </w:tc>
        <w:tc>
          <w:tcPr>
            <w:tcW w:w="16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560" w:type="dxa"/>
            <w:vAlign w:val="bottom"/>
            <w:shd w:val="clear" w:color="auto" w:fill="CFF0FC"/>
          </w:tcPr>
          <w:p>
            <w:pPr>
              <w:spacing w:after="0"/>
              <w:rPr>
                <w:sz w:val="19"/>
                <w:szCs w:val="19"/>
                <w:color w:val="auto"/>
              </w:rPr>
            </w:pPr>
          </w:p>
        </w:tc>
        <w:tc>
          <w:tcPr>
            <w:tcW w:w="10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1,287</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7860" w:type="dxa"/>
            <w:vAlign w:val="bottom"/>
          </w:tcPr>
          <w:p>
            <w:pPr>
              <w:ind w:left="260"/>
              <w:spacing w:after="0"/>
              <w:rPr>
                <w:sz w:val="20"/>
                <w:szCs w:val="20"/>
                <w:color w:val="auto"/>
              </w:rPr>
            </w:pPr>
            <w:r>
              <w:rPr>
                <w:rFonts w:ascii="Arial" w:cs="Arial" w:eastAsia="Arial" w:hAnsi="Arial"/>
                <w:sz w:val="18"/>
                <w:szCs w:val="18"/>
                <w:color w:val="auto"/>
              </w:rPr>
              <w:t>Change in operating assets and liabilities (excluding the impact of acquisitions):</w:t>
            </w:r>
          </w:p>
        </w:tc>
        <w:tc>
          <w:tcPr>
            <w:tcW w:w="36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7860" w:type="dxa"/>
            <w:vAlign w:val="bottom"/>
            <w:shd w:val="clear" w:color="auto" w:fill="CFF0FC"/>
          </w:tcPr>
          <w:p>
            <w:pPr>
              <w:ind w:left="500"/>
              <w:spacing w:after="0"/>
              <w:rPr>
                <w:sz w:val="20"/>
                <w:szCs w:val="20"/>
                <w:color w:val="auto"/>
              </w:rPr>
            </w:pPr>
            <w:r>
              <w:rPr>
                <w:rFonts w:ascii="Arial" w:cs="Arial" w:eastAsia="Arial" w:hAnsi="Arial"/>
                <w:sz w:val="18"/>
                <w:szCs w:val="18"/>
                <w:color w:val="auto"/>
              </w:rPr>
              <w:t>Receivables</w:t>
            </w:r>
          </w:p>
        </w:tc>
        <w:tc>
          <w:tcPr>
            <w:tcW w:w="360" w:type="dxa"/>
            <w:vAlign w:val="bottom"/>
            <w:shd w:val="clear" w:color="auto" w:fill="CFF0FC"/>
          </w:tcPr>
          <w:p>
            <w:pPr>
              <w:spacing w:after="0"/>
              <w:rPr>
                <w:sz w:val="19"/>
                <w:szCs w:val="19"/>
                <w:color w:val="auto"/>
              </w:rPr>
            </w:pPr>
          </w:p>
        </w:tc>
        <w:tc>
          <w:tcPr>
            <w:tcW w:w="1380" w:type="dxa"/>
            <w:vAlign w:val="bottom"/>
            <w:gridSpan w:val="2"/>
            <w:shd w:val="clear" w:color="auto" w:fill="CFF0FC"/>
          </w:tcPr>
          <w:p>
            <w:pPr>
              <w:jc w:val="right"/>
              <w:ind w:right="100"/>
              <w:spacing w:after="0"/>
              <w:rPr>
                <w:sz w:val="20"/>
                <w:szCs w:val="20"/>
                <w:color w:val="auto"/>
              </w:rPr>
            </w:pPr>
            <w:r>
              <w:rPr>
                <w:rFonts w:ascii="Arial" w:cs="Arial" w:eastAsia="Arial" w:hAnsi="Arial"/>
                <w:sz w:val="18"/>
                <w:szCs w:val="18"/>
                <w:color w:val="auto"/>
              </w:rPr>
              <w:t>(13,255)</w:t>
            </w:r>
          </w:p>
        </w:tc>
        <w:tc>
          <w:tcPr>
            <w:tcW w:w="120" w:type="dxa"/>
            <w:vAlign w:val="bottom"/>
            <w:shd w:val="clear" w:color="auto" w:fill="CFF0FC"/>
          </w:tcPr>
          <w:p>
            <w:pPr>
              <w:spacing w:after="0"/>
              <w:rPr>
                <w:sz w:val="19"/>
                <w:szCs w:val="19"/>
                <w:color w:val="auto"/>
              </w:rPr>
            </w:pPr>
          </w:p>
        </w:tc>
        <w:tc>
          <w:tcPr>
            <w:tcW w:w="560" w:type="dxa"/>
            <w:vAlign w:val="bottom"/>
            <w:shd w:val="clear" w:color="auto" w:fill="CFF0FC"/>
          </w:tcPr>
          <w:p>
            <w:pPr>
              <w:spacing w:after="0"/>
              <w:rPr>
                <w:sz w:val="19"/>
                <w:szCs w:val="19"/>
                <w:color w:val="auto"/>
              </w:rPr>
            </w:pPr>
          </w:p>
        </w:tc>
        <w:tc>
          <w:tcPr>
            <w:tcW w:w="1140" w:type="dxa"/>
            <w:vAlign w:val="bottom"/>
            <w:gridSpan w:val="2"/>
            <w:shd w:val="clear" w:color="auto" w:fill="CFF0FC"/>
          </w:tcPr>
          <w:p>
            <w:pPr>
              <w:jc w:val="right"/>
              <w:ind w:right="60"/>
              <w:spacing w:after="0"/>
              <w:rPr>
                <w:sz w:val="20"/>
                <w:szCs w:val="20"/>
                <w:color w:val="auto"/>
              </w:rPr>
            </w:pPr>
            <w:r>
              <w:rPr>
                <w:rFonts w:ascii="Arial" w:cs="Arial" w:eastAsia="Arial" w:hAnsi="Arial"/>
                <w:sz w:val="18"/>
                <w:szCs w:val="18"/>
                <w:color w:val="auto"/>
              </w:rPr>
              <w:t>(26,219)</w:t>
            </w:r>
          </w:p>
        </w:tc>
        <w:tc>
          <w:tcPr>
            <w:tcW w:w="0" w:type="dxa"/>
            <w:vAlign w:val="bottom"/>
          </w:tcPr>
          <w:p>
            <w:pPr>
              <w:spacing w:after="0"/>
              <w:rPr>
                <w:sz w:val="1"/>
                <w:szCs w:val="1"/>
                <w:color w:val="auto"/>
              </w:rPr>
            </w:pPr>
          </w:p>
        </w:tc>
      </w:tr>
      <w:tr>
        <w:trPr>
          <w:trHeight w:val="229"/>
        </w:trPr>
        <w:tc>
          <w:tcPr>
            <w:tcW w:w="7860" w:type="dxa"/>
            <w:vAlign w:val="bottom"/>
          </w:tcPr>
          <w:p>
            <w:pPr>
              <w:ind w:left="500"/>
              <w:spacing w:after="0"/>
              <w:rPr>
                <w:sz w:val="20"/>
                <w:szCs w:val="20"/>
                <w:color w:val="auto"/>
              </w:rPr>
            </w:pPr>
            <w:r>
              <w:rPr>
                <w:rFonts w:ascii="Arial" w:cs="Arial" w:eastAsia="Arial" w:hAnsi="Arial"/>
                <w:sz w:val="18"/>
                <w:szCs w:val="18"/>
                <w:color w:val="auto"/>
              </w:rPr>
              <w:t>Inventories</w:t>
            </w:r>
          </w:p>
        </w:tc>
        <w:tc>
          <w:tcPr>
            <w:tcW w:w="360" w:type="dxa"/>
            <w:vAlign w:val="bottom"/>
          </w:tcPr>
          <w:p>
            <w:pPr>
              <w:spacing w:after="0"/>
              <w:rPr>
                <w:sz w:val="19"/>
                <w:szCs w:val="19"/>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70</w:t>
            </w:r>
          </w:p>
        </w:tc>
        <w:tc>
          <w:tcPr>
            <w:tcW w:w="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1140" w:type="dxa"/>
            <w:vAlign w:val="bottom"/>
            <w:gridSpan w:val="2"/>
          </w:tcPr>
          <w:p>
            <w:pPr>
              <w:jc w:val="right"/>
              <w:ind w:right="60"/>
              <w:spacing w:after="0"/>
              <w:rPr>
                <w:sz w:val="20"/>
                <w:szCs w:val="20"/>
                <w:color w:val="auto"/>
              </w:rPr>
            </w:pPr>
            <w:r>
              <w:rPr>
                <w:rFonts w:ascii="Arial" w:cs="Arial" w:eastAsia="Arial" w:hAnsi="Arial"/>
                <w:sz w:val="18"/>
                <w:szCs w:val="18"/>
                <w:color w:val="auto"/>
              </w:rPr>
              <w:t>(770)</w:t>
            </w:r>
          </w:p>
        </w:tc>
        <w:tc>
          <w:tcPr>
            <w:tcW w:w="0" w:type="dxa"/>
            <w:vAlign w:val="bottom"/>
          </w:tcPr>
          <w:p>
            <w:pPr>
              <w:spacing w:after="0"/>
              <w:rPr>
                <w:sz w:val="1"/>
                <w:szCs w:val="1"/>
                <w:color w:val="auto"/>
              </w:rPr>
            </w:pPr>
          </w:p>
        </w:tc>
      </w:tr>
      <w:tr>
        <w:trPr>
          <w:trHeight w:val="229"/>
        </w:trPr>
        <w:tc>
          <w:tcPr>
            <w:tcW w:w="7860" w:type="dxa"/>
            <w:vAlign w:val="bottom"/>
            <w:shd w:val="clear" w:color="auto" w:fill="CFF0FC"/>
          </w:tcPr>
          <w:p>
            <w:pPr>
              <w:ind w:left="500"/>
              <w:spacing w:after="0"/>
              <w:rPr>
                <w:sz w:val="20"/>
                <w:szCs w:val="20"/>
                <w:color w:val="auto"/>
              </w:rPr>
            </w:pPr>
            <w:r>
              <w:rPr>
                <w:rFonts w:ascii="Arial" w:cs="Arial" w:eastAsia="Arial" w:hAnsi="Arial"/>
                <w:sz w:val="18"/>
                <w:szCs w:val="18"/>
                <w:color w:val="auto"/>
              </w:rPr>
              <w:t>Current contract costs</w:t>
            </w:r>
          </w:p>
        </w:tc>
        <w:tc>
          <w:tcPr>
            <w:tcW w:w="360" w:type="dxa"/>
            <w:vAlign w:val="bottom"/>
            <w:shd w:val="clear" w:color="auto" w:fill="CFF0FC"/>
          </w:tcPr>
          <w:p>
            <w:pPr>
              <w:spacing w:after="0"/>
              <w:rPr>
                <w:sz w:val="19"/>
                <w:szCs w:val="19"/>
                <w:color w:val="auto"/>
              </w:rPr>
            </w:pPr>
          </w:p>
        </w:tc>
        <w:tc>
          <w:tcPr>
            <w:tcW w:w="1380" w:type="dxa"/>
            <w:vAlign w:val="bottom"/>
            <w:gridSpan w:val="2"/>
            <w:shd w:val="clear" w:color="auto" w:fill="CFF0FC"/>
          </w:tcPr>
          <w:p>
            <w:pPr>
              <w:jc w:val="right"/>
              <w:ind w:right="100"/>
              <w:spacing w:after="0"/>
              <w:rPr>
                <w:sz w:val="20"/>
                <w:szCs w:val="20"/>
                <w:color w:val="auto"/>
              </w:rPr>
            </w:pPr>
            <w:r>
              <w:rPr>
                <w:rFonts w:ascii="Arial" w:cs="Arial" w:eastAsia="Arial" w:hAnsi="Arial"/>
                <w:sz w:val="18"/>
                <w:szCs w:val="18"/>
                <w:color w:val="auto"/>
              </w:rPr>
              <w:t>(9,211)</w:t>
            </w:r>
          </w:p>
        </w:tc>
        <w:tc>
          <w:tcPr>
            <w:tcW w:w="120" w:type="dxa"/>
            <w:vAlign w:val="bottom"/>
            <w:shd w:val="clear" w:color="auto" w:fill="CFF0FC"/>
          </w:tcPr>
          <w:p>
            <w:pPr>
              <w:spacing w:after="0"/>
              <w:rPr>
                <w:sz w:val="19"/>
                <w:szCs w:val="19"/>
                <w:color w:val="auto"/>
              </w:rPr>
            </w:pPr>
          </w:p>
        </w:tc>
        <w:tc>
          <w:tcPr>
            <w:tcW w:w="560" w:type="dxa"/>
            <w:vAlign w:val="bottom"/>
            <w:shd w:val="clear" w:color="auto" w:fill="CFF0FC"/>
          </w:tcPr>
          <w:p>
            <w:pPr>
              <w:spacing w:after="0"/>
              <w:rPr>
                <w:sz w:val="19"/>
                <w:szCs w:val="19"/>
                <w:color w:val="auto"/>
              </w:rPr>
            </w:pPr>
          </w:p>
        </w:tc>
        <w:tc>
          <w:tcPr>
            <w:tcW w:w="1140" w:type="dxa"/>
            <w:vAlign w:val="bottom"/>
            <w:gridSpan w:val="2"/>
            <w:shd w:val="clear" w:color="auto" w:fill="CFF0FC"/>
          </w:tcPr>
          <w:p>
            <w:pPr>
              <w:jc w:val="right"/>
              <w:ind w:right="60"/>
              <w:spacing w:after="0"/>
              <w:rPr>
                <w:sz w:val="20"/>
                <w:szCs w:val="20"/>
                <w:color w:val="auto"/>
              </w:rPr>
            </w:pPr>
            <w:r>
              <w:rPr>
                <w:rFonts w:ascii="Arial" w:cs="Arial" w:eastAsia="Arial" w:hAnsi="Arial"/>
                <w:sz w:val="18"/>
                <w:szCs w:val="18"/>
                <w:color w:val="auto"/>
              </w:rPr>
              <w:t>(3,739)</w:t>
            </w:r>
          </w:p>
        </w:tc>
        <w:tc>
          <w:tcPr>
            <w:tcW w:w="0" w:type="dxa"/>
            <w:vAlign w:val="bottom"/>
          </w:tcPr>
          <w:p>
            <w:pPr>
              <w:spacing w:after="0"/>
              <w:rPr>
                <w:sz w:val="1"/>
                <w:szCs w:val="1"/>
                <w:color w:val="auto"/>
              </w:rPr>
            </w:pPr>
          </w:p>
        </w:tc>
      </w:tr>
      <w:tr>
        <w:trPr>
          <w:trHeight w:val="229"/>
        </w:trPr>
        <w:tc>
          <w:tcPr>
            <w:tcW w:w="7860" w:type="dxa"/>
            <w:vAlign w:val="bottom"/>
          </w:tcPr>
          <w:p>
            <w:pPr>
              <w:ind w:left="500"/>
              <w:spacing w:after="0"/>
              <w:rPr>
                <w:sz w:val="20"/>
                <w:szCs w:val="20"/>
                <w:color w:val="auto"/>
              </w:rPr>
            </w:pPr>
            <w:r>
              <w:rPr>
                <w:rFonts w:ascii="Arial" w:cs="Arial" w:eastAsia="Arial" w:hAnsi="Arial"/>
                <w:sz w:val="18"/>
                <w:szCs w:val="18"/>
                <w:color w:val="auto"/>
              </w:rPr>
              <w:t>Accounts payable</w:t>
            </w:r>
          </w:p>
        </w:tc>
        <w:tc>
          <w:tcPr>
            <w:tcW w:w="360" w:type="dxa"/>
            <w:vAlign w:val="bottom"/>
          </w:tcPr>
          <w:p>
            <w:pPr>
              <w:spacing w:after="0"/>
              <w:rPr>
                <w:sz w:val="19"/>
                <w:szCs w:val="19"/>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5,354</w:t>
            </w:r>
          </w:p>
        </w:tc>
        <w:tc>
          <w:tcPr>
            <w:tcW w:w="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29,437</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7860" w:type="dxa"/>
            <w:vAlign w:val="bottom"/>
            <w:shd w:val="clear" w:color="auto" w:fill="CFF0FC"/>
          </w:tcPr>
          <w:p>
            <w:pPr>
              <w:ind w:left="500"/>
              <w:spacing w:after="0"/>
              <w:rPr>
                <w:sz w:val="20"/>
                <w:szCs w:val="20"/>
                <w:color w:val="auto"/>
              </w:rPr>
            </w:pPr>
            <w:r>
              <w:rPr>
                <w:rFonts w:ascii="Arial" w:cs="Arial" w:eastAsia="Arial" w:hAnsi="Arial"/>
                <w:sz w:val="18"/>
                <w:szCs w:val="18"/>
                <w:color w:val="auto"/>
              </w:rPr>
              <w:t>Restructuring liabilities</w:t>
            </w:r>
          </w:p>
        </w:tc>
        <w:tc>
          <w:tcPr>
            <w:tcW w:w="360" w:type="dxa"/>
            <w:vAlign w:val="bottom"/>
            <w:shd w:val="clear" w:color="auto" w:fill="CFF0FC"/>
          </w:tcPr>
          <w:p>
            <w:pPr>
              <w:spacing w:after="0"/>
              <w:rPr>
                <w:sz w:val="19"/>
                <w:szCs w:val="19"/>
                <w:color w:val="auto"/>
              </w:rPr>
            </w:pPr>
          </w:p>
        </w:tc>
        <w:tc>
          <w:tcPr>
            <w:tcW w:w="1380" w:type="dxa"/>
            <w:vAlign w:val="bottom"/>
            <w:gridSpan w:val="2"/>
            <w:shd w:val="clear" w:color="auto" w:fill="CFF0FC"/>
          </w:tcPr>
          <w:p>
            <w:pPr>
              <w:jc w:val="right"/>
              <w:ind w:right="100"/>
              <w:spacing w:after="0"/>
              <w:rPr>
                <w:sz w:val="20"/>
                <w:szCs w:val="20"/>
                <w:color w:val="auto"/>
              </w:rPr>
            </w:pPr>
            <w:r>
              <w:rPr>
                <w:rFonts w:ascii="Arial" w:cs="Arial" w:eastAsia="Arial" w:hAnsi="Arial"/>
                <w:sz w:val="18"/>
                <w:szCs w:val="18"/>
                <w:color w:val="auto"/>
              </w:rPr>
              <w:t>(359)</w:t>
            </w:r>
          </w:p>
        </w:tc>
        <w:tc>
          <w:tcPr>
            <w:tcW w:w="120" w:type="dxa"/>
            <w:vAlign w:val="bottom"/>
            <w:shd w:val="clear" w:color="auto" w:fill="CFF0FC"/>
          </w:tcPr>
          <w:p>
            <w:pPr>
              <w:spacing w:after="0"/>
              <w:rPr>
                <w:sz w:val="19"/>
                <w:szCs w:val="19"/>
                <w:color w:val="auto"/>
              </w:rPr>
            </w:pPr>
          </w:p>
        </w:tc>
        <w:tc>
          <w:tcPr>
            <w:tcW w:w="560" w:type="dxa"/>
            <w:vAlign w:val="bottom"/>
            <w:shd w:val="clear" w:color="auto" w:fill="CFF0FC"/>
          </w:tcPr>
          <w:p>
            <w:pPr>
              <w:spacing w:after="0"/>
              <w:rPr>
                <w:sz w:val="19"/>
                <w:szCs w:val="19"/>
                <w:color w:val="auto"/>
              </w:rPr>
            </w:pPr>
          </w:p>
        </w:tc>
        <w:tc>
          <w:tcPr>
            <w:tcW w:w="1140" w:type="dxa"/>
            <w:vAlign w:val="bottom"/>
            <w:gridSpan w:val="2"/>
            <w:shd w:val="clear" w:color="auto" w:fill="CFF0FC"/>
          </w:tcPr>
          <w:p>
            <w:pPr>
              <w:jc w:val="right"/>
              <w:ind w:right="60"/>
              <w:spacing w:after="0"/>
              <w:rPr>
                <w:sz w:val="20"/>
                <w:szCs w:val="20"/>
                <w:color w:val="auto"/>
              </w:rPr>
            </w:pPr>
            <w:r>
              <w:rPr>
                <w:rFonts w:ascii="Arial" w:cs="Arial" w:eastAsia="Arial" w:hAnsi="Arial"/>
                <w:sz w:val="18"/>
                <w:szCs w:val="18"/>
                <w:color w:val="auto"/>
              </w:rPr>
              <w:t>(1,137)</w:t>
            </w:r>
          </w:p>
        </w:tc>
        <w:tc>
          <w:tcPr>
            <w:tcW w:w="0" w:type="dxa"/>
            <w:vAlign w:val="bottom"/>
          </w:tcPr>
          <w:p>
            <w:pPr>
              <w:spacing w:after="0"/>
              <w:rPr>
                <w:sz w:val="1"/>
                <w:szCs w:val="1"/>
                <w:color w:val="auto"/>
              </w:rPr>
            </w:pPr>
          </w:p>
        </w:tc>
      </w:tr>
      <w:tr>
        <w:trPr>
          <w:trHeight w:val="229"/>
        </w:trPr>
        <w:tc>
          <w:tcPr>
            <w:tcW w:w="7860" w:type="dxa"/>
            <w:vAlign w:val="bottom"/>
          </w:tcPr>
          <w:p>
            <w:pPr>
              <w:ind w:left="500"/>
              <w:spacing w:after="0"/>
              <w:rPr>
                <w:sz w:val="20"/>
                <w:szCs w:val="20"/>
                <w:color w:val="auto"/>
              </w:rPr>
            </w:pPr>
            <w:r>
              <w:rPr>
                <w:rFonts w:ascii="Arial" w:cs="Arial" w:eastAsia="Arial" w:hAnsi="Arial"/>
                <w:sz w:val="18"/>
                <w:szCs w:val="18"/>
                <w:color w:val="auto"/>
              </w:rPr>
              <w:t>Accrued compensation</w:t>
            </w:r>
          </w:p>
        </w:tc>
        <w:tc>
          <w:tcPr>
            <w:tcW w:w="360" w:type="dxa"/>
            <w:vAlign w:val="bottom"/>
          </w:tcPr>
          <w:p>
            <w:pPr>
              <w:spacing w:after="0"/>
              <w:rPr>
                <w:sz w:val="19"/>
                <w:szCs w:val="19"/>
                <w:color w:val="auto"/>
              </w:rPr>
            </w:pPr>
          </w:p>
        </w:tc>
        <w:tc>
          <w:tcPr>
            <w:tcW w:w="1380" w:type="dxa"/>
            <w:vAlign w:val="bottom"/>
            <w:gridSpan w:val="2"/>
          </w:tcPr>
          <w:p>
            <w:pPr>
              <w:jc w:val="right"/>
              <w:ind w:right="100"/>
              <w:spacing w:after="0"/>
              <w:rPr>
                <w:sz w:val="20"/>
                <w:szCs w:val="20"/>
                <w:color w:val="auto"/>
              </w:rPr>
            </w:pPr>
            <w:r>
              <w:rPr>
                <w:rFonts w:ascii="Arial" w:cs="Arial" w:eastAsia="Arial" w:hAnsi="Arial"/>
                <w:sz w:val="18"/>
                <w:szCs w:val="18"/>
                <w:color w:val="auto"/>
              </w:rPr>
              <w:t>(16,149)</w:t>
            </w:r>
          </w:p>
        </w:tc>
        <w:tc>
          <w:tcPr>
            <w:tcW w:w="12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1140" w:type="dxa"/>
            <w:vAlign w:val="bottom"/>
            <w:gridSpan w:val="2"/>
          </w:tcPr>
          <w:p>
            <w:pPr>
              <w:jc w:val="right"/>
              <w:ind w:right="60"/>
              <w:spacing w:after="0"/>
              <w:rPr>
                <w:sz w:val="20"/>
                <w:szCs w:val="20"/>
                <w:color w:val="auto"/>
              </w:rPr>
            </w:pPr>
            <w:r>
              <w:rPr>
                <w:rFonts w:ascii="Arial" w:cs="Arial" w:eastAsia="Arial" w:hAnsi="Arial"/>
                <w:sz w:val="18"/>
                <w:szCs w:val="18"/>
                <w:color w:val="auto"/>
              </w:rPr>
              <w:t>(16,027)</w:t>
            </w:r>
          </w:p>
        </w:tc>
        <w:tc>
          <w:tcPr>
            <w:tcW w:w="0" w:type="dxa"/>
            <w:vAlign w:val="bottom"/>
          </w:tcPr>
          <w:p>
            <w:pPr>
              <w:spacing w:after="0"/>
              <w:rPr>
                <w:sz w:val="1"/>
                <w:szCs w:val="1"/>
                <w:color w:val="auto"/>
              </w:rPr>
            </w:pPr>
          </w:p>
        </w:tc>
      </w:tr>
      <w:tr>
        <w:trPr>
          <w:trHeight w:val="229"/>
        </w:trPr>
        <w:tc>
          <w:tcPr>
            <w:tcW w:w="7860" w:type="dxa"/>
            <w:vAlign w:val="bottom"/>
            <w:shd w:val="clear" w:color="auto" w:fill="CFF0FC"/>
          </w:tcPr>
          <w:p>
            <w:pPr>
              <w:ind w:left="500"/>
              <w:spacing w:after="0"/>
              <w:rPr>
                <w:sz w:val="20"/>
                <w:szCs w:val="20"/>
                <w:color w:val="auto"/>
              </w:rPr>
            </w:pPr>
            <w:r>
              <w:rPr>
                <w:rFonts w:ascii="Arial" w:cs="Arial" w:eastAsia="Arial" w:hAnsi="Arial"/>
                <w:sz w:val="18"/>
                <w:szCs w:val="18"/>
                <w:color w:val="auto"/>
              </w:rPr>
              <w:t>Contract liabilities</w:t>
            </w:r>
          </w:p>
        </w:tc>
        <w:tc>
          <w:tcPr>
            <w:tcW w:w="360" w:type="dxa"/>
            <w:vAlign w:val="bottom"/>
            <w:shd w:val="clear" w:color="auto" w:fill="CFF0FC"/>
          </w:tcPr>
          <w:p>
            <w:pPr>
              <w:spacing w:after="0"/>
              <w:rPr>
                <w:sz w:val="19"/>
                <w:szCs w:val="19"/>
                <w:color w:val="auto"/>
              </w:rPr>
            </w:pPr>
          </w:p>
        </w:tc>
        <w:tc>
          <w:tcPr>
            <w:tcW w:w="12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20,888</w:t>
            </w:r>
          </w:p>
        </w:tc>
        <w:tc>
          <w:tcPr>
            <w:tcW w:w="16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560" w:type="dxa"/>
            <w:vAlign w:val="bottom"/>
            <w:shd w:val="clear" w:color="auto" w:fill="CFF0FC"/>
          </w:tcPr>
          <w:p>
            <w:pPr>
              <w:spacing w:after="0"/>
              <w:rPr>
                <w:sz w:val="19"/>
                <w:szCs w:val="19"/>
                <w:color w:val="auto"/>
              </w:rPr>
            </w:pPr>
          </w:p>
        </w:tc>
        <w:tc>
          <w:tcPr>
            <w:tcW w:w="10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13,505</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7860" w:type="dxa"/>
            <w:vAlign w:val="bottom"/>
          </w:tcPr>
          <w:p>
            <w:pPr>
              <w:ind w:left="500"/>
              <w:spacing w:after="0"/>
              <w:rPr>
                <w:sz w:val="20"/>
                <w:szCs w:val="20"/>
                <w:color w:val="auto"/>
              </w:rPr>
            </w:pPr>
            <w:r>
              <w:rPr>
                <w:rFonts w:ascii="Arial" w:cs="Arial" w:eastAsia="Arial" w:hAnsi="Arial"/>
                <w:sz w:val="18"/>
                <w:szCs w:val="18"/>
                <w:color w:val="auto"/>
              </w:rPr>
              <w:t>Income taxes payable</w:t>
            </w:r>
          </w:p>
        </w:tc>
        <w:tc>
          <w:tcPr>
            <w:tcW w:w="360" w:type="dxa"/>
            <w:vAlign w:val="bottom"/>
          </w:tcPr>
          <w:p>
            <w:pPr>
              <w:spacing w:after="0"/>
              <w:rPr>
                <w:sz w:val="19"/>
                <w:szCs w:val="19"/>
                <w:color w:val="auto"/>
              </w:rPr>
            </w:pPr>
          </w:p>
        </w:tc>
        <w:tc>
          <w:tcPr>
            <w:tcW w:w="1380" w:type="dxa"/>
            <w:vAlign w:val="bottom"/>
            <w:gridSpan w:val="2"/>
          </w:tcPr>
          <w:p>
            <w:pPr>
              <w:jc w:val="right"/>
              <w:ind w:right="100"/>
              <w:spacing w:after="0"/>
              <w:rPr>
                <w:sz w:val="20"/>
                <w:szCs w:val="20"/>
                <w:color w:val="auto"/>
              </w:rPr>
            </w:pPr>
            <w:r>
              <w:rPr>
                <w:rFonts w:ascii="Arial" w:cs="Arial" w:eastAsia="Arial" w:hAnsi="Arial"/>
                <w:sz w:val="18"/>
                <w:szCs w:val="18"/>
                <w:color w:val="auto"/>
              </w:rPr>
              <w:t>(7,475)</w:t>
            </w:r>
          </w:p>
        </w:tc>
        <w:tc>
          <w:tcPr>
            <w:tcW w:w="12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1140" w:type="dxa"/>
            <w:vAlign w:val="bottom"/>
            <w:gridSpan w:val="2"/>
          </w:tcPr>
          <w:p>
            <w:pPr>
              <w:jc w:val="right"/>
              <w:ind w:right="60"/>
              <w:spacing w:after="0"/>
              <w:rPr>
                <w:sz w:val="20"/>
                <w:szCs w:val="20"/>
                <w:color w:val="auto"/>
              </w:rPr>
            </w:pPr>
            <w:r>
              <w:rPr>
                <w:rFonts w:ascii="Arial" w:cs="Arial" w:eastAsia="Arial" w:hAnsi="Arial"/>
                <w:sz w:val="18"/>
                <w:szCs w:val="18"/>
                <w:color w:val="auto"/>
              </w:rPr>
              <w:t>(3,206)</w:t>
            </w:r>
          </w:p>
        </w:tc>
        <w:tc>
          <w:tcPr>
            <w:tcW w:w="0" w:type="dxa"/>
            <w:vAlign w:val="bottom"/>
          </w:tcPr>
          <w:p>
            <w:pPr>
              <w:spacing w:after="0"/>
              <w:rPr>
                <w:sz w:val="1"/>
                <w:szCs w:val="1"/>
                <w:color w:val="auto"/>
              </w:rPr>
            </w:pPr>
          </w:p>
        </w:tc>
      </w:tr>
      <w:tr>
        <w:trPr>
          <w:trHeight w:val="229"/>
        </w:trPr>
        <w:tc>
          <w:tcPr>
            <w:tcW w:w="7860" w:type="dxa"/>
            <w:vAlign w:val="bottom"/>
            <w:shd w:val="clear" w:color="auto" w:fill="CFF0FC"/>
          </w:tcPr>
          <w:p>
            <w:pPr>
              <w:ind w:left="500"/>
              <w:spacing w:after="0"/>
              <w:rPr>
                <w:sz w:val="20"/>
                <w:szCs w:val="20"/>
                <w:color w:val="auto"/>
              </w:rPr>
            </w:pPr>
            <w:r>
              <w:rPr>
                <w:rFonts w:ascii="Arial" w:cs="Arial" w:eastAsia="Arial" w:hAnsi="Arial"/>
                <w:sz w:val="18"/>
                <w:szCs w:val="18"/>
                <w:color w:val="auto"/>
              </w:rPr>
              <w:t>Other assets and liabilities, net</w:t>
            </w:r>
          </w:p>
        </w:tc>
        <w:tc>
          <w:tcPr>
            <w:tcW w:w="360" w:type="dxa"/>
            <w:vAlign w:val="bottom"/>
            <w:tcBorders>
              <w:bottom w:val="single" w:sz="8" w:color="auto"/>
            </w:tcBorders>
            <w:shd w:val="clear" w:color="auto" w:fill="CFF0FC"/>
          </w:tcPr>
          <w:p>
            <w:pPr>
              <w:spacing w:after="0"/>
              <w:rPr>
                <w:sz w:val="19"/>
                <w:szCs w:val="19"/>
                <w:color w:val="auto"/>
              </w:rPr>
            </w:pPr>
          </w:p>
        </w:tc>
        <w:tc>
          <w:tcPr>
            <w:tcW w:w="12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16,316</w:t>
            </w:r>
          </w:p>
        </w:tc>
        <w:tc>
          <w:tcPr>
            <w:tcW w:w="16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560" w:type="dxa"/>
            <w:vAlign w:val="bottom"/>
            <w:tcBorders>
              <w:bottom w:val="single" w:sz="8" w:color="auto"/>
            </w:tcBorders>
            <w:shd w:val="clear" w:color="auto" w:fill="CFF0FC"/>
          </w:tcPr>
          <w:p>
            <w:pPr>
              <w:spacing w:after="0"/>
              <w:rPr>
                <w:sz w:val="19"/>
                <w:szCs w:val="19"/>
                <w:color w:val="auto"/>
              </w:rPr>
            </w:pPr>
          </w:p>
        </w:tc>
        <w:tc>
          <w:tcPr>
            <w:tcW w:w="10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19,301</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2"/>
        </w:trPr>
        <w:tc>
          <w:tcPr>
            <w:tcW w:w="7860" w:type="dxa"/>
            <w:vAlign w:val="bottom"/>
            <w:tcBorders>
              <w:bottom w:val="single" w:sz="8" w:color="CFF0FC"/>
            </w:tcBorders>
          </w:tcPr>
          <w:p>
            <w:pPr>
              <w:spacing w:after="0"/>
              <w:rPr>
                <w:sz w:val="20"/>
                <w:szCs w:val="20"/>
                <w:color w:val="auto"/>
              </w:rPr>
            </w:pPr>
            <w:r>
              <w:rPr>
                <w:rFonts w:ascii="Arial" w:cs="Arial" w:eastAsia="Arial" w:hAnsi="Arial"/>
                <w:sz w:val="18"/>
                <w:szCs w:val="18"/>
                <w:b w:val="1"/>
                <w:bCs w:val="1"/>
                <w:color w:val="auto"/>
              </w:rPr>
              <w:t>Net cash provided by (used in) operating activities</w:t>
            </w:r>
          </w:p>
        </w:tc>
        <w:tc>
          <w:tcPr>
            <w:tcW w:w="360" w:type="dxa"/>
            <w:vAlign w:val="bottom"/>
            <w:tcBorders>
              <w:bottom w:val="single" w:sz="8" w:color="auto"/>
            </w:tcBorders>
          </w:tcPr>
          <w:p>
            <w:pPr>
              <w:spacing w:after="0"/>
              <w:rPr>
                <w:sz w:val="19"/>
                <w:szCs w:val="19"/>
                <w:color w:val="auto"/>
              </w:rPr>
            </w:pP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(3,419)</w:t>
            </w:r>
          </w:p>
        </w:tc>
        <w:tc>
          <w:tcPr>
            <w:tcW w:w="160" w:type="dxa"/>
            <w:vAlign w:val="bottom"/>
            <w:tcBorders>
              <w:bottom w:val="single" w:sz="8" w:color="CFF0FC"/>
            </w:tcBorders>
          </w:tcPr>
          <w:p>
            <w:pPr>
              <w:spacing w:after="0"/>
              <w:rPr>
                <w:sz w:val="19"/>
                <w:szCs w:val="19"/>
                <w:color w:val="auto"/>
              </w:rPr>
            </w:pPr>
          </w:p>
        </w:tc>
        <w:tc>
          <w:tcPr>
            <w:tcW w:w="120" w:type="dxa"/>
            <w:vAlign w:val="bottom"/>
            <w:tcBorders>
              <w:bottom w:val="single" w:sz="8" w:color="CFF0FC"/>
            </w:tcBorders>
          </w:tcPr>
          <w:p>
            <w:pPr>
              <w:spacing w:after="0"/>
              <w:rPr>
                <w:sz w:val="19"/>
                <w:szCs w:val="19"/>
                <w:color w:val="auto"/>
              </w:rPr>
            </w:pPr>
          </w:p>
        </w:tc>
        <w:tc>
          <w:tcPr>
            <w:tcW w:w="560" w:type="dxa"/>
            <w:vAlign w:val="bottom"/>
            <w:tcBorders>
              <w:bottom w:val="single" w:sz="8" w:color="auto"/>
            </w:tcBorders>
          </w:tcPr>
          <w:p>
            <w:pPr>
              <w:spacing w:after="0"/>
              <w:rPr>
                <w:sz w:val="19"/>
                <w:szCs w:val="19"/>
                <w:color w:val="auto"/>
              </w:rPr>
            </w:pP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32,238</w:t>
            </w:r>
          </w:p>
        </w:tc>
        <w:tc>
          <w:tcPr>
            <w:tcW w:w="120" w:type="dxa"/>
            <w:vAlign w:val="bottom"/>
            <w:tcBorders>
              <w:bottom w:val="single" w:sz="8" w:color="CFF0FC"/>
            </w:tcBorders>
          </w:tcPr>
          <w:p>
            <w:pPr>
              <w:spacing w:after="0"/>
              <w:rPr>
                <w:sz w:val="19"/>
                <w:szCs w:val="19"/>
                <w:color w:val="auto"/>
              </w:rPr>
            </w:pPr>
          </w:p>
        </w:tc>
        <w:tc>
          <w:tcPr>
            <w:tcW w:w="0" w:type="dxa"/>
            <w:vAlign w:val="bottom"/>
          </w:tcPr>
          <w:p>
            <w:pPr>
              <w:spacing w:after="0"/>
              <w:rPr>
                <w:sz w:val="1"/>
                <w:szCs w:val="1"/>
                <w:color w:val="auto"/>
              </w:rPr>
            </w:pPr>
          </w:p>
        </w:tc>
      </w:tr>
      <w:tr>
        <w:trPr>
          <w:trHeight w:val="222"/>
        </w:trPr>
        <w:tc>
          <w:tcPr>
            <w:tcW w:w="7860" w:type="dxa"/>
            <w:vAlign w:val="bottom"/>
            <w:shd w:val="clear" w:color="auto" w:fill="CFF0FC"/>
          </w:tcPr>
          <w:p>
            <w:pPr>
              <w:spacing w:after="0"/>
              <w:rPr>
                <w:sz w:val="20"/>
                <w:szCs w:val="20"/>
                <w:color w:val="auto"/>
              </w:rPr>
            </w:pPr>
            <w:r>
              <w:rPr>
                <w:rFonts w:ascii="Arial" w:cs="Arial" w:eastAsia="Arial" w:hAnsi="Arial"/>
                <w:sz w:val="18"/>
                <w:szCs w:val="18"/>
                <w:b w:val="1"/>
                <w:bCs w:val="1"/>
                <w:color w:val="auto"/>
              </w:rPr>
              <w:t>Cash flows from investing activities</w:t>
            </w:r>
          </w:p>
        </w:tc>
        <w:tc>
          <w:tcPr>
            <w:tcW w:w="360" w:type="dxa"/>
            <w:vAlign w:val="bottom"/>
            <w:shd w:val="clear" w:color="auto" w:fill="CFF0FC"/>
          </w:tcPr>
          <w:p>
            <w:pPr>
              <w:spacing w:after="0"/>
              <w:rPr>
                <w:sz w:val="19"/>
                <w:szCs w:val="19"/>
                <w:color w:val="auto"/>
              </w:rPr>
            </w:pPr>
          </w:p>
        </w:tc>
        <w:tc>
          <w:tcPr>
            <w:tcW w:w="122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560" w:type="dxa"/>
            <w:vAlign w:val="bottom"/>
            <w:shd w:val="clear" w:color="auto" w:fill="CFF0FC"/>
          </w:tcPr>
          <w:p>
            <w:pPr>
              <w:spacing w:after="0"/>
              <w:rPr>
                <w:sz w:val="19"/>
                <w:szCs w:val="19"/>
                <w:color w:val="auto"/>
              </w:rPr>
            </w:pPr>
          </w:p>
        </w:tc>
        <w:tc>
          <w:tcPr>
            <w:tcW w:w="10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7860" w:type="dxa"/>
            <w:vAlign w:val="bottom"/>
          </w:tcPr>
          <w:p>
            <w:pPr>
              <w:ind w:left="260"/>
              <w:spacing w:after="0"/>
              <w:rPr>
                <w:sz w:val="20"/>
                <w:szCs w:val="20"/>
                <w:color w:val="auto"/>
              </w:rPr>
            </w:pPr>
            <w:r>
              <w:rPr>
                <w:rFonts w:ascii="Arial" w:cs="Arial" w:eastAsia="Arial" w:hAnsi="Arial"/>
                <w:sz w:val="18"/>
                <w:szCs w:val="18"/>
                <w:color w:val="auto"/>
              </w:rPr>
              <w:t>Capital expenditures</w:t>
            </w:r>
          </w:p>
        </w:tc>
        <w:tc>
          <w:tcPr>
            <w:tcW w:w="360" w:type="dxa"/>
            <w:vAlign w:val="bottom"/>
          </w:tcPr>
          <w:p>
            <w:pPr>
              <w:spacing w:after="0"/>
              <w:rPr>
                <w:sz w:val="19"/>
                <w:szCs w:val="19"/>
                <w:color w:val="auto"/>
              </w:rPr>
            </w:pPr>
          </w:p>
        </w:tc>
        <w:tc>
          <w:tcPr>
            <w:tcW w:w="1380" w:type="dxa"/>
            <w:vAlign w:val="bottom"/>
            <w:gridSpan w:val="2"/>
          </w:tcPr>
          <w:p>
            <w:pPr>
              <w:jc w:val="right"/>
              <w:ind w:right="100"/>
              <w:spacing w:after="0"/>
              <w:rPr>
                <w:sz w:val="20"/>
                <w:szCs w:val="20"/>
                <w:color w:val="auto"/>
              </w:rPr>
            </w:pPr>
            <w:r>
              <w:rPr>
                <w:rFonts w:ascii="Arial" w:cs="Arial" w:eastAsia="Arial" w:hAnsi="Arial"/>
                <w:sz w:val="18"/>
                <w:szCs w:val="18"/>
                <w:color w:val="auto"/>
              </w:rPr>
              <w:t>(26,586)</w:t>
            </w:r>
          </w:p>
        </w:tc>
        <w:tc>
          <w:tcPr>
            <w:tcW w:w="12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1140" w:type="dxa"/>
            <w:vAlign w:val="bottom"/>
            <w:gridSpan w:val="2"/>
          </w:tcPr>
          <w:p>
            <w:pPr>
              <w:jc w:val="right"/>
              <w:ind w:right="60"/>
              <w:spacing w:after="0"/>
              <w:rPr>
                <w:sz w:val="20"/>
                <w:szCs w:val="20"/>
                <w:color w:val="auto"/>
              </w:rPr>
            </w:pPr>
            <w:r>
              <w:rPr>
                <w:rFonts w:ascii="Arial" w:cs="Arial" w:eastAsia="Arial" w:hAnsi="Arial"/>
                <w:sz w:val="18"/>
                <w:szCs w:val="18"/>
                <w:color w:val="auto"/>
              </w:rPr>
              <w:t>(14,662)</w:t>
            </w:r>
          </w:p>
        </w:tc>
        <w:tc>
          <w:tcPr>
            <w:tcW w:w="0" w:type="dxa"/>
            <w:vAlign w:val="bottom"/>
          </w:tcPr>
          <w:p>
            <w:pPr>
              <w:spacing w:after="0"/>
              <w:rPr>
                <w:sz w:val="1"/>
                <w:szCs w:val="1"/>
                <w:color w:val="auto"/>
              </w:rPr>
            </w:pPr>
          </w:p>
        </w:tc>
      </w:tr>
      <w:tr>
        <w:trPr>
          <w:trHeight w:val="229"/>
        </w:trPr>
        <w:tc>
          <w:tcPr>
            <w:tcW w:w="7860" w:type="dxa"/>
            <w:vAlign w:val="bottom"/>
            <w:shd w:val="clear" w:color="auto" w:fill="CFF0FC"/>
          </w:tcPr>
          <w:p>
            <w:pPr>
              <w:ind w:left="260"/>
              <w:spacing w:after="0"/>
              <w:rPr>
                <w:sz w:val="20"/>
                <w:szCs w:val="20"/>
                <w:color w:val="auto"/>
              </w:rPr>
            </w:pPr>
            <w:r>
              <w:rPr>
                <w:rFonts w:ascii="Arial" w:cs="Arial" w:eastAsia="Arial" w:hAnsi="Arial"/>
                <w:sz w:val="18"/>
                <w:szCs w:val="18"/>
                <w:color w:val="auto"/>
              </w:rPr>
              <w:t>Proceeds from insurance</w:t>
            </w:r>
          </w:p>
        </w:tc>
        <w:tc>
          <w:tcPr>
            <w:tcW w:w="360" w:type="dxa"/>
            <w:vAlign w:val="bottom"/>
            <w:shd w:val="clear" w:color="auto" w:fill="CFF0FC"/>
          </w:tcPr>
          <w:p>
            <w:pPr>
              <w:spacing w:after="0"/>
              <w:rPr>
                <w:sz w:val="19"/>
                <w:szCs w:val="19"/>
                <w:color w:val="auto"/>
              </w:rPr>
            </w:pPr>
          </w:p>
        </w:tc>
        <w:tc>
          <w:tcPr>
            <w:tcW w:w="1380" w:type="dxa"/>
            <w:vAlign w:val="bottom"/>
            <w:gridSpan w:val="2"/>
            <w:shd w:val="clear" w:color="auto" w:fill="CFF0FC"/>
          </w:tcPr>
          <w:p>
            <w:pPr>
              <w:jc w:val="right"/>
              <w:ind w:right="180"/>
              <w:spacing w:after="0"/>
              <w:rPr>
                <w:sz w:val="20"/>
                <w:szCs w:val="20"/>
                <w:color w:val="auto"/>
              </w:rPr>
            </w:pPr>
            <w:r>
              <w:rPr>
                <w:rFonts w:ascii="Arial" w:cs="Arial" w:eastAsia="Arial" w:hAnsi="Arial"/>
                <w:sz w:val="18"/>
                <w:szCs w:val="18"/>
                <w:color w:val="auto"/>
              </w:rPr>
              <w:t>—</w:t>
            </w:r>
          </w:p>
        </w:tc>
        <w:tc>
          <w:tcPr>
            <w:tcW w:w="120" w:type="dxa"/>
            <w:vAlign w:val="bottom"/>
            <w:shd w:val="clear" w:color="auto" w:fill="CFF0FC"/>
          </w:tcPr>
          <w:p>
            <w:pPr>
              <w:spacing w:after="0"/>
              <w:rPr>
                <w:sz w:val="19"/>
                <w:szCs w:val="19"/>
                <w:color w:val="auto"/>
              </w:rPr>
            </w:pPr>
          </w:p>
        </w:tc>
        <w:tc>
          <w:tcPr>
            <w:tcW w:w="560" w:type="dxa"/>
            <w:vAlign w:val="bottom"/>
            <w:shd w:val="clear" w:color="auto" w:fill="CFF0FC"/>
          </w:tcPr>
          <w:p>
            <w:pPr>
              <w:spacing w:after="0"/>
              <w:rPr>
                <w:sz w:val="19"/>
                <w:szCs w:val="19"/>
                <w:color w:val="auto"/>
              </w:rPr>
            </w:pPr>
          </w:p>
        </w:tc>
        <w:tc>
          <w:tcPr>
            <w:tcW w:w="10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4,583</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7860" w:type="dxa"/>
            <w:vAlign w:val="bottom"/>
          </w:tcPr>
          <w:p>
            <w:pPr>
              <w:ind w:left="260"/>
              <w:spacing w:after="0"/>
              <w:rPr>
                <w:sz w:val="20"/>
                <w:szCs w:val="20"/>
                <w:color w:val="auto"/>
              </w:rPr>
            </w:pPr>
            <w:r>
              <w:rPr>
                <w:rFonts w:ascii="Arial" w:cs="Arial" w:eastAsia="Arial" w:hAnsi="Arial"/>
                <w:sz w:val="18"/>
                <w:szCs w:val="18"/>
                <w:color w:val="auto"/>
              </w:rPr>
              <w:t>Cash paid for acquired businesses, net</w:t>
            </w:r>
          </w:p>
        </w:tc>
        <w:tc>
          <w:tcPr>
            <w:tcW w:w="360" w:type="dxa"/>
            <w:vAlign w:val="bottom"/>
          </w:tcPr>
          <w:p>
            <w:pPr>
              <w:spacing w:after="0"/>
              <w:rPr>
                <w:sz w:val="19"/>
                <w:szCs w:val="19"/>
                <w:color w:val="auto"/>
              </w:rPr>
            </w:pPr>
          </w:p>
        </w:tc>
        <w:tc>
          <w:tcPr>
            <w:tcW w:w="138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1140" w:type="dxa"/>
            <w:vAlign w:val="bottom"/>
            <w:gridSpan w:val="2"/>
          </w:tcPr>
          <w:p>
            <w:pPr>
              <w:jc w:val="right"/>
              <w:ind w:right="60"/>
              <w:spacing w:after="0"/>
              <w:rPr>
                <w:sz w:val="20"/>
                <w:szCs w:val="20"/>
                <w:color w:val="auto"/>
              </w:rPr>
            </w:pPr>
            <w:r>
              <w:rPr>
                <w:rFonts w:ascii="Arial" w:cs="Arial" w:eastAsia="Arial" w:hAnsi="Arial"/>
                <w:sz w:val="18"/>
                <w:szCs w:val="18"/>
                <w:color w:val="auto"/>
              </w:rPr>
              <w:t>(1,661)</w:t>
            </w:r>
          </w:p>
        </w:tc>
        <w:tc>
          <w:tcPr>
            <w:tcW w:w="0" w:type="dxa"/>
            <w:vAlign w:val="bottom"/>
          </w:tcPr>
          <w:p>
            <w:pPr>
              <w:spacing w:after="0"/>
              <w:rPr>
                <w:sz w:val="1"/>
                <w:szCs w:val="1"/>
                <w:color w:val="auto"/>
              </w:rPr>
            </w:pPr>
          </w:p>
        </w:tc>
      </w:tr>
      <w:tr>
        <w:trPr>
          <w:trHeight w:val="229"/>
        </w:trPr>
        <w:tc>
          <w:tcPr>
            <w:tcW w:w="7860" w:type="dxa"/>
            <w:vAlign w:val="bottom"/>
            <w:shd w:val="clear" w:color="auto" w:fill="CFF0FC"/>
          </w:tcPr>
          <w:p>
            <w:pPr>
              <w:ind w:left="260"/>
              <w:spacing w:after="0"/>
              <w:rPr>
                <w:sz w:val="20"/>
                <w:szCs w:val="20"/>
                <w:color w:val="auto"/>
              </w:rPr>
            </w:pPr>
            <w:r>
              <w:rPr>
                <w:rFonts w:ascii="Arial" w:cs="Arial" w:eastAsia="Arial" w:hAnsi="Arial"/>
                <w:sz w:val="18"/>
                <w:szCs w:val="18"/>
                <w:color w:val="auto"/>
              </w:rPr>
              <w:t>Proceeds from dispositions of property and other assets</w:t>
            </w:r>
          </w:p>
        </w:tc>
        <w:tc>
          <w:tcPr>
            <w:tcW w:w="360" w:type="dxa"/>
            <w:vAlign w:val="bottom"/>
            <w:tcBorders>
              <w:bottom w:val="single" w:sz="8" w:color="auto"/>
            </w:tcBorders>
            <w:shd w:val="clear" w:color="auto" w:fill="CFF0FC"/>
          </w:tcPr>
          <w:p>
            <w:pPr>
              <w:spacing w:after="0"/>
              <w:rPr>
                <w:sz w:val="19"/>
                <w:szCs w:val="19"/>
                <w:color w:val="auto"/>
              </w:rPr>
            </w:pPr>
          </w:p>
        </w:tc>
        <w:tc>
          <w:tcPr>
            <w:tcW w:w="12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1,139</w:t>
            </w:r>
          </w:p>
        </w:tc>
        <w:tc>
          <w:tcPr>
            <w:tcW w:w="16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560" w:type="dxa"/>
            <w:vAlign w:val="bottom"/>
            <w:tcBorders>
              <w:bottom w:val="single" w:sz="8" w:color="auto"/>
            </w:tcBorders>
            <w:shd w:val="clear" w:color="auto" w:fill="CFF0FC"/>
          </w:tcPr>
          <w:p>
            <w:pPr>
              <w:spacing w:after="0"/>
              <w:rPr>
                <w:sz w:val="19"/>
                <w:szCs w:val="19"/>
                <w:color w:val="auto"/>
              </w:rPr>
            </w:pPr>
          </w:p>
        </w:tc>
        <w:tc>
          <w:tcPr>
            <w:tcW w:w="10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550</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2"/>
        </w:trPr>
        <w:tc>
          <w:tcPr>
            <w:tcW w:w="7860" w:type="dxa"/>
            <w:vAlign w:val="bottom"/>
            <w:tcBorders>
              <w:bottom w:val="single" w:sz="8" w:color="CFF0FC"/>
            </w:tcBorders>
          </w:tcPr>
          <w:p>
            <w:pPr>
              <w:spacing w:after="0"/>
              <w:rPr>
                <w:sz w:val="20"/>
                <w:szCs w:val="20"/>
                <w:color w:val="auto"/>
              </w:rPr>
            </w:pPr>
            <w:r>
              <w:rPr>
                <w:rFonts w:ascii="Arial" w:cs="Arial" w:eastAsia="Arial" w:hAnsi="Arial"/>
                <w:sz w:val="18"/>
                <w:szCs w:val="18"/>
                <w:b w:val="1"/>
                <w:bCs w:val="1"/>
                <w:color w:val="auto"/>
              </w:rPr>
              <w:t>Net cash used in investing activities</w:t>
            </w:r>
          </w:p>
        </w:tc>
        <w:tc>
          <w:tcPr>
            <w:tcW w:w="360" w:type="dxa"/>
            <w:vAlign w:val="bottom"/>
            <w:tcBorders>
              <w:bottom w:val="single" w:sz="8" w:color="auto"/>
            </w:tcBorders>
          </w:tcPr>
          <w:p>
            <w:pPr>
              <w:spacing w:after="0"/>
              <w:rPr>
                <w:sz w:val="19"/>
                <w:szCs w:val="19"/>
                <w:color w:val="auto"/>
              </w:rPr>
            </w:pP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(25,447)</w:t>
            </w:r>
          </w:p>
        </w:tc>
        <w:tc>
          <w:tcPr>
            <w:tcW w:w="160" w:type="dxa"/>
            <w:vAlign w:val="bottom"/>
            <w:tcBorders>
              <w:bottom w:val="single" w:sz="8" w:color="CFF0FC"/>
            </w:tcBorders>
          </w:tcPr>
          <w:p>
            <w:pPr>
              <w:spacing w:after="0"/>
              <w:rPr>
                <w:sz w:val="19"/>
                <w:szCs w:val="19"/>
                <w:color w:val="auto"/>
              </w:rPr>
            </w:pPr>
          </w:p>
        </w:tc>
        <w:tc>
          <w:tcPr>
            <w:tcW w:w="120" w:type="dxa"/>
            <w:vAlign w:val="bottom"/>
            <w:tcBorders>
              <w:bottom w:val="single" w:sz="8" w:color="CFF0FC"/>
            </w:tcBorders>
          </w:tcPr>
          <w:p>
            <w:pPr>
              <w:spacing w:after="0"/>
              <w:rPr>
                <w:sz w:val="19"/>
                <w:szCs w:val="19"/>
                <w:color w:val="auto"/>
              </w:rPr>
            </w:pPr>
          </w:p>
        </w:tc>
        <w:tc>
          <w:tcPr>
            <w:tcW w:w="560" w:type="dxa"/>
            <w:vAlign w:val="bottom"/>
            <w:tcBorders>
              <w:bottom w:val="single" w:sz="8" w:color="auto"/>
            </w:tcBorders>
          </w:tcPr>
          <w:p>
            <w:pPr>
              <w:spacing w:after="0"/>
              <w:rPr>
                <w:sz w:val="19"/>
                <w:szCs w:val="19"/>
                <w:color w:val="auto"/>
              </w:rPr>
            </w:pP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(11,190)</w:t>
            </w:r>
          </w:p>
        </w:tc>
        <w:tc>
          <w:tcPr>
            <w:tcW w:w="120" w:type="dxa"/>
            <w:vAlign w:val="bottom"/>
            <w:tcBorders>
              <w:bottom w:val="single" w:sz="8" w:color="CFF0FC"/>
            </w:tcBorders>
          </w:tcPr>
          <w:p>
            <w:pPr>
              <w:spacing w:after="0"/>
              <w:rPr>
                <w:sz w:val="19"/>
                <w:szCs w:val="19"/>
                <w:color w:val="auto"/>
              </w:rPr>
            </w:pPr>
          </w:p>
        </w:tc>
        <w:tc>
          <w:tcPr>
            <w:tcW w:w="0" w:type="dxa"/>
            <w:vAlign w:val="bottom"/>
          </w:tcPr>
          <w:p>
            <w:pPr>
              <w:spacing w:after="0"/>
              <w:rPr>
                <w:sz w:val="1"/>
                <w:szCs w:val="1"/>
                <w:color w:val="auto"/>
              </w:rPr>
            </w:pPr>
          </w:p>
        </w:tc>
      </w:tr>
      <w:tr>
        <w:trPr>
          <w:trHeight w:val="222"/>
        </w:trPr>
        <w:tc>
          <w:tcPr>
            <w:tcW w:w="7860" w:type="dxa"/>
            <w:vAlign w:val="bottom"/>
            <w:shd w:val="clear" w:color="auto" w:fill="CFF0FC"/>
          </w:tcPr>
          <w:p>
            <w:pPr>
              <w:spacing w:after="0"/>
              <w:rPr>
                <w:sz w:val="20"/>
                <w:szCs w:val="20"/>
                <w:color w:val="auto"/>
              </w:rPr>
            </w:pPr>
            <w:r>
              <w:rPr>
                <w:rFonts w:ascii="Arial" w:cs="Arial" w:eastAsia="Arial" w:hAnsi="Arial"/>
                <w:sz w:val="18"/>
                <w:szCs w:val="18"/>
                <w:b w:val="1"/>
                <w:bCs w:val="1"/>
                <w:color w:val="auto"/>
              </w:rPr>
              <w:t>Cash flows from financing activities</w:t>
            </w:r>
          </w:p>
        </w:tc>
        <w:tc>
          <w:tcPr>
            <w:tcW w:w="360" w:type="dxa"/>
            <w:vAlign w:val="bottom"/>
            <w:shd w:val="clear" w:color="auto" w:fill="CFF0FC"/>
          </w:tcPr>
          <w:p>
            <w:pPr>
              <w:spacing w:after="0"/>
              <w:rPr>
                <w:sz w:val="19"/>
                <w:szCs w:val="19"/>
                <w:color w:val="auto"/>
              </w:rPr>
            </w:pPr>
          </w:p>
        </w:tc>
        <w:tc>
          <w:tcPr>
            <w:tcW w:w="122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560" w:type="dxa"/>
            <w:vAlign w:val="bottom"/>
            <w:shd w:val="clear" w:color="auto" w:fill="CFF0FC"/>
          </w:tcPr>
          <w:p>
            <w:pPr>
              <w:spacing w:after="0"/>
              <w:rPr>
                <w:sz w:val="19"/>
                <w:szCs w:val="19"/>
                <w:color w:val="auto"/>
              </w:rPr>
            </w:pPr>
          </w:p>
        </w:tc>
        <w:tc>
          <w:tcPr>
            <w:tcW w:w="10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7860" w:type="dxa"/>
            <w:vAlign w:val="bottom"/>
          </w:tcPr>
          <w:p>
            <w:pPr>
              <w:ind w:left="260"/>
              <w:spacing w:after="0"/>
              <w:rPr>
                <w:sz w:val="20"/>
                <w:szCs w:val="20"/>
                <w:color w:val="auto"/>
              </w:rPr>
            </w:pPr>
            <w:r>
              <w:rPr>
                <w:rFonts w:ascii="Arial" w:cs="Arial" w:eastAsia="Arial" w:hAnsi="Arial"/>
                <w:sz w:val="18"/>
                <w:szCs w:val="18"/>
                <w:color w:val="auto"/>
              </w:rPr>
              <w:t>Proceeds from borrowings</w:t>
            </w:r>
          </w:p>
        </w:tc>
        <w:tc>
          <w:tcPr>
            <w:tcW w:w="360" w:type="dxa"/>
            <w:vAlign w:val="bottom"/>
          </w:tcPr>
          <w:p>
            <w:pPr>
              <w:spacing w:after="0"/>
              <w:rPr>
                <w:sz w:val="19"/>
                <w:szCs w:val="19"/>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36,038</w:t>
            </w:r>
          </w:p>
        </w:tc>
        <w:tc>
          <w:tcPr>
            <w:tcW w:w="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17,574</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7860" w:type="dxa"/>
            <w:vAlign w:val="bottom"/>
            <w:shd w:val="clear" w:color="auto" w:fill="CFF0FC"/>
          </w:tcPr>
          <w:p>
            <w:pPr>
              <w:ind w:left="260"/>
              <w:spacing w:after="0"/>
              <w:rPr>
                <w:sz w:val="20"/>
                <w:szCs w:val="20"/>
                <w:color w:val="auto"/>
              </w:rPr>
            </w:pPr>
            <w:r>
              <w:rPr>
                <w:rFonts w:ascii="Arial" w:cs="Arial" w:eastAsia="Arial" w:hAnsi="Arial"/>
                <w:sz w:val="18"/>
                <w:szCs w:val="18"/>
                <w:color w:val="auto"/>
              </w:rPr>
              <w:t>Payments on debt and capital lease obligations</w:t>
            </w:r>
          </w:p>
        </w:tc>
        <w:tc>
          <w:tcPr>
            <w:tcW w:w="360" w:type="dxa"/>
            <w:vAlign w:val="bottom"/>
            <w:shd w:val="clear" w:color="auto" w:fill="CFF0FC"/>
          </w:tcPr>
          <w:p>
            <w:pPr>
              <w:spacing w:after="0"/>
              <w:rPr>
                <w:sz w:val="19"/>
                <w:szCs w:val="19"/>
                <w:color w:val="auto"/>
              </w:rPr>
            </w:pPr>
          </w:p>
        </w:tc>
        <w:tc>
          <w:tcPr>
            <w:tcW w:w="1380" w:type="dxa"/>
            <w:vAlign w:val="bottom"/>
            <w:gridSpan w:val="2"/>
            <w:shd w:val="clear" w:color="auto" w:fill="CFF0FC"/>
          </w:tcPr>
          <w:p>
            <w:pPr>
              <w:jc w:val="right"/>
              <w:ind w:right="100"/>
              <w:spacing w:after="0"/>
              <w:rPr>
                <w:sz w:val="20"/>
                <w:szCs w:val="20"/>
                <w:color w:val="auto"/>
              </w:rPr>
            </w:pPr>
            <w:r>
              <w:rPr>
                <w:rFonts w:ascii="Arial" w:cs="Arial" w:eastAsia="Arial" w:hAnsi="Arial"/>
                <w:sz w:val="18"/>
                <w:szCs w:val="18"/>
                <w:color w:val="auto"/>
              </w:rPr>
              <w:t>(15,348)</w:t>
            </w:r>
          </w:p>
        </w:tc>
        <w:tc>
          <w:tcPr>
            <w:tcW w:w="120" w:type="dxa"/>
            <w:vAlign w:val="bottom"/>
            <w:shd w:val="clear" w:color="auto" w:fill="CFF0FC"/>
          </w:tcPr>
          <w:p>
            <w:pPr>
              <w:spacing w:after="0"/>
              <w:rPr>
                <w:sz w:val="19"/>
                <w:szCs w:val="19"/>
                <w:color w:val="auto"/>
              </w:rPr>
            </w:pPr>
          </w:p>
        </w:tc>
        <w:tc>
          <w:tcPr>
            <w:tcW w:w="560" w:type="dxa"/>
            <w:vAlign w:val="bottom"/>
            <w:shd w:val="clear" w:color="auto" w:fill="CFF0FC"/>
          </w:tcPr>
          <w:p>
            <w:pPr>
              <w:spacing w:after="0"/>
              <w:rPr>
                <w:sz w:val="19"/>
                <w:szCs w:val="19"/>
                <w:color w:val="auto"/>
              </w:rPr>
            </w:pPr>
          </w:p>
        </w:tc>
        <w:tc>
          <w:tcPr>
            <w:tcW w:w="1140" w:type="dxa"/>
            <w:vAlign w:val="bottom"/>
            <w:gridSpan w:val="2"/>
            <w:shd w:val="clear" w:color="auto" w:fill="CFF0FC"/>
          </w:tcPr>
          <w:p>
            <w:pPr>
              <w:jc w:val="right"/>
              <w:ind w:right="60"/>
              <w:spacing w:after="0"/>
              <w:rPr>
                <w:sz w:val="20"/>
                <w:szCs w:val="20"/>
                <w:color w:val="auto"/>
              </w:rPr>
            </w:pPr>
            <w:r>
              <w:rPr>
                <w:rFonts w:ascii="Arial" w:cs="Arial" w:eastAsia="Arial" w:hAnsi="Arial"/>
                <w:sz w:val="18"/>
                <w:szCs w:val="18"/>
                <w:color w:val="auto"/>
              </w:rPr>
              <w:t>(30,985)</w:t>
            </w:r>
          </w:p>
        </w:tc>
        <w:tc>
          <w:tcPr>
            <w:tcW w:w="0" w:type="dxa"/>
            <w:vAlign w:val="bottom"/>
          </w:tcPr>
          <w:p>
            <w:pPr>
              <w:spacing w:after="0"/>
              <w:rPr>
                <w:sz w:val="1"/>
                <w:szCs w:val="1"/>
                <w:color w:val="auto"/>
              </w:rPr>
            </w:pPr>
          </w:p>
        </w:tc>
      </w:tr>
      <w:tr>
        <w:trPr>
          <w:trHeight w:val="229"/>
        </w:trPr>
        <w:tc>
          <w:tcPr>
            <w:tcW w:w="7860" w:type="dxa"/>
            <w:vAlign w:val="bottom"/>
          </w:tcPr>
          <w:p>
            <w:pPr>
              <w:ind w:left="260"/>
              <w:spacing w:after="0"/>
              <w:rPr>
                <w:sz w:val="20"/>
                <w:szCs w:val="20"/>
                <w:color w:val="auto"/>
              </w:rPr>
            </w:pPr>
            <w:r>
              <w:rPr>
                <w:rFonts w:ascii="Arial" w:cs="Arial" w:eastAsia="Arial" w:hAnsi="Arial"/>
                <w:sz w:val="18"/>
                <w:szCs w:val="18"/>
                <w:color w:val="auto"/>
              </w:rPr>
              <w:t>Dividends paid on common stock</w:t>
            </w:r>
          </w:p>
        </w:tc>
        <w:tc>
          <w:tcPr>
            <w:tcW w:w="360" w:type="dxa"/>
            <w:vAlign w:val="bottom"/>
          </w:tcPr>
          <w:p>
            <w:pPr>
              <w:spacing w:after="0"/>
              <w:rPr>
                <w:sz w:val="19"/>
                <w:szCs w:val="19"/>
                <w:color w:val="auto"/>
              </w:rPr>
            </w:pPr>
          </w:p>
        </w:tc>
        <w:tc>
          <w:tcPr>
            <w:tcW w:w="1380" w:type="dxa"/>
            <w:vAlign w:val="bottom"/>
            <w:gridSpan w:val="2"/>
          </w:tcPr>
          <w:p>
            <w:pPr>
              <w:jc w:val="right"/>
              <w:ind w:right="100"/>
              <w:spacing w:after="0"/>
              <w:rPr>
                <w:sz w:val="20"/>
                <w:szCs w:val="20"/>
                <w:color w:val="auto"/>
              </w:rPr>
            </w:pPr>
            <w:r>
              <w:rPr>
                <w:rFonts w:ascii="Arial" w:cs="Arial" w:eastAsia="Arial" w:hAnsi="Arial"/>
                <w:sz w:val="18"/>
                <w:szCs w:val="18"/>
                <w:color w:val="auto"/>
              </w:rPr>
              <w:t>(2,046)</w:t>
            </w:r>
          </w:p>
        </w:tc>
        <w:tc>
          <w:tcPr>
            <w:tcW w:w="12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1140" w:type="dxa"/>
            <w:vAlign w:val="bottom"/>
            <w:gridSpan w:val="2"/>
          </w:tcPr>
          <w:p>
            <w:pPr>
              <w:jc w:val="right"/>
              <w:ind w:right="60"/>
              <w:spacing w:after="0"/>
              <w:rPr>
                <w:sz w:val="20"/>
                <w:szCs w:val="20"/>
                <w:color w:val="auto"/>
              </w:rPr>
            </w:pPr>
            <w:r>
              <w:rPr>
                <w:rFonts w:ascii="Arial" w:cs="Arial" w:eastAsia="Arial" w:hAnsi="Arial"/>
                <w:sz w:val="18"/>
                <w:szCs w:val="18"/>
                <w:color w:val="auto"/>
              </w:rPr>
              <w:t>(2,038)</w:t>
            </w:r>
          </w:p>
        </w:tc>
        <w:tc>
          <w:tcPr>
            <w:tcW w:w="0" w:type="dxa"/>
            <w:vAlign w:val="bottom"/>
          </w:tcPr>
          <w:p>
            <w:pPr>
              <w:spacing w:after="0"/>
              <w:rPr>
                <w:sz w:val="1"/>
                <w:szCs w:val="1"/>
                <w:color w:val="auto"/>
              </w:rPr>
            </w:pPr>
          </w:p>
        </w:tc>
      </w:tr>
      <w:tr>
        <w:trPr>
          <w:trHeight w:val="229"/>
        </w:trPr>
        <w:tc>
          <w:tcPr>
            <w:tcW w:w="7860" w:type="dxa"/>
            <w:vAlign w:val="bottom"/>
            <w:shd w:val="clear" w:color="auto" w:fill="CFF0FC"/>
          </w:tcPr>
          <w:p>
            <w:pPr>
              <w:ind w:left="260"/>
              <w:spacing w:after="0"/>
              <w:rPr>
                <w:sz w:val="20"/>
                <w:szCs w:val="20"/>
                <w:color w:val="auto"/>
              </w:rPr>
            </w:pPr>
            <w:r>
              <w:rPr>
                <w:rFonts w:ascii="Arial" w:cs="Arial" w:eastAsia="Arial" w:hAnsi="Arial"/>
                <w:sz w:val="18"/>
                <w:szCs w:val="18"/>
                <w:color w:val="auto"/>
              </w:rPr>
              <w:t>Common stock purchased for treasury</w:t>
            </w:r>
          </w:p>
        </w:tc>
        <w:tc>
          <w:tcPr>
            <w:tcW w:w="360" w:type="dxa"/>
            <w:vAlign w:val="bottom"/>
            <w:shd w:val="clear" w:color="auto" w:fill="CFF0FC"/>
          </w:tcPr>
          <w:p>
            <w:pPr>
              <w:spacing w:after="0"/>
              <w:rPr>
                <w:sz w:val="19"/>
                <w:szCs w:val="19"/>
                <w:color w:val="auto"/>
              </w:rPr>
            </w:pPr>
          </w:p>
        </w:tc>
        <w:tc>
          <w:tcPr>
            <w:tcW w:w="1380" w:type="dxa"/>
            <w:vAlign w:val="bottom"/>
            <w:gridSpan w:val="2"/>
            <w:shd w:val="clear" w:color="auto" w:fill="CFF0FC"/>
          </w:tcPr>
          <w:p>
            <w:pPr>
              <w:jc w:val="right"/>
              <w:ind w:right="100"/>
              <w:spacing w:after="0"/>
              <w:rPr>
                <w:sz w:val="20"/>
                <w:szCs w:val="20"/>
                <w:color w:val="auto"/>
              </w:rPr>
            </w:pPr>
            <w:r>
              <w:rPr>
                <w:rFonts w:ascii="Arial" w:cs="Arial" w:eastAsia="Arial" w:hAnsi="Arial"/>
                <w:sz w:val="18"/>
                <w:szCs w:val="18"/>
                <w:color w:val="auto"/>
              </w:rPr>
              <w:t>(868)</w:t>
            </w:r>
          </w:p>
        </w:tc>
        <w:tc>
          <w:tcPr>
            <w:tcW w:w="120" w:type="dxa"/>
            <w:vAlign w:val="bottom"/>
            <w:shd w:val="clear" w:color="auto" w:fill="CFF0FC"/>
          </w:tcPr>
          <w:p>
            <w:pPr>
              <w:spacing w:after="0"/>
              <w:rPr>
                <w:sz w:val="19"/>
                <w:szCs w:val="19"/>
                <w:color w:val="auto"/>
              </w:rPr>
            </w:pPr>
          </w:p>
        </w:tc>
        <w:tc>
          <w:tcPr>
            <w:tcW w:w="560" w:type="dxa"/>
            <w:vAlign w:val="bottom"/>
            <w:shd w:val="clear" w:color="auto" w:fill="CFF0FC"/>
          </w:tcPr>
          <w:p>
            <w:pPr>
              <w:spacing w:after="0"/>
              <w:rPr>
                <w:sz w:val="19"/>
                <w:szCs w:val="19"/>
                <w:color w:val="auto"/>
              </w:rPr>
            </w:pPr>
          </w:p>
        </w:tc>
        <w:tc>
          <w:tcPr>
            <w:tcW w:w="1140" w:type="dxa"/>
            <w:vAlign w:val="bottom"/>
            <w:gridSpan w:val="2"/>
            <w:shd w:val="clear" w:color="auto" w:fill="CFF0FC"/>
          </w:tcPr>
          <w:p>
            <w:pPr>
              <w:jc w:val="right"/>
              <w:ind w:right="60"/>
              <w:spacing w:after="0"/>
              <w:rPr>
                <w:sz w:val="20"/>
                <w:szCs w:val="20"/>
                <w:color w:val="auto"/>
              </w:rPr>
            </w:pPr>
            <w:r>
              <w:rPr>
                <w:rFonts w:ascii="Arial" w:cs="Arial" w:eastAsia="Arial" w:hAnsi="Arial"/>
                <w:sz w:val="18"/>
                <w:szCs w:val="18"/>
                <w:color w:val="auto"/>
              </w:rPr>
              <w:t>(1,204)</w:t>
            </w:r>
          </w:p>
        </w:tc>
        <w:tc>
          <w:tcPr>
            <w:tcW w:w="0" w:type="dxa"/>
            <w:vAlign w:val="bottom"/>
          </w:tcPr>
          <w:p>
            <w:pPr>
              <w:spacing w:after="0"/>
              <w:rPr>
                <w:sz w:val="1"/>
                <w:szCs w:val="1"/>
                <w:color w:val="auto"/>
              </w:rPr>
            </w:pPr>
          </w:p>
        </w:tc>
      </w:tr>
      <w:tr>
        <w:trPr>
          <w:trHeight w:val="229"/>
        </w:trPr>
        <w:tc>
          <w:tcPr>
            <w:tcW w:w="7860" w:type="dxa"/>
            <w:vAlign w:val="bottom"/>
          </w:tcPr>
          <w:p>
            <w:pPr>
              <w:ind w:left="260"/>
              <w:spacing w:after="0"/>
              <w:rPr>
                <w:sz w:val="20"/>
                <w:szCs w:val="20"/>
                <w:color w:val="auto"/>
              </w:rPr>
            </w:pPr>
            <w:r>
              <w:rPr>
                <w:rFonts w:ascii="Arial" w:cs="Arial" w:eastAsia="Arial" w:hAnsi="Arial"/>
                <w:sz w:val="18"/>
                <w:szCs w:val="18"/>
                <w:color w:val="auto"/>
              </w:rPr>
              <w:t>Proceeds from exercise of stock options</w:t>
            </w:r>
          </w:p>
        </w:tc>
        <w:tc>
          <w:tcPr>
            <w:tcW w:w="360" w:type="dxa"/>
            <w:vAlign w:val="bottom"/>
          </w:tcPr>
          <w:p>
            <w:pPr>
              <w:spacing w:after="0"/>
              <w:rPr>
                <w:sz w:val="19"/>
                <w:szCs w:val="19"/>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84</w:t>
            </w:r>
          </w:p>
        </w:tc>
        <w:tc>
          <w:tcPr>
            <w:tcW w:w="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114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2"/>
        </w:trPr>
        <w:tc>
          <w:tcPr>
            <w:tcW w:w="786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8"/>
                <w:szCs w:val="18"/>
                <w:b w:val="1"/>
                <w:bCs w:val="1"/>
                <w:color w:val="auto"/>
              </w:rPr>
              <w:t>Net cash provided by (used in) financing activities</w:t>
            </w:r>
          </w:p>
        </w:tc>
        <w:tc>
          <w:tcPr>
            <w:tcW w:w="360" w:type="dxa"/>
            <w:vAlign w:val="bottom"/>
            <w:tcBorders>
              <w:top w:val="single" w:sz="8" w:color="auto"/>
              <w:bottom w:val="single" w:sz="8" w:color="auto"/>
            </w:tcBorders>
            <w:shd w:val="clear" w:color="auto" w:fill="CFF0FC"/>
          </w:tcPr>
          <w:p>
            <w:pPr>
              <w:spacing w:after="0"/>
              <w:rPr>
                <w:sz w:val="19"/>
                <w:szCs w:val="19"/>
                <w:color w:val="auto"/>
              </w:rPr>
            </w:pPr>
          </w:p>
        </w:tc>
        <w:tc>
          <w:tcPr>
            <w:tcW w:w="122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17,860</w:t>
            </w:r>
          </w:p>
        </w:tc>
        <w:tc>
          <w:tcPr>
            <w:tcW w:w="160" w:type="dxa"/>
            <w:vAlign w:val="bottom"/>
            <w:tcBorders>
              <w:top w:val="single" w:sz="8" w:color="CFF0FC"/>
            </w:tcBorders>
            <w:shd w:val="clear" w:color="auto" w:fill="CFF0FC"/>
          </w:tcPr>
          <w:p>
            <w:pPr>
              <w:spacing w:after="0"/>
              <w:rPr>
                <w:sz w:val="19"/>
                <w:szCs w:val="19"/>
                <w:color w:val="auto"/>
              </w:rPr>
            </w:pPr>
          </w:p>
        </w:tc>
        <w:tc>
          <w:tcPr>
            <w:tcW w:w="120" w:type="dxa"/>
            <w:vAlign w:val="bottom"/>
            <w:tcBorders>
              <w:top w:val="single" w:sz="8" w:color="CFF0FC"/>
            </w:tcBorders>
            <w:shd w:val="clear" w:color="auto" w:fill="CFF0FC"/>
          </w:tcPr>
          <w:p>
            <w:pPr>
              <w:spacing w:after="0"/>
              <w:rPr>
                <w:sz w:val="19"/>
                <w:szCs w:val="19"/>
                <w:color w:val="auto"/>
              </w:rPr>
            </w:pPr>
          </w:p>
        </w:tc>
        <w:tc>
          <w:tcPr>
            <w:tcW w:w="560" w:type="dxa"/>
            <w:vAlign w:val="bottom"/>
            <w:tcBorders>
              <w:top w:val="single" w:sz="8" w:color="auto"/>
              <w:bottom w:val="single" w:sz="8" w:color="auto"/>
            </w:tcBorders>
            <w:shd w:val="clear" w:color="auto" w:fill="CFF0FC"/>
          </w:tcPr>
          <w:p>
            <w:pPr>
              <w:spacing w:after="0"/>
              <w:rPr>
                <w:sz w:val="19"/>
                <w:szCs w:val="19"/>
                <w:color w:val="auto"/>
              </w:rPr>
            </w:pPr>
          </w:p>
        </w:tc>
        <w:tc>
          <w:tcPr>
            <w:tcW w:w="102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(16,653)</w:t>
            </w:r>
          </w:p>
        </w:tc>
        <w:tc>
          <w:tcPr>
            <w:tcW w:w="120" w:type="dxa"/>
            <w:vAlign w:val="bottom"/>
            <w:tcBorders>
              <w:top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2"/>
        </w:trPr>
        <w:tc>
          <w:tcPr>
            <w:tcW w:w="7860" w:type="dxa"/>
            <w:vAlign w:val="bottom"/>
            <w:tcBorders>
              <w:bottom w:val="single" w:sz="8" w:color="CFF0FC"/>
            </w:tcBorders>
          </w:tcPr>
          <w:p>
            <w:pPr>
              <w:spacing w:after="0"/>
              <w:rPr>
                <w:sz w:val="20"/>
                <w:szCs w:val="20"/>
                <w:color w:val="auto"/>
              </w:rPr>
            </w:pPr>
            <w:r>
              <w:rPr>
                <w:rFonts w:ascii="Arial" w:cs="Arial" w:eastAsia="Arial" w:hAnsi="Arial"/>
                <w:sz w:val="18"/>
                <w:szCs w:val="18"/>
                <w:color w:val="auto"/>
              </w:rPr>
              <w:t>Effect of exchange rate changes on cash and cash equivalents</w:t>
            </w:r>
          </w:p>
        </w:tc>
        <w:tc>
          <w:tcPr>
            <w:tcW w:w="360" w:type="dxa"/>
            <w:vAlign w:val="bottom"/>
            <w:tcBorders>
              <w:bottom w:val="single" w:sz="8" w:color="auto"/>
            </w:tcBorders>
          </w:tcPr>
          <w:p>
            <w:pPr>
              <w:spacing w:after="0"/>
              <w:rPr>
                <w:sz w:val="19"/>
                <w:szCs w:val="19"/>
                <w:color w:val="auto"/>
              </w:rPr>
            </w:pP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(377)</w:t>
            </w:r>
          </w:p>
        </w:tc>
        <w:tc>
          <w:tcPr>
            <w:tcW w:w="160" w:type="dxa"/>
            <w:vAlign w:val="bottom"/>
            <w:tcBorders>
              <w:bottom w:val="single" w:sz="8" w:color="CFF0FC"/>
            </w:tcBorders>
          </w:tcPr>
          <w:p>
            <w:pPr>
              <w:spacing w:after="0"/>
              <w:rPr>
                <w:sz w:val="19"/>
                <w:szCs w:val="19"/>
                <w:color w:val="auto"/>
              </w:rPr>
            </w:pPr>
          </w:p>
        </w:tc>
        <w:tc>
          <w:tcPr>
            <w:tcW w:w="120" w:type="dxa"/>
            <w:vAlign w:val="bottom"/>
            <w:tcBorders>
              <w:bottom w:val="single" w:sz="8" w:color="CFF0FC"/>
            </w:tcBorders>
          </w:tcPr>
          <w:p>
            <w:pPr>
              <w:spacing w:after="0"/>
              <w:rPr>
                <w:sz w:val="19"/>
                <w:szCs w:val="19"/>
                <w:color w:val="auto"/>
              </w:rPr>
            </w:pPr>
          </w:p>
        </w:tc>
        <w:tc>
          <w:tcPr>
            <w:tcW w:w="560" w:type="dxa"/>
            <w:vAlign w:val="bottom"/>
            <w:tcBorders>
              <w:bottom w:val="single" w:sz="8" w:color="auto"/>
            </w:tcBorders>
          </w:tcPr>
          <w:p>
            <w:pPr>
              <w:spacing w:after="0"/>
              <w:rPr>
                <w:sz w:val="19"/>
                <w:szCs w:val="19"/>
                <w:color w:val="auto"/>
              </w:rPr>
            </w:pP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139</w:t>
            </w:r>
          </w:p>
        </w:tc>
        <w:tc>
          <w:tcPr>
            <w:tcW w:w="120" w:type="dxa"/>
            <w:vAlign w:val="bottom"/>
            <w:tcBorders>
              <w:bottom w:val="single" w:sz="8" w:color="CFF0FC"/>
            </w:tcBorders>
          </w:tcPr>
          <w:p>
            <w:pPr>
              <w:spacing w:after="0"/>
              <w:rPr>
                <w:sz w:val="19"/>
                <w:szCs w:val="19"/>
                <w:color w:val="auto"/>
              </w:rPr>
            </w:pPr>
          </w:p>
        </w:tc>
        <w:tc>
          <w:tcPr>
            <w:tcW w:w="0" w:type="dxa"/>
            <w:vAlign w:val="bottom"/>
          </w:tcPr>
          <w:p>
            <w:pPr>
              <w:spacing w:after="0"/>
              <w:rPr>
                <w:sz w:val="1"/>
                <w:szCs w:val="1"/>
                <w:color w:val="auto"/>
              </w:rPr>
            </w:pPr>
          </w:p>
        </w:tc>
      </w:tr>
      <w:tr>
        <w:trPr>
          <w:trHeight w:val="222"/>
        </w:trPr>
        <w:tc>
          <w:tcPr>
            <w:tcW w:w="7860" w:type="dxa"/>
            <w:vAlign w:val="bottom"/>
            <w:shd w:val="clear" w:color="auto" w:fill="CFF0FC"/>
          </w:tcPr>
          <w:p>
            <w:pPr>
              <w:spacing w:after="0"/>
              <w:rPr>
                <w:sz w:val="20"/>
                <w:szCs w:val="20"/>
                <w:color w:val="auto"/>
              </w:rPr>
            </w:pPr>
            <w:r>
              <w:rPr>
                <w:rFonts w:ascii="Arial" w:cs="Arial" w:eastAsia="Arial" w:hAnsi="Arial"/>
                <w:sz w:val="18"/>
                <w:szCs w:val="18"/>
                <w:b w:val="1"/>
                <w:bCs w:val="1"/>
                <w:color w:val="auto"/>
              </w:rPr>
              <w:t>Net change in cash and cash equivalents</w:t>
            </w:r>
          </w:p>
        </w:tc>
        <w:tc>
          <w:tcPr>
            <w:tcW w:w="360" w:type="dxa"/>
            <w:vAlign w:val="bottom"/>
            <w:shd w:val="clear" w:color="auto" w:fill="CFF0FC"/>
          </w:tcPr>
          <w:p>
            <w:pPr>
              <w:spacing w:after="0"/>
              <w:rPr>
                <w:sz w:val="19"/>
                <w:szCs w:val="19"/>
                <w:color w:val="auto"/>
              </w:rPr>
            </w:pPr>
          </w:p>
        </w:tc>
        <w:tc>
          <w:tcPr>
            <w:tcW w:w="12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(11,383)</w:t>
            </w:r>
          </w:p>
        </w:tc>
        <w:tc>
          <w:tcPr>
            <w:tcW w:w="16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560" w:type="dxa"/>
            <w:vAlign w:val="bottom"/>
            <w:shd w:val="clear" w:color="auto" w:fill="CFF0FC"/>
          </w:tcPr>
          <w:p>
            <w:pPr>
              <w:spacing w:after="0"/>
              <w:rPr>
                <w:sz w:val="19"/>
                <w:szCs w:val="19"/>
                <w:color w:val="auto"/>
              </w:rPr>
            </w:pPr>
          </w:p>
        </w:tc>
        <w:tc>
          <w:tcPr>
            <w:tcW w:w="10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4,534</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7860" w:type="dxa"/>
            <w:vAlign w:val="bottom"/>
            <w:tcBorders>
              <w:bottom w:val="single" w:sz="8" w:color="CFF0FC"/>
            </w:tcBorders>
          </w:tcPr>
          <w:p>
            <w:pPr>
              <w:spacing w:after="0"/>
              <w:rPr>
                <w:sz w:val="20"/>
                <w:szCs w:val="20"/>
                <w:color w:val="auto"/>
              </w:rPr>
            </w:pPr>
            <w:r>
              <w:rPr>
                <w:rFonts w:ascii="Arial" w:cs="Arial" w:eastAsia="Arial" w:hAnsi="Arial"/>
                <w:sz w:val="18"/>
                <w:szCs w:val="18"/>
                <w:b w:val="1"/>
                <w:bCs w:val="1"/>
                <w:color w:val="auto"/>
              </w:rPr>
              <w:t>Cash and cash equivalents, beginning of year</w:t>
            </w:r>
          </w:p>
        </w:tc>
        <w:tc>
          <w:tcPr>
            <w:tcW w:w="360" w:type="dxa"/>
            <w:vAlign w:val="bottom"/>
            <w:tcBorders>
              <w:bottom w:val="single" w:sz="8" w:color="auto"/>
            </w:tcBorders>
          </w:tcPr>
          <w:p>
            <w:pPr>
              <w:spacing w:after="0"/>
              <w:rPr>
                <w:sz w:val="19"/>
                <w:szCs w:val="19"/>
                <w:color w:val="auto"/>
              </w:rPr>
            </w:pP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53,723</w:t>
            </w:r>
          </w:p>
        </w:tc>
        <w:tc>
          <w:tcPr>
            <w:tcW w:w="160" w:type="dxa"/>
            <w:vAlign w:val="bottom"/>
            <w:tcBorders>
              <w:bottom w:val="single" w:sz="8" w:color="CFF0FC"/>
            </w:tcBorders>
          </w:tcPr>
          <w:p>
            <w:pPr>
              <w:spacing w:after="0"/>
              <w:rPr>
                <w:sz w:val="19"/>
                <w:szCs w:val="19"/>
                <w:color w:val="auto"/>
              </w:rPr>
            </w:pPr>
          </w:p>
        </w:tc>
        <w:tc>
          <w:tcPr>
            <w:tcW w:w="120" w:type="dxa"/>
            <w:vAlign w:val="bottom"/>
            <w:tcBorders>
              <w:bottom w:val="single" w:sz="8" w:color="CFF0FC"/>
            </w:tcBorders>
          </w:tcPr>
          <w:p>
            <w:pPr>
              <w:spacing w:after="0"/>
              <w:rPr>
                <w:sz w:val="19"/>
                <w:szCs w:val="19"/>
                <w:color w:val="auto"/>
              </w:rPr>
            </w:pPr>
          </w:p>
        </w:tc>
        <w:tc>
          <w:tcPr>
            <w:tcW w:w="560" w:type="dxa"/>
            <w:vAlign w:val="bottom"/>
            <w:tcBorders>
              <w:bottom w:val="single" w:sz="8" w:color="auto"/>
            </w:tcBorders>
          </w:tcPr>
          <w:p>
            <w:pPr>
              <w:spacing w:after="0"/>
              <w:rPr>
                <w:sz w:val="19"/>
                <w:szCs w:val="19"/>
                <w:color w:val="auto"/>
              </w:rPr>
            </w:pP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20,900</w:t>
            </w:r>
          </w:p>
        </w:tc>
        <w:tc>
          <w:tcPr>
            <w:tcW w:w="120" w:type="dxa"/>
            <w:vAlign w:val="bottom"/>
            <w:tcBorders>
              <w:bottom w:val="single" w:sz="8" w:color="CFF0FC"/>
            </w:tcBorders>
          </w:tcPr>
          <w:p>
            <w:pPr>
              <w:spacing w:after="0"/>
              <w:rPr>
                <w:sz w:val="19"/>
                <w:szCs w:val="19"/>
                <w:color w:val="auto"/>
              </w:rPr>
            </w:pPr>
          </w:p>
        </w:tc>
        <w:tc>
          <w:tcPr>
            <w:tcW w:w="0" w:type="dxa"/>
            <w:vAlign w:val="bottom"/>
          </w:tcPr>
          <w:p>
            <w:pPr>
              <w:spacing w:after="0"/>
              <w:rPr>
                <w:sz w:val="1"/>
                <w:szCs w:val="1"/>
                <w:color w:val="auto"/>
              </w:rPr>
            </w:pPr>
          </w:p>
        </w:tc>
      </w:tr>
      <w:tr>
        <w:trPr>
          <w:trHeight w:val="222"/>
        </w:trPr>
        <w:tc>
          <w:tcPr>
            <w:tcW w:w="7860" w:type="dxa"/>
            <w:vAlign w:val="bottom"/>
            <w:tcBorders>
              <w:bottom w:val="single" w:sz="8" w:color="CFF0FC"/>
            </w:tcBorders>
            <w:shd w:val="clear" w:color="auto" w:fill="CFF0FC"/>
          </w:tcPr>
          <w:p>
            <w:pPr>
              <w:spacing w:after="0"/>
              <w:rPr>
                <w:sz w:val="20"/>
                <w:szCs w:val="20"/>
                <w:color w:val="auto"/>
              </w:rPr>
            </w:pPr>
            <w:r>
              <w:rPr>
                <w:rFonts w:ascii="Arial" w:cs="Arial" w:eastAsia="Arial" w:hAnsi="Arial"/>
                <w:sz w:val="18"/>
                <w:szCs w:val="18"/>
                <w:b w:val="1"/>
                <w:bCs w:val="1"/>
                <w:color w:val="auto"/>
              </w:rPr>
              <w:t>Cash and cash equivalents, end of period</w:t>
            </w:r>
          </w:p>
        </w:tc>
        <w:tc>
          <w:tcPr>
            <w:tcW w:w="360" w:type="dxa"/>
            <w:vAlign w:val="bottom"/>
            <w:tcBorders>
              <w:bottom w:val="single" w:sz="8" w:color="auto"/>
            </w:tcBorders>
            <w:shd w:val="clear" w:color="auto" w:fill="CFF0FC"/>
          </w:tcPr>
          <w:p>
            <w:pPr>
              <w:jc w:val="right"/>
              <w:ind w:right="207"/>
              <w:spacing w:after="0"/>
              <w:rPr>
                <w:sz w:val="20"/>
                <w:szCs w:val="20"/>
                <w:color w:val="auto"/>
              </w:rPr>
            </w:pPr>
            <w:r>
              <w:rPr>
                <w:rFonts w:ascii="Arial" w:cs="Arial" w:eastAsia="Arial" w:hAnsi="Arial"/>
                <w:sz w:val="15"/>
                <w:szCs w:val="15"/>
                <w:color w:val="auto"/>
                <w:w w:val="71"/>
              </w:rPr>
              <w:t>$</w:t>
            </w:r>
          </w:p>
        </w:tc>
        <w:tc>
          <w:tcPr>
            <w:tcW w:w="12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42,340</w:t>
            </w:r>
          </w:p>
        </w:tc>
        <w:tc>
          <w:tcPr>
            <w:tcW w:w="160" w:type="dxa"/>
            <w:vAlign w:val="bottom"/>
            <w:tcBorders>
              <w:bottom w:val="single" w:sz="8" w:color="CFF0FC"/>
            </w:tcBorders>
            <w:shd w:val="clear" w:color="auto" w:fill="CFF0FC"/>
          </w:tcPr>
          <w:p>
            <w:pPr>
              <w:spacing w:after="0"/>
              <w:rPr>
                <w:sz w:val="19"/>
                <w:szCs w:val="19"/>
                <w:color w:val="auto"/>
              </w:rPr>
            </w:pPr>
          </w:p>
        </w:tc>
        <w:tc>
          <w:tcPr>
            <w:tcW w:w="120" w:type="dxa"/>
            <w:vAlign w:val="bottom"/>
            <w:tcBorders>
              <w:bottom w:val="single" w:sz="8" w:color="CFF0FC"/>
            </w:tcBorders>
            <w:shd w:val="clear" w:color="auto" w:fill="CFF0FC"/>
          </w:tcPr>
          <w:p>
            <w:pPr>
              <w:spacing w:after="0"/>
              <w:rPr>
                <w:sz w:val="19"/>
                <w:szCs w:val="19"/>
                <w:color w:val="auto"/>
              </w:rPr>
            </w:pPr>
          </w:p>
        </w:tc>
        <w:tc>
          <w:tcPr>
            <w:tcW w:w="560" w:type="dxa"/>
            <w:vAlign w:val="bottom"/>
            <w:tcBorders>
              <w:bottom w:val="single" w:sz="8" w:color="auto"/>
            </w:tcBorders>
            <w:shd w:val="clear" w:color="auto" w:fill="CFF0FC"/>
          </w:tcPr>
          <w:p>
            <w:pPr>
              <w:jc w:val="right"/>
              <w:ind w:right="407"/>
              <w:spacing w:after="0"/>
              <w:rPr>
                <w:sz w:val="20"/>
                <w:szCs w:val="20"/>
                <w:color w:val="auto"/>
              </w:rPr>
            </w:pPr>
            <w:r>
              <w:rPr>
                <w:rFonts w:ascii="Arial" w:cs="Arial" w:eastAsia="Arial" w:hAnsi="Arial"/>
                <w:sz w:val="15"/>
                <w:szCs w:val="15"/>
                <w:color w:val="auto"/>
                <w:w w:val="71"/>
              </w:rPr>
              <w:t>$</w:t>
            </w:r>
          </w:p>
        </w:tc>
        <w:tc>
          <w:tcPr>
            <w:tcW w:w="10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25,434</w:t>
            </w:r>
          </w:p>
        </w:tc>
        <w:tc>
          <w:tcPr>
            <w:tcW w:w="120" w:type="dxa"/>
            <w:vAlign w:val="bottom"/>
            <w:tcBorders>
              <w:bottom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786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6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Refer to Notes to Condensed Consolidated Financial Statements.</w:t>
      </w:r>
    </w:p>
    <w:p>
      <w:pPr>
        <w:spacing w:after="0" w:line="2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69850</wp:posOffset>
            </wp:positionV>
            <wp:extent cx="7289800" cy="425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1420"/>
          </w:cols>
          <w:pgMar w:left="240" w:top="336" w:right="239" w:bottom="1440" w:gutter="0" w:footer="0" w:header="0"/>
        </w:sectPr>
      </w:pPr>
    </w:p>
    <w:bookmarkStart w:id="6" w:name="page7"/>
    <w:bookmarkEnd w:id="6"/>
    <w:p>
      <w:pPr>
        <w:jc w:val="center"/>
        <w:spacing w:after="0"/>
        <w:rPr>
          <w:sz w:val="20"/>
          <w:szCs w:val="20"/>
          <w:color w:val="auto"/>
        </w:rPr>
      </w:pPr>
      <w:r>
        <w:rPr>
          <w:rFonts w:ascii="Arial" w:cs="Arial" w:eastAsia="Arial" w:hAnsi="Arial"/>
          <w:sz w:val="18"/>
          <w:szCs w:val="18"/>
          <w:b w:val="1"/>
          <w:bCs w:val="1"/>
          <w:color w:val="auto"/>
        </w:rPr>
        <w:t>VIAD CORP</w:t>
      </w:r>
    </w:p>
    <w:p>
      <w:pPr>
        <w:spacing w:after="0" w:line="11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w:t>
      </w:r>
    </w:p>
    <w:p>
      <w:pPr>
        <w:spacing w:after="0" w:line="11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5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Note 1. </w:t>
      </w:r>
      <w:r>
        <w:rPr>
          <w:rFonts w:ascii="Arial" w:cs="Arial" w:eastAsia="Arial" w:hAnsi="Arial"/>
          <w:sz w:val="18"/>
          <w:szCs w:val="18"/>
          <w:b w:val="1"/>
          <w:bCs w:val="1"/>
          <w:u w:val="single" w:color="auto"/>
          <w:color w:val="auto"/>
        </w:rPr>
        <w:t>Overview and Basis of Presentation</w:t>
      </w:r>
    </w:p>
    <w:p>
      <w:pPr>
        <w:spacing w:after="0" w:line="11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Nature of Business</w:t>
      </w:r>
    </w:p>
    <w:p>
      <w:pPr>
        <w:spacing w:after="0" w:line="120" w:lineRule="exact"/>
        <w:rPr>
          <w:sz w:val="20"/>
          <w:szCs w:val="20"/>
          <w:color w:val="auto"/>
        </w:rPr>
      </w:pPr>
    </w:p>
    <w:p>
      <w:pPr>
        <w:jc w:val="both"/>
        <w:spacing w:after="0" w:line="262" w:lineRule="auto"/>
        <w:rPr>
          <w:sz w:val="20"/>
          <w:szCs w:val="20"/>
          <w:color w:val="auto"/>
        </w:rPr>
      </w:pPr>
      <w:r>
        <w:rPr>
          <w:rFonts w:ascii="Arial" w:cs="Arial" w:eastAsia="Arial" w:hAnsi="Arial"/>
          <w:sz w:val="18"/>
          <w:szCs w:val="18"/>
          <w:color w:val="auto"/>
        </w:rPr>
        <w:t>We are an international experiential services company with operations principally in the United States, Canada, the United Kingdom, continental Europe, and the United Arab Emirates. We are committed to providing unforgettable experiences to our clients and guests. We operate through three reportable business segments: GES U.S., GES International (collectively, “GES”), and Pursuit.</w:t>
      </w:r>
    </w:p>
    <w:p>
      <w:pPr>
        <w:spacing w:after="0" w:line="29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GES</w:t>
      </w:r>
    </w:p>
    <w:p>
      <w:pPr>
        <w:spacing w:after="0" w:line="116" w:lineRule="exact"/>
        <w:rPr>
          <w:sz w:val="20"/>
          <w:szCs w:val="20"/>
          <w:color w:val="auto"/>
        </w:rPr>
      </w:pPr>
    </w:p>
    <w:p>
      <w:pPr>
        <w:jc w:val="both"/>
        <w:spacing w:after="0" w:line="278" w:lineRule="auto"/>
        <w:rPr>
          <w:sz w:val="20"/>
          <w:szCs w:val="20"/>
          <w:color w:val="auto"/>
        </w:rPr>
      </w:pPr>
      <w:r>
        <w:rPr>
          <w:rFonts w:ascii="Arial" w:cs="Arial" w:eastAsia="Arial" w:hAnsi="Arial"/>
          <w:sz w:val="17"/>
          <w:szCs w:val="17"/>
          <w:color w:val="auto"/>
        </w:rPr>
        <w:t>GES is a global, full-service provider for live events. GES’ clients include event organizers and corporate brand marketers. Event organizers schedule and run the event from start to finish. Corporate brand marketers include exhibitors and domestic and international corporations that want to promote their brands, services and innovations, feature new products, and build business relationships. GES serves corporate brand marketers when they exhibit at shows and when GES is engaged to manage their global exhibit program or produce their proprietary corporate events.</w:t>
      </w:r>
    </w:p>
    <w:p>
      <w:pPr>
        <w:spacing w:after="0" w:line="27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Services and Products Offered</w:t>
      </w:r>
    </w:p>
    <w:p>
      <w:pPr>
        <w:spacing w:after="0" w:line="116" w:lineRule="exact"/>
        <w:rPr>
          <w:sz w:val="20"/>
          <w:szCs w:val="20"/>
          <w:color w:val="auto"/>
        </w:rPr>
      </w:pPr>
    </w:p>
    <w:p>
      <w:pPr>
        <w:spacing w:after="0"/>
        <w:rPr>
          <w:sz w:val="20"/>
          <w:szCs w:val="20"/>
          <w:color w:val="auto"/>
        </w:rPr>
      </w:pPr>
      <w:r>
        <w:rPr>
          <w:rFonts w:ascii="Arial" w:cs="Arial" w:eastAsia="Arial" w:hAnsi="Arial"/>
          <w:sz w:val="18"/>
          <w:szCs w:val="18"/>
          <w:color w:val="auto"/>
        </w:rPr>
        <w:t>GES offers a full suite of services and products for event organizers and corporate brand marketers through three main lines of business:</w:t>
      </w:r>
    </w:p>
    <w:p>
      <w:pPr>
        <w:spacing w:after="0" w:line="23" w:lineRule="exact"/>
        <w:rPr>
          <w:sz w:val="20"/>
          <w:szCs w:val="20"/>
          <w:color w:val="auto"/>
        </w:rPr>
      </w:pPr>
    </w:p>
    <w:p>
      <w:pPr>
        <w:ind w:left="900" w:hanging="382"/>
        <w:spacing w:after="0" w:line="249" w:lineRule="auto"/>
        <w:tabs>
          <w:tab w:leader="none" w:pos="900" w:val="left"/>
        </w:tabs>
        <w:numPr>
          <w:ilvl w:val="0"/>
          <w:numId w:val="3"/>
        </w:numPr>
        <w:rPr>
          <w:rFonts w:ascii="Arial" w:cs="Arial" w:eastAsia="Arial" w:hAnsi="Arial"/>
          <w:sz w:val="18"/>
          <w:szCs w:val="18"/>
          <w:color w:val="auto"/>
        </w:rPr>
      </w:pPr>
      <w:r>
        <w:rPr>
          <w:rFonts w:ascii="Arial" w:cs="Arial" w:eastAsia="Arial" w:hAnsi="Arial"/>
          <w:sz w:val="18"/>
          <w:szCs w:val="18"/>
          <w:b w:val="1"/>
          <w:bCs w:val="1"/>
          <w:color w:val="auto"/>
        </w:rPr>
        <w:t xml:space="preserve">Core Services. </w:t>
      </w:r>
      <w:r>
        <w:rPr>
          <w:rFonts w:ascii="Arial" w:cs="Arial" w:eastAsia="Arial" w:hAnsi="Arial"/>
          <w:sz w:val="18"/>
          <w:szCs w:val="18"/>
          <w:color w:val="auto"/>
        </w:rPr>
        <w:t>GES provides official contracting services and products, including the design and production of experiences to material handling,</w:t>
      </w:r>
      <w:r>
        <w:rPr>
          <w:rFonts w:ascii="Arial" w:cs="Arial" w:eastAsia="Arial" w:hAnsi="Arial"/>
          <w:sz w:val="18"/>
          <w:szCs w:val="18"/>
          <w:b w:val="1"/>
          <w:bCs w:val="1"/>
          <w:color w:val="auto"/>
        </w:rPr>
        <w:t xml:space="preserve"> </w:t>
      </w:r>
      <w:r>
        <w:rPr>
          <w:rFonts w:ascii="Arial" w:cs="Arial" w:eastAsia="Arial" w:hAnsi="Arial"/>
          <w:sz w:val="18"/>
          <w:szCs w:val="18"/>
          <w:color w:val="auto"/>
        </w:rPr>
        <w:t>rigging, electrical, and other on-site services.</w:t>
      </w:r>
    </w:p>
    <w:p>
      <w:pPr>
        <w:ind w:left="900" w:hanging="382"/>
        <w:spacing w:after="0" w:line="249" w:lineRule="auto"/>
        <w:tabs>
          <w:tab w:leader="none" w:pos="900" w:val="left"/>
        </w:tabs>
        <w:numPr>
          <w:ilvl w:val="0"/>
          <w:numId w:val="3"/>
        </w:numPr>
        <w:rPr>
          <w:rFonts w:ascii="Arial" w:cs="Arial" w:eastAsia="Arial" w:hAnsi="Arial"/>
          <w:sz w:val="18"/>
          <w:szCs w:val="18"/>
          <w:color w:val="auto"/>
        </w:rPr>
      </w:pPr>
      <w:r>
        <w:rPr>
          <w:rFonts w:ascii="Arial" w:cs="Arial" w:eastAsia="Arial" w:hAnsi="Arial"/>
          <w:sz w:val="18"/>
          <w:szCs w:val="18"/>
          <w:b w:val="1"/>
          <w:bCs w:val="1"/>
          <w:color w:val="auto"/>
        </w:rPr>
        <w:t xml:space="preserve">Audio-Visual. </w:t>
      </w:r>
      <w:r>
        <w:rPr>
          <w:rFonts w:ascii="Arial" w:cs="Arial" w:eastAsia="Arial" w:hAnsi="Arial"/>
          <w:sz w:val="18"/>
          <w:szCs w:val="18"/>
          <w:color w:val="auto"/>
        </w:rPr>
        <w:t>GES offers a variety of high-impact multi-media services and technology, including video and lighting production, digital studio</w:t>
      </w:r>
      <w:r>
        <w:rPr>
          <w:rFonts w:ascii="Arial" w:cs="Arial" w:eastAsia="Arial" w:hAnsi="Arial"/>
          <w:sz w:val="18"/>
          <w:szCs w:val="18"/>
          <w:b w:val="1"/>
          <w:bCs w:val="1"/>
          <w:color w:val="auto"/>
        </w:rPr>
        <w:t xml:space="preserve"> </w:t>
      </w:r>
      <w:r>
        <w:rPr>
          <w:rFonts w:ascii="Arial" w:cs="Arial" w:eastAsia="Arial" w:hAnsi="Arial"/>
          <w:sz w:val="18"/>
          <w:szCs w:val="18"/>
          <w:color w:val="auto"/>
        </w:rPr>
        <w:t>services, entertainment services and talent coordination, projection mapping, and computer rental and support.</w:t>
      </w:r>
    </w:p>
    <w:p>
      <w:pPr>
        <w:ind w:left="900" w:hanging="382"/>
        <w:spacing w:after="0" w:line="258" w:lineRule="auto"/>
        <w:tabs>
          <w:tab w:leader="none" w:pos="900" w:val="left"/>
        </w:tabs>
        <w:numPr>
          <w:ilvl w:val="0"/>
          <w:numId w:val="3"/>
        </w:numPr>
        <w:rPr>
          <w:rFonts w:ascii="Arial" w:cs="Arial" w:eastAsia="Arial" w:hAnsi="Arial"/>
          <w:sz w:val="18"/>
          <w:szCs w:val="18"/>
          <w:color w:val="auto"/>
        </w:rPr>
      </w:pPr>
      <w:r>
        <w:rPr>
          <w:rFonts w:ascii="Arial" w:cs="Arial" w:eastAsia="Arial" w:hAnsi="Arial"/>
          <w:sz w:val="18"/>
          <w:szCs w:val="18"/>
          <w:b w:val="1"/>
          <w:bCs w:val="1"/>
          <w:color w:val="auto"/>
        </w:rPr>
        <w:t xml:space="preserve">Event Technology. </w:t>
      </w:r>
      <w:r>
        <w:rPr>
          <w:rFonts w:ascii="Arial" w:cs="Arial" w:eastAsia="Arial" w:hAnsi="Arial"/>
          <w:sz w:val="18"/>
          <w:szCs w:val="18"/>
          <w:color w:val="auto"/>
        </w:rPr>
        <w:t>GES offers a comprehensive range of event technology services, including event accommodation solutions, registration and</w:t>
      </w:r>
      <w:r>
        <w:rPr>
          <w:rFonts w:ascii="Arial" w:cs="Arial" w:eastAsia="Arial" w:hAnsi="Arial"/>
          <w:sz w:val="18"/>
          <w:szCs w:val="18"/>
          <w:b w:val="1"/>
          <w:bCs w:val="1"/>
          <w:color w:val="auto"/>
        </w:rPr>
        <w:t xml:space="preserve"> </w:t>
      </w:r>
      <w:r>
        <w:rPr>
          <w:rFonts w:ascii="Arial" w:cs="Arial" w:eastAsia="Arial" w:hAnsi="Arial"/>
          <w:sz w:val="18"/>
          <w:szCs w:val="18"/>
          <w:color w:val="auto"/>
        </w:rPr>
        <w:t>data analytics, and event management tools.</w:t>
      </w:r>
    </w:p>
    <w:p>
      <w:pPr>
        <w:spacing w:after="0" w:line="33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Markets Served</w:t>
      </w:r>
    </w:p>
    <w:p>
      <w:pPr>
        <w:spacing w:after="0" w:line="116" w:lineRule="exact"/>
        <w:rPr>
          <w:sz w:val="20"/>
          <w:szCs w:val="20"/>
          <w:color w:val="auto"/>
        </w:rPr>
      </w:pPr>
    </w:p>
    <w:p>
      <w:pPr>
        <w:spacing w:after="0" w:line="257" w:lineRule="auto"/>
        <w:rPr>
          <w:sz w:val="20"/>
          <w:szCs w:val="20"/>
          <w:color w:val="auto"/>
        </w:rPr>
      </w:pPr>
      <w:r>
        <w:rPr>
          <w:rFonts w:ascii="Arial" w:cs="Arial" w:eastAsia="Arial" w:hAnsi="Arial"/>
          <w:sz w:val="18"/>
          <w:szCs w:val="18"/>
          <w:color w:val="auto"/>
        </w:rPr>
        <w:t>GES provides the above services and products across four live event markets: Exhibitions, Conferences, Corporate Events, and Consumer Events (collectively, “Live Events”).</w:t>
      </w:r>
    </w:p>
    <w:p>
      <w:pPr>
        <w:spacing w:after="0" w:line="1" w:lineRule="exact"/>
        <w:rPr>
          <w:sz w:val="20"/>
          <w:szCs w:val="20"/>
          <w:color w:val="auto"/>
        </w:rPr>
      </w:pPr>
    </w:p>
    <w:p>
      <w:pPr>
        <w:ind w:left="900" w:hanging="382"/>
        <w:spacing w:after="0"/>
        <w:tabs>
          <w:tab w:leader="none" w:pos="900" w:val="left"/>
        </w:tabs>
        <w:numPr>
          <w:ilvl w:val="0"/>
          <w:numId w:val="4"/>
        </w:numPr>
        <w:rPr>
          <w:rFonts w:ascii="Arial" w:cs="Arial" w:eastAsia="Arial" w:hAnsi="Arial"/>
          <w:sz w:val="18"/>
          <w:szCs w:val="18"/>
          <w:color w:val="auto"/>
        </w:rPr>
      </w:pPr>
      <w:r>
        <w:rPr>
          <w:rFonts w:ascii="Arial" w:cs="Arial" w:eastAsia="Arial" w:hAnsi="Arial"/>
          <w:sz w:val="18"/>
          <w:szCs w:val="18"/>
          <w:b w:val="1"/>
          <w:bCs w:val="1"/>
          <w:color w:val="auto"/>
        </w:rPr>
        <w:t xml:space="preserve">Exhibitions </w:t>
      </w:r>
      <w:r>
        <w:rPr>
          <w:rFonts w:ascii="Arial" w:cs="Arial" w:eastAsia="Arial" w:hAnsi="Arial"/>
          <w:sz w:val="18"/>
          <w:szCs w:val="18"/>
          <w:color w:val="auto"/>
        </w:rPr>
        <w:t>facilitate business-to-business and business-to-consumer sales and marketing.</w:t>
      </w:r>
    </w:p>
    <w:p>
      <w:pPr>
        <w:spacing w:after="0" w:line="8" w:lineRule="exact"/>
        <w:rPr>
          <w:rFonts w:ascii="Arial" w:cs="Arial" w:eastAsia="Arial" w:hAnsi="Arial"/>
          <w:sz w:val="18"/>
          <w:szCs w:val="18"/>
          <w:color w:val="auto"/>
        </w:rPr>
      </w:pPr>
    </w:p>
    <w:p>
      <w:pPr>
        <w:ind w:left="900" w:hanging="382"/>
        <w:spacing w:after="0" w:line="249" w:lineRule="auto"/>
        <w:tabs>
          <w:tab w:leader="none" w:pos="900" w:val="left"/>
        </w:tabs>
        <w:numPr>
          <w:ilvl w:val="0"/>
          <w:numId w:val="4"/>
        </w:numPr>
        <w:rPr>
          <w:rFonts w:ascii="Arial" w:cs="Arial" w:eastAsia="Arial" w:hAnsi="Arial"/>
          <w:sz w:val="18"/>
          <w:szCs w:val="18"/>
          <w:color w:val="auto"/>
        </w:rPr>
      </w:pPr>
      <w:r>
        <w:rPr>
          <w:rFonts w:ascii="Arial" w:cs="Arial" w:eastAsia="Arial" w:hAnsi="Arial"/>
          <w:sz w:val="18"/>
          <w:szCs w:val="18"/>
          <w:b w:val="1"/>
          <w:bCs w:val="1"/>
          <w:color w:val="auto"/>
        </w:rPr>
        <w:t xml:space="preserve">Conferences </w:t>
      </w:r>
      <w:r>
        <w:rPr>
          <w:rFonts w:ascii="Arial" w:cs="Arial" w:eastAsia="Arial" w:hAnsi="Arial"/>
          <w:sz w:val="18"/>
          <w:szCs w:val="18"/>
          <w:color w:val="auto"/>
        </w:rPr>
        <w:t>facilitate attendee education and may also include an expo or trade show to further facilitate attendee education and to facilitate</w:t>
      </w:r>
      <w:r>
        <w:rPr>
          <w:rFonts w:ascii="Arial" w:cs="Arial" w:eastAsia="Arial" w:hAnsi="Arial"/>
          <w:sz w:val="18"/>
          <w:szCs w:val="18"/>
          <w:b w:val="1"/>
          <w:bCs w:val="1"/>
          <w:color w:val="auto"/>
        </w:rPr>
        <w:t xml:space="preserve"> </w:t>
      </w:r>
      <w:r>
        <w:rPr>
          <w:rFonts w:ascii="Arial" w:cs="Arial" w:eastAsia="Arial" w:hAnsi="Arial"/>
          <w:sz w:val="18"/>
          <w:szCs w:val="18"/>
          <w:color w:val="auto"/>
        </w:rPr>
        <w:t>business-to-business and business-to-consumer sales and marketing.</w:t>
      </w:r>
    </w:p>
    <w:p>
      <w:pPr>
        <w:ind w:left="900" w:hanging="382"/>
        <w:spacing w:after="0"/>
        <w:tabs>
          <w:tab w:leader="none" w:pos="900" w:val="left"/>
        </w:tabs>
        <w:numPr>
          <w:ilvl w:val="0"/>
          <w:numId w:val="4"/>
        </w:numPr>
        <w:rPr>
          <w:rFonts w:ascii="Arial" w:cs="Arial" w:eastAsia="Arial" w:hAnsi="Arial"/>
          <w:sz w:val="18"/>
          <w:szCs w:val="18"/>
          <w:color w:val="auto"/>
        </w:rPr>
      </w:pPr>
      <w:r>
        <w:rPr>
          <w:rFonts w:ascii="Arial" w:cs="Arial" w:eastAsia="Arial" w:hAnsi="Arial"/>
          <w:sz w:val="18"/>
          <w:szCs w:val="18"/>
          <w:b w:val="1"/>
          <w:bCs w:val="1"/>
          <w:color w:val="auto"/>
        </w:rPr>
        <w:t xml:space="preserve">Corporate events </w:t>
      </w:r>
      <w:r>
        <w:rPr>
          <w:rFonts w:ascii="Arial" w:cs="Arial" w:eastAsia="Arial" w:hAnsi="Arial"/>
          <w:sz w:val="18"/>
          <w:szCs w:val="18"/>
          <w:color w:val="auto"/>
        </w:rPr>
        <w:t>facilitate attendee education of the sponsoring company’s products or product ecosystem.</w:t>
      </w:r>
    </w:p>
    <w:p>
      <w:pPr>
        <w:spacing w:after="0" w:line="8" w:lineRule="exact"/>
        <w:rPr>
          <w:rFonts w:ascii="Arial" w:cs="Arial" w:eastAsia="Arial" w:hAnsi="Arial"/>
          <w:sz w:val="18"/>
          <w:szCs w:val="18"/>
          <w:color w:val="auto"/>
        </w:rPr>
      </w:pPr>
    </w:p>
    <w:p>
      <w:pPr>
        <w:ind w:left="900" w:hanging="382"/>
        <w:spacing w:after="0"/>
        <w:tabs>
          <w:tab w:leader="none" w:pos="900" w:val="left"/>
        </w:tabs>
        <w:numPr>
          <w:ilvl w:val="0"/>
          <w:numId w:val="4"/>
        </w:numPr>
        <w:rPr>
          <w:rFonts w:ascii="Arial" w:cs="Arial" w:eastAsia="Arial" w:hAnsi="Arial"/>
          <w:sz w:val="18"/>
          <w:szCs w:val="18"/>
          <w:color w:val="auto"/>
        </w:rPr>
      </w:pPr>
      <w:r>
        <w:rPr>
          <w:rFonts w:ascii="Arial" w:cs="Arial" w:eastAsia="Arial" w:hAnsi="Arial"/>
          <w:sz w:val="18"/>
          <w:szCs w:val="18"/>
          <w:b w:val="1"/>
          <w:bCs w:val="1"/>
          <w:color w:val="auto"/>
        </w:rPr>
        <w:t xml:space="preserve">Consumer events </w:t>
      </w:r>
      <w:r>
        <w:rPr>
          <w:rFonts w:ascii="Arial" w:cs="Arial" w:eastAsia="Arial" w:hAnsi="Arial"/>
          <w:sz w:val="18"/>
          <w:szCs w:val="18"/>
          <w:color w:val="auto"/>
        </w:rPr>
        <w:t>entertain, educate, or create an experience, typically around a specific genre.</w:t>
      </w:r>
    </w:p>
    <w:p>
      <w:pPr>
        <w:spacing w:after="0" w:line="31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Pursuit</w:t>
      </w:r>
    </w:p>
    <w:p>
      <w:pPr>
        <w:spacing w:after="0" w:line="116" w:lineRule="exact"/>
        <w:rPr>
          <w:sz w:val="20"/>
          <w:szCs w:val="20"/>
          <w:color w:val="auto"/>
        </w:rPr>
      </w:pPr>
    </w:p>
    <w:p>
      <w:pPr>
        <w:jc w:val="both"/>
        <w:spacing w:after="0" w:line="275" w:lineRule="auto"/>
        <w:rPr>
          <w:sz w:val="20"/>
          <w:szCs w:val="20"/>
          <w:color w:val="auto"/>
        </w:rPr>
      </w:pPr>
      <w:r>
        <w:rPr>
          <w:rFonts w:ascii="Arial" w:cs="Arial" w:eastAsia="Arial" w:hAnsi="Arial"/>
          <w:sz w:val="18"/>
          <w:szCs w:val="18"/>
          <w:color w:val="auto"/>
        </w:rPr>
        <w:t>Pursuit is a collection of iconic natural and cultural destination travel experiences that enjoy perennial demand. Pursuit offers guests distinctive and world renowned experiences through its collection of unique hotels, lodges, recreational attractions, and transportation services.</w:t>
      </w:r>
    </w:p>
    <w:p>
      <w:pPr>
        <w:spacing w:after="0" w:line="27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Services and Products Offered</w:t>
      </w:r>
    </w:p>
    <w:p>
      <w:pPr>
        <w:spacing w:after="0" w:line="116" w:lineRule="exact"/>
        <w:rPr>
          <w:sz w:val="20"/>
          <w:szCs w:val="20"/>
          <w:color w:val="auto"/>
        </w:rPr>
      </w:pPr>
    </w:p>
    <w:p>
      <w:pPr>
        <w:jc w:val="both"/>
        <w:spacing w:after="0" w:line="262" w:lineRule="auto"/>
        <w:rPr>
          <w:sz w:val="20"/>
          <w:szCs w:val="20"/>
          <w:color w:val="auto"/>
        </w:rPr>
      </w:pPr>
      <w:r>
        <w:rPr>
          <w:rFonts w:ascii="Arial" w:cs="Arial" w:eastAsia="Arial" w:hAnsi="Arial"/>
          <w:sz w:val="18"/>
          <w:szCs w:val="18"/>
          <w:color w:val="auto"/>
        </w:rPr>
        <w:t>Pursuit is comprised of four lines of business: Hospitality, including food and beverage services and retail operations; Attractions, including food and beverage services and retail operations; Transportation, and Travel Planning. Services offered to these lines of business (or a subset of these) include accommodations, admissions, transportation, and travel planning. Products offered include food and beverage and retail.</w:t>
      </w:r>
    </w:p>
    <w:p>
      <w:pPr>
        <w:spacing w:after="0" w:line="18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69850</wp:posOffset>
            </wp:positionV>
            <wp:extent cx="7289800" cy="425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1420"/>
          </w:cols>
          <w:pgMar w:left="240" w:top="336" w:right="239" w:bottom="1440" w:gutter="0" w:footer="0" w:header="0"/>
        </w:sectPr>
      </w:pPr>
    </w:p>
    <w:bookmarkStart w:id="7" w:name="page8"/>
    <w:bookmarkEnd w:id="7"/>
    <w:p>
      <w:pPr>
        <w:spacing w:after="0"/>
        <w:rPr>
          <w:sz w:val="20"/>
          <w:szCs w:val="20"/>
          <w:color w:val="auto"/>
        </w:rPr>
      </w:pPr>
      <w:r>
        <w:rPr>
          <w:rFonts w:ascii="Arial" w:cs="Arial" w:eastAsia="Arial" w:hAnsi="Arial"/>
          <w:sz w:val="18"/>
          <w:szCs w:val="18"/>
          <w:i w:val="1"/>
          <w:iCs w:val="1"/>
          <w:color w:val="auto"/>
        </w:rPr>
        <w:t>Markets Served</w:t>
      </w:r>
    </w:p>
    <w:p>
      <w:pPr>
        <w:spacing w:after="0" w:line="116" w:lineRule="exact"/>
        <w:rPr>
          <w:sz w:val="20"/>
          <w:szCs w:val="20"/>
          <w:color w:val="auto"/>
        </w:rPr>
      </w:pPr>
    </w:p>
    <w:p>
      <w:pPr>
        <w:spacing w:after="0"/>
        <w:rPr>
          <w:sz w:val="20"/>
          <w:szCs w:val="20"/>
          <w:color w:val="auto"/>
        </w:rPr>
      </w:pPr>
      <w:r>
        <w:rPr>
          <w:rFonts w:ascii="Arial" w:cs="Arial" w:eastAsia="Arial" w:hAnsi="Arial"/>
          <w:sz w:val="18"/>
          <w:szCs w:val="18"/>
          <w:color w:val="auto"/>
        </w:rPr>
        <w:t>Pursuit provides the above services and products across the following geographic markets:</w:t>
      </w:r>
    </w:p>
    <w:p>
      <w:pPr>
        <w:spacing w:after="0" w:line="23" w:lineRule="exact"/>
        <w:rPr>
          <w:sz w:val="20"/>
          <w:szCs w:val="20"/>
          <w:color w:val="auto"/>
        </w:rPr>
      </w:pPr>
    </w:p>
    <w:p>
      <w:pPr>
        <w:jc w:val="both"/>
        <w:ind w:left="760" w:hanging="376"/>
        <w:spacing w:after="0" w:line="249" w:lineRule="auto"/>
        <w:tabs>
          <w:tab w:leader="none" w:pos="760" w:val="left"/>
        </w:tabs>
        <w:numPr>
          <w:ilvl w:val="0"/>
          <w:numId w:val="5"/>
        </w:numPr>
        <w:rPr>
          <w:rFonts w:ascii="Arial" w:cs="Arial" w:eastAsia="Arial" w:hAnsi="Arial"/>
          <w:sz w:val="18"/>
          <w:szCs w:val="18"/>
          <w:color w:val="auto"/>
        </w:rPr>
      </w:pPr>
      <w:r>
        <w:rPr>
          <w:rFonts w:ascii="Arial" w:cs="Arial" w:eastAsia="Arial" w:hAnsi="Arial"/>
          <w:sz w:val="18"/>
          <w:szCs w:val="18"/>
          <w:b w:val="1"/>
          <w:bCs w:val="1"/>
          <w:color w:val="auto"/>
        </w:rPr>
        <w:t>Banff Jasper Collection</w:t>
      </w:r>
      <w:r>
        <w:rPr>
          <w:rFonts w:ascii="Arial" w:cs="Arial" w:eastAsia="Arial" w:hAnsi="Arial"/>
          <w:sz w:val="18"/>
          <w:szCs w:val="18"/>
          <w:color w:val="auto"/>
        </w:rPr>
        <w:t>. The Banff Jasper Collection is a leading travel and tourism provider in the Canadian Rockies in Alberta, Canada with</w:t>
      </w:r>
      <w:r>
        <w:rPr>
          <w:rFonts w:ascii="Arial" w:cs="Arial" w:eastAsia="Arial" w:hAnsi="Arial"/>
          <w:sz w:val="18"/>
          <w:szCs w:val="18"/>
          <w:b w:val="1"/>
          <w:bCs w:val="1"/>
          <w:color w:val="auto"/>
        </w:rPr>
        <w:t xml:space="preserve"> </w:t>
      </w:r>
      <w:r>
        <w:rPr>
          <w:rFonts w:ascii="Arial" w:cs="Arial" w:eastAsia="Arial" w:hAnsi="Arial"/>
          <w:sz w:val="18"/>
          <w:szCs w:val="18"/>
          <w:color w:val="auto"/>
        </w:rPr>
        <w:t>two lodging properties in Banff National Park, one lodging property in Jasper National Park, five world-class recreational attractions, food and beverage services, retail operations, sightseeing and transportation services.</w:t>
      </w:r>
    </w:p>
    <w:p>
      <w:pPr>
        <w:spacing w:after="0" w:line="1" w:lineRule="exact"/>
        <w:rPr>
          <w:rFonts w:ascii="Arial" w:cs="Arial" w:eastAsia="Arial" w:hAnsi="Arial"/>
          <w:sz w:val="18"/>
          <w:szCs w:val="18"/>
          <w:color w:val="auto"/>
        </w:rPr>
      </w:pPr>
    </w:p>
    <w:p>
      <w:pPr>
        <w:jc w:val="both"/>
        <w:ind w:left="760" w:hanging="376"/>
        <w:spacing w:after="0" w:line="264" w:lineRule="auto"/>
        <w:tabs>
          <w:tab w:leader="none" w:pos="760" w:val="left"/>
        </w:tabs>
        <w:numPr>
          <w:ilvl w:val="0"/>
          <w:numId w:val="5"/>
        </w:numPr>
        <w:rPr>
          <w:rFonts w:ascii="Arial" w:cs="Arial" w:eastAsia="Arial" w:hAnsi="Arial"/>
          <w:sz w:val="17"/>
          <w:szCs w:val="17"/>
          <w:color w:val="auto"/>
        </w:rPr>
      </w:pPr>
      <w:r>
        <w:rPr>
          <w:rFonts w:ascii="Arial" w:cs="Arial" w:eastAsia="Arial" w:hAnsi="Arial"/>
          <w:sz w:val="17"/>
          <w:szCs w:val="17"/>
          <w:b w:val="1"/>
          <w:bCs w:val="1"/>
          <w:color w:val="auto"/>
        </w:rPr>
        <w:t xml:space="preserve">Alaska Collection. </w:t>
      </w:r>
      <w:r>
        <w:rPr>
          <w:rFonts w:ascii="Arial" w:cs="Arial" w:eastAsia="Arial" w:hAnsi="Arial"/>
          <w:sz w:val="17"/>
          <w:szCs w:val="17"/>
          <w:color w:val="auto"/>
        </w:rPr>
        <w:t>The Alaska Collection is a leading travel and tourism provider in Alaska with two lodging properties and a sightseeing</w:t>
      </w:r>
      <w:r>
        <w:rPr>
          <w:rFonts w:ascii="Arial" w:cs="Arial" w:eastAsia="Arial" w:hAnsi="Arial"/>
          <w:sz w:val="17"/>
          <w:szCs w:val="17"/>
          <w:b w:val="1"/>
          <w:bCs w:val="1"/>
          <w:color w:val="auto"/>
        </w:rPr>
        <w:t xml:space="preserve"> </w:t>
      </w:r>
      <w:r>
        <w:rPr>
          <w:rFonts w:ascii="Arial" w:cs="Arial" w:eastAsia="Arial" w:hAnsi="Arial"/>
          <w:sz w:val="17"/>
          <w:szCs w:val="17"/>
          <w:color w:val="auto"/>
        </w:rPr>
        <w:t>excursion in Denali National Park and Preserve, a lodge in Talkeetna, Alaska’s top-rated wildlife and glacier cruise, and two lodging properties located near Kenai Fjords National Park. The Alaska Collection also provides food and beverage services and retail operations.</w:t>
      </w:r>
    </w:p>
    <w:p>
      <w:pPr>
        <w:ind w:left="760" w:hanging="376"/>
        <w:spacing w:after="0" w:line="264" w:lineRule="auto"/>
        <w:tabs>
          <w:tab w:leader="none" w:pos="760" w:val="left"/>
        </w:tabs>
        <w:numPr>
          <w:ilvl w:val="0"/>
          <w:numId w:val="5"/>
        </w:numPr>
        <w:rPr>
          <w:rFonts w:ascii="Arial" w:cs="Arial" w:eastAsia="Arial" w:hAnsi="Arial"/>
          <w:sz w:val="17"/>
          <w:szCs w:val="17"/>
          <w:color w:val="auto"/>
        </w:rPr>
      </w:pPr>
      <w:r>
        <w:rPr>
          <w:rFonts w:ascii="Arial" w:cs="Arial" w:eastAsia="Arial" w:hAnsi="Arial"/>
          <w:sz w:val="17"/>
          <w:szCs w:val="17"/>
          <w:b w:val="1"/>
          <w:bCs w:val="1"/>
          <w:color w:val="auto"/>
        </w:rPr>
        <w:t xml:space="preserve">Glacier Park Collection. </w:t>
      </w:r>
      <w:r>
        <w:rPr>
          <w:rFonts w:ascii="Arial" w:cs="Arial" w:eastAsia="Arial" w:hAnsi="Arial"/>
          <w:sz w:val="17"/>
          <w:szCs w:val="17"/>
          <w:color w:val="auto"/>
        </w:rPr>
        <w:t>The Glacier Park Collection is an operator of seven lodging properties, 12 retail shops, and 11 dining outlets in and</w:t>
      </w:r>
      <w:r>
        <w:rPr>
          <w:rFonts w:ascii="Arial" w:cs="Arial" w:eastAsia="Arial" w:hAnsi="Arial"/>
          <w:sz w:val="17"/>
          <w:szCs w:val="17"/>
          <w:b w:val="1"/>
          <w:bCs w:val="1"/>
          <w:color w:val="auto"/>
        </w:rPr>
        <w:t xml:space="preserve"> </w:t>
      </w:r>
      <w:r>
        <w:rPr>
          <w:rFonts w:ascii="Arial" w:cs="Arial" w:eastAsia="Arial" w:hAnsi="Arial"/>
          <w:sz w:val="17"/>
          <w:szCs w:val="17"/>
          <w:color w:val="auto"/>
        </w:rPr>
        <w:t>around Glacier National Park in Montana, and Waterton Lakes National Park in Alberta, Canada, with a leading share of rooms in that market.</w:t>
      </w:r>
    </w:p>
    <w:p>
      <w:pPr>
        <w:ind w:left="760" w:hanging="376"/>
        <w:spacing w:after="0"/>
        <w:tabs>
          <w:tab w:leader="none" w:pos="760" w:val="left"/>
        </w:tabs>
        <w:numPr>
          <w:ilvl w:val="0"/>
          <w:numId w:val="5"/>
        </w:numPr>
        <w:rPr>
          <w:rFonts w:ascii="Arial" w:cs="Arial" w:eastAsia="Arial" w:hAnsi="Arial"/>
          <w:sz w:val="18"/>
          <w:szCs w:val="18"/>
          <w:color w:val="auto"/>
        </w:rPr>
      </w:pPr>
      <w:r>
        <w:rPr>
          <w:rFonts w:ascii="Arial" w:cs="Arial" w:eastAsia="Arial" w:hAnsi="Arial"/>
          <w:sz w:val="18"/>
          <w:szCs w:val="18"/>
          <w:b w:val="1"/>
          <w:bCs w:val="1"/>
          <w:color w:val="auto"/>
        </w:rPr>
        <w:t>FlyOver.</w:t>
      </w:r>
    </w:p>
    <w:p>
      <w:pPr>
        <w:spacing w:after="0" w:line="6" w:lineRule="exact"/>
        <w:rPr>
          <w:sz w:val="20"/>
          <w:szCs w:val="20"/>
          <w:color w:val="auto"/>
        </w:rPr>
      </w:pPr>
    </w:p>
    <w:p>
      <w:pPr>
        <w:jc w:val="both"/>
        <w:ind w:left="1520" w:hanging="383"/>
        <w:spacing w:after="0" w:line="243" w:lineRule="auto"/>
        <w:tabs>
          <w:tab w:leader="none" w:pos="1520" w:val="left"/>
        </w:tabs>
        <w:numPr>
          <w:ilvl w:val="0"/>
          <w:numId w:val="6"/>
        </w:numPr>
        <w:rPr>
          <w:rFonts w:ascii="Courier New" w:cs="Courier New" w:eastAsia="Courier New" w:hAnsi="Courier New"/>
          <w:sz w:val="18"/>
          <w:szCs w:val="18"/>
          <w:color w:val="auto"/>
        </w:rPr>
      </w:pPr>
      <w:r>
        <w:rPr>
          <w:rFonts w:ascii="Arial" w:cs="Arial" w:eastAsia="Arial" w:hAnsi="Arial"/>
          <w:sz w:val="18"/>
          <w:szCs w:val="18"/>
          <w:color w:val="auto"/>
        </w:rPr>
        <w:t>FlyOver Canada, located in Vancouver, British Columbia, is a recreational attraction that provides a virtual flight ride experience that combines motion seating, spectacular media, and visual effects including wind, scents, and mist to give the unforgettable experience of flying across Canada.</w:t>
      </w:r>
    </w:p>
    <w:p>
      <w:pPr>
        <w:spacing w:after="0" w:line="2" w:lineRule="exact"/>
        <w:rPr>
          <w:rFonts w:ascii="Courier New" w:cs="Courier New" w:eastAsia="Courier New" w:hAnsi="Courier New"/>
          <w:sz w:val="18"/>
          <w:szCs w:val="18"/>
          <w:color w:val="auto"/>
        </w:rPr>
      </w:pPr>
    </w:p>
    <w:p>
      <w:pPr>
        <w:jc w:val="both"/>
        <w:ind w:left="1520" w:hanging="383"/>
        <w:spacing w:after="0" w:line="244" w:lineRule="auto"/>
        <w:tabs>
          <w:tab w:leader="none" w:pos="1520" w:val="left"/>
        </w:tabs>
        <w:numPr>
          <w:ilvl w:val="0"/>
          <w:numId w:val="6"/>
        </w:numPr>
        <w:rPr>
          <w:rFonts w:ascii="Courier New" w:cs="Courier New" w:eastAsia="Courier New" w:hAnsi="Courier New"/>
          <w:sz w:val="18"/>
          <w:szCs w:val="18"/>
          <w:color w:val="auto"/>
        </w:rPr>
      </w:pPr>
      <w:r>
        <w:rPr>
          <w:rFonts w:ascii="Arial" w:cs="Arial" w:eastAsia="Arial" w:hAnsi="Arial"/>
          <w:sz w:val="18"/>
          <w:szCs w:val="18"/>
          <w:color w:val="auto"/>
        </w:rPr>
        <w:t>FlyOver Iceland is a recreational attraction under construction in Reykjavik, Iceland that will provide a virtual flight ride experience over some of Iceland’s most spectacular scenery and natural wonders with the same effects as FlyOver Canada. The new attraction is expected to open in 2019.</w:t>
      </w:r>
    </w:p>
    <w:p>
      <w:pPr>
        <w:spacing w:after="0" w:line="30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Basis of Presentation</w:t>
      </w:r>
    </w:p>
    <w:p>
      <w:pPr>
        <w:spacing w:after="0" w:line="120" w:lineRule="exact"/>
        <w:rPr>
          <w:sz w:val="20"/>
          <w:szCs w:val="20"/>
          <w:color w:val="auto"/>
        </w:rPr>
      </w:pPr>
    </w:p>
    <w:p>
      <w:pPr>
        <w:jc w:val="both"/>
        <w:spacing w:after="0" w:line="253" w:lineRule="auto"/>
        <w:rPr>
          <w:sz w:val="20"/>
          <w:szCs w:val="20"/>
          <w:color w:val="auto"/>
        </w:rPr>
      </w:pPr>
      <w:r>
        <w:rPr>
          <w:rFonts w:ascii="Arial" w:cs="Arial" w:eastAsia="Arial" w:hAnsi="Arial"/>
          <w:sz w:val="18"/>
          <w:szCs w:val="18"/>
          <w:color w:val="auto"/>
        </w:rPr>
        <w:t>Viad’s accompanying unaudited condensed consolidated financial statements have been prepared in accordance with accounting principles generally accepted in the United States of America (“GAAP”) and with the instructions to Form 10-Q and Article 10 of Regulation S-X for interim financial information. Accordingly, these financial statements do not include all of the information required by GAAP or SEC rules and regulations for complete financial statements. These financial statements reflect all adjustments (consisting of normal recurring adjustments) necessary for a fair presentation of the results for the interim periods presented. Interim results are not necessarily indicative of the results for the full year. We have recast certain prior period amounts to conform to the current period presentation due to the adoption of new accounting standards. These unaudited condensed consolidated financial statements should be read in conjunction with our Annual Report on Form 10-K for the year ended December 31, 2017, filed with the SEC on February 28, 2018 (“2017 Form 10-K”).</w:t>
      </w:r>
    </w:p>
    <w:p>
      <w:pPr>
        <w:spacing w:after="0" w:line="136" w:lineRule="exact"/>
        <w:rPr>
          <w:sz w:val="20"/>
          <w:szCs w:val="20"/>
          <w:color w:val="auto"/>
        </w:rPr>
      </w:pPr>
    </w:p>
    <w:p>
      <w:pPr>
        <w:jc w:val="both"/>
        <w:spacing w:after="0" w:line="275" w:lineRule="auto"/>
        <w:rPr>
          <w:sz w:val="20"/>
          <w:szCs w:val="20"/>
          <w:color w:val="auto"/>
        </w:rPr>
      </w:pPr>
      <w:r>
        <w:rPr>
          <w:rFonts w:ascii="Arial" w:cs="Arial" w:eastAsia="Arial" w:hAnsi="Arial"/>
          <w:sz w:val="18"/>
          <w:szCs w:val="18"/>
          <w:color w:val="auto"/>
        </w:rPr>
        <w:t>The condensed consolidated financial statements include the accounts of Viad and its subsidiaries. All significant intercompany account balances and transactions have been eliminated in consolidation.</w:t>
      </w:r>
    </w:p>
    <w:p>
      <w:pPr>
        <w:spacing w:after="0" w:line="17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69850</wp:posOffset>
            </wp:positionV>
            <wp:extent cx="7289800" cy="425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1420"/>
          </w:cols>
          <w:pgMar w:left="240" w:top="663" w:right="239" w:bottom="1440" w:gutter="0" w:footer="0" w:header="0"/>
        </w:sectPr>
      </w:pPr>
    </w:p>
    <w:bookmarkStart w:id="8" w:name="page9"/>
    <w:bookmarkEnd w:id="8"/>
    <w:p>
      <w:pPr>
        <w:spacing w:after="0"/>
        <w:rPr>
          <w:sz w:val="20"/>
          <w:szCs w:val="20"/>
          <w:color w:val="auto"/>
        </w:rPr>
      </w:pPr>
      <w:r>
        <w:rPr>
          <w:rFonts w:ascii="Arial" w:cs="Arial" w:eastAsia="Arial" w:hAnsi="Arial"/>
          <w:sz w:val="18"/>
          <w:szCs w:val="18"/>
          <w:b w:val="1"/>
          <w:bCs w:val="1"/>
          <w:color w:val="auto"/>
        </w:rPr>
        <w:t>Impact of Recent Accounting Pronouncements</w:t>
      </w:r>
    </w:p>
    <w:p>
      <w:pPr>
        <w:spacing w:after="0" w:line="120" w:lineRule="exact"/>
        <w:rPr>
          <w:sz w:val="20"/>
          <w:szCs w:val="20"/>
          <w:color w:val="auto"/>
        </w:rPr>
      </w:pPr>
    </w:p>
    <w:p>
      <w:pPr>
        <w:spacing w:after="0"/>
        <w:rPr>
          <w:sz w:val="20"/>
          <w:szCs w:val="20"/>
          <w:color w:val="auto"/>
        </w:rPr>
      </w:pPr>
      <w:r>
        <w:rPr>
          <w:rFonts w:ascii="Arial" w:cs="Arial" w:eastAsia="Arial" w:hAnsi="Arial"/>
          <w:sz w:val="18"/>
          <w:szCs w:val="18"/>
          <w:color w:val="auto"/>
        </w:rPr>
        <w:t>The following table provides a brief description of recent accounting pronouncements:</w:t>
      </w:r>
    </w:p>
    <w:p>
      <w:pPr>
        <w:spacing w:after="0" w:line="233" w:lineRule="exact"/>
        <w:rPr>
          <w:sz w:val="20"/>
          <w:szCs w:val="20"/>
          <w:color w:val="auto"/>
        </w:rPr>
      </w:pPr>
    </w:p>
    <w:tbl>
      <w:tblPr>
        <w:tblLayout w:type="fixed"/>
        <w:tblInd w:w="0" w:type="dxa"/>
        <w:tblCellMar>
          <w:top w:w="0" w:type="dxa"/>
          <w:left w:w="0" w:type="dxa"/>
          <w:bottom w:w="0" w:type="dxa"/>
          <w:right w:w="0" w:type="dxa"/>
        </w:tblCellMar>
      </w:tblPr>
      <w:tr>
        <w:trPr>
          <w:trHeight w:val="215"/>
        </w:trPr>
        <w:tc>
          <w:tcPr>
            <w:tcW w:w="17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7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00" w:type="dxa"/>
            <w:vAlign w:val="bottom"/>
          </w:tcPr>
          <w:p>
            <w:pPr>
              <w:ind w:left="60"/>
              <w:spacing w:after="0"/>
              <w:rPr>
                <w:sz w:val="20"/>
                <w:szCs w:val="20"/>
                <w:color w:val="auto"/>
              </w:rPr>
            </w:pPr>
            <w:r>
              <w:rPr>
                <w:rFonts w:ascii="Arial" w:cs="Arial" w:eastAsia="Arial" w:hAnsi="Arial"/>
                <w:sz w:val="18"/>
                <w:szCs w:val="18"/>
                <w:b w:val="1"/>
                <w:bCs w:val="1"/>
                <w:color w:val="auto"/>
              </w:rPr>
              <w:t>Date of</w:t>
            </w:r>
          </w:p>
        </w:tc>
        <w:tc>
          <w:tcPr>
            <w:tcW w:w="120" w:type="dxa"/>
            <w:vAlign w:val="bottom"/>
          </w:tcPr>
          <w:p>
            <w:pPr>
              <w:spacing w:after="0"/>
              <w:rPr>
                <w:sz w:val="18"/>
                <w:szCs w:val="18"/>
                <w:color w:val="auto"/>
              </w:rPr>
            </w:pPr>
          </w:p>
        </w:tc>
        <w:tc>
          <w:tcPr>
            <w:tcW w:w="4900" w:type="dxa"/>
            <w:vAlign w:val="bottom"/>
          </w:tcPr>
          <w:p>
            <w:pPr>
              <w:spacing w:after="0"/>
              <w:rPr>
                <w:sz w:val="18"/>
                <w:szCs w:val="18"/>
                <w:color w:val="auto"/>
              </w:rPr>
            </w:pPr>
          </w:p>
        </w:tc>
      </w:tr>
      <w:tr>
        <w:trPr>
          <w:trHeight w:val="233"/>
        </w:trPr>
        <w:tc>
          <w:tcPr>
            <w:tcW w:w="1820" w:type="dxa"/>
            <w:vAlign w:val="bottom"/>
            <w:tcBorders>
              <w:bottom w:val="single" w:sz="8" w:color="auto"/>
            </w:tcBorders>
            <w:gridSpan w:val="2"/>
          </w:tcPr>
          <w:p>
            <w:pPr>
              <w:ind w:left="480"/>
              <w:spacing w:after="0"/>
              <w:rPr>
                <w:sz w:val="20"/>
                <w:szCs w:val="20"/>
                <w:color w:val="auto"/>
              </w:rPr>
            </w:pPr>
            <w:r>
              <w:rPr>
                <w:rFonts w:ascii="Arial" w:cs="Arial" w:eastAsia="Arial" w:hAnsi="Arial"/>
                <w:sz w:val="18"/>
                <w:szCs w:val="18"/>
                <w:b w:val="1"/>
                <w:bCs w:val="1"/>
                <w:color w:val="auto"/>
              </w:rPr>
              <w:t>Standard</w:t>
            </w:r>
          </w:p>
        </w:tc>
        <w:tc>
          <w:tcPr>
            <w:tcW w:w="3760" w:type="dxa"/>
            <w:vAlign w:val="bottom"/>
            <w:tcBorders>
              <w:bottom w:val="single" w:sz="8" w:color="auto"/>
            </w:tcBorders>
          </w:tcPr>
          <w:p>
            <w:pPr>
              <w:ind w:left="1420"/>
              <w:spacing w:after="0"/>
              <w:rPr>
                <w:sz w:val="20"/>
                <w:szCs w:val="20"/>
                <w:color w:val="auto"/>
              </w:rPr>
            </w:pPr>
            <w:r>
              <w:rPr>
                <w:rFonts w:ascii="Arial" w:cs="Arial" w:eastAsia="Arial" w:hAnsi="Arial"/>
                <w:sz w:val="18"/>
                <w:szCs w:val="18"/>
                <w:b w:val="1"/>
                <w:bCs w:val="1"/>
                <w:color w:val="auto"/>
              </w:rPr>
              <w:t>Description</w:t>
            </w:r>
          </w:p>
        </w:tc>
        <w:tc>
          <w:tcPr>
            <w:tcW w:w="120" w:type="dxa"/>
            <w:vAlign w:val="bottom"/>
            <w:tcBorders>
              <w:bottom w:val="single" w:sz="8" w:color="auto"/>
            </w:tcBorders>
          </w:tcPr>
          <w:p>
            <w:pPr>
              <w:spacing w:after="0"/>
              <w:rPr>
                <w:sz w:val="20"/>
                <w:szCs w:val="20"/>
                <w:color w:val="auto"/>
              </w:rPr>
            </w:pPr>
          </w:p>
        </w:tc>
        <w:tc>
          <w:tcPr>
            <w:tcW w:w="700" w:type="dxa"/>
            <w:vAlign w:val="bottom"/>
            <w:tcBorders>
              <w:bottom w:val="single" w:sz="8" w:color="auto"/>
            </w:tcBorders>
          </w:tcPr>
          <w:p>
            <w:pPr>
              <w:spacing w:after="0"/>
              <w:rPr>
                <w:sz w:val="20"/>
                <w:szCs w:val="20"/>
                <w:color w:val="auto"/>
              </w:rPr>
            </w:pPr>
            <w:r>
              <w:rPr>
                <w:rFonts w:ascii="Arial" w:cs="Arial" w:eastAsia="Arial" w:hAnsi="Arial"/>
                <w:sz w:val="18"/>
                <w:szCs w:val="18"/>
                <w:b w:val="1"/>
                <w:bCs w:val="1"/>
                <w:color w:val="auto"/>
                <w:w w:val="89"/>
              </w:rPr>
              <w:t>adoption</w:t>
            </w:r>
          </w:p>
        </w:tc>
        <w:tc>
          <w:tcPr>
            <w:tcW w:w="120" w:type="dxa"/>
            <w:vAlign w:val="bottom"/>
            <w:tcBorders>
              <w:bottom w:val="single" w:sz="8" w:color="auto"/>
            </w:tcBorders>
          </w:tcPr>
          <w:p>
            <w:pPr>
              <w:spacing w:after="0"/>
              <w:rPr>
                <w:sz w:val="20"/>
                <w:szCs w:val="20"/>
                <w:color w:val="auto"/>
              </w:rPr>
            </w:pPr>
          </w:p>
        </w:tc>
        <w:tc>
          <w:tcPr>
            <w:tcW w:w="4900" w:type="dxa"/>
            <w:vAlign w:val="bottom"/>
            <w:tcBorders>
              <w:bottom w:val="single" w:sz="8" w:color="auto"/>
            </w:tcBorders>
          </w:tcPr>
          <w:p>
            <w:pPr>
              <w:ind w:left="1180"/>
              <w:spacing w:after="0"/>
              <w:rPr>
                <w:sz w:val="20"/>
                <w:szCs w:val="20"/>
                <w:color w:val="auto"/>
              </w:rPr>
            </w:pPr>
            <w:r>
              <w:rPr>
                <w:rFonts w:ascii="Arial" w:cs="Arial" w:eastAsia="Arial" w:hAnsi="Arial"/>
                <w:sz w:val="18"/>
                <w:szCs w:val="18"/>
                <w:b w:val="1"/>
                <w:bCs w:val="1"/>
                <w:color w:val="auto"/>
              </w:rPr>
              <w:t>Effect on the financial statements</w:t>
            </w:r>
          </w:p>
        </w:tc>
      </w:tr>
      <w:tr>
        <w:trPr>
          <w:trHeight w:val="222"/>
        </w:trPr>
        <w:tc>
          <w:tcPr>
            <w:tcW w:w="5580" w:type="dxa"/>
            <w:vAlign w:val="bottom"/>
            <w:tcBorders>
              <w:bottom w:val="single" w:sz="8" w:color="auto"/>
            </w:tcBorders>
            <w:gridSpan w:val="3"/>
          </w:tcPr>
          <w:p>
            <w:pPr>
              <w:spacing w:after="0"/>
              <w:rPr>
                <w:sz w:val="20"/>
                <w:szCs w:val="20"/>
                <w:color w:val="auto"/>
              </w:rPr>
            </w:pPr>
            <w:r>
              <w:rPr>
                <w:rFonts w:ascii="Arial" w:cs="Arial" w:eastAsia="Arial" w:hAnsi="Arial"/>
                <w:sz w:val="18"/>
                <w:szCs w:val="18"/>
                <w:b w:val="1"/>
                <w:bCs w:val="1"/>
                <w:color w:val="auto"/>
              </w:rPr>
              <w:t>Standards Not Yet Adopted</w:t>
            </w:r>
          </w:p>
        </w:tc>
        <w:tc>
          <w:tcPr>
            <w:tcW w:w="120" w:type="dxa"/>
            <w:vAlign w:val="bottom"/>
            <w:tcBorders>
              <w:bottom w:val="single" w:sz="8" w:color="auto"/>
            </w:tcBorders>
          </w:tcPr>
          <w:p>
            <w:pPr>
              <w:spacing w:after="0"/>
              <w:rPr>
                <w:sz w:val="19"/>
                <w:szCs w:val="19"/>
                <w:color w:val="auto"/>
              </w:rPr>
            </w:pPr>
          </w:p>
        </w:tc>
        <w:tc>
          <w:tcPr>
            <w:tcW w:w="700" w:type="dxa"/>
            <w:vAlign w:val="bottom"/>
            <w:tcBorders>
              <w:bottom w:val="single" w:sz="8" w:color="auto"/>
            </w:tcBorders>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4900" w:type="dxa"/>
            <w:vAlign w:val="bottom"/>
            <w:tcBorders>
              <w:bottom w:val="single" w:sz="8" w:color="auto"/>
            </w:tcBorders>
          </w:tcPr>
          <w:p>
            <w:pPr>
              <w:spacing w:after="0"/>
              <w:rPr>
                <w:sz w:val="19"/>
                <w:szCs w:val="19"/>
                <w:color w:val="auto"/>
              </w:rPr>
            </w:pPr>
          </w:p>
        </w:tc>
      </w:tr>
      <w:tr>
        <w:trPr>
          <w:trHeight w:val="199"/>
        </w:trPr>
        <w:tc>
          <w:tcPr>
            <w:tcW w:w="1820" w:type="dxa"/>
            <w:vAlign w:val="bottom"/>
            <w:gridSpan w:val="2"/>
            <w:shd w:val="clear" w:color="auto" w:fill="CFF0FC"/>
          </w:tcPr>
          <w:p>
            <w:pPr>
              <w:spacing w:after="0"/>
              <w:rPr>
                <w:sz w:val="20"/>
                <w:szCs w:val="20"/>
                <w:color w:val="auto"/>
              </w:rPr>
            </w:pPr>
            <w:r>
              <w:rPr>
                <w:rFonts w:ascii="Arial" w:cs="Arial" w:eastAsia="Arial" w:hAnsi="Arial"/>
                <w:sz w:val="16"/>
                <w:szCs w:val="16"/>
                <w:b w:val="1"/>
                <w:bCs w:val="1"/>
                <w:color w:val="auto"/>
              </w:rPr>
              <w:t>ASU 2016-02</w:t>
            </w:r>
            <w:r>
              <w:rPr>
                <w:rFonts w:ascii="Arial" w:cs="Arial" w:eastAsia="Arial" w:hAnsi="Arial"/>
                <w:sz w:val="16"/>
                <w:szCs w:val="16"/>
                <w:color w:val="auto"/>
              </w:rPr>
              <w:t>,</w:t>
            </w:r>
            <w:r>
              <w:rPr>
                <w:rFonts w:ascii="Arial" w:cs="Arial" w:eastAsia="Arial" w:hAnsi="Arial"/>
                <w:sz w:val="16"/>
                <w:szCs w:val="16"/>
                <w:b w:val="1"/>
                <w:bCs w:val="1"/>
                <w:color w:val="auto"/>
              </w:rPr>
              <w:t xml:space="preserve"> </w:t>
            </w:r>
            <w:r>
              <w:rPr>
                <w:rFonts w:ascii="Arial" w:cs="Arial" w:eastAsia="Arial" w:hAnsi="Arial"/>
                <w:sz w:val="16"/>
                <w:szCs w:val="16"/>
                <w:i w:val="1"/>
                <w:iCs w:val="1"/>
                <w:color w:val="auto"/>
              </w:rPr>
              <w:t>Leases</w:t>
            </w:r>
          </w:p>
        </w:tc>
        <w:tc>
          <w:tcPr>
            <w:tcW w:w="3760" w:type="dxa"/>
            <w:vAlign w:val="bottom"/>
            <w:shd w:val="clear" w:color="auto" w:fill="CFF0FC"/>
          </w:tcPr>
          <w:p>
            <w:pPr>
              <w:spacing w:after="0"/>
              <w:rPr>
                <w:sz w:val="20"/>
                <w:szCs w:val="20"/>
                <w:color w:val="auto"/>
              </w:rPr>
            </w:pPr>
            <w:r>
              <w:rPr>
                <w:rFonts w:ascii="Arial" w:cs="Arial" w:eastAsia="Arial" w:hAnsi="Arial"/>
                <w:sz w:val="16"/>
                <w:szCs w:val="16"/>
                <w:color w:val="auto"/>
                <w:w w:val="96"/>
              </w:rPr>
              <w:t>The amendment requires lessees to recognize on their</w:t>
            </w:r>
          </w:p>
        </w:tc>
        <w:tc>
          <w:tcPr>
            <w:tcW w:w="5840" w:type="dxa"/>
            <w:vAlign w:val="bottom"/>
            <w:gridSpan w:val="4"/>
            <w:shd w:val="clear" w:color="auto" w:fill="CFF0FC"/>
          </w:tcPr>
          <w:p>
            <w:pPr>
              <w:ind w:left="120"/>
              <w:spacing w:after="0"/>
              <w:rPr>
                <w:sz w:val="20"/>
                <w:szCs w:val="20"/>
                <w:color w:val="auto"/>
              </w:rPr>
            </w:pPr>
            <w:r>
              <w:rPr>
                <w:rFonts w:ascii="Arial" w:cs="Arial" w:eastAsia="Arial" w:hAnsi="Arial"/>
                <w:sz w:val="16"/>
                <w:szCs w:val="16"/>
                <w:color w:val="auto"/>
                <w:w w:val="95"/>
              </w:rPr>
              <w:t>January 1,  We are currently evaluating the potential impact the adoption of this new</w:t>
            </w:r>
          </w:p>
        </w:tc>
      </w:tr>
      <w:tr>
        <w:trPr>
          <w:trHeight w:val="202"/>
        </w:trPr>
        <w:tc>
          <w:tcPr>
            <w:tcW w:w="1820" w:type="dxa"/>
            <w:vAlign w:val="bottom"/>
            <w:gridSpan w:val="2"/>
            <w:shd w:val="clear" w:color="auto" w:fill="CFF0FC"/>
          </w:tcPr>
          <w:p>
            <w:pPr>
              <w:spacing w:after="0"/>
              <w:rPr>
                <w:sz w:val="20"/>
                <w:szCs w:val="20"/>
                <w:color w:val="auto"/>
              </w:rPr>
            </w:pPr>
            <w:r>
              <w:rPr>
                <w:rFonts w:ascii="Arial" w:cs="Arial" w:eastAsia="Arial" w:hAnsi="Arial"/>
                <w:sz w:val="16"/>
                <w:szCs w:val="16"/>
                <w:i w:val="1"/>
                <w:iCs w:val="1"/>
                <w:color w:val="auto"/>
              </w:rPr>
              <w:t>(Topic 842)</w:t>
            </w:r>
          </w:p>
        </w:tc>
        <w:tc>
          <w:tcPr>
            <w:tcW w:w="3760" w:type="dxa"/>
            <w:vAlign w:val="bottom"/>
            <w:shd w:val="clear" w:color="auto" w:fill="CFF0FC"/>
          </w:tcPr>
          <w:p>
            <w:pPr>
              <w:spacing w:after="0"/>
              <w:rPr>
                <w:sz w:val="20"/>
                <w:szCs w:val="20"/>
                <w:color w:val="auto"/>
              </w:rPr>
            </w:pPr>
            <w:r>
              <w:rPr>
                <w:rFonts w:ascii="Arial" w:cs="Arial" w:eastAsia="Arial" w:hAnsi="Arial"/>
                <w:sz w:val="16"/>
                <w:szCs w:val="16"/>
                <w:color w:val="auto"/>
                <w:w w:val="92"/>
              </w:rPr>
              <w:t>balance sheet a right-of-use asset and a lease liability for</w:t>
            </w:r>
          </w:p>
        </w:tc>
        <w:tc>
          <w:tcPr>
            <w:tcW w:w="820" w:type="dxa"/>
            <w:vAlign w:val="bottom"/>
            <w:gridSpan w:val="2"/>
            <w:shd w:val="clear" w:color="auto" w:fill="CFF0FC"/>
          </w:tcPr>
          <w:p>
            <w:pPr>
              <w:ind w:left="120"/>
              <w:spacing w:after="0"/>
              <w:rPr>
                <w:sz w:val="20"/>
                <w:szCs w:val="20"/>
                <w:color w:val="auto"/>
              </w:rPr>
            </w:pPr>
            <w:r>
              <w:rPr>
                <w:rFonts w:ascii="Arial" w:cs="Arial" w:eastAsia="Arial" w:hAnsi="Arial"/>
                <w:sz w:val="16"/>
                <w:szCs w:val="16"/>
                <w:color w:val="auto"/>
              </w:rPr>
              <w:t>2019</w:t>
            </w:r>
          </w:p>
        </w:tc>
        <w:tc>
          <w:tcPr>
            <w:tcW w:w="5020" w:type="dxa"/>
            <w:vAlign w:val="bottom"/>
            <w:gridSpan w:val="2"/>
            <w:shd w:val="clear" w:color="auto" w:fill="CFF0FC"/>
          </w:tcPr>
          <w:p>
            <w:pPr>
              <w:ind w:left="120"/>
              <w:spacing w:after="0"/>
              <w:rPr>
                <w:sz w:val="20"/>
                <w:szCs w:val="20"/>
                <w:color w:val="auto"/>
              </w:rPr>
            </w:pPr>
            <w:r>
              <w:rPr>
                <w:rFonts w:ascii="Arial" w:cs="Arial" w:eastAsia="Arial" w:hAnsi="Arial"/>
                <w:sz w:val="16"/>
                <w:szCs w:val="16"/>
                <w:color w:val="auto"/>
              </w:rPr>
              <w:t>guidance will have on our financial position or results of operations</w:t>
            </w:r>
          </w:p>
        </w:tc>
      </w:tr>
      <w:tr>
        <w:trPr>
          <w:trHeight w:val="202"/>
        </w:trPr>
        <w:tc>
          <w:tcPr>
            <w:tcW w:w="1700" w:type="dxa"/>
            <w:vAlign w:val="bottom"/>
            <w:shd w:val="clear" w:color="auto" w:fill="CFF0FC"/>
          </w:tcPr>
          <w:p>
            <w:pPr>
              <w:spacing w:after="0"/>
              <w:rPr>
                <w:sz w:val="17"/>
                <w:szCs w:val="17"/>
                <w:color w:val="auto"/>
              </w:rPr>
            </w:pPr>
          </w:p>
        </w:tc>
        <w:tc>
          <w:tcPr>
            <w:tcW w:w="120" w:type="dxa"/>
            <w:vAlign w:val="bottom"/>
            <w:shd w:val="clear" w:color="auto" w:fill="CFF0FC"/>
          </w:tcPr>
          <w:p>
            <w:pPr>
              <w:spacing w:after="0"/>
              <w:rPr>
                <w:sz w:val="17"/>
                <w:szCs w:val="17"/>
                <w:color w:val="auto"/>
              </w:rPr>
            </w:pPr>
          </w:p>
        </w:tc>
        <w:tc>
          <w:tcPr>
            <w:tcW w:w="3760" w:type="dxa"/>
            <w:vAlign w:val="bottom"/>
            <w:shd w:val="clear" w:color="auto" w:fill="CFF0FC"/>
          </w:tcPr>
          <w:p>
            <w:pPr>
              <w:spacing w:after="0"/>
              <w:rPr>
                <w:sz w:val="20"/>
                <w:szCs w:val="20"/>
                <w:color w:val="auto"/>
              </w:rPr>
            </w:pPr>
            <w:r>
              <w:rPr>
                <w:rFonts w:ascii="Arial" w:cs="Arial" w:eastAsia="Arial" w:hAnsi="Arial"/>
                <w:sz w:val="16"/>
                <w:szCs w:val="16"/>
                <w:color w:val="auto"/>
              </w:rPr>
              <w:t>leases with lease terms greater than one year. The</w:t>
            </w:r>
          </w:p>
        </w:tc>
        <w:tc>
          <w:tcPr>
            <w:tcW w:w="120" w:type="dxa"/>
            <w:vAlign w:val="bottom"/>
            <w:shd w:val="clear" w:color="auto" w:fill="CFF0FC"/>
          </w:tcPr>
          <w:p>
            <w:pPr>
              <w:spacing w:after="0"/>
              <w:rPr>
                <w:sz w:val="17"/>
                <w:szCs w:val="17"/>
                <w:color w:val="auto"/>
              </w:rPr>
            </w:pPr>
          </w:p>
        </w:tc>
        <w:tc>
          <w:tcPr>
            <w:tcW w:w="700" w:type="dxa"/>
            <w:vAlign w:val="bottom"/>
            <w:shd w:val="clear" w:color="auto" w:fill="CFF0FC"/>
          </w:tcPr>
          <w:p>
            <w:pPr>
              <w:spacing w:after="0"/>
              <w:rPr>
                <w:sz w:val="17"/>
                <w:szCs w:val="17"/>
                <w:color w:val="auto"/>
              </w:rPr>
            </w:pPr>
          </w:p>
        </w:tc>
        <w:tc>
          <w:tcPr>
            <w:tcW w:w="5020" w:type="dxa"/>
            <w:vAlign w:val="bottom"/>
            <w:gridSpan w:val="2"/>
            <w:shd w:val="clear" w:color="auto" w:fill="CFF0FC"/>
          </w:tcPr>
          <w:p>
            <w:pPr>
              <w:ind w:left="120"/>
              <w:spacing w:after="0"/>
              <w:rPr>
                <w:sz w:val="20"/>
                <w:szCs w:val="20"/>
                <w:color w:val="auto"/>
              </w:rPr>
            </w:pPr>
            <w:r>
              <w:rPr>
                <w:rFonts w:ascii="Arial" w:cs="Arial" w:eastAsia="Arial" w:hAnsi="Arial"/>
                <w:sz w:val="16"/>
                <w:szCs w:val="16"/>
                <w:color w:val="auto"/>
                <w:w w:val="97"/>
              </w:rPr>
              <w:t>including analyzing our existing operating leases. Based on our current</w:t>
            </w:r>
          </w:p>
        </w:tc>
      </w:tr>
      <w:tr>
        <w:trPr>
          <w:trHeight w:val="202"/>
        </w:trPr>
        <w:tc>
          <w:tcPr>
            <w:tcW w:w="1700" w:type="dxa"/>
            <w:vAlign w:val="bottom"/>
            <w:shd w:val="clear" w:color="auto" w:fill="CFF0FC"/>
          </w:tcPr>
          <w:p>
            <w:pPr>
              <w:spacing w:after="0"/>
              <w:rPr>
                <w:sz w:val="17"/>
                <w:szCs w:val="17"/>
                <w:color w:val="auto"/>
              </w:rPr>
            </w:pPr>
          </w:p>
        </w:tc>
        <w:tc>
          <w:tcPr>
            <w:tcW w:w="120" w:type="dxa"/>
            <w:vAlign w:val="bottom"/>
            <w:shd w:val="clear" w:color="auto" w:fill="CFF0FC"/>
          </w:tcPr>
          <w:p>
            <w:pPr>
              <w:spacing w:after="0"/>
              <w:rPr>
                <w:sz w:val="17"/>
                <w:szCs w:val="17"/>
                <w:color w:val="auto"/>
              </w:rPr>
            </w:pPr>
          </w:p>
        </w:tc>
        <w:tc>
          <w:tcPr>
            <w:tcW w:w="3760" w:type="dxa"/>
            <w:vAlign w:val="bottom"/>
            <w:shd w:val="clear" w:color="auto" w:fill="CFF0FC"/>
          </w:tcPr>
          <w:p>
            <w:pPr>
              <w:spacing w:after="0"/>
              <w:rPr>
                <w:sz w:val="20"/>
                <w:szCs w:val="20"/>
                <w:color w:val="auto"/>
              </w:rPr>
            </w:pPr>
            <w:r>
              <w:rPr>
                <w:rFonts w:ascii="Arial" w:cs="Arial" w:eastAsia="Arial" w:hAnsi="Arial"/>
                <w:sz w:val="16"/>
                <w:szCs w:val="16"/>
                <w:color w:val="auto"/>
                <w:w w:val="92"/>
              </w:rPr>
              <w:t>amendment requires additional disclosures about leasing</w:t>
            </w:r>
          </w:p>
        </w:tc>
        <w:tc>
          <w:tcPr>
            <w:tcW w:w="120" w:type="dxa"/>
            <w:vAlign w:val="bottom"/>
            <w:shd w:val="clear" w:color="auto" w:fill="CFF0FC"/>
          </w:tcPr>
          <w:p>
            <w:pPr>
              <w:spacing w:after="0"/>
              <w:rPr>
                <w:sz w:val="17"/>
                <w:szCs w:val="17"/>
                <w:color w:val="auto"/>
              </w:rPr>
            </w:pPr>
          </w:p>
        </w:tc>
        <w:tc>
          <w:tcPr>
            <w:tcW w:w="700" w:type="dxa"/>
            <w:vAlign w:val="bottom"/>
            <w:shd w:val="clear" w:color="auto" w:fill="CFF0FC"/>
          </w:tcPr>
          <w:p>
            <w:pPr>
              <w:spacing w:after="0"/>
              <w:rPr>
                <w:sz w:val="17"/>
                <w:szCs w:val="17"/>
                <w:color w:val="auto"/>
              </w:rPr>
            </w:pPr>
          </w:p>
        </w:tc>
        <w:tc>
          <w:tcPr>
            <w:tcW w:w="5020" w:type="dxa"/>
            <w:vAlign w:val="bottom"/>
            <w:gridSpan w:val="2"/>
            <w:shd w:val="clear" w:color="auto" w:fill="CFF0FC"/>
          </w:tcPr>
          <w:p>
            <w:pPr>
              <w:ind w:left="120"/>
              <w:spacing w:after="0"/>
              <w:rPr>
                <w:sz w:val="20"/>
                <w:szCs w:val="20"/>
                <w:color w:val="auto"/>
              </w:rPr>
            </w:pPr>
            <w:r>
              <w:rPr>
                <w:rFonts w:ascii="Arial" w:cs="Arial" w:eastAsia="Arial" w:hAnsi="Arial"/>
                <w:sz w:val="16"/>
                <w:szCs w:val="16"/>
                <w:color w:val="auto"/>
                <w:w w:val="95"/>
              </w:rPr>
              <w:t>assessment, the adoption of this standard will have a material impact on</w:t>
            </w:r>
          </w:p>
        </w:tc>
      </w:tr>
      <w:tr>
        <w:trPr>
          <w:trHeight w:val="202"/>
        </w:trPr>
        <w:tc>
          <w:tcPr>
            <w:tcW w:w="1700" w:type="dxa"/>
            <w:vAlign w:val="bottom"/>
            <w:shd w:val="clear" w:color="auto" w:fill="CFF0FC"/>
          </w:tcPr>
          <w:p>
            <w:pPr>
              <w:spacing w:after="0"/>
              <w:rPr>
                <w:sz w:val="17"/>
                <w:szCs w:val="17"/>
                <w:color w:val="auto"/>
              </w:rPr>
            </w:pPr>
          </w:p>
        </w:tc>
        <w:tc>
          <w:tcPr>
            <w:tcW w:w="120" w:type="dxa"/>
            <w:vAlign w:val="bottom"/>
            <w:shd w:val="clear" w:color="auto" w:fill="CFF0FC"/>
          </w:tcPr>
          <w:p>
            <w:pPr>
              <w:spacing w:after="0"/>
              <w:rPr>
                <w:sz w:val="17"/>
                <w:szCs w:val="17"/>
                <w:color w:val="auto"/>
              </w:rPr>
            </w:pPr>
          </w:p>
        </w:tc>
        <w:tc>
          <w:tcPr>
            <w:tcW w:w="3760" w:type="dxa"/>
            <w:vAlign w:val="bottom"/>
            <w:shd w:val="clear" w:color="auto" w:fill="CFF0FC"/>
          </w:tcPr>
          <w:p>
            <w:pPr>
              <w:spacing w:after="0"/>
              <w:rPr>
                <w:sz w:val="20"/>
                <w:szCs w:val="20"/>
                <w:color w:val="auto"/>
              </w:rPr>
            </w:pPr>
            <w:r>
              <w:rPr>
                <w:rFonts w:ascii="Arial" w:cs="Arial" w:eastAsia="Arial" w:hAnsi="Arial"/>
                <w:sz w:val="16"/>
                <w:szCs w:val="16"/>
                <w:color w:val="auto"/>
              </w:rPr>
              <w:t>arrangements, and requires a modified retrospective</w:t>
            </w:r>
          </w:p>
        </w:tc>
        <w:tc>
          <w:tcPr>
            <w:tcW w:w="120" w:type="dxa"/>
            <w:vAlign w:val="bottom"/>
            <w:shd w:val="clear" w:color="auto" w:fill="CFF0FC"/>
          </w:tcPr>
          <w:p>
            <w:pPr>
              <w:spacing w:after="0"/>
              <w:rPr>
                <w:sz w:val="17"/>
                <w:szCs w:val="17"/>
                <w:color w:val="auto"/>
              </w:rPr>
            </w:pPr>
          </w:p>
        </w:tc>
        <w:tc>
          <w:tcPr>
            <w:tcW w:w="700" w:type="dxa"/>
            <w:vAlign w:val="bottom"/>
            <w:shd w:val="clear" w:color="auto" w:fill="CFF0FC"/>
          </w:tcPr>
          <w:p>
            <w:pPr>
              <w:spacing w:after="0"/>
              <w:rPr>
                <w:sz w:val="17"/>
                <w:szCs w:val="17"/>
                <w:color w:val="auto"/>
              </w:rPr>
            </w:pPr>
          </w:p>
        </w:tc>
        <w:tc>
          <w:tcPr>
            <w:tcW w:w="5020" w:type="dxa"/>
            <w:vAlign w:val="bottom"/>
            <w:gridSpan w:val="2"/>
            <w:shd w:val="clear" w:color="auto" w:fill="CFF0FC"/>
          </w:tcPr>
          <w:p>
            <w:pPr>
              <w:ind w:left="120"/>
              <w:spacing w:after="0"/>
              <w:rPr>
                <w:sz w:val="20"/>
                <w:szCs w:val="20"/>
                <w:color w:val="auto"/>
              </w:rPr>
            </w:pPr>
            <w:r>
              <w:rPr>
                <w:rFonts w:ascii="Arial" w:cs="Arial" w:eastAsia="Arial" w:hAnsi="Arial"/>
                <w:sz w:val="16"/>
                <w:szCs w:val="16"/>
                <w:color w:val="auto"/>
                <w:w w:val="93"/>
              </w:rPr>
              <w:t>our Consolidated Balance Sheets as we will be required to record right-of-</w:t>
            </w:r>
          </w:p>
        </w:tc>
      </w:tr>
      <w:tr>
        <w:trPr>
          <w:trHeight w:val="202"/>
        </w:trPr>
        <w:tc>
          <w:tcPr>
            <w:tcW w:w="1700" w:type="dxa"/>
            <w:vAlign w:val="bottom"/>
            <w:shd w:val="clear" w:color="auto" w:fill="CFF0FC"/>
          </w:tcPr>
          <w:p>
            <w:pPr>
              <w:spacing w:after="0"/>
              <w:rPr>
                <w:sz w:val="17"/>
                <w:szCs w:val="17"/>
                <w:color w:val="auto"/>
              </w:rPr>
            </w:pPr>
          </w:p>
        </w:tc>
        <w:tc>
          <w:tcPr>
            <w:tcW w:w="120" w:type="dxa"/>
            <w:vAlign w:val="bottom"/>
            <w:shd w:val="clear" w:color="auto" w:fill="CFF0FC"/>
          </w:tcPr>
          <w:p>
            <w:pPr>
              <w:spacing w:after="0"/>
              <w:rPr>
                <w:sz w:val="17"/>
                <w:szCs w:val="17"/>
                <w:color w:val="auto"/>
              </w:rPr>
            </w:pPr>
          </w:p>
        </w:tc>
        <w:tc>
          <w:tcPr>
            <w:tcW w:w="3760" w:type="dxa"/>
            <w:vAlign w:val="bottom"/>
            <w:shd w:val="clear" w:color="auto" w:fill="CFF0FC"/>
          </w:tcPr>
          <w:p>
            <w:pPr>
              <w:spacing w:after="0"/>
              <w:rPr>
                <w:sz w:val="20"/>
                <w:szCs w:val="20"/>
                <w:color w:val="auto"/>
              </w:rPr>
            </w:pPr>
            <w:r>
              <w:rPr>
                <w:rFonts w:ascii="Arial" w:cs="Arial" w:eastAsia="Arial" w:hAnsi="Arial"/>
                <w:sz w:val="16"/>
                <w:szCs w:val="16"/>
                <w:color w:val="auto"/>
              </w:rPr>
              <w:t>approach to adoption. Early adoption is permitted.</w:t>
            </w:r>
          </w:p>
        </w:tc>
        <w:tc>
          <w:tcPr>
            <w:tcW w:w="120" w:type="dxa"/>
            <w:vAlign w:val="bottom"/>
            <w:shd w:val="clear" w:color="auto" w:fill="CFF0FC"/>
          </w:tcPr>
          <w:p>
            <w:pPr>
              <w:spacing w:after="0"/>
              <w:rPr>
                <w:sz w:val="17"/>
                <w:szCs w:val="17"/>
                <w:color w:val="auto"/>
              </w:rPr>
            </w:pPr>
          </w:p>
        </w:tc>
        <w:tc>
          <w:tcPr>
            <w:tcW w:w="700" w:type="dxa"/>
            <w:vAlign w:val="bottom"/>
            <w:shd w:val="clear" w:color="auto" w:fill="CFF0FC"/>
          </w:tcPr>
          <w:p>
            <w:pPr>
              <w:spacing w:after="0"/>
              <w:rPr>
                <w:sz w:val="17"/>
                <w:szCs w:val="17"/>
                <w:color w:val="auto"/>
              </w:rPr>
            </w:pPr>
          </w:p>
        </w:tc>
        <w:tc>
          <w:tcPr>
            <w:tcW w:w="5020" w:type="dxa"/>
            <w:vAlign w:val="bottom"/>
            <w:gridSpan w:val="2"/>
            <w:shd w:val="clear" w:color="auto" w:fill="CFF0FC"/>
          </w:tcPr>
          <w:p>
            <w:pPr>
              <w:ind w:left="120"/>
              <w:spacing w:after="0"/>
              <w:rPr>
                <w:sz w:val="20"/>
                <w:szCs w:val="20"/>
                <w:color w:val="auto"/>
              </w:rPr>
            </w:pPr>
            <w:r>
              <w:rPr>
                <w:rFonts w:ascii="Arial" w:cs="Arial" w:eastAsia="Arial" w:hAnsi="Arial"/>
                <w:sz w:val="16"/>
                <w:szCs w:val="16"/>
                <w:color w:val="auto"/>
                <w:w w:val="92"/>
              </w:rPr>
              <w:t>use assets and lease liabilities for our leases. Our Consolidated Statement</w:t>
            </w:r>
          </w:p>
        </w:tc>
      </w:tr>
      <w:tr>
        <w:trPr>
          <w:trHeight w:val="202"/>
        </w:trPr>
        <w:tc>
          <w:tcPr>
            <w:tcW w:w="1700" w:type="dxa"/>
            <w:vAlign w:val="bottom"/>
            <w:shd w:val="clear" w:color="auto" w:fill="CFF0FC"/>
          </w:tcPr>
          <w:p>
            <w:pPr>
              <w:spacing w:after="0"/>
              <w:rPr>
                <w:sz w:val="17"/>
                <w:szCs w:val="17"/>
                <w:color w:val="auto"/>
              </w:rPr>
            </w:pPr>
          </w:p>
        </w:tc>
        <w:tc>
          <w:tcPr>
            <w:tcW w:w="120" w:type="dxa"/>
            <w:vAlign w:val="bottom"/>
            <w:shd w:val="clear" w:color="auto" w:fill="CFF0FC"/>
          </w:tcPr>
          <w:p>
            <w:pPr>
              <w:spacing w:after="0"/>
              <w:rPr>
                <w:sz w:val="17"/>
                <w:szCs w:val="17"/>
                <w:color w:val="auto"/>
              </w:rPr>
            </w:pPr>
          </w:p>
        </w:tc>
        <w:tc>
          <w:tcPr>
            <w:tcW w:w="3760" w:type="dxa"/>
            <w:vAlign w:val="bottom"/>
            <w:shd w:val="clear" w:color="auto" w:fill="CFF0FC"/>
          </w:tcPr>
          <w:p>
            <w:pPr>
              <w:spacing w:after="0"/>
              <w:rPr>
                <w:sz w:val="17"/>
                <w:szCs w:val="17"/>
                <w:color w:val="auto"/>
              </w:rPr>
            </w:pPr>
          </w:p>
        </w:tc>
        <w:tc>
          <w:tcPr>
            <w:tcW w:w="120" w:type="dxa"/>
            <w:vAlign w:val="bottom"/>
            <w:shd w:val="clear" w:color="auto" w:fill="CFF0FC"/>
          </w:tcPr>
          <w:p>
            <w:pPr>
              <w:spacing w:after="0"/>
              <w:rPr>
                <w:sz w:val="17"/>
                <w:szCs w:val="17"/>
                <w:color w:val="auto"/>
              </w:rPr>
            </w:pPr>
          </w:p>
        </w:tc>
        <w:tc>
          <w:tcPr>
            <w:tcW w:w="700" w:type="dxa"/>
            <w:vAlign w:val="bottom"/>
            <w:shd w:val="clear" w:color="auto" w:fill="CFF0FC"/>
          </w:tcPr>
          <w:p>
            <w:pPr>
              <w:spacing w:after="0"/>
              <w:rPr>
                <w:sz w:val="17"/>
                <w:szCs w:val="17"/>
                <w:color w:val="auto"/>
              </w:rPr>
            </w:pPr>
          </w:p>
        </w:tc>
        <w:tc>
          <w:tcPr>
            <w:tcW w:w="5020" w:type="dxa"/>
            <w:vAlign w:val="bottom"/>
            <w:gridSpan w:val="2"/>
            <w:shd w:val="clear" w:color="auto" w:fill="CFF0FC"/>
          </w:tcPr>
          <w:p>
            <w:pPr>
              <w:ind w:left="120"/>
              <w:spacing w:after="0"/>
              <w:rPr>
                <w:sz w:val="20"/>
                <w:szCs w:val="20"/>
                <w:color w:val="auto"/>
              </w:rPr>
            </w:pPr>
            <w:r>
              <w:rPr>
                <w:rFonts w:ascii="Arial" w:cs="Arial" w:eastAsia="Arial" w:hAnsi="Arial"/>
                <w:sz w:val="16"/>
                <w:szCs w:val="16"/>
                <w:color w:val="auto"/>
                <w:w w:val="97"/>
              </w:rPr>
              <w:t>of Operations is not expected to be materially impacted. We expect the</w:t>
            </w:r>
          </w:p>
        </w:tc>
      </w:tr>
      <w:tr>
        <w:trPr>
          <w:trHeight w:val="202"/>
        </w:trPr>
        <w:tc>
          <w:tcPr>
            <w:tcW w:w="1700" w:type="dxa"/>
            <w:vAlign w:val="bottom"/>
            <w:shd w:val="clear" w:color="auto" w:fill="CFF0FC"/>
          </w:tcPr>
          <w:p>
            <w:pPr>
              <w:spacing w:after="0"/>
              <w:rPr>
                <w:sz w:val="17"/>
                <w:szCs w:val="17"/>
                <w:color w:val="auto"/>
              </w:rPr>
            </w:pPr>
          </w:p>
        </w:tc>
        <w:tc>
          <w:tcPr>
            <w:tcW w:w="120" w:type="dxa"/>
            <w:vAlign w:val="bottom"/>
            <w:shd w:val="clear" w:color="auto" w:fill="CFF0FC"/>
          </w:tcPr>
          <w:p>
            <w:pPr>
              <w:spacing w:after="0"/>
              <w:rPr>
                <w:sz w:val="17"/>
                <w:szCs w:val="17"/>
                <w:color w:val="auto"/>
              </w:rPr>
            </w:pPr>
          </w:p>
        </w:tc>
        <w:tc>
          <w:tcPr>
            <w:tcW w:w="3760" w:type="dxa"/>
            <w:vAlign w:val="bottom"/>
            <w:shd w:val="clear" w:color="auto" w:fill="CFF0FC"/>
          </w:tcPr>
          <w:p>
            <w:pPr>
              <w:spacing w:after="0"/>
              <w:rPr>
                <w:sz w:val="17"/>
                <w:szCs w:val="17"/>
                <w:color w:val="auto"/>
              </w:rPr>
            </w:pPr>
          </w:p>
        </w:tc>
        <w:tc>
          <w:tcPr>
            <w:tcW w:w="120" w:type="dxa"/>
            <w:vAlign w:val="bottom"/>
            <w:shd w:val="clear" w:color="auto" w:fill="CFF0FC"/>
          </w:tcPr>
          <w:p>
            <w:pPr>
              <w:spacing w:after="0"/>
              <w:rPr>
                <w:sz w:val="17"/>
                <w:szCs w:val="17"/>
                <w:color w:val="auto"/>
              </w:rPr>
            </w:pPr>
          </w:p>
        </w:tc>
        <w:tc>
          <w:tcPr>
            <w:tcW w:w="700" w:type="dxa"/>
            <w:vAlign w:val="bottom"/>
            <w:shd w:val="clear" w:color="auto" w:fill="CFF0FC"/>
          </w:tcPr>
          <w:p>
            <w:pPr>
              <w:spacing w:after="0"/>
              <w:rPr>
                <w:sz w:val="17"/>
                <w:szCs w:val="17"/>
                <w:color w:val="auto"/>
              </w:rPr>
            </w:pPr>
          </w:p>
        </w:tc>
        <w:tc>
          <w:tcPr>
            <w:tcW w:w="5020" w:type="dxa"/>
            <w:vAlign w:val="bottom"/>
            <w:gridSpan w:val="2"/>
            <w:shd w:val="clear" w:color="auto" w:fill="CFF0FC"/>
          </w:tcPr>
          <w:p>
            <w:pPr>
              <w:ind w:left="120"/>
              <w:spacing w:after="0"/>
              <w:rPr>
                <w:sz w:val="20"/>
                <w:szCs w:val="20"/>
                <w:color w:val="auto"/>
              </w:rPr>
            </w:pPr>
            <w:r>
              <w:rPr>
                <w:rFonts w:ascii="Arial" w:cs="Arial" w:eastAsia="Arial" w:hAnsi="Arial"/>
                <w:sz w:val="16"/>
                <w:szCs w:val="16"/>
                <w:color w:val="auto"/>
                <w:w w:val="95"/>
              </w:rPr>
              <w:t>most significant impact will relate to facility and equipment leases, which</w:t>
            </w:r>
          </w:p>
        </w:tc>
      </w:tr>
      <w:tr>
        <w:trPr>
          <w:trHeight w:val="202"/>
        </w:trPr>
        <w:tc>
          <w:tcPr>
            <w:tcW w:w="1700" w:type="dxa"/>
            <w:vAlign w:val="bottom"/>
            <w:shd w:val="clear" w:color="auto" w:fill="CFF0FC"/>
          </w:tcPr>
          <w:p>
            <w:pPr>
              <w:spacing w:after="0"/>
              <w:rPr>
                <w:sz w:val="17"/>
                <w:szCs w:val="17"/>
                <w:color w:val="auto"/>
              </w:rPr>
            </w:pPr>
          </w:p>
        </w:tc>
        <w:tc>
          <w:tcPr>
            <w:tcW w:w="120" w:type="dxa"/>
            <w:vAlign w:val="bottom"/>
            <w:shd w:val="clear" w:color="auto" w:fill="CFF0FC"/>
          </w:tcPr>
          <w:p>
            <w:pPr>
              <w:spacing w:after="0"/>
              <w:rPr>
                <w:sz w:val="17"/>
                <w:szCs w:val="17"/>
                <w:color w:val="auto"/>
              </w:rPr>
            </w:pPr>
          </w:p>
        </w:tc>
        <w:tc>
          <w:tcPr>
            <w:tcW w:w="3760" w:type="dxa"/>
            <w:vAlign w:val="bottom"/>
            <w:shd w:val="clear" w:color="auto" w:fill="CFF0FC"/>
          </w:tcPr>
          <w:p>
            <w:pPr>
              <w:spacing w:after="0"/>
              <w:rPr>
                <w:sz w:val="17"/>
                <w:szCs w:val="17"/>
                <w:color w:val="auto"/>
              </w:rPr>
            </w:pPr>
          </w:p>
        </w:tc>
        <w:tc>
          <w:tcPr>
            <w:tcW w:w="120" w:type="dxa"/>
            <w:vAlign w:val="bottom"/>
            <w:shd w:val="clear" w:color="auto" w:fill="CFF0FC"/>
          </w:tcPr>
          <w:p>
            <w:pPr>
              <w:spacing w:after="0"/>
              <w:rPr>
                <w:sz w:val="17"/>
                <w:szCs w:val="17"/>
                <w:color w:val="auto"/>
              </w:rPr>
            </w:pPr>
          </w:p>
        </w:tc>
        <w:tc>
          <w:tcPr>
            <w:tcW w:w="700" w:type="dxa"/>
            <w:vAlign w:val="bottom"/>
            <w:shd w:val="clear" w:color="auto" w:fill="CFF0FC"/>
          </w:tcPr>
          <w:p>
            <w:pPr>
              <w:spacing w:after="0"/>
              <w:rPr>
                <w:sz w:val="17"/>
                <w:szCs w:val="17"/>
                <w:color w:val="auto"/>
              </w:rPr>
            </w:pPr>
          </w:p>
        </w:tc>
        <w:tc>
          <w:tcPr>
            <w:tcW w:w="5020" w:type="dxa"/>
            <w:vAlign w:val="bottom"/>
            <w:gridSpan w:val="2"/>
            <w:shd w:val="clear" w:color="auto" w:fill="CFF0FC"/>
          </w:tcPr>
          <w:p>
            <w:pPr>
              <w:ind w:left="120"/>
              <w:spacing w:after="0"/>
              <w:rPr>
                <w:sz w:val="20"/>
                <w:szCs w:val="20"/>
                <w:color w:val="auto"/>
              </w:rPr>
            </w:pPr>
            <w:r>
              <w:rPr>
                <w:rFonts w:ascii="Arial" w:cs="Arial" w:eastAsia="Arial" w:hAnsi="Arial"/>
                <w:sz w:val="16"/>
                <w:szCs w:val="16"/>
                <w:color w:val="auto"/>
              </w:rPr>
              <w:t>are currently recorded as operating leases. We are continuing our</w:t>
            </w:r>
          </w:p>
        </w:tc>
      </w:tr>
      <w:tr>
        <w:trPr>
          <w:trHeight w:val="202"/>
        </w:trPr>
        <w:tc>
          <w:tcPr>
            <w:tcW w:w="1700" w:type="dxa"/>
            <w:vAlign w:val="bottom"/>
            <w:shd w:val="clear" w:color="auto" w:fill="CFF0FC"/>
          </w:tcPr>
          <w:p>
            <w:pPr>
              <w:spacing w:after="0"/>
              <w:rPr>
                <w:sz w:val="17"/>
                <w:szCs w:val="17"/>
                <w:color w:val="auto"/>
              </w:rPr>
            </w:pPr>
          </w:p>
        </w:tc>
        <w:tc>
          <w:tcPr>
            <w:tcW w:w="120" w:type="dxa"/>
            <w:vAlign w:val="bottom"/>
            <w:shd w:val="clear" w:color="auto" w:fill="CFF0FC"/>
          </w:tcPr>
          <w:p>
            <w:pPr>
              <w:spacing w:after="0"/>
              <w:rPr>
                <w:sz w:val="17"/>
                <w:szCs w:val="17"/>
                <w:color w:val="auto"/>
              </w:rPr>
            </w:pPr>
          </w:p>
        </w:tc>
        <w:tc>
          <w:tcPr>
            <w:tcW w:w="3760" w:type="dxa"/>
            <w:vAlign w:val="bottom"/>
            <w:shd w:val="clear" w:color="auto" w:fill="CFF0FC"/>
          </w:tcPr>
          <w:p>
            <w:pPr>
              <w:spacing w:after="0"/>
              <w:rPr>
                <w:sz w:val="17"/>
                <w:szCs w:val="17"/>
                <w:color w:val="auto"/>
              </w:rPr>
            </w:pPr>
          </w:p>
        </w:tc>
        <w:tc>
          <w:tcPr>
            <w:tcW w:w="120" w:type="dxa"/>
            <w:vAlign w:val="bottom"/>
            <w:shd w:val="clear" w:color="auto" w:fill="CFF0FC"/>
          </w:tcPr>
          <w:p>
            <w:pPr>
              <w:spacing w:after="0"/>
              <w:rPr>
                <w:sz w:val="17"/>
                <w:szCs w:val="17"/>
                <w:color w:val="auto"/>
              </w:rPr>
            </w:pPr>
          </w:p>
        </w:tc>
        <w:tc>
          <w:tcPr>
            <w:tcW w:w="700" w:type="dxa"/>
            <w:vAlign w:val="bottom"/>
            <w:shd w:val="clear" w:color="auto" w:fill="CFF0FC"/>
          </w:tcPr>
          <w:p>
            <w:pPr>
              <w:spacing w:after="0"/>
              <w:rPr>
                <w:sz w:val="17"/>
                <w:szCs w:val="17"/>
                <w:color w:val="auto"/>
              </w:rPr>
            </w:pPr>
          </w:p>
        </w:tc>
        <w:tc>
          <w:tcPr>
            <w:tcW w:w="5020" w:type="dxa"/>
            <w:vAlign w:val="bottom"/>
            <w:gridSpan w:val="2"/>
            <w:shd w:val="clear" w:color="auto" w:fill="CFF0FC"/>
          </w:tcPr>
          <w:p>
            <w:pPr>
              <w:ind w:left="120"/>
              <w:spacing w:after="0"/>
              <w:rPr>
                <w:sz w:val="20"/>
                <w:szCs w:val="20"/>
                <w:color w:val="auto"/>
              </w:rPr>
            </w:pPr>
            <w:r>
              <w:rPr>
                <w:rFonts w:ascii="Arial" w:cs="Arial" w:eastAsia="Arial" w:hAnsi="Arial"/>
                <w:sz w:val="16"/>
                <w:szCs w:val="16"/>
                <w:color w:val="auto"/>
                <w:w w:val="93"/>
              </w:rPr>
              <w:t>assessment, which may identify other impacts. We will adopt the standard</w:t>
            </w:r>
          </w:p>
        </w:tc>
      </w:tr>
      <w:tr>
        <w:trPr>
          <w:trHeight w:val="212"/>
        </w:trPr>
        <w:tc>
          <w:tcPr>
            <w:tcW w:w="1700" w:type="dxa"/>
            <w:vAlign w:val="bottom"/>
            <w:tcBorders>
              <w:bottom w:val="single" w:sz="8" w:color="auto"/>
            </w:tcBorders>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3760" w:type="dxa"/>
            <w:vAlign w:val="bottom"/>
            <w:tcBorders>
              <w:bottom w:val="single" w:sz="8" w:color="auto"/>
            </w:tcBorders>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700" w:type="dxa"/>
            <w:vAlign w:val="bottom"/>
            <w:tcBorders>
              <w:bottom w:val="single" w:sz="8" w:color="auto"/>
            </w:tcBorders>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4900" w:type="dxa"/>
            <w:vAlign w:val="bottom"/>
            <w:tcBorders>
              <w:bottom w:val="single" w:sz="8" w:color="auto"/>
            </w:tcBorders>
            <w:shd w:val="clear" w:color="auto" w:fill="CFF0FC"/>
          </w:tcPr>
          <w:p>
            <w:pPr>
              <w:spacing w:after="0"/>
              <w:rPr>
                <w:sz w:val="20"/>
                <w:szCs w:val="20"/>
                <w:color w:val="auto"/>
              </w:rPr>
            </w:pPr>
            <w:r>
              <w:rPr>
                <w:rFonts w:ascii="Arial" w:cs="Arial" w:eastAsia="Arial" w:hAnsi="Arial"/>
                <w:sz w:val="16"/>
                <w:szCs w:val="16"/>
                <w:color w:val="auto"/>
              </w:rPr>
              <w:t>on January 1, 2019.</w:t>
            </w:r>
          </w:p>
        </w:tc>
      </w:tr>
      <w:tr>
        <w:trPr>
          <w:trHeight w:val="199"/>
        </w:trPr>
        <w:tc>
          <w:tcPr>
            <w:tcW w:w="1700" w:type="dxa"/>
            <w:vAlign w:val="bottom"/>
          </w:tcPr>
          <w:p>
            <w:pPr>
              <w:spacing w:after="0"/>
              <w:rPr>
                <w:sz w:val="20"/>
                <w:szCs w:val="20"/>
                <w:color w:val="auto"/>
              </w:rPr>
            </w:pPr>
            <w:r>
              <w:rPr>
                <w:rFonts w:ascii="Arial" w:cs="Arial" w:eastAsia="Arial" w:hAnsi="Arial"/>
                <w:sz w:val="16"/>
                <w:szCs w:val="16"/>
                <w:b w:val="1"/>
                <w:bCs w:val="1"/>
                <w:color w:val="auto"/>
              </w:rPr>
              <w:t>ASU 2018-02</w:t>
            </w:r>
            <w:r>
              <w:rPr>
                <w:rFonts w:ascii="Arial" w:cs="Arial" w:eastAsia="Arial" w:hAnsi="Arial"/>
                <w:sz w:val="16"/>
                <w:szCs w:val="16"/>
                <w:color w:val="auto"/>
              </w:rPr>
              <w:t>,</w:t>
            </w:r>
            <w:r>
              <w:rPr>
                <w:rFonts w:ascii="Arial" w:cs="Arial" w:eastAsia="Arial" w:hAnsi="Arial"/>
                <w:sz w:val="16"/>
                <w:szCs w:val="16"/>
                <w:b w:val="1"/>
                <w:bCs w:val="1"/>
                <w:color w:val="auto"/>
              </w:rPr>
              <w:t xml:space="preserve"> </w:t>
            </w:r>
            <w:r>
              <w:rPr>
                <w:rFonts w:ascii="Arial" w:cs="Arial" w:eastAsia="Arial" w:hAnsi="Arial"/>
                <w:sz w:val="16"/>
                <w:szCs w:val="16"/>
                <w:i w:val="1"/>
                <w:iCs w:val="1"/>
                <w:color w:val="auto"/>
              </w:rPr>
              <w:t>Income</w:t>
            </w:r>
          </w:p>
        </w:tc>
        <w:tc>
          <w:tcPr>
            <w:tcW w:w="120" w:type="dxa"/>
            <w:vAlign w:val="bottom"/>
          </w:tcPr>
          <w:p>
            <w:pPr>
              <w:spacing w:after="0"/>
              <w:rPr>
                <w:sz w:val="17"/>
                <w:szCs w:val="17"/>
                <w:color w:val="auto"/>
              </w:rPr>
            </w:pPr>
          </w:p>
        </w:tc>
        <w:tc>
          <w:tcPr>
            <w:tcW w:w="3760" w:type="dxa"/>
            <w:vAlign w:val="bottom"/>
          </w:tcPr>
          <w:p>
            <w:pPr>
              <w:spacing w:after="0"/>
              <w:rPr>
                <w:sz w:val="20"/>
                <w:szCs w:val="20"/>
                <w:color w:val="auto"/>
              </w:rPr>
            </w:pPr>
            <w:r>
              <w:rPr>
                <w:rFonts w:ascii="Arial" w:cs="Arial" w:eastAsia="Arial" w:hAnsi="Arial"/>
                <w:sz w:val="16"/>
                <w:szCs w:val="16"/>
                <w:color w:val="auto"/>
                <w:w w:val="91"/>
              </w:rPr>
              <w:t>The amendment addresses the effect of the Tax Cuts and</w:t>
            </w:r>
          </w:p>
        </w:tc>
        <w:tc>
          <w:tcPr>
            <w:tcW w:w="5840" w:type="dxa"/>
            <w:vAlign w:val="bottom"/>
            <w:gridSpan w:val="4"/>
          </w:tcPr>
          <w:p>
            <w:pPr>
              <w:ind w:left="120"/>
              <w:spacing w:after="0"/>
              <w:rPr>
                <w:sz w:val="20"/>
                <w:szCs w:val="20"/>
                <w:color w:val="auto"/>
              </w:rPr>
            </w:pPr>
            <w:r>
              <w:rPr>
                <w:rFonts w:ascii="Arial" w:cs="Arial" w:eastAsia="Arial" w:hAnsi="Arial"/>
                <w:sz w:val="16"/>
                <w:szCs w:val="16"/>
                <w:color w:val="auto"/>
              </w:rPr>
              <w:t>January 1,  We are currently evaluating the impact of the adoption of this new</w:t>
            </w:r>
          </w:p>
        </w:tc>
      </w:tr>
      <w:tr>
        <w:trPr>
          <w:trHeight w:val="202"/>
        </w:trPr>
        <w:tc>
          <w:tcPr>
            <w:tcW w:w="1820" w:type="dxa"/>
            <w:vAlign w:val="bottom"/>
            <w:gridSpan w:val="2"/>
          </w:tcPr>
          <w:p>
            <w:pPr>
              <w:spacing w:after="0"/>
              <w:rPr>
                <w:sz w:val="20"/>
                <w:szCs w:val="20"/>
                <w:color w:val="auto"/>
              </w:rPr>
            </w:pPr>
            <w:r>
              <w:rPr>
                <w:rFonts w:ascii="Arial" w:cs="Arial" w:eastAsia="Arial" w:hAnsi="Arial"/>
                <w:sz w:val="16"/>
                <w:szCs w:val="16"/>
                <w:i w:val="1"/>
                <w:iCs w:val="1"/>
                <w:color w:val="auto"/>
              </w:rPr>
              <w:t>Statement—Reporting</w:t>
            </w:r>
          </w:p>
        </w:tc>
        <w:tc>
          <w:tcPr>
            <w:tcW w:w="3760" w:type="dxa"/>
            <w:vAlign w:val="bottom"/>
          </w:tcPr>
          <w:p>
            <w:pPr>
              <w:spacing w:after="0"/>
              <w:rPr>
                <w:sz w:val="20"/>
                <w:szCs w:val="20"/>
                <w:color w:val="auto"/>
              </w:rPr>
            </w:pPr>
            <w:r>
              <w:rPr>
                <w:rFonts w:ascii="Arial" w:cs="Arial" w:eastAsia="Arial" w:hAnsi="Arial"/>
                <w:sz w:val="16"/>
                <w:szCs w:val="16"/>
                <w:color w:val="auto"/>
              </w:rPr>
              <w:t>Jobs Act (the “Tax Act”) on items within accumulated</w:t>
            </w:r>
          </w:p>
        </w:tc>
        <w:tc>
          <w:tcPr>
            <w:tcW w:w="820" w:type="dxa"/>
            <w:vAlign w:val="bottom"/>
            <w:gridSpan w:val="2"/>
          </w:tcPr>
          <w:p>
            <w:pPr>
              <w:ind w:left="120"/>
              <w:spacing w:after="0"/>
              <w:rPr>
                <w:sz w:val="20"/>
                <w:szCs w:val="20"/>
                <w:color w:val="auto"/>
              </w:rPr>
            </w:pPr>
            <w:r>
              <w:rPr>
                <w:rFonts w:ascii="Arial" w:cs="Arial" w:eastAsia="Arial" w:hAnsi="Arial"/>
                <w:sz w:val="16"/>
                <w:szCs w:val="16"/>
                <w:color w:val="auto"/>
              </w:rPr>
              <w:t>2019</w:t>
            </w:r>
          </w:p>
        </w:tc>
        <w:tc>
          <w:tcPr>
            <w:tcW w:w="5020" w:type="dxa"/>
            <w:vAlign w:val="bottom"/>
            <w:gridSpan w:val="2"/>
          </w:tcPr>
          <w:p>
            <w:pPr>
              <w:ind w:left="120"/>
              <w:spacing w:after="0"/>
              <w:rPr>
                <w:sz w:val="20"/>
                <w:szCs w:val="20"/>
                <w:color w:val="auto"/>
              </w:rPr>
            </w:pPr>
            <w:r>
              <w:rPr>
                <w:rFonts w:ascii="Arial" w:cs="Arial" w:eastAsia="Arial" w:hAnsi="Arial"/>
                <w:sz w:val="16"/>
                <w:szCs w:val="16"/>
                <w:color w:val="auto"/>
                <w:w w:val="92"/>
              </w:rPr>
              <w:t>guidance on our consolidated financial statements and related disclosures.</w:t>
            </w:r>
          </w:p>
        </w:tc>
      </w:tr>
      <w:tr>
        <w:trPr>
          <w:trHeight w:val="202"/>
        </w:trPr>
        <w:tc>
          <w:tcPr>
            <w:tcW w:w="1820" w:type="dxa"/>
            <w:vAlign w:val="bottom"/>
            <w:gridSpan w:val="2"/>
          </w:tcPr>
          <w:p>
            <w:pPr>
              <w:spacing w:after="0"/>
              <w:rPr>
                <w:sz w:val="20"/>
                <w:szCs w:val="20"/>
                <w:color w:val="auto"/>
              </w:rPr>
            </w:pPr>
            <w:r>
              <w:rPr>
                <w:rFonts w:ascii="Arial" w:cs="Arial" w:eastAsia="Arial" w:hAnsi="Arial"/>
                <w:sz w:val="16"/>
                <w:szCs w:val="16"/>
                <w:i w:val="1"/>
                <w:iCs w:val="1"/>
                <w:color w:val="auto"/>
              </w:rPr>
              <w:t>Comprehensive Income</w:t>
            </w:r>
          </w:p>
        </w:tc>
        <w:tc>
          <w:tcPr>
            <w:tcW w:w="3760" w:type="dxa"/>
            <w:vAlign w:val="bottom"/>
          </w:tcPr>
          <w:p>
            <w:pPr>
              <w:spacing w:after="0"/>
              <w:rPr>
                <w:sz w:val="20"/>
                <w:szCs w:val="20"/>
                <w:color w:val="auto"/>
              </w:rPr>
            </w:pPr>
            <w:r>
              <w:rPr>
                <w:rFonts w:ascii="Arial" w:cs="Arial" w:eastAsia="Arial" w:hAnsi="Arial"/>
                <w:sz w:val="16"/>
                <w:szCs w:val="16"/>
                <w:color w:val="auto"/>
                <w:w w:val="99"/>
              </w:rPr>
              <w:t>other comprehensive income (“AOCI”). Under current</w:t>
            </w:r>
          </w:p>
        </w:tc>
        <w:tc>
          <w:tcPr>
            <w:tcW w:w="12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5020" w:type="dxa"/>
            <w:vAlign w:val="bottom"/>
            <w:gridSpan w:val="2"/>
          </w:tcPr>
          <w:p>
            <w:pPr>
              <w:ind w:left="120"/>
              <w:spacing w:after="0"/>
              <w:rPr>
                <w:sz w:val="20"/>
                <w:szCs w:val="20"/>
                <w:color w:val="auto"/>
              </w:rPr>
            </w:pPr>
            <w:r>
              <w:rPr>
                <w:rFonts w:ascii="Arial" w:cs="Arial" w:eastAsia="Arial" w:hAnsi="Arial"/>
                <w:sz w:val="16"/>
                <w:szCs w:val="16"/>
                <w:color w:val="auto"/>
              </w:rPr>
              <w:t>Refer to Note 16 – Income Taxes for additional information.</w:t>
            </w:r>
          </w:p>
        </w:tc>
      </w:tr>
      <w:tr>
        <w:trPr>
          <w:trHeight w:val="202"/>
        </w:trPr>
        <w:tc>
          <w:tcPr>
            <w:tcW w:w="1820" w:type="dxa"/>
            <w:vAlign w:val="bottom"/>
            <w:gridSpan w:val="2"/>
          </w:tcPr>
          <w:p>
            <w:pPr>
              <w:spacing w:after="0"/>
              <w:rPr>
                <w:sz w:val="20"/>
                <w:szCs w:val="20"/>
                <w:color w:val="auto"/>
              </w:rPr>
            </w:pPr>
            <w:r>
              <w:rPr>
                <w:rFonts w:ascii="Arial" w:cs="Arial" w:eastAsia="Arial" w:hAnsi="Arial"/>
                <w:sz w:val="16"/>
                <w:szCs w:val="16"/>
                <w:i w:val="1"/>
                <w:iCs w:val="1"/>
                <w:color w:val="auto"/>
              </w:rPr>
              <w:t>(Topic 220):</w:t>
            </w:r>
          </w:p>
        </w:tc>
        <w:tc>
          <w:tcPr>
            <w:tcW w:w="3760" w:type="dxa"/>
            <w:vAlign w:val="bottom"/>
          </w:tcPr>
          <w:p>
            <w:pPr>
              <w:spacing w:after="0"/>
              <w:rPr>
                <w:sz w:val="20"/>
                <w:szCs w:val="20"/>
                <w:color w:val="auto"/>
              </w:rPr>
            </w:pPr>
            <w:r>
              <w:rPr>
                <w:rFonts w:ascii="Arial" w:cs="Arial" w:eastAsia="Arial" w:hAnsi="Arial"/>
                <w:sz w:val="16"/>
                <w:szCs w:val="16"/>
                <w:color w:val="auto"/>
                <w:w w:val="97"/>
              </w:rPr>
              <w:t>GAAP, the effects of changes in tax rates and laws on</w:t>
            </w:r>
          </w:p>
        </w:tc>
        <w:tc>
          <w:tcPr>
            <w:tcW w:w="12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4900" w:type="dxa"/>
            <w:vAlign w:val="bottom"/>
          </w:tcPr>
          <w:p>
            <w:pPr>
              <w:spacing w:after="0"/>
              <w:rPr>
                <w:sz w:val="17"/>
                <w:szCs w:val="17"/>
                <w:color w:val="auto"/>
              </w:rPr>
            </w:pPr>
          </w:p>
        </w:tc>
      </w:tr>
      <w:tr>
        <w:trPr>
          <w:trHeight w:val="202"/>
        </w:trPr>
        <w:tc>
          <w:tcPr>
            <w:tcW w:w="1820" w:type="dxa"/>
            <w:vAlign w:val="bottom"/>
            <w:gridSpan w:val="2"/>
          </w:tcPr>
          <w:p>
            <w:pPr>
              <w:spacing w:after="0"/>
              <w:rPr>
                <w:sz w:val="20"/>
                <w:szCs w:val="20"/>
                <w:color w:val="auto"/>
              </w:rPr>
            </w:pPr>
            <w:r>
              <w:rPr>
                <w:rFonts w:ascii="Arial" w:cs="Arial" w:eastAsia="Arial" w:hAnsi="Arial"/>
                <w:sz w:val="16"/>
                <w:szCs w:val="16"/>
                <w:i w:val="1"/>
                <w:iCs w:val="1"/>
                <w:color w:val="auto"/>
              </w:rPr>
              <w:t>Reclassification of</w:t>
            </w:r>
          </w:p>
        </w:tc>
        <w:tc>
          <w:tcPr>
            <w:tcW w:w="3760" w:type="dxa"/>
            <w:vAlign w:val="bottom"/>
          </w:tcPr>
          <w:p>
            <w:pPr>
              <w:spacing w:after="0"/>
              <w:rPr>
                <w:sz w:val="20"/>
                <w:szCs w:val="20"/>
                <w:color w:val="auto"/>
              </w:rPr>
            </w:pPr>
            <w:r>
              <w:rPr>
                <w:rFonts w:ascii="Arial" w:cs="Arial" w:eastAsia="Arial" w:hAnsi="Arial"/>
                <w:sz w:val="16"/>
                <w:szCs w:val="16"/>
                <w:color w:val="auto"/>
                <w:w w:val="97"/>
              </w:rPr>
              <w:t>deferred tax balances are recorded as a component of</w:t>
            </w:r>
          </w:p>
        </w:tc>
        <w:tc>
          <w:tcPr>
            <w:tcW w:w="12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4900" w:type="dxa"/>
            <w:vAlign w:val="bottom"/>
          </w:tcPr>
          <w:p>
            <w:pPr>
              <w:spacing w:after="0"/>
              <w:rPr>
                <w:sz w:val="17"/>
                <w:szCs w:val="17"/>
                <w:color w:val="auto"/>
              </w:rPr>
            </w:pPr>
          </w:p>
        </w:tc>
      </w:tr>
      <w:tr>
        <w:trPr>
          <w:trHeight w:val="202"/>
        </w:trPr>
        <w:tc>
          <w:tcPr>
            <w:tcW w:w="1820" w:type="dxa"/>
            <w:vAlign w:val="bottom"/>
            <w:gridSpan w:val="2"/>
          </w:tcPr>
          <w:p>
            <w:pPr>
              <w:spacing w:after="0"/>
              <w:rPr>
                <w:sz w:val="20"/>
                <w:szCs w:val="20"/>
                <w:color w:val="auto"/>
              </w:rPr>
            </w:pPr>
            <w:r>
              <w:rPr>
                <w:rFonts w:ascii="Arial" w:cs="Arial" w:eastAsia="Arial" w:hAnsi="Arial"/>
                <w:sz w:val="16"/>
                <w:szCs w:val="16"/>
                <w:i w:val="1"/>
                <w:iCs w:val="1"/>
                <w:color w:val="auto"/>
              </w:rPr>
              <w:t>Certain Tax Effects from</w:t>
            </w:r>
          </w:p>
        </w:tc>
        <w:tc>
          <w:tcPr>
            <w:tcW w:w="3760" w:type="dxa"/>
            <w:vAlign w:val="bottom"/>
          </w:tcPr>
          <w:p>
            <w:pPr>
              <w:spacing w:after="0"/>
              <w:rPr>
                <w:sz w:val="20"/>
                <w:szCs w:val="20"/>
                <w:color w:val="auto"/>
              </w:rPr>
            </w:pPr>
            <w:r>
              <w:rPr>
                <w:rFonts w:ascii="Arial" w:cs="Arial" w:eastAsia="Arial" w:hAnsi="Arial"/>
                <w:sz w:val="16"/>
                <w:szCs w:val="16"/>
                <w:color w:val="auto"/>
                <w:w w:val="97"/>
              </w:rPr>
              <w:t>income tax expense in the period in which the law was</w:t>
            </w:r>
          </w:p>
        </w:tc>
        <w:tc>
          <w:tcPr>
            <w:tcW w:w="12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4900" w:type="dxa"/>
            <w:vAlign w:val="bottom"/>
          </w:tcPr>
          <w:p>
            <w:pPr>
              <w:spacing w:after="0"/>
              <w:rPr>
                <w:sz w:val="17"/>
                <w:szCs w:val="17"/>
                <w:color w:val="auto"/>
              </w:rPr>
            </w:pPr>
          </w:p>
        </w:tc>
      </w:tr>
      <w:tr>
        <w:trPr>
          <w:trHeight w:val="202"/>
        </w:trPr>
        <w:tc>
          <w:tcPr>
            <w:tcW w:w="1820" w:type="dxa"/>
            <w:vAlign w:val="bottom"/>
            <w:gridSpan w:val="2"/>
          </w:tcPr>
          <w:p>
            <w:pPr>
              <w:spacing w:after="0"/>
              <w:rPr>
                <w:sz w:val="20"/>
                <w:szCs w:val="20"/>
                <w:color w:val="auto"/>
              </w:rPr>
            </w:pPr>
            <w:r>
              <w:rPr>
                <w:rFonts w:ascii="Arial" w:cs="Arial" w:eastAsia="Arial" w:hAnsi="Arial"/>
                <w:sz w:val="16"/>
                <w:szCs w:val="16"/>
                <w:i w:val="1"/>
                <w:iCs w:val="1"/>
                <w:color w:val="auto"/>
              </w:rPr>
              <w:t>Accumulated Other</w:t>
            </w:r>
          </w:p>
        </w:tc>
        <w:tc>
          <w:tcPr>
            <w:tcW w:w="3760" w:type="dxa"/>
            <w:vAlign w:val="bottom"/>
          </w:tcPr>
          <w:p>
            <w:pPr>
              <w:spacing w:after="0"/>
              <w:rPr>
                <w:sz w:val="20"/>
                <w:szCs w:val="20"/>
                <w:color w:val="auto"/>
              </w:rPr>
            </w:pPr>
            <w:r>
              <w:rPr>
                <w:rFonts w:ascii="Arial" w:cs="Arial" w:eastAsia="Arial" w:hAnsi="Arial"/>
                <w:sz w:val="16"/>
                <w:szCs w:val="16"/>
                <w:color w:val="auto"/>
                <w:w w:val="98"/>
              </w:rPr>
              <w:t>enacted. When deferred tax balances related to items</w:t>
            </w:r>
          </w:p>
        </w:tc>
        <w:tc>
          <w:tcPr>
            <w:tcW w:w="12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4900" w:type="dxa"/>
            <w:vAlign w:val="bottom"/>
          </w:tcPr>
          <w:p>
            <w:pPr>
              <w:spacing w:after="0"/>
              <w:rPr>
                <w:sz w:val="17"/>
                <w:szCs w:val="17"/>
                <w:color w:val="auto"/>
              </w:rPr>
            </w:pPr>
          </w:p>
        </w:tc>
      </w:tr>
      <w:tr>
        <w:trPr>
          <w:trHeight w:val="202"/>
        </w:trPr>
        <w:tc>
          <w:tcPr>
            <w:tcW w:w="1820" w:type="dxa"/>
            <w:vAlign w:val="bottom"/>
            <w:gridSpan w:val="2"/>
          </w:tcPr>
          <w:p>
            <w:pPr>
              <w:spacing w:after="0"/>
              <w:rPr>
                <w:sz w:val="20"/>
                <w:szCs w:val="20"/>
                <w:color w:val="auto"/>
              </w:rPr>
            </w:pPr>
            <w:r>
              <w:rPr>
                <w:rFonts w:ascii="Arial" w:cs="Arial" w:eastAsia="Arial" w:hAnsi="Arial"/>
                <w:sz w:val="16"/>
                <w:szCs w:val="16"/>
                <w:i w:val="1"/>
                <w:iCs w:val="1"/>
                <w:color w:val="auto"/>
              </w:rPr>
              <w:t>Comprehensive Income</w:t>
            </w:r>
          </w:p>
        </w:tc>
        <w:tc>
          <w:tcPr>
            <w:tcW w:w="3760" w:type="dxa"/>
            <w:vAlign w:val="bottom"/>
          </w:tcPr>
          <w:p>
            <w:pPr>
              <w:spacing w:after="0"/>
              <w:rPr>
                <w:sz w:val="20"/>
                <w:szCs w:val="20"/>
                <w:color w:val="auto"/>
              </w:rPr>
            </w:pPr>
            <w:r>
              <w:rPr>
                <w:rFonts w:ascii="Arial" w:cs="Arial" w:eastAsia="Arial" w:hAnsi="Arial"/>
                <w:sz w:val="16"/>
                <w:szCs w:val="16"/>
                <w:color w:val="auto"/>
              </w:rPr>
              <w:t>originally recorded in AOCI are adjusted, certain tax</w:t>
            </w:r>
          </w:p>
        </w:tc>
        <w:tc>
          <w:tcPr>
            <w:tcW w:w="12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4900" w:type="dxa"/>
            <w:vAlign w:val="bottom"/>
          </w:tcPr>
          <w:p>
            <w:pPr>
              <w:spacing w:after="0"/>
              <w:rPr>
                <w:sz w:val="17"/>
                <w:szCs w:val="17"/>
                <w:color w:val="auto"/>
              </w:rPr>
            </w:pPr>
          </w:p>
        </w:tc>
      </w:tr>
      <w:tr>
        <w:trPr>
          <w:trHeight w:val="202"/>
        </w:trPr>
        <w:tc>
          <w:tcPr>
            <w:tcW w:w="17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3760" w:type="dxa"/>
            <w:vAlign w:val="bottom"/>
          </w:tcPr>
          <w:p>
            <w:pPr>
              <w:spacing w:after="0"/>
              <w:rPr>
                <w:sz w:val="20"/>
                <w:szCs w:val="20"/>
                <w:color w:val="auto"/>
              </w:rPr>
            </w:pPr>
            <w:r>
              <w:rPr>
                <w:rFonts w:ascii="Arial" w:cs="Arial" w:eastAsia="Arial" w:hAnsi="Arial"/>
                <w:sz w:val="16"/>
                <w:szCs w:val="16"/>
                <w:color w:val="auto"/>
              </w:rPr>
              <w:t>effects become stranded in AOCI. This amendment</w:t>
            </w:r>
          </w:p>
        </w:tc>
        <w:tc>
          <w:tcPr>
            <w:tcW w:w="12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4900" w:type="dxa"/>
            <w:vAlign w:val="bottom"/>
          </w:tcPr>
          <w:p>
            <w:pPr>
              <w:spacing w:after="0"/>
              <w:rPr>
                <w:sz w:val="17"/>
                <w:szCs w:val="17"/>
                <w:color w:val="auto"/>
              </w:rPr>
            </w:pPr>
          </w:p>
        </w:tc>
      </w:tr>
      <w:tr>
        <w:trPr>
          <w:trHeight w:val="202"/>
        </w:trPr>
        <w:tc>
          <w:tcPr>
            <w:tcW w:w="17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3760" w:type="dxa"/>
            <w:vAlign w:val="bottom"/>
          </w:tcPr>
          <w:p>
            <w:pPr>
              <w:spacing w:after="0"/>
              <w:rPr>
                <w:sz w:val="20"/>
                <w:szCs w:val="20"/>
                <w:color w:val="auto"/>
              </w:rPr>
            </w:pPr>
            <w:r>
              <w:rPr>
                <w:rFonts w:ascii="Arial" w:cs="Arial" w:eastAsia="Arial" w:hAnsi="Arial"/>
                <w:sz w:val="16"/>
                <w:szCs w:val="16"/>
                <w:color w:val="auto"/>
                <w:w w:val="95"/>
              </w:rPr>
              <w:t>allows a reclassification from AOCI to retained earnings</w:t>
            </w:r>
          </w:p>
        </w:tc>
        <w:tc>
          <w:tcPr>
            <w:tcW w:w="12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4900" w:type="dxa"/>
            <w:vAlign w:val="bottom"/>
          </w:tcPr>
          <w:p>
            <w:pPr>
              <w:spacing w:after="0"/>
              <w:rPr>
                <w:sz w:val="17"/>
                <w:szCs w:val="17"/>
                <w:color w:val="auto"/>
              </w:rPr>
            </w:pPr>
          </w:p>
        </w:tc>
      </w:tr>
      <w:tr>
        <w:trPr>
          <w:trHeight w:val="209"/>
        </w:trPr>
        <w:tc>
          <w:tcPr>
            <w:tcW w:w="1700" w:type="dxa"/>
            <w:vAlign w:val="bottom"/>
            <w:tcBorders>
              <w:bottom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3760" w:type="dxa"/>
            <w:vAlign w:val="bottom"/>
            <w:tcBorders>
              <w:bottom w:val="single" w:sz="8" w:color="auto"/>
            </w:tcBorders>
          </w:tcPr>
          <w:p>
            <w:pPr>
              <w:spacing w:after="0"/>
              <w:rPr>
                <w:sz w:val="20"/>
                <w:szCs w:val="20"/>
                <w:color w:val="auto"/>
              </w:rPr>
            </w:pPr>
            <w:r>
              <w:rPr>
                <w:rFonts w:ascii="Arial" w:cs="Arial" w:eastAsia="Arial" w:hAnsi="Arial"/>
                <w:sz w:val="16"/>
                <w:szCs w:val="16"/>
                <w:color w:val="auto"/>
              </w:rPr>
              <w:t>for stranded tax effects. Early adoption is permitted.</w:t>
            </w:r>
          </w:p>
        </w:tc>
        <w:tc>
          <w:tcPr>
            <w:tcW w:w="120" w:type="dxa"/>
            <w:vAlign w:val="bottom"/>
          </w:tcPr>
          <w:p>
            <w:pPr>
              <w:spacing w:after="0"/>
              <w:rPr>
                <w:sz w:val="18"/>
                <w:szCs w:val="18"/>
                <w:color w:val="auto"/>
              </w:rPr>
            </w:pPr>
          </w:p>
        </w:tc>
        <w:tc>
          <w:tcPr>
            <w:tcW w:w="700" w:type="dxa"/>
            <w:vAlign w:val="bottom"/>
            <w:tcBorders>
              <w:bottom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4900" w:type="dxa"/>
            <w:vAlign w:val="bottom"/>
            <w:tcBorders>
              <w:bottom w:val="single" w:sz="8" w:color="auto"/>
            </w:tcBorders>
          </w:tcPr>
          <w:p>
            <w:pPr>
              <w:spacing w:after="0"/>
              <w:rPr>
                <w:sz w:val="18"/>
                <w:szCs w:val="18"/>
                <w:color w:val="auto"/>
              </w:rPr>
            </w:pPr>
          </w:p>
        </w:tc>
      </w:tr>
    </w:tbl>
    <w:p>
      <w:pPr>
        <w:spacing w:after="0" w:line="200" w:lineRule="exact"/>
        <w:rPr>
          <w:sz w:val="20"/>
          <w:szCs w:val="20"/>
          <w:color w:val="auto"/>
        </w:rPr>
      </w:pPr>
    </w:p>
    <w:p>
      <w:pPr>
        <w:spacing w:after="0" w:line="21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69850</wp:posOffset>
            </wp:positionV>
            <wp:extent cx="7289800" cy="425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1420"/>
          </w:cols>
          <w:pgMar w:left="240" w:top="659" w:right="239" w:bottom="1440" w:gutter="0" w:footer="0" w:header="0"/>
        </w:sectPr>
      </w:pPr>
    </w:p>
    <w:bookmarkStart w:id="9" w:name="page10"/>
    <w:bookmarkEnd w:id="9"/>
    <w:p>
      <w:pPr>
        <w:ind w:left="5760"/>
        <w:spacing w:after="0"/>
        <w:rPr>
          <w:sz w:val="20"/>
          <w:szCs w:val="20"/>
          <w:color w:val="auto"/>
        </w:rPr>
      </w:pPr>
      <w:r>
        <w:rPr>
          <w:rFonts w:ascii="Arial" w:cs="Arial" w:eastAsia="Arial" w:hAnsi="Arial"/>
          <w:sz w:val="18"/>
          <w:szCs w:val="18"/>
          <w:b w:val="1"/>
          <w:bCs w:val="1"/>
          <w:color w:val="auto"/>
        </w:rPr>
        <w:t>Date of</w:t>
      </w:r>
    </w:p>
    <w:p>
      <w:pPr>
        <w:spacing w:after="0" w:line="27" w:lineRule="exact"/>
        <w:rPr>
          <w:sz w:val="20"/>
          <w:szCs w:val="20"/>
          <w:color w:val="auto"/>
        </w:rPr>
      </w:pPr>
    </w:p>
    <w:p>
      <w:pPr>
        <w:ind w:left="480"/>
        <w:spacing w:after="0"/>
        <w:tabs>
          <w:tab w:leader="none" w:pos="3220" w:val="left"/>
          <w:tab w:leader="none" w:pos="5680" w:val="left"/>
          <w:tab w:leader="none" w:pos="7680" w:val="left"/>
        </w:tabs>
        <w:rPr>
          <w:sz w:val="20"/>
          <w:szCs w:val="20"/>
          <w:color w:val="auto"/>
        </w:rPr>
      </w:pPr>
      <w:r>
        <w:rPr>
          <w:rFonts w:ascii="Arial" w:cs="Arial" w:eastAsia="Arial" w:hAnsi="Arial"/>
          <w:sz w:val="18"/>
          <w:szCs w:val="18"/>
          <w:b w:val="1"/>
          <w:bCs w:val="1"/>
          <w:color w:val="auto"/>
        </w:rPr>
        <w:t>Standard</w:t>
      </w:r>
      <w:r>
        <w:rPr>
          <w:sz w:val="20"/>
          <w:szCs w:val="20"/>
          <w:color w:val="auto"/>
        </w:rPr>
        <w:tab/>
      </w:r>
      <w:r>
        <w:rPr>
          <w:rFonts w:ascii="Arial" w:cs="Arial" w:eastAsia="Arial" w:hAnsi="Arial"/>
          <w:sz w:val="18"/>
          <w:szCs w:val="18"/>
          <w:b w:val="1"/>
          <w:bCs w:val="1"/>
          <w:color w:val="auto"/>
        </w:rPr>
        <w:t>Description</w:t>
      </w:r>
      <w:r>
        <w:rPr>
          <w:sz w:val="20"/>
          <w:szCs w:val="20"/>
          <w:color w:val="auto"/>
        </w:rPr>
        <w:tab/>
      </w:r>
      <w:r>
        <w:rPr>
          <w:rFonts w:ascii="Arial" w:cs="Arial" w:eastAsia="Arial" w:hAnsi="Arial"/>
          <w:sz w:val="18"/>
          <w:szCs w:val="18"/>
          <w:b w:val="1"/>
          <w:bCs w:val="1"/>
          <w:color w:val="auto"/>
        </w:rPr>
        <w:t>adoption</w:t>
      </w:r>
      <w:r>
        <w:rPr>
          <w:sz w:val="20"/>
          <w:szCs w:val="20"/>
          <w:color w:val="auto"/>
        </w:rPr>
        <w:tab/>
      </w:r>
      <w:r>
        <w:rPr>
          <w:rFonts w:ascii="Arial" w:cs="Arial" w:eastAsia="Arial" w:hAnsi="Arial"/>
          <w:sz w:val="15"/>
          <w:szCs w:val="15"/>
          <w:b w:val="1"/>
          <w:bCs w:val="1"/>
          <w:color w:val="auto"/>
        </w:rPr>
        <w:t>Effect on the financial statements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5080</wp:posOffset>
            </wp:positionV>
            <wp:extent cx="7247255" cy="825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47255" cy="8255"/>
                    </a:xfrm>
                    <a:prstGeom prst="rect">
                      <a:avLst/>
                    </a:prstGeom>
                    <a:noFill/>
                  </pic:spPr>
                </pic:pic>
              </a:graphicData>
            </a:graphic>
          </wp:anchor>
        </w:drawing>
      </w:r>
    </w:p>
    <w:p>
      <w:pPr>
        <w:spacing w:after="0"/>
        <w:rPr>
          <w:sz w:val="20"/>
          <w:szCs w:val="20"/>
          <w:color w:val="auto"/>
        </w:rPr>
      </w:pPr>
      <w:r>
        <w:rPr>
          <w:rFonts w:ascii="Arial" w:cs="Arial" w:eastAsia="Arial" w:hAnsi="Arial"/>
          <w:sz w:val="18"/>
          <w:szCs w:val="18"/>
          <w:b w:val="1"/>
          <w:bCs w:val="1"/>
          <w:color w:val="auto"/>
        </w:rPr>
        <w:t>Standards Recently Adopted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16510</wp:posOffset>
            </wp:positionV>
            <wp:extent cx="7247255" cy="21939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247255" cy="2193925"/>
                    </a:xfrm>
                    <a:prstGeom prst="rect">
                      <a:avLst/>
                    </a:prstGeom>
                    <a:noFill/>
                  </pic:spPr>
                </pic:pic>
              </a:graphicData>
            </a:graphic>
          </wp:anchor>
        </w:drawing>
      </w:r>
    </w:p>
    <w:p>
      <w:pPr>
        <w:sectPr>
          <w:pgSz w:w="11900" w:h="16838" w:orient="portrait"/>
          <w:cols w:equalWidth="0" w:num="1">
            <w:col w:w="11420"/>
          </w:cols>
          <w:pgMar w:left="240" w:top="350" w:right="239" w:bottom="1440" w:gutter="0" w:footer="0" w:header="0"/>
        </w:sectPr>
      </w:pPr>
    </w:p>
    <w:p>
      <w:pPr>
        <w:spacing w:after="0" w:line="39" w:lineRule="exact"/>
        <w:rPr>
          <w:sz w:val="20"/>
          <w:szCs w:val="20"/>
          <w:color w:val="auto"/>
        </w:rPr>
      </w:pPr>
    </w:p>
    <w:p>
      <w:pPr>
        <w:ind w:right="80"/>
        <w:spacing w:after="0" w:line="336" w:lineRule="auto"/>
        <w:rPr>
          <w:sz w:val="20"/>
          <w:szCs w:val="20"/>
          <w:color w:val="auto"/>
        </w:rPr>
      </w:pPr>
      <w:r>
        <w:rPr>
          <w:rFonts w:ascii="Arial" w:cs="Arial" w:eastAsia="Arial" w:hAnsi="Arial"/>
          <w:sz w:val="14"/>
          <w:szCs w:val="14"/>
          <w:b w:val="1"/>
          <w:bCs w:val="1"/>
          <w:color w:val="auto"/>
        </w:rPr>
        <w:t>ASU 2014-09</w:t>
      </w:r>
      <w:r>
        <w:rPr>
          <w:rFonts w:ascii="Arial" w:cs="Arial" w:eastAsia="Arial" w:hAnsi="Arial"/>
          <w:sz w:val="14"/>
          <w:szCs w:val="14"/>
          <w:color w:val="auto"/>
        </w:rPr>
        <w:t>,</w:t>
      </w:r>
      <w:r>
        <w:rPr>
          <w:rFonts w:ascii="Arial" w:cs="Arial" w:eastAsia="Arial" w:hAnsi="Arial"/>
          <w:sz w:val="14"/>
          <w:szCs w:val="14"/>
          <w:b w:val="1"/>
          <w:bCs w:val="1"/>
          <w:color w:val="auto"/>
        </w:rPr>
        <w:t xml:space="preserve"> </w:t>
      </w:r>
      <w:r>
        <w:rPr>
          <w:rFonts w:ascii="Arial" w:cs="Arial" w:eastAsia="Arial" w:hAnsi="Arial"/>
          <w:sz w:val="14"/>
          <w:szCs w:val="14"/>
          <w:i w:val="1"/>
          <w:iCs w:val="1"/>
          <w:color w:val="auto"/>
        </w:rPr>
        <w:t>Revenue</w:t>
      </w:r>
      <w:r>
        <w:rPr>
          <w:rFonts w:ascii="Arial" w:cs="Arial" w:eastAsia="Arial" w:hAnsi="Arial"/>
          <w:sz w:val="14"/>
          <w:szCs w:val="14"/>
          <w:b w:val="1"/>
          <w:bCs w:val="1"/>
          <w:color w:val="auto"/>
        </w:rPr>
        <w:t xml:space="preserve"> </w:t>
      </w:r>
      <w:r>
        <w:rPr>
          <w:rFonts w:ascii="Arial" w:cs="Arial" w:eastAsia="Arial" w:hAnsi="Arial"/>
          <w:sz w:val="14"/>
          <w:szCs w:val="14"/>
          <w:i w:val="1"/>
          <w:iCs w:val="1"/>
          <w:color w:val="auto"/>
        </w:rPr>
        <w:t>from Contracts with Customers (Topic 606)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1756410</wp:posOffset>
            </wp:positionV>
            <wp:extent cx="1075690" cy="825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1075690" cy="82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9" w:lineRule="exact"/>
        <w:rPr>
          <w:sz w:val="20"/>
          <w:szCs w:val="20"/>
          <w:color w:val="auto"/>
        </w:rPr>
      </w:pPr>
    </w:p>
    <w:p>
      <w:pPr>
        <w:spacing w:after="0" w:line="286" w:lineRule="auto"/>
        <w:rPr>
          <w:sz w:val="20"/>
          <w:szCs w:val="20"/>
          <w:color w:val="auto"/>
        </w:rPr>
      </w:pPr>
      <w:r>
        <w:rPr>
          <w:rFonts w:ascii="Arial" w:cs="Arial" w:eastAsia="Arial" w:hAnsi="Arial"/>
          <w:sz w:val="15"/>
          <w:szCs w:val="15"/>
          <w:b w:val="1"/>
          <w:bCs w:val="1"/>
          <w:color w:val="auto"/>
        </w:rPr>
        <w:t>ASU 2016-01</w:t>
      </w:r>
      <w:r>
        <w:rPr>
          <w:rFonts w:ascii="Arial" w:cs="Arial" w:eastAsia="Arial" w:hAnsi="Arial"/>
          <w:sz w:val="15"/>
          <w:szCs w:val="15"/>
          <w:color w:val="auto"/>
        </w:rPr>
        <w:t>,</w:t>
      </w:r>
      <w:r>
        <w:rPr>
          <w:rFonts w:ascii="Arial" w:cs="Arial" w:eastAsia="Arial" w:hAnsi="Arial"/>
          <w:sz w:val="15"/>
          <w:szCs w:val="15"/>
          <w:b w:val="1"/>
          <w:bCs w:val="1"/>
          <w:color w:val="auto"/>
        </w:rPr>
        <w:t xml:space="preserve"> </w:t>
      </w:r>
      <w:r>
        <w:rPr>
          <w:rFonts w:ascii="Arial" w:cs="Arial" w:eastAsia="Arial" w:hAnsi="Arial"/>
          <w:sz w:val="15"/>
          <w:szCs w:val="15"/>
          <w:i w:val="1"/>
          <w:iCs w:val="1"/>
          <w:color w:val="auto"/>
        </w:rPr>
        <w:t>Financial</w:t>
      </w:r>
      <w:r>
        <w:rPr>
          <w:rFonts w:ascii="Arial" w:cs="Arial" w:eastAsia="Arial" w:hAnsi="Arial"/>
          <w:sz w:val="15"/>
          <w:szCs w:val="15"/>
          <w:b w:val="1"/>
          <w:bCs w:val="1"/>
          <w:color w:val="auto"/>
        </w:rPr>
        <w:t xml:space="preserve"> </w:t>
      </w:r>
      <w:r>
        <w:rPr>
          <w:rFonts w:ascii="Arial" w:cs="Arial" w:eastAsia="Arial" w:hAnsi="Arial"/>
          <w:sz w:val="15"/>
          <w:szCs w:val="15"/>
          <w:i w:val="1"/>
          <w:iCs w:val="1"/>
          <w:color w:val="auto"/>
        </w:rPr>
        <w:t>Instruments–Overall:</w:t>
      </w:r>
    </w:p>
    <w:p>
      <w:pPr>
        <w:ind w:right="260"/>
        <w:spacing w:after="0" w:line="308" w:lineRule="auto"/>
        <w:rPr>
          <w:sz w:val="20"/>
          <w:szCs w:val="20"/>
          <w:color w:val="auto"/>
        </w:rPr>
      </w:pPr>
      <w:r>
        <w:rPr>
          <w:rFonts w:ascii="Arial" w:cs="Arial" w:eastAsia="Arial" w:hAnsi="Arial"/>
          <w:sz w:val="14"/>
          <w:szCs w:val="14"/>
          <w:i w:val="1"/>
          <w:iCs w:val="1"/>
          <w:color w:val="auto"/>
        </w:rPr>
        <w:t>Recognition and Measurement of Financial Assets and Financial Liabilities</w:t>
      </w:r>
    </w:p>
    <w:p>
      <w:pPr>
        <w:spacing w:after="0" w:line="20" w:lineRule="exact"/>
        <w:rPr>
          <w:sz w:val="20"/>
          <w:szCs w:val="20"/>
          <w:color w:val="auto"/>
        </w:rPr>
      </w:pPr>
      <w:r>
        <w:rPr>
          <w:sz w:val="20"/>
          <w:szCs w:val="20"/>
          <w:color w:val="auto"/>
        </w:rPr>
        <w:br w:type="column"/>
      </w:r>
    </w:p>
    <w:p>
      <w:pPr>
        <w:spacing w:after="0" w:line="23"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02"/>
        </w:trPr>
        <w:tc>
          <w:tcPr>
            <w:tcW w:w="3760" w:type="dxa"/>
            <w:vAlign w:val="bottom"/>
          </w:tcPr>
          <w:p>
            <w:pPr>
              <w:spacing w:after="0"/>
              <w:rPr>
                <w:sz w:val="20"/>
                <w:szCs w:val="20"/>
                <w:color w:val="auto"/>
              </w:rPr>
            </w:pPr>
            <w:r>
              <w:rPr>
                <w:rFonts w:ascii="Arial" w:cs="Arial" w:eastAsia="Arial" w:hAnsi="Arial"/>
                <w:sz w:val="16"/>
                <w:szCs w:val="16"/>
                <w:color w:val="auto"/>
                <w:w w:val="96"/>
              </w:rPr>
              <w:t>The standard established a new recognition model that</w:t>
            </w:r>
          </w:p>
        </w:tc>
        <w:tc>
          <w:tcPr>
            <w:tcW w:w="940" w:type="dxa"/>
            <w:vAlign w:val="bottom"/>
            <w:gridSpan w:val="3"/>
          </w:tcPr>
          <w:p>
            <w:pPr>
              <w:ind w:left="120"/>
              <w:spacing w:after="0"/>
              <w:rPr>
                <w:sz w:val="20"/>
                <w:szCs w:val="20"/>
                <w:color w:val="auto"/>
              </w:rPr>
            </w:pPr>
            <w:r>
              <w:rPr>
                <w:rFonts w:ascii="Arial" w:cs="Arial" w:eastAsia="Arial" w:hAnsi="Arial"/>
                <w:sz w:val="16"/>
                <w:szCs w:val="16"/>
                <w:color w:val="auto"/>
              </w:rPr>
              <w:t>January 1,</w:t>
            </w:r>
          </w:p>
        </w:tc>
        <w:tc>
          <w:tcPr>
            <w:tcW w:w="4900" w:type="dxa"/>
            <w:vAlign w:val="bottom"/>
          </w:tcPr>
          <w:p>
            <w:pPr>
              <w:spacing w:after="0"/>
              <w:rPr>
                <w:sz w:val="20"/>
                <w:szCs w:val="20"/>
                <w:color w:val="auto"/>
              </w:rPr>
            </w:pPr>
            <w:r>
              <w:rPr>
                <w:rFonts w:ascii="Arial" w:cs="Arial" w:eastAsia="Arial" w:hAnsi="Arial"/>
                <w:sz w:val="16"/>
                <w:szCs w:val="16"/>
                <w:color w:val="auto"/>
                <w:w w:val="92"/>
              </w:rPr>
              <w:t>We adopted ASU 2014-09 and its related amendments (collectively, “Topic</w:t>
            </w:r>
          </w:p>
        </w:tc>
      </w:tr>
      <w:tr>
        <w:trPr>
          <w:trHeight w:val="202"/>
        </w:trPr>
        <w:tc>
          <w:tcPr>
            <w:tcW w:w="3760" w:type="dxa"/>
            <w:vAlign w:val="bottom"/>
          </w:tcPr>
          <w:p>
            <w:pPr>
              <w:spacing w:after="0"/>
              <w:rPr>
                <w:sz w:val="20"/>
                <w:szCs w:val="20"/>
                <w:color w:val="auto"/>
              </w:rPr>
            </w:pPr>
            <w:r>
              <w:rPr>
                <w:rFonts w:ascii="Arial" w:cs="Arial" w:eastAsia="Arial" w:hAnsi="Arial"/>
                <w:sz w:val="16"/>
                <w:szCs w:val="16"/>
                <w:color w:val="auto"/>
                <w:w w:val="94"/>
              </w:rPr>
              <w:t>requires revenue to be recognized in a manner to depict</w:t>
            </w:r>
          </w:p>
        </w:tc>
        <w:tc>
          <w:tcPr>
            <w:tcW w:w="820" w:type="dxa"/>
            <w:vAlign w:val="bottom"/>
            <w:gridSpan w:val="2"/>
          </w:tcPr>
          <w:p>
            <w:pPr>
              <w:ind w:left="120"/>
              <w:spacing w:after="0"/>
              <w:rPr>
                <w:sz w:val="20"/>
                <w:szCs w:val="20"/>
                <w:color w:val="auto"/>
              </w:rPr>
            </w:pPr>
            <w:r>
              <w:rPr>
                <w:rFonts w:ascii="Arial" w:cs="Arial" w:eastAsia="Arial" w:hAnsi="Arial"/>
                <w:sz w:val="16"/>
                <w:szCs w:val="16"/>
                <w:color w:val="auto"/>
              </w:rPr>
              <w:t>2018</w:t>
            </w:r>
          </w:p>
        </w:tc>
        <w:tc>
          <w:tcPr>
            <w:tcW w:w="120" w:type="dxa"/>
            <w:vAlign w:val="bottom"/>
          </w:tcPr>
          <w:p>
            <w:pPr>
              <w:spacing w:after="0"/>
              <w:rPr>
                <w:sz w:val="17"/>
                <w:szCs w:val="17"/>
                <w:color w:val="auto"/>
              </w:rPr>
            </w:pPr>
          </w:p>
        </w:tc>
        <w:tc>
          <w:tcPr>
            <w:tcW w:w="4900" w:type="dxa"/>
            <w:vAlign w:val="bottom"/>
          </w:tcPr>
          <w:p>
            <w:pPr>
              <w:spacing w:after="0"/>
              <w:rPr>
                <w:sz w:val="20"/>
                <w:szCs w:val="20"/>
                <w:color w:val="auto"/>
              </w:rPr>
            </w:pPr>
            <w:r>
              <w:rPr>
                <w:rFonts w:ascii="Arial" w:cs="Arial" w:eastAsia="Arial" w:hAnsi="Arial"/>
                <w:sz w:val="16"/>
                <w:szCs w:val="16"/>
                <w:color w:val="auto"/>
              </w:rPr>
              <w:t>606”) on January 1, 2018 using the modified retrospective transition</w:t>
            </w:r>
          </w:p>
        </w:tc>
      </w:tr>
      <w:tr>
        <w:trPr>
          <w:trHeight w:val="202"/>
        </w:trPr>
        <w:tc>
          <w:tcPr>
            <w:tcW w:w="3760" w:type="dxa"/>
            <w:vAlign w:val="bottom"/>
          </w:tcPr>
          <w:p>
            <w:pPr>
              <w:spacing w:after="0"/>
              <w:rPr>
                <w:sz w:val="20"/>
                <w:szCs w:val="20"/>
                <w:color w:val="auto"/>
              </w:rPr>
            </w:pPr>
            <w:r>
              <w:rPr>
                <w:rFonts w:ascii="Arial" w:cs="Arial" w:eastAsia="Arial" w:hAnsi="Arial"/>
                <w:sz w:val="16"/>
                <w:szCs w:val="16"/>
                <w:color w:val="auto"/>
              </w:rPr>
              <w:t>the transfer of goods or services to a customer at an</w:t>
            </w:r>
          </w:p>
        </w:tc>
        <w:tc>
          <w:tcPr>
            <w:tcW w:w="12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4900" w:type="dxa"/>
            <w:vAlign w:val="bottom"/>
          </w:tcPr>
          <w:p>
            <w:pPr>
              <w:spacing w:after="0"/>
              <w:rPr>
                <w:sz w:val="20"/>
                <w:szCs w:val="20"/>
                <w:color w:val="auto"/>
              </w:rPr>
            </w:pPr>
            <w:r>
              <w:rPr>
                <w:rFonts w:ascii="Arial" w:cs="Arial" w:eastAsia="Arial" w:hAnsi="Arial"/>
                <w:sz w:val="16"/>
                <w:szCs w:val="16"/>
                <w:color w:val="auto"/>
                <w:w w:val="93"/>
              </w:rPr>
              <w:t>method. The cumulative effect of initially applying the new standard as an</w:t>
            </w:r>
          </w:p>
        </w:tc>
      </w:tr>
      <w:tr>
        <w:trPr>
          <w:trHeight w:val="202"/>
        </w:trPr>
        <w:tc>
          <w:tcPr>
            <w:tcW w:w="3760" w:type="dxa"/>
            <w:vAlign w:val="bottom"/>
          </w:tcPr>
          <w:p>
            <w:pPr>
              <w:spacing w:after="0"/>
              <w:rPr>
                <w:sz w:val="20"/>
                <w:szCs w:val="20"/>
                <w:color w:val="auto"/>
              </w:rPr>
            </w:pPr>
            <w:r>
              <w:rPr>
                <w:rFonts w:ascii="Arial" w:cs="Arial" w:eastAsia="Arial" w:hAnsi="Arial"/>
                <w:sz w:val="16"/>
                <w:szCs w:val="16"/>
                <w:color w:val="auto"/>
                <w:w w:val="99"/>
              </w:rPr>
              <w:t>amount that reflects the consideration expected to be</w:t>
            </w:r>
          </w:p>
        </w:tc>
        <w:tc>
          <w:tcPr>
            <w:tcW w:w="12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4900" w:type="dxa"/>
            <w:vAlign w:val="bottom"/>
          </w:tcPr>
          <w:p>
            <w:pPr>
              <w:spacing w:after="0"/>
              <w:rPr>
                <w:sz w:val="20"/>
                <w:szCs w:val="20"/>
                <w:color w:val="auto"/>
              </w:rPr>
            </w:pPr>
            <w:r>
              <w:rPr>
                <w:rFonts w:ascii="Arial" w:cs="Arial" w:eastAsia="Arial" w:hAnsi="Arial"/>
                <w:sz w:val="16"/>
                <w:szCs w:val="16"/>
                <w:color w:val="auto"/>
                <w:w w:val="92"/>
              </w:rPr>
              <w:t>adjustment to the opening balance of retained earnings was determined to</w:t>
            </w:r>
          </w:p>
        </w:tc>
      </w:tr>
      <w:tr>
        <w:trPr>
          <w:trHeight w:val="202"/>
        </w:trPr>
        <w:tc>
          <w:tcPr>
            <w:tcW w:w="3760" w:type="dxa"/>
            <w:vAlign w:val="bottom"/>
          </w:tcPr>
          <w:p>
            <w:pPr>
              <w:spacing w:after="0"/>
              <w:rPr>
                <w:sz w:val="20"/>
                <w:szCs w:val="20"/>
                <w:color w:val="auto"/>
              </w:rPr>
            </w:pPr>
            <w:r>
              <w:rPr>
                <w:rFonts w:ascii="Arial" w:cs="Arial" w:eastAsia="Arial" w:hAnsi="Arial"/>
                <w:sz w:val="16"/>
                <w:szCs w:val="16"/>
                <w:color w:val="auto"/>
              </w:rPr>
              <w:t>received in exchange for those goods or services.</w:t>
            </w:r>
          </w:p>
        </w:tc>
        <w:tc>
          <w:tcPr>
            <w:tcW w:w="12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4900" w:type="dxa"/>
            <w:vAlign w:val="bottom"/>
          </w:tcPr>
          <w:p>
            <w:pPr>
              <w:spacing w:after="0"/>
              <w:rPr>
                <w:sz w:val="20"/>
                <w:szCs w:val="20"/>
                <w:color w:val="auto"/>
              </w:rPr>
            </w:pPr>
            <w:r>
              <w:rPr>
                <w:rFonts w:ascii="Arial" w:cs="Arial" w:eastAsia="Arial" w:hAnsi="Arial"/>
                <w:sz w:val="16"/>
                <w:szCs w:val="16"/>
                <w:color w:val="auto"/>
                <w:w w:val="96"/>
              </w:rPr>
              <w:t>be immaterial (less than $0.2 million) and, therefore, no adjustment was</w:t>
            </w:r>
          </w:p>
        </w:tc>
      </w:tr>
      <w:tr>
        <w:trPr>
          <w:trHeight w:val="206"/>
        </w:trPr>
        <w:tc>
          <w:tcPr>
            <w:tcW w:w="37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4900" w:type="dxa"/>
            <w:vAlign w:val="bottom"/>
          </w:tcPr>
          <w:p>
            <w:pPr>
              <w:spacing w:after="0"/>
              <w:rPr>
                <w:sz w:val="20"/>
                <w:szCs w:val="20"/>
                <w:color w:val="auto"/>
              </w:rPr>
            </w:pPr>
            <w:r>
              <w:rPr>
                <w:rFonts w:ascii="Arial" w:cs="Arial" w:eastAsia="Arial" w:hAnsi="Arial"/>
                <w:sz w:val="16"/>
                <w:szCs w:val="16"/>
                <w:color w:val="auto"/>
              </w:rPr>
              <w:t>made.</w:t>
            </w:r>
          </w:p>
        </w:tc>
      </w:tr>
      <w:tr>
        <w:trPr>
          <w:trHeight w:val="399"/>
        </w:trPr>
        <w:tc>
          <w:tcPr>
            <w:tcW w:w="37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900" w:type="dxa"/>
            <w:vAlign w:val="bottom"/>
          </w:tcPr>
          <w:p>
            <w:pPr>
              <w:spacing w:after="0"/>
              <w:rPr>
                <w:sz w:val="20"/>
                <w:szCs w:val="20"/>
                <w:color w:val="auto"/>
              </w:rPr>
            </w:pPr>
            <w:r>
              <w:rPr>
                <w:rFonts w:ascii="Arial" w:cs="Arial" w:eastAsia="Arial" w:hAnsi="Arial"/>
                <w:sz w:val="16"/>
                <w:szCs w:val="16"/>
                <w:color w:val="auto"/>
              </w:rPr>
              <w:t>The adoption of this standard did not have a material impact on our</w:t>
            </w:r>
          </w:p>
        </w:tc>
      </w:tr>
      <w:tr>
        <w:trPr>
          <w:trHeight w:val="202"/>
        </w:trPr>
        <w:tc>
          <w:tcPr>
            <w:tcW w:w="37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4900" w:type="dxa"/>
            <w:vAlign w:val="bottom"/>
          </w:tcPr>
          <w:p>
            <w:pPr>
              <w:spacing w:after="0"/>
              <w:rPr>
                <w:sz w:val="20"/>
                <w:szCs w:val="20"/>
                <w:color w:val="auto"/>
              </w:rPr>
            </w:pPr>
            <w:r>
              <w:rPr>
                <w:rFonts w:ascii="Arial" w:cs="Arial" w:eastAsia="Arial" w:hAnsi="Arial"/>
                <w:sz w:val="16"/>
                <w:szCs w:val="16"/>
                <w:color w:val="auto"/>
              </w:rPr>
              <w:t>consolidated financial statements. The impact primarily related to the</w:t>
            </w:r>
          </w:p>
        </w:tc>
      </w:tr>
      <w:tr>
        <w:trPr>
          <w:trHeight w:val="202"/>
        </w:trPr>
        <w:tc>
          <w:tcPr>
            <w:tcW w:w="37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4900" w:type="dxa"/>
            <w:vAlign w:val="bottom"/>
          </w:tcPr>
          <w:p>
            <w:pPr>
              <w:spacing w:after="0"/>
              <w:rPr>
                <w:sz w:val="20"/>
                <w:szCs w:val="20"/>
                <w:color w:val="auto"/>
              </w:rPr>
            </w:pPr>
            <w:r>
              <w:rPr>
                <w:rFonts w:ascii="Arial" w:cs="Arial" w:eastAsia="Arial" w:hAnsi="Arial"/>
                <w:sz w:val="16"/>
                <w:szCs w:val="16"/>
                <w:color w:val="auto"/>
              </w:rPr>
              <w:t>deferral of certain commissions which were previously expensed as</w:t>
            </w:r>
          </w:p>
        </w:tc>
      </w:tr>
      <w:tr>
        <w:trPr>
          <w:trHeight w:val="202"/>
        </w:trPr>
        <w:tc>
          <w:tcPr>
            <w:tcW w:w="37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4900" w:type="dxa"/>
            <w:vAlign w:val="bottom"/>
          </w:tcPr>
          <w:p>
            <w:pPr>
              <w:spacing w:after="0"/>
              <w:rPr>
                <w:sz w:val="20"/>
                <w:szCs w:val="20"/>
                <w:color w:val="auto"/>
              </w:rPr>
            </w:pPr>
            <w:r>
              <w:rPr>
                <w:rFonts w:ascii="Arial" w:cs="Arial" w:eastAsia="Arial" w:hAnsi="Arial"/>
                <w:sz w:val="16"/>
                <w:szCs w:val="16"/>
                <w:color w:val="auto"/>
                <w:w w:val="93"/>
              </w:rPr>
              <w:t>incurred but are now capitalized and amortized over the period of contract</w:t>
            </w:r>
          </w:p>
        </w:tc>
      </w:tr>
      <w:tr>
        <w:trPr>
          <w:trHeight w:val="202"/>
        </w:trPr>
        <w:tc>
          <w:tcPr>
            <w:tcW w:w="37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4900" w:type="dxa"/>
            <w:vAlign w:val="bottom"/>
          </w:tcPr>
          <w:p>
            <w:pPr>
              <w:spacing w:after="0"/>
              <w:rPr>
                <w:sz w:val="20"/>
                <w:szCs w:val="20"/>
                <w:color w:val="auto"/>
              </w:rPr>
            </w:pPr>
            <w:r>
              <w:rPr>
                <w:rFonts w:ascii="Arial" w:cs="Arial" w:eastAsia="Arial" w:hAnsi="Arial"/>
                <w:sz w:val="16"/>
                <w:szCs w:val="16"/>
                <w:color w:val="auto"/>
                <w:w w:val="94"/>
              </w:rPr>
              <w:t>performance, and the deferral of certain costs incurred in connection with</w:t>
            </w:r>
          </w:p>
        </w:tc>
      </w:tr>
      <w:tr>
        <w:trPr>
          <w:trHeight w:val="202"/>
        </w:trPr>
        <w:tc>
          <w:tcPr>
            <w:tcW w:w="37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4900" w:type="dxa"/>
            <w:vAlign w:val="bottom"/>
          </w:tcPr>
          <w:p>
            <w:pPr>
              <w:spacing w:after="0"/>
              <w:rPr>
                <w:sz w:val="20"/>
                <w:szCs w:val="20"/>
                <w:color w:val="auto"/>
              </w:rPr>
            </w:pPr>
            <w:r>
              <w:rPr>
                <w:rFonts w:ascii="Arial" w:cs="Arial" w:eastAsia="Arial" w:hAnsi="Arial"/>
                <w:sz w:val="16"/>
                <w:szCs w:val="16"/>
                <w:color w:val="auto"/>
                <w:w w:val="99"/>
              </w:rPr>
              <w:t>trade shows which were previously expensed as incurred but are now</w:t>
            </w:r>
          </w:p>
        </w:tc>
      </w:tr>
      <w:tr>
        <w:trPr>
          <w:trHeight w:val="202"/>
        </w:trPr>
        <w:tc>
          <w:tcPr>
            <w:tcW w:w="37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4900" w:type="dxa"/>
            <w:vAlign w:val="bottom"/>
          </w:tcPr>
          <w:p>
            <w:pPr>
              <w:spacing w:after="0"/>
              <w:rPr>
                <w:sz w:val="20"/>
                <w:szCs w:val="20"/>
                <w:color w:val="auto"/>
              </w:rPr>
            </w:pPr>
            <w:r>
              <w:rPr>
                <w:rFonts w:ascii="Arial" w:cs="Arial" w:eastAsia="Arial" w:hAnsi="Arial"/>
                <w:sz w:val="16"/>
                <w:szCs w:val="16"/>
                <w:color w:val="auto"/>
              </w:rPr>
              <w:t>capitalized and expensed upon the completion of the show. The new</w:t>
            </w:r>
          </w:p>
        </w:tc>
      </w:tr>
      <w:tr>
        <w:trPr>
          <w:trHeight w:val="202"/>
        </w:trPr>
        <w:tc>
          <w:tcPr>
            <w:tcW w:w="37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4900" w:type="dxa"/>
            <w:vAlign w:val="bottom"/>
          </w:tcPr>
          <w:p>
            <w:pPr>
              <w:spacing w:after="0"/>
              <w:rPr>
                <w:sz w:val="20"/>
                <w:szCs w:val="20"/>
                <w:color w:val="auto"/>
              </w:rPr>
            </w:pPr>
            <w:r>
              <w:rPr>
                <w:rFonts w:ascii="Arial" w:cs="Arial" w:eastAsia="Arial" w:hAnsi="Arial"/>
                <w:sz w:val="16"/>
                <w:szCs w:val="16"/>
                <w:color w:val="auto"/>
              </w:rPr>
              <w:t>guidance resulted in expanded disclosures and processes to identify</w:t>
            </w:r>
          </w:p>
        </w:tc>
      </w:tr>
      <w:tr>
        <w:trPr>
          <w:trHeight w:val="202"/>
        </w:trPr>
        <w:tc>
          <w:tcPr>
            <w:tcW w:w="37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4900" w:type="dxa"/>
            <w:vAlign w:val="bottom"/>
          </w:tcPr>
          <w:p>
            <w:pPr>
              <w:spacing w:after="0"/>
              <w:rPr>
                <w:sz w:val="20"/>
                <w:szCs w:val="20"/>
                <w:color w:val="auto"/>
              </w:rPr>
            </w:pPr>
            <w:r>
              <w:rPr>
                <w:rFonts w:ascii="Arial" w:cs="Arial" w:eastAsia="Arial" w:hAnsi="Arial"/>
                <w:sz w:val="16"/>
                <w:szCs w:val="16"/>
                <w:color w:val="auto"/>
                <w:w w:val="92"/>
              </w:rPr>
              <w:t>performance obligations. Refer to Note 2 – Revenue and Related Contract</w:t>
            </w:r>
          </w:p>
        </w:tc>
      </w:tr>
      <w:tr>
        <w:trPr>
          <w:trHeight w:val="209"/>
        </w:trPr>
        <w:tc>
          <w:tcPr>
            <w:tcW w:w="3760" w:type="dxa"/>
            <w:vAlign w:val="bottom"/>
            <w:tcBorders>
              <w:bottom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700" w:type="dxa"/>
            <w:vAlign w:val="bottom"/>
            <w:tcBorders>
              <w:bottom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4900" w:type="dxa"/>
            <w:vAlign w:val="bottom"/>
            <w:tcBorders>
              <w:bottom w:val="single" w:sz="8" w:color="auto"/>
            </w:tcBorders>
          </w:tcPr>
          <w:p>
            <w:pPr>
              <w:spacing w:after="0"/>
              <w:rPr>
                <w:sz w:val="20"/>
                <w:szCs w:val="20"/>
                <w:color w:val="auto"/>
              </w:rPr>
            </w:pPr>
            <w:r>
              <w:rPr>
                <w:rFonts w:ascii="Arial" w:cs="Arial" w:eastAsia="Arial" w:hAnsi="Arial"/>
                <w:sz w:val="16"/>
                <w:szCs w:val="16"/>
                <w:color w:val="auto"/>
              </w:rPr>
              <w:t>Costs and Contract Liabilities for additional transition disclosures.</w:t>
            </w:r>
          </w:p>
        </w:tc>
      </w:tr>
      <w:tr>
        <w:trPr>
          <w:trHeight w:val="202"/>
        </w:trPr>
        <w:tc>
          <w:tcPr>
            <w:tcW w:w="3760" w:type="dxa"/>
            <w:vAlign w:val="bottom"/>
          </w:tcPr>
          <w:p>
            <w:pPr>
              <w:spacing w:after="0"/>
              <w:rPr>
                <w:sz w:val="20"/>
                <w:szCs w:val="20"/>
                <w:color w:val="auto"/>
              </w:rPr>
            </w:pPr>
            <w:r>
              <w:rPr>
                <w:rFonts w:ascii="Arial" w:cs="Arial" w:eastAsia="Arial" w:hAnsi="Arial"/>
                <w:sz w:val="16"/>
                <w:szCs w:val="16"/>
                <w:color w:val="auto"/>
              </w:rPr>
              <w:t>The amendment includes a requirement for equity</w:t>
            </w:r>
          </w:p>
        </w:tc>
        <w:tc>
          <w:tcPr>
            <w:tcW w:w="940" w:type="dxa"/>
            <w:vAlign w:val="bottom"/>
            <w:gridSpan w:val="3"/>
          </w:tcPr>
          <w:p>
            <w:pPr>
              <w:ind w:left="120"/>
              <w:spacing w:after="0"/>
              <w:rPr>
                <w:sz w:val="20"/>
                <w:szCs w:val="20"/>
                <w:color w:val="auto"/>
              </w:rPr>
            </w:pPr>
            <w:r>
              <w:rPr>
                <w:rFonts w:ascii="Arial" w:cs="Arial" w:eastAsia="Arial" w:hAnsi="Arial"/>
                <w:sz w:val="16"/>
                <w:szCs w:val="16"/>
                <w:color w:val="auto"/>
              </w:rPr>
              <w:t>January 1,</w:t>
            </w:r>
          </w:p>
        </w:tc>
        <w:tc>
          <w:tcPr>
            <w:tcW w:w="4900" w:type="dxa"/>
            <w:vAlign w:val="bottom"/>
          </w:tcPr>
          <w:p>
            <w:pPr>
              <w:spacing w:after="0"/>
              <w:rPr>
                <w:sz w:val="20"/>
                <w:szCs w:val="20"/>
                <w:color w:val="auto"/>
              </w:rPr>
            </w:pPr>
            <w:r>
              <w:rPr>
                <w:rFonts w:ascii="Arial" w:cs="Arial" w:eastAsia="Arial" w:hAnsi="Arial"/>
                <w:sz w:val="16"/>
                <w:szCs w:val="16"/>
                <w:color w:val="auto"/>
                <w:w w:val="97"/>
              </w:rPr>
              <w:t>We adopted this guidance prospectively in the first quarter of 2018 and</w:t>
            </w:r>
          </w:p>
        </w:tc>
      </w:tr>
      <w:tr>
        <w:trPr>
          <w:trHeight w:val="202"/>
        </w:trPr>
        <w:tc>
          <w:tcPr>
            <w:tcW w:w="3760" w:type="dxa"/>
            <w:vAlign w:val="bottom"/>
          </w:tcPr>
          <w:p>
            <w:pPr>
              <w:spacing w:after="0"/>
              <w:rPr>
                <w:sz w:val="20"/>
                <w:szCs w:val="20"/>
                <w:color w:val="auto"/>
              </w:rPr>
            </w:pPr>
            <w:r>
              <w:rPr>
                <w:rFonts w:ascii="Arial" w:cs="Arial" w:eastAsia="Arial" w:hAnsi="Arial"/>
                <w:sz w:val="16"/>
                <w:szCs w:val="16"/>
                <w:color w:val="auto"/>
                <w:w w:val="92"/>
              </w:rPr>
              <w:t>investments (except those accounted for under the equity</w:t>
            </w:r>
          </w:p>
        </w:tc>
        <w:tc>
          <w:tcPr>
            <w:tcW w:w="820" w:type="dxa"/>
            <w:vAlign w:val="bottom"/>
            <w:gridSpan w:val="2"/>
          </w:tcPr>
          <w:p>
            <w:pPr>
              <w:ind w:left="120"/>
              <w:spacing w:after="0"/>
              <w:rPr>
                <w:sz w:val="20"/>
                <w:szCs w:val="20"/>
                <w:color w:val="auto"/>
              </w:rPr>
            </w:pPr>
            <w:r>
              <w:rPr>
                <w:rFonts w:ascii="Arial" w:cs="Arial" w:eastAsia="Arial" w:hAnsi="Arial"/>
                <w:sz w:val="16"/>
                <w:szCs w:val="16"/>
                <w:color w:val="auto"/>
              </w:rPr>
              <w:t>2018</w:t>
            </w:r>
          </w:p>
        </w:tc>
        <w:tc>
          <w:tcPr>
            <w:tcW w:w="120" w:type="dxa"/>
            <w:vAlign w:val="bottom"/>
          </w:tcPr>
          <w:p>
            <w:pPr>
              <w:spacing w:after="0"/>
              <w:rPr>
                <w:sz w:val="17"/>
                <w:szCs w:val="17"/>
                <w:color w:val="auto"/>
              </w:rPr>
            </w:pPr>
          </w:p>
        </w:tc>
        <w:tc>
          <w:tcPr>
            <w:tcW w:w="4900" w:type="dxa"/>
            <w:vAlign w:val="bottom"/>
          </w:tcPr>
          <w:p>
            <w:pPr>
              <w:spacing w:after="0"/>
              <w:rPr>
                <w:sz w:val="20"/>
                <w:szCs w:val="20"/>
                <w:color w:val="auto"/>
              </w:rPr>
            </w:pPr>
            <w:r>
              <w:rPr>
                <w:rFonts w:ascii="Arial" w:cs="Arial" w:eastAsia="Arial" w:hAnsi="Arial"/>
                <w:sz w:val="16"/>
                <w:szCs w:val="16"/>
                <w:color w:val="auto"/>
              </w:rPr>
              <w:t>recorded a cumulative-effect adjustment of $0.6 million to beginning</w:t>
            </w:r>
          </w:p>
        </w:tc>
      </w:tr>
      <w:tr>
        <w:trPr>
          <w:trHeight w:val="202"/>
        </w:trPr>
        <w:tc>
          <w:tcPr>
            <w:tcW w:w="3760" w:type="dxa"/>
            <w:vAlign w:val="bottom"/>
          </w:tcPr>
          <w:p>
            <w:pPr>
              <w:spacing w:after="0"/>
              <w:rPr>
                <w:sz w:val="20"/>
                <w:szCs w:val="20"/>
                <w:color w:val="auto"/>
              </w:rPr>
            </w:pPr>
            <w:r>
              <w:rPr>
                <w:rFonts w:ascii="Arial" w:cs="Arial" w:eastAsia="Arial" w:hAnsi="Arial"/>
                <w:sz w:val="16"/>
                <w:szCs w:val="16"/>
                <w:color w:val="auto"/>
                <w:w w:val="92"/>
              </w:rPr>
              <w:t>method of accounting or those that result in consolidation</w:t>
            </w:r>
          </w:p>
        </w:tc>
        <w:tc>
          <w:tcPr>
            <w:tcW w:w="12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4900" w:type="dxa"/>
            <w:vAlign w:val="bottom"/>
          </w:tcPr>
          <w:p>
            <w:pPr>
              <w:spacing w:after="0"/>
              <w:rPr>
                <w:sz w:val="20"/>
                <w:szCs w:val="20"/>
                <w:color w:val="auto"/>
              </w:rPr>
            </w:pPr>
            <w:r>
              <w:rPr>
                <w:rFonts w:ascii="Arial" w:cs="Arial" w:eastAsia="Arial" w:hAnsi="Arial"/>
                <w:sz w:val="16"/>
                <w:szCs w:val="16"/>
                <w:color w:val="auto"/>
              </w:rPr>
              <w:t>retained earnings.</w:t>
            </w:r>
          </w:p>
        </w:tc>
      </w:tr>
      <w:tr>
        <w:trPr>
          <w:trHeight w:val="202"/>
        </w:trPr>
        <w:tc>
          <w:tcPr>
            <w:tcW w:w="3760" w:type="dxa"/>
            <w:vAlign w:val="bottom"/>
          </w:tcPr>
          <w:p>
            <w:pPr>
              <w:spacing w:after="0"/>
              <w:rPr>
                <w:sz w:val="20"/>
                <w:szCs w:val="20"/>
                <w:color w:val="auto"/>
              </w:rPr>
            </w:pPr>
            <w:r>
              <w:rPr>
                <w:rFonts w:ascii="Arial" w:cs="Arial" w:eastAsia="Arial" w:hAnsi="Arial"/>
                <w:sz w:val="16"/>
                <w:szCs w:val="16"/>
                <w:color w:val="auto"/>
                <w:w w:val="91"/>
              </w:rPr>
              <w:t>of the investee) to be measured at fair value with changes</w:t>
            </w:r>
          </w:p>
        </w:tc>
        <w:tc>
          <w:tcPr>
            <w:tcW w:w="12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4900" w:type="dxa"/>
            <w:vAlign w:val="bottom"/>
          </w:tcPr>
          <w:p>
            <w:pPr>
              <w:spacing w:after="0"/>
              <w:rPr>
                <w:sz w:val="17"/>
                <w:szCs w:val="17"/>
                <w:color w:val="auto"/>
              </w:rPr>
            </w:pPr>
          </w:p>
        </w:tc>
      </w:tr>
      <w:tr>
        <w:trPr>
          <w:trHeight w:val="206"/>
        </w:trPr>
        <w:tc>
          <w:tcPr>
            <w:tcW w:w="3760" w:type="dxa"/>
            <w:vAlign w:val="bottom"/>
          </w:tcPr>
          <w:p>
            <w:pPr>
              <w:spacing w:after="0"/>
              <w:rPr>
                <w:sz w:val="20"/>
                <w:szCs w:val="20"/>
                <w:color w:val="auto"/>
              </w:rPr>
            </w:pPr>
            <w:r>
              <w:rPr>
                <w:rFonts w:ascii="Arial" w:cs="Arial" w:eastAsia="Arial" w:hAnsi="Arial"/>
                <w:sz w:val="16"/>
                <w:szCs w:val="16"/>
                <w:color w:val="auto"/>
              </w:rPr>
              <w:t>in fair value recognized in net income.</w:t>
            </w:r>
          </w:p>
        </w:tc>
        <w:tc>
          <w:tcPr>
            <w:tcW w:w="12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4900" w:type="dxa"/>
            <w:vAlign w:val="bottom"/>
          </w:tcPr>
          <w:p>
            <w:pPr>
              <w:spacing w:after="0"/>
              <w:rPr>
                <w:sz w:val="17"/>
                <w:szCs w:val="17"/>
                <w:color w:val="auto"/>
              </w:rPr>
            </w:pPr>
          </w:p>
        </w:tc>
      </w:tr>
    </w:tbl>
    <w:p>
      <w:pPr>
        <w:spacing w:after="0" w:line="222" w:lineRule="exact"/>
        <w:rPr>
          <w:sz w:val="20"/>
          <w:szCs w:val="20"/>
          <w:color w:val="auto"/>
        </w:rPr>
      </w:pPr>
    </w:p>
    <w:p>
      <w:pPr>
        <w:sectPr>
          <w:pgSz w:w="11900" w:h="16838" w:orient="portrait"/>
          <w:cols w:equalWidth="0" w:num="2">
            <w:col w:w="1620" w:space="200"/>
            <w:col w:w="9600"/>
          </w:cols>
          <w:pgMar w:left="240" w:top="350" w:right="239" w:bottom="1440" w:gutter="0" w:footer="0" w:header="0"/>
          <w:type w:val="continuous"/>
        </w:sectPr>
      </w:pPr>
    </w:p>
    <w:tbl>
      <w:tblPr>
        <w:tblLayout w:type="fixed"/>
        <w:tblInd w:w="0" w:type="dxa"/>
        <w:tblCellMar>
          <w:top w:w="0" w:type="dxa"/>
          <w:left w:w="0" w:type="dxa"/>
          <w:bottom w:w="0" w:type="dxa"/>
          <w:right w:w="0" w:type="dxa"/>
        </w:tblCellMar>
      </w:tblPr>
      <w:tr>
        <w:trPr>
          <w:trHeight w:val="20"/>
        </w:trPr>
        <w:tc>
          <w:tcPr>
            <w:tcW w:w="1700" w:type="dxa"/>
            <w:vAlign w:val="bottom"/>
            <w:shd w:val="clear" w:color="auto" w:fill="000000"/>
          </w:tcPr>
          <w:p>
            <w:pPr>
              <w:spacing w:after="0" w:line="20" w:lineRule="exact"/>
              <w:rPr>
                <w:sz w:val="1"/>
                <w:szCs w:val="1"/>
                <w:color w:val="auto"/>
              </w:rPr>
            </w:pPr>
          </w:p>
        </w:tc>
        <w:tc>
          <w:tcPr>
            <w:tcW w:w="120" w:type="dxa"/>
            <w:vAlign w:val="bottom"/>
            <w:shd w:val="clear" w:color="auto" w:fill="CFF0FC"/>
          </w:tcPr>
          <w:p>
            <w:pPr>
              <w:spacing w:after="0" w:line="20" w:lineRule="exact"/>
              <w:rPr>
                <w:sz w:val="1"/>
                <w:szCs w:val="1"/>
                <w:color w:val="auto"/>
              </w:rPr>
            </w:pPr>
          </w:p>
        </w:tc>
        <w:tc>
          <w:tcPr>
            <w:tcW w:w="3760" w:type="dxa"/>
            <w:vAlign w:val="bottom"/>
            <w:shd w:val="clear" w:color="auto" w:fill="000000"/>
          </w:tcPr>
          <w:p>
            <w:pPr>
              <w:spacing w:after="0" w:line="20" w:lineRule="exact"/>
              <w:rPr>
                <w:sz w:val="1"/>
                <w:szCs w:val="1"/>
                <w:color w:val="auto"/>
              </w:rPr>
            </w:pPr>
          </w:p>
        </w:tc>
        <w:tc>
          <w:tcPr>
            <w:tcW w:w="120" w:type="dxa"/>
            <w:vAlign w:val="bottom"/>
            <w:shd w:val="clear" w:color="auto" w:fill="CFF0FC"/>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120" w:type="dxa"/>
            <w:vAlign w:val="bottom"/>
            <w:shd w:val="clear" w:color="auto" w:fill="CFF0FC"/>
          </w:tcPr>
          <w:p>
            <w:pPr>
              <w:spacing w:after="0" w:line="20" w:lineRule="exact"/>
              <w:rPr>
                <w:sz w:val="1"/>
                <w:szCs w:val="1"/>
                <w:color w:val="auto"/>
              </w:rPr>
            </w:pPr>
          </w:p>
        </w:tc>
        <w:tc>
          <w:tcPr>
            <w:tcW w:w="4900" w:type="dxa"/>
            <w:vAlign w:val="bottom"/>
            <w:shd w:val="clear" w:color="auto" w:fill="000000"/>
          </w:tcPr>
          <w:p>
            <w:pPr>
              <w:spacing w:after="0" w:line="20" w:lineRule="exact"/>
              <w:rPr>
                <w:sz w:val="1"/>
                <w:szCs w:val="1"/>
                <w:color w:val="auto"/>
              </w:rPr>
            </w:pPr>
          </w:p>
        </w:tc>
      </w:tr>
      <w:tr>
        <w:trPr>
          <w:trHeight w:val="184"/>
        </w:trPr>
        <w:tc>
          <w:tcPr>
            <w:tcW w:w="1700" w:type="dxa"/>
            <w:vAlign w:val="bottom"/>
            <w:shd w:val="clear" w:color="auto" w:fill="CFF0FC"/>
          </w:tcPr>
          <w:p>
            <w:pPr>
              <w:spacing w:after="0"/>
              <w:rPr>
                <w:sz w:val="20"/>
                <w:szCs w:val="20"/>
                <w:color w:val="auto"/>
              </w:rPr>
            </w:pPr>
            <w:r>
              <w:rPr>
                <w:rFonts w:ascii="Arial" w:cs="Arial" w:eastAsia="Arial" w:hAnsi="Arial"/>
                <w:sz w:val="16"/>
                <w:szCs w:val="16"/>
                <w:b w:val="1"/>
                <w:bCs w:val="1"/>
                <w:color w:val="auto"/>
              </w:rPr>
              <w:t>ASU 2017-04</w:t>
            </w:r>
            <w:r>
              <w:rPr>
                <w:rFonts w:ascii="Arial" w:cs="Arial" w:eastAsia="Arial" w:hAnsi="Arial"/>
                <w:sz w:val="16"/>
                <w:szCs w:val="16"/>
                <w:color w:val="auto"/>
              </w:rPr>
              <w:t>,</w:t>
            </w:r>
          </w:p>
        </w:tc>
        <w:tc>
          <w:tcPr>
            <w:tcW w:w="120" w:type="dxa"/>
            <w:vAlign w:val="bottom"/>
            <w:shd w:val="clear" w:color="auto" w:fill="CFF0FC"/>
          </w:tcPr>
          <w:p>
            <w:pPr>
              <w:spacing w:after="0"/>
              <w:rPr>
                <w:sz w:val="16"/>
                <w:szCs w:val="16"/>
                <w:color w:val="auto"/>
              </w:rPr>
            </w:pPr>
          </w:p>
        </w:tc>
        <w:tc>
          <w:tcPr>
            <w:tcW w:w="3760" w:type="dxa"/>
            <w:vAlign w:val="bottom"/>
            <w:shd w:val="clear" w:color="auto" w:fill="CFF0FC"/>
          </w:tcPr>
          <w:p>
            <w:pPr>
              <w:spacing w:after="0"/>
              <w:rPr>
                <w:sz w:val="20"/>
                <w:szCs w:val="20"/>
                <w:color w:val="auto"/>
              </w:rPr>
            </w:pPr>
            <w:r>
              <w:rPr>
                <w:rFonts w:ascii="Arial" w:cs="Arial" w:eastAsia="Arial" w:hAnsi="Arial"/>
                <w:sz w:val="16"/>
                <w:szCs w:val="16"/>
                <w:color w:val="auto"/>
                <w:w w:val="95"/>
              </w:rPr>
              <w:t>The amendment eliminates the requirement to estimate</w:t>
            </w:r>
          </w:p>
        </w:tc>
        <w:tc>
          <w:tcPr>
            <w:tcW w:w="820" w:type="dxa"/>
            <w:vAlign w:val="bottom"/>
            <w:gridSpan w:val="2"/>
            <w:shd w:val="clear" w:color="auto" w:fill="CFF0FC"/>
          </w:tcPr>
          <w:p>
            <w:pPr>
              <w:ind w:left="120"/>
              <w:spacing w:after="0"/>
              <w:rPr>
                <w:sz w:val="20"/>
                <w:szCs w:val="20"/>
                <w:color w:val="auto"/>
              </w:rPr>
            </w:pPr>
            <w:r>
              <w:rPr>
                <w:rFonts w:ascii="Arial" w:cs="Arial" w:eastAsia="Arial" w:hAnsi="Arial"/>
                <w:sz w:val="16"/>
                <w:szCs w:val="16"/>
                <w:color w:val="auto"/>
                <w:w w:val="90"/>
              </w:rPr>
              <w:t>January 1,</w:t>
            </w:r>
          </w:p>
        </w:tc>
        <w:tc>
          <w:tcPr>
            <w:tcW w:w="5020" w:type="dxa"/>
            <w:vAlign w:val="bottom"/>
            <w:gridSpan w:val="2"/>
            <w:shd w:val="clear" w:color="auto" w:fill="CFF0FC"/>
          </w:tcPr>
          <w:p>
            <w:pPr>
              <w:ind w:left="120"/>
              <w:spacing w:after="0"/>
              <w:rPr>
                <w:sz w:val="20"/>
                <w:szCs w:val="20"/>
                <w:color w:val="auto"/>
              </w:rPr>
            </w:pPr>
            <w:r>
              <w:rPr>
                <w:rFonts w:ascii="Arial" w:cs="Arial" w:eastAsia="Arial" w:hAnsi="Arial"/>
                <w:sz w:val="16"/>
                <w:szCs w:val="16"/>
                <w:color w:val="auto"/>
                <w:w w:val="93"/>
              </w:rPr>
              <w:t>We early adopted this new guidance on January 1, 2018 on a prospective</w:t>
            </w:r>
          </w:p>
        </w:tc>
      </w:tr>
      <w:tr>
        <w:trPr>
          <w:trHeight w:val="202"/>
        </w:trPr>
        <w:tc>
          <w:tcPr>
            <w:tcW w:w="1820" w:type="dxa"/>
            <w:vAlign w:val="bottom"/>
            <w:gridSpan w:val="2"/>
            <w:shd w:val="clear" w:color="auto" w:fill="CFF0FC"/>
          </w:tcPr>
          <w:p>
            <w:pPr>
              <w:spacing w:after="0"/>
              <w:rPr>
                <w:sz w:val="20"/>
                <w:szCs w:val="20"/>
                <w:color w:val="auto"/>
              </w:rPr>
            </w:pPr>
            <w:r>
              <w:rPr>
                <w:rFonts w:ascii="Arial" w:cs="Arial" w:eastAsia="Arial" w:hAnsi="Arial"/>
                <w:sz w:val="16"/>
                <w:szCs w:val="16"/>
                <w:i w:val="1"/>
                <w:iCs w:val="1"/>
                <w:color w:val="auto"/>
              </w:rPr>
              <w:t>Intangibles - Goodwill</w:t>
            </w:r>
          </w:p>
        </w:tc>
        <w:tc>
          <w:tcPr>
            <w:tcW w:w="3760" w:type="dxa"/>
            <w:vAlign w:val="bottom"/>
            <w:shd w:val="clear" w:color="auto" w:fill="CFF0FC"/>
          </w:tcPr>
          <w:p>
            <w:pPr>
              <w:spacing w:after="0"/>
              <w:rPr>
                <w:sz w:val="20"/>
                <w:szCs w:val="20"/>
                <w:color w:val="auto"/>
              </w:rPr>
            </w:pPr>
            <w:r>
              <w:rPr>
                <w:rFonts w:ascii="Arial" w:cs="Arial" w:eastAsia="Arial" w:hAnsi="Arial"/>
                <w:sz w:val="16"/>
                <w:szCs w:val="16"/>
                <w:color w:val="auto"/>
                <w:w w:val="97"/>
              </w:rPr>
              <w:t>the implied fair value of goodwill if it is determined that</w:t>
            </w:r>
          </w:p>
        </w:tc>
        <w:tc>
          <w:tcPr>
            <w:tcW w:w="820" w:type="dxa"/>
            <w:vAlign w:val="bottom"/>
            <w:gridSpan w:val="2"/>
            <w:shd w:val="clear" w:color="auto" w:fill="CFF0FC"/>
          </w:tcPr>
          <w:p>
            <w:pPr>
              <w:ind w:left="120"/>
              <w:spacing w:after="0"/>
              <w:rPr>
                <w:sz w:val="20"/>
                <w:szCs w:val="20"/>
                <w:color w:val="auto"/>
              </w:rPr>
            </w:pPr>
            <w:r>
              <w:rPr>
                <w:rFonts w:ascii="Arial" w:cs="Arial" w:eastAsia="Arial" w:hAnsi="Arial"/>
                <w:sz w:val="16"/>
                <w:szCs w:val="16"/>
                <w:color w:val="auto"/>
              </w:rPr>
              <w:t>2018</w:t>
            </w:r>
          </w:p>
        </w:tc>
        <w:tc>
          <w:tcPr>
            <w:tcW w:w="5020" w:type="dxa"/>
            <w:vAlign w:val="bottom"/>
            <w:gridSpan w:val="2"/>
            <w:shd w:val="clear" w:color="auto" w:fill="CFF0FC"/>
          </w:tcPr>
          <w:p>
            <w:pPr>
              <w:ind w:left="120"/>
              <w:spacing w:after="0"/>
              <w:rPr>
                <w:sz w:val="20"/>
                <w:szCs w:val="20"/>
                <w:color w:val="auto"/>
              </w:rPr>
            </w:pPr>
            <w:r>
              <w:rPr>
                <w:rFonts w:ascii="Arial" w:cs="Arial" w:eastAsia="Arial" w:hAnsi="Arial"/>
                <w:sz w:val="16"/>
                <w:szCs w:val="16"/>
                <w:color w:val="auto"/>
              </w:rPr>
              <w:t>basis. As a result, we expect the adoption to reduce the complexity</w:t>
            </w:r>
          </w:p>
        </w:tc>
      </w:tr>
      <w:tr>
        <w:trPr>
          <w:trHeight w:val="202"/>
        </w:trPr>
        <w:tc>
          <w:tcPr>
            <w:tcW w:w="1820" w:type="dxa"/>
            <w:vAlign w:val="bottom"/>
            <w:gridSpan w:val="2"/>
            <w:shd w:val="clear" w:color="auto" w:fill="CFF0FC"/>
          </w:tcPr>
          <w:p>
            <w:pPr>
              <w:spacing w:after="0"/>
              <w:rPr>
                <w:sz w:val="20"/>
                <w:szCs w:val="20"/>
                <w:color w:val="auto"/>
              </w:rPr>
            </w:pPr>
            <w:r>
              <w:rPr>
                <w:rFonts w:ascii="Arial" w:cs="Arial" w:eastAsia="Arial" w:hAnsi="Arial"/>
                <w:sz w:val="16"/>
                <w:szCs w:val="16"/>
                <w:i w:val="1"/>
                <w:iCs w:val="1"/>
                <w:color w:val="auto"/>
              </w:rPr>
              <w:t>and Other (Topic 350) -</w:t>
            </w:r>
          </w:p>
        </w:tc>
        <w:tc>
          <w:tcPr>
            <w:tcW w:w="3760" w:type="dxa"/>
            <w:vAlign w:val="bottom"/>
            <w:shd w:val="clear" w:color="auto" w:fill="CFF0FC"/>
          </w:tcPr>
          <w:p>
            <w:pPr>
              <w:spacing w:after="0"/>
              <w:rPr>
                <w:sz w:val="20"/>
                <w:szCs w:val="20"/>
                <w:color w:val="auto"/>
              </w:rPr>
            </w:pPr>
            <w:r>
              <w:rPr>
                <w:rFonts w:ascii="Arial" w:cs="Arial" w:eastAsia="Arial" w:hAnsi="Arial"/>
                <w:sz w:val="16"/>
                <w:szCs w:val="16"/>
                <w:color w:val="auto"/>
                <w:w w:val="98"/>
              </w:rPr>
              <w:t>the carrying amount of a reporting unit exceeds its fair</w:t>
            </w:r>
          </w:p>
        </w:tc>
        <w:tc>
          <w:tcPr>
            <w:tcW w:w="120" w:type="dxa"/>
            <w:vAlign w:val="bottom"/>
            <w:shd w:val="clear" w:color="auto" w:fill="CFF0FC"/>
          </w:tcPr>
          <w:p>
            <w:pPr>
              <w:spacing w:after="0"/>
              <w:rPr>
                <w:sz w:val="17"/>
                <w:szCs w:val="17"/>
                <w:color w:val="auto"/>
              </w:rPr>
            </w:pPr>
          </w:p>
        </w:tc>
        <w:tc>
          <w:tcPr>
            <w:tcW w:w="700" w:type="dxa"/>
            <w:vAlign w:val="bottom"/>
            <w:shd w:val="clear" w:color="auto" w:fill="CFF0FC"/>
          </w:tcPr>
          <w:p>
            <w:pPr>
              <w:spacing w:after="0"/>
              <w:rPr>
                <w:sz w:val="17"/>
                <w:szCs w:val="17"/>
                <w:color w:val="auto"/>
              </w:rPr>
            </w:pPr>
          </w:p>
        </w:tc>
        <w:tc>
          <w:tcPr>
            <w:tcW w:w="5020" w:type="dxa"/>
            <w:vAlign w:val="bottom"/>
            <w:gridSpan w:val="2"/>
            <w:shd w:val="clear" w:color="auto" w:fill="CFF0FC"/>
          </w:tcPr>
          <w:p>
            <w:pPr>
              <w:ind w:left="120"/>
              <w:spacing w:after="0"/>
              <w:rPr>
                <w:sz w:val="20"/>
                <w:szCs w:val="20"/>
                <w:color w:val="auto"/>
              </w:rPr>
            </w:pPr>
            <w:r>
              <w:rPr>
                <w:rFonts w:ascii="Arial" w:cs="Arial" w:eastAsia="Arial" w:hAnsi="Arial"/>
                <w:sz w:val="16"/>
                <w:szCs w:val="16"/>
                <w:color w:val="auto"/>
              </w:rPr>
              <w:t>surrounding the analysis of goodwill impairment during our annual</w:t>
            </w:r>
          </w:p>
        </w:tc>
      </w:tr>
      <w:tr>
        <w:trPr>
          <w:trHeight w:val="202"/>
        </w:trPr>
        <w:tc>
          <w:tcPr>
            <w:tcW w:w="1820" w:type="dxa"/>
            <w:vAlign w:val="bottom"/>
            <w:gridSpan w:val="2"/>
            <w:shd w:val="clear" w:color="auto" w:fill="CFF0FC"/>
          </w:tcPr>
          <w:p>
            <w:pPr>
              <w:spacing w:after="0"/>
              <w:rPr>
                <w:sz w:val="20"/>
                <w:szCs w:val="20"/>
                <w:color w:val="auto"/>
              </w:rPr>
            </w:pPr>
            <w:r>
              <w:rPr>
                <w:rFonts w:ascii="Arial" w:cs="Arial" w:eastAsia="Arial" w:hAnsi="Arial"/>
                <w:sz w:val="16"/>
                <w:szCs w:val="16"/>
                <w:i w:val="1"/>
                <w:iCs w:val="1"/>
                <w:color w:val="auto"/>
              </w:rPr>
              <w:t>Simplifying the Test for</w:t>
            </w:r>
          </w:p>
        </w:tc>
        <w:tc>
          <w:tcPr>
            <w:tcW w:w="3760" w:type="dxa"/>
            <w:vAlign w:val="bottom"/>
            <w:shd w:val="clear" w:color="auto" w:fill="CFF0FC"/>
          </w:tcPr>
          <w:p>
            <w:pPr>
              <w:spacing w:after="0"/>
              <w:rPr>
                <w:sz w:val="20"/>
                <w:szCs w:val="20"/>
                <w:color w:val="auto"/>
              </w:rPr>
            </w:pPr>
            <w:r>
              <w:rPr>
                <w:rFonts w:ascii="Arial" w:cs="Arial" w:eastAsia="Arial" w:hAnsi="Arial"/>
                <w:sz w:val="16"/>
                <w:szCs w:val="16"/>
                <w:color w:val="auto"/>
                <w:w w:val="98"/>
              </w:rPr>
              <w:t>value. Goodwill impairment will now be recognized by</w:t>
            </w:r>
          </w:p>
        </w:tc>
        <w:tc>
          <w:tcPr>
            <w:tcW w:w="120" w:type="dxa"/>
            <w:vAlign w:val="bottom"/>
            <w:shd w:val="clear" w:color="auto" w:fill="CFF0FC"/>
          </w:tcPr>
          <w:p>
            <w:pPr>
              <w:spacing w:after="0"/>
              <w:rPr>
                <w:sz w:val="17"/>
                <w:szCs w:val="17"/>
                <w:color w:val="auto"/>
              </w:rPr>
            </w:pPr>
          </w:p>
        </w:tc>
        <w:tc>
          <w:tcPr>
            <w:tcW w:w="700" w:type="dxa"/>
            <w:vAlign w:val="bottom"/>
            <w:shd w:val="clear" w:color="auto" w:fill="CFF0FC"/>
          </w:tcPr>
          <w:p>
            <w:pPr>
              <w:spacing w:after="0"/>
              <w:rPr>
                <w:sz w:val="17"/>
                <w:szCs w:val="17"/>
                <w:color w:val="auto"/>
              </w:rPr>
            </w:pPr>
          </w:p>
        </w:tc>
        <w:tc>
          <w:tcPr>
            <w:tcW w:w="5020" w:type="dxa"/>
            <w:vAlign w:val="bottom"/>
            <w:gridSpan w:val="2"/>
            <w:shd w:val="clear" w:color="auto" w:fill="CFF0FC"/>
          </w:tcPr>
          <w:p>
            <w:pPr>
              <w:ind w:left="120"/>
              <w:spacing w:after="0"/>
              <w:rPr>
                <w:sz w:val="20"/>
                <w:szCs w:val="20"/>
                <w:color w:val="auto"/>
              </w:rPr>
            </w:pPr>
            <w:r>
              <w:rPr>
                <w:rFonts w:ascii="Arial" w:cs="Arial" w:eastAsia="Arial" w:hAnsi="Arial"/>
                <w:sz w:val="16"/>
                <w:szCs w:val="16"/>
                <w:color w:val="auto"/>
                <w:w w:val="94"/>
              </w:rPr>
              <w:t>goodwill impairment tests as of October 31, 2018, or if an event occurs or</w:t>
            </w:r>
          </w:p>
        </w:tc>
      </w:tr>
      <w:tr>
        <w:trPr>
          <w:trHeight w:val="202"/>
        </w:trPr>
        <w:tc>
          <w:tcPr>
            <w:tcW w:w="1820" w:type="dxa"/>
            <w:vAlign w:val="bottom"/>
            <w:gridSpan w:val="2"/>
            <w:shd w:val="clear" w:color="auto" w:fill="CFF0FC"/>
          </w:tcPr>
          <w:p>
            <w:pPr>
              <w:spacing w:after="0"/>
              <w:rPr>
                <w:sz w:val="20"/>
                <w:szCs w:val="20"/>
                <w:color w:val="auto"/>
              </w:rPr>
            </w:pPr>
            <w:r>
              <w:rPr>
                <w:rFonts w:ascii="Arial" w:cs="Arial" w:eastAsia="Arial" w:hAnsi="Arial"/>
                <w:sz w:val="16"/>
                <w:szCs w:val="16"/>
                <w:i w:val="1"/>
                <w:iCs w:val="1"/>
                <w:color w:val="auto"/>
              </w:rPr>
              <w:t>Goodwill Impairment</w:t>
            </w:r>
          </w:p>
        </w:tc>
        <w:tc>
          <w:tcPr>
            <w:tcW w:w="3760" w:type="dxa"/>
            <w:vAlign w:val="bottom"/>
            <w:shd w:val="clear" w:color="auto" w:fill="CFF0FC"/>
          </w:tcPr>
          <w:p>
            <w:pPr>
              <w:spacing w:after="0"/>
              <w:rPr>
                <w:sz w:val="20"/>
                <w:szCs w:val="20"/>
                <w:color w:val="auto"/>
              </w:rPr>
            </w:pPr>
            <w:r>
              <w:rPr>
                <w:rFonts w:ascii="Arial" w:cs="Arial" w:eastAsia="Arial" w:hAnsi="Arial"/>
                <w:sz w:val="16"/>
                <w:szCs w:val="16"/>
                <w:color w:val="auto"/>
              </w:rPr>
              <w:t>the amount by which a reporting unit’s carrying value</w:t>
            </w:r>
          </w:p>
        </w:tc>
        <w:tc>
          <w:tcPr>
            <w:tcW w:w="120" w:type="dxa"/>
            <w:vAlign w:val="bottom"/>
            <w:shd w:val="clear" w:color="auto" w:fill="CFF0FC"/>
          </w:tcPr>
          <w:p>
            <w:pPr>
              <w:spacing w:after="0"/>
              <w:rPr>
                <w:sz w:val="17"/>
                <w:szCs w:val="17"/>
                <w:color w:val="auto"/>
              </w:rPr>
            </w:pPr>
          </w:p>
        </w:tc>
        <w:tc>
          <w:tcPr>
            <w:tcW w:w="700" w:type="dxa"/>
            <w:vAlign w:val="bottom"/>
            <w:shd w:val="clear" w:color="auto" w:fill="CFF0FC"/>
          </w:tcPr>
          <w:p>
            <w:pPr>
              <w:spacing w:after="0"/>
              <w:rPr>
                <w:sz w:val="17"/>
                <w:szCs w:val="17"/>
                <w:color w:val="auto"/>
              </w:rPr>
            </w:pPr>
          </w:p>
        </w:tc>
        <w:tc>
          <w:tcPr>
            <w:tcW w:w="5020" w:type="dxa"/>
            <w:vAlign w:val="bottom"/>
            <w:gridSpan w:val="2"/>
            <w:shd w:val="clear" w:color="auto" w:fill="CFF0FC"/>
          </w:tcPr>
          <w:p>
            <w:pPr>
              <w:ind w:left="120"/>
              <w:spacing w:after="0"/>
              <w:rPr>
                <w:sz w:val="20"/>
                <w:szCs w:val="20"/>
                <w:color w:val="auto"/>
              </w:rPr>
            </w:pPr>
            <w:r>
              <w:rPr>
                <w:rFonts w:ascii="Arial" w:cs="Arial" w:eastAsia="Arial" w:hAnsi="Arial"/>
                <w:sz w:val="16"/>
                <w:szCs w:val="16"/>
                <w:color w:val="auto"/>
                <w:w w:val="99"/>
              </w:rPr>
              <w:t>circumstances change that would more-likely-than-not reduce the fair</w:t>
            </w:r>
          </w:p>
        </w:tc>
      </w:tr>
      <w:tr>
        <w:trPr>
          <w:trHeight w:val="202"/>
        </w:trPr>
        <w:tc>
          <w:tcPr>
            <w:tcW w:w="1700" w:type="dxa"/>
            <w:vAlign w:val="bottom"/>
            <w:shd w:val="clear" w:color="auto" w:fill="CFF0FC"/>
          </w:tcPr>
          <w:p>
            <w:pPr>
              <w:spacing w:after="0"/>
              <w:rPr>
                <w:sz w:val="17"/>
                <w:szCs w:val="17"/>
                <w:color w:val="auto"/>
              </w:rPr>
            </w:pPr>
          </w:p>
        </w:tc>
        <w:tc>
          <w:tcPr>
            <w:tcW w:w="120" w:type="dxa"/>
            <w:vAlign w:val="bottom"/>
            <w:shd w:val="clear" w:color="auto" w:fill="CFF0FC"/>
          </w:tcPr>
          <w:p>
            <w:pPr>
              <w:spacing w:after="0"/>
              <w:rPr>
                <w:sz w:val="17"/>
                <w:szCs w:val="17"/>
                <w:color w:val="auto"/>
              </w:rPr>
            </w:pPr>
          </w:p>
        </w:tc>
        <w:tc>
          <w:tcPr>
            <w:tcW w:w="3760" w:type="dxa"/>
            <w:vAlign w:val="bottom"/>
            <w:shd w:val="clear" w:color="auto" w:fill="CFF0FC"/>
          </w:tcPr>
          <w:p>
            <w:pPr>
              <w:spacing w:after="0"/>
              <w:rPr>
                <w:sz w:val="20"/>
                <w:szCs w:val="20"/>
                <w:color w:val="auto"/>
              </w:rPr>
            </w:pPr>
            <w:r>
              <w:rPr>
                <w:rFonts w:ascii="Arial" w:cs="Arial" w:eastAsia="Arial" w:hAnsi="Arial"/>
                <w:sz w:val="16"/>
                <w:szCs w:val="16"/>
                <w:color w:val="auto"/>
                <w:w w:val="93"/>
              </w:rPr>
              <w:t>exceeds its fair value, not to exceed the carrying amount</w:t>
            </w:r>
          </w:p>
        </w:tc>
        <w:tc>
          <w:tcPr>
            <w:tcW w:w="120" w:type="dxa"/>
            <w:vAlign w:val="bottom"/>
            <w:shd w:val="clear" w:color="auto" w:fill="CFF0FC"/>
          </w:tcPr>
          <w:p>
            <w:pPr>
              <w:spacing w:after="0"/>
              <w:rPr>
                <w:sz w:val="17"/>
                <w:szCs w:val="17"/>
                <w:color w:val="auto"/>
              </w:rPr>
            </w:pPr>
          </w:p>
        </w:tc>
        <w:tc>
          <w:tcPr>
            <w:tcW w:w="700" w:type="dxa"/>
            <w:vAlign w:val="bottom"/>
            <w:shd w:val="clear" w:color="auto" w:fill="CFF0FC"/>
          </w:tcPr>
          <w:p>
            <w:pPr>
              <w:spacing w:after="0"/>
              <w:rPr>
                <w:sz w:val="17"/>
                <w:szCs w:val="17"/>
                <w:color w:val="auto"/>
              </w:rPr>
            </w:pPr>
          </w:p>
        </w:tc>
        <w:tc>
          <w:tcPr>
            <w:tcW w:w="5020" w:type="dxa"/>
            <w:vAlign w:val="bottom"/>
            <w:gridSpan w:val="2"/>
            <w:shd w:val="clear" w:color="auto" w:fill="CFF0FC"/>
          </w:tcPr>
          <w:p>
            <w:pPr>
              <w:ind w:left="120"/>
              <w:spacing w:after="0"/>
              <w:rPr>
                <w:sz w:val="20"/>
                <w:szCs w:val="20"/>
                <w:color w:val="auto"/>
              </w:rPr>
            </w:pPr>
            <w:r>
              <w:rPr>
                <w:rFonts w:ascii="Arial" w:cs="Arial" w:eastAsia="Arial" w:hAnsi="Arial"/>
                <w:sz w:val="16"/>
                <w:szCs w:val="16"/>
                <w:color w:val="auto"/>
              </w:rPr>
              <w:t>value of a reporting unit below its carrying value.</w:t>
            </w:r>
          </w:p>
        </w:tc>
      </w:tr>
      <w:tr>
        <w:trPr>
          <w:trHeight w:val="202"/>
        </w:trPr>
        <w:tc>
          <w:tcPr>
            <w:tcW w:w="1700" w:type="dxa"/>
            <w:vAlign w:val="bottom"/>
            <w:shd w:val="clear" w:color="auto" w:fill="CFF0FC"/>
          </w:tcPr>
          <w:p>
            <w:pPr>
              <w:spacing w:after="0"/>
              <w:rPr>
                <w:sz w:val="17"/>
                <w:szCs w:val="17"/>
                <w:color w:val="auto"/>
              </w:rPr>
            </w:pPr>
          </w:p>
        </w:tc>
        <w:tc>
          <w:tcPr>
            <w:tcW w:w="120" w:type="dxa"/>
            <w:vAlign w:val="bottom"/>
            <w:shd w:val="clear" w:color="auto" w:fill="CFF0FC"/>
          </w:tcPr>
          <w:p>
            <w:pPr>
              <w:spacing w:after="0"/>
              <w:rPr>
                <w:sz w:val="17"/>
                <w:szCs w:val="17"/>
                <w:color w:val="auto"/>
              </w:rPr>
            </w:pPr>
          </w:p>
        </w:tc>
        <w:tc>
          <w:tcPr>
            <w:tcW w:w="3760" w:type="dxa"/>
            <w:vAlign w:val="bottom"/>
            <w:shd w:val="clear" w:color="auto" w:fill="CFF0FC"/>
          </w:tcPr>
          <w:p>
            <w:pPr>
              <w:spacing w:after="0"/>
              <w:rPr>
                <w:sz w:val="20"/>
                <w:szCs w:val="20"/>
                <w:color w:val="auto"/>
              </w:rPr>
            </w:pPr>
            <w:r>
              <w:rPr>
                <w:rFonts w:ascii="Arial" w:cs="Arial" w:eastAsia="Arial" w:hAnsi="Arial"/>
                <w:sz w:val="16"/>
                <w:szCs w:val="16"/>
                <w:color w:val="auto"/>
              </w:rPr>
              <w:t>of goodwill. The amendment should be applied</w:t>
            </w:r>
          </w:p>
        </w:tc>
        <w:tc>
          <w:tcPr>
            <w:tcW w:w="120" w:type="dxa"/>
            <w:vAlign w:val="bottom"/>
            <w:shd w:val="clear" w:color="auto" w:fill="CFF0FC"/>
          </w:tcPr>
          <w:p>
            <w:pPr>
              <w:spacing w:after="0"/>
              <w:rPr>
                <w:sz w:val="17"/>
                <w:szCs w:val="17"/>
                <w:color w:val="auto"/>
              </w:rPr>
            </w:pPr>
          </w:p>
        </w:tc>
        <w:tc>
          <w:tcPr>
            <w:tcW w:w="700" w:type="dxa"/>
            <w:vAlign w:val="bottom"/>
            <w:shd w:val="clear" w:color="auto" w:fill="CFF0FC"/>
          </w:tcPr>
          <w:p>
            <w:pPr>
              <w:spacing w:after="0"/>
              <w:rPr>
                <w:sz w:val="17"/>
                <w:szCs w:val="17"/>
                <w:color w:val="auto"/>
              </w:rPr>
            </w:pPr>
          </w:p>
        </w:tc>
        <w:tc>
          <w:tcPr>
            <w:tcW w:w="120" w:type="dxa"/>
            <w:vAlign w:val="bottom"/>
            <w:shd w:val="clear" w:color="auto" w:fill="CFF0FC"/>
          </w:tcPr>
          <w:p>
            <w:pPr>
              <w:spacing w:after="0"/>
              <w:rPr>
                <w:sz w:val="17"/>
                <w:szCs w:val="17"/>
                <w:color w:val="auto"/>
              </w:rPr>
            </w:pPr>
          </w:p>
        </w:tc>
        <w:tc>
          <w:tcPr>
            <w:tcW w:w="4900" w:type="dxa"/>
            <w:vAlign w:val="bottom"/>
            <w:shd w:val="clear" w:color="auto" w:fill="CFF0FC"/>
          </w:tcPr>
          <w:p>
            <w:pPr>
              <w:spacing w:after="0"/>
              <w:rPr>
                <w:sz w:val="17"/>
                <w:szCs w:val="17"/>
                <w:color w:val="auto"/>
              </w:rPr>
            </w:pPr>
          </w:p>
        </w:tc>
      </w:tr>
      <w:tr>
        <w:trPr>
          <w:trHeight w:val="202"/>
        </w:trPr>
        <w:tc>
          <w:tcPr>
            <w:tcW w:w="1700" w:type="dxa"/>
            <w:vAlign w:val="bottom"/>
            <w:shd w:val="clear" w:color="auto" w:fill="CFF0FC"/>
          </w:tcPr>
          <w:p>
            <w:pPr>
              <w:spacing w:after="0"/>
              <w:rPr>
                <w:sz w:val="17"/>
                <w:szCs w:val="17"/>
                <w:color w:val="auto"/>
              </w:rPr>
            </w:pPr>
          </w:p>
        </w:tc>
        <w:tc>
          <w:tcPr>
            <w:tcW w:w="120" w:type="dxa"/>
            <w:vAlign w:val="bottom"/>
            <w:shd w:val="clear" w:color="auto" w:fill="CFF0FC"/>
          </w:tcPr>
          <w:p>
            <w:pPr>
              <w:spacing w:after="0"/>
              <w:rPr>
                <w:sz w:val="17"/>
                <w:szCs w:val="17"/>
                <w:color w:val="auto"/>
              </w:rPr>
            </w:pPr>
          </w:p>
        </w:tc>
        <w:tc>
          <w:tcPr>
            <w:tcW w:w="3760" w:type="dxa"/>
            <w:vAlign w:val="bottom"/>
            <w:shd w:val="clear" w:color="auto" w:fill="CFF0FC"/>
          </w:tcPr>
          <w:p>
            <w:pPr>
              <w:spacing w:after="0"/>
              <w:rPr>
                <w:sz w:val="20"/>
                <w:szCs w:val="20"/>
                <w:color w:val="auto"/>
              </w:rPr>
            </w:pPr>
            <w:r>
              <w:rPr>
                <w:rFonts w:ascii="Arial" w:cs="Arial" w:eastAsia="Arial" w:hAnsi="Arial"/>
                <w:sz w:val="16"/>
                <w:szCs w:val="16"/>
                <w:color w:val="auto"/>
                <w:w w:val="98"/>
              </w:rPr>
              <w:t>prospectively and is effective for annual or any interim</w:t>
            </w:r>
          </w:p>
        </w:tc>
        <w:tc>
          <w:tcPr>
            <w:tcW w:w="120" w:type="dxa"/>
            <w:vAlign w:val="bottom"/>
            <w:shd w:val="clear" w:color="auto" w:fill="CFF0FC"/>
          </w:tcPr>
          <w:p>
            <w:pPr>
              <w:spacing w:after="0"/>
              <w:rPr>
                <w:sz w:val="17"/>
                <w:szCs w:val="17"/>
                <w:color w:val="auto"/>
              </w:rPr>
            </w:pPr>
          </w:p>
        </w:tc>
        <w:tc>
          <w:tcPr>
            <w:tcW w:w="700" w:type="dxa"/>
            <w:vAlign w:val="bottom"/>
            <w:shd w:val="clear" w:color="auto" w:fill="CFF0FC"/>
          </w:tcPr>
          <w:p>
            <w:pPr>
              <w:spacing w:after="0"/>
              <w:rPr>
                <w:sz w:val="17"/>
                <w:szCs w:val="17"/>
                <w:color w:val="auto"/>
              </w:rPr>
            </w:pPr>
          </w:p>
        </w:tc>
        <w:tc>
          <w:tcPr>
            <w:tcW w:w="120" w:type="dxa"/>
            <w:vAlign w:val="bottom"/>
            <w:shd w:val="clear" w:color="auto" w:fill="CFF0FC"/>
          </w:tcPr>
          <w:p>
            <w:pPr>
              <w:spacing w:after="0"/>
              <w:rPr>
                <w:sz w:val="17"/>
                <w:szCs w:val="17"/>
                <w:color w:val="auto"/>
              </w:rPr>
            </w:pPr>
          </w:p>
        </w:tc>
        <w:tc>
          <w:tcPr>
            <w:tcW w:w="4900" w:type="dxa"/>
            <w:vAlign w:val="bottom"/>
            <w:shd w:val="clear" w:color="auto" w:fill="CFF0FC"/>
          </w:tcPr>
          <w:p>
            <w:pPr>
              <w:spacing w:after="0"/>
              <w:rPr>
                <w:sz w:val="17"/>
                <w:szCs w:val="17"/>
                <w:color w:val="auto"/>
              </w:rPr>
            </w:pPr>
          </w:p>
        </w:tc>
      </w:tr>
      <w:tr>
        <w:trPr>
          <w:trHeight w:val="202"/>
        </w:trPr>
        <w:tc>
          <w:tcPr>
            <w:tcW w:w="1700" w:type="dxa"/>
            <w:vAlign w:val="bottom"/>
            <w:shd w:val="clear" w:color="auto" w:fill="CFF0FC"/>
          </w:tcPr>
          <w:p>
            <w:pPr>
              <w:spacing w:after="0"/>
              <w:rPr>
                <w:sz w:val="17"/>
                <w:szCs w:val="17"/>
                <w:color w:val="auto"/>
              </w:rPr>
            </w:pPr>
          </w:p>
        </w:tc>
        <w:tc>
          <w:tcPr>
            <w:tcW w:w="120" w:type="dxa"/>
            <w:vAlign w:val="bottom"/>
            <w:shd w:val="clear" w:color="auto" w:fill="CFF0FC"/>
          </w:tcPr>
          <w:p>
            <w:pPr>
              <w:spacing w:after="0"/>
              <w:rPr>
                <w:sz w:val="17"/>
                <w:szCs w:val="17"/>
                <w:color w:val="auto"/>
              </w:rPr>
            </w:pPr>
          </w:p>
        </w:tc>
        <w:tc>
          <w:tcPr>
            <w:tcW w:w="3760" w:type="dxa"/>
            <w:vAlign w:val="bottom"/>
            <w:shd w:val="clear" w:color="auto" w:fill="CFF0FC"/>
          </w:tcPr>
          <w:p>
            <w:pPr>
              <w:spacing w:after="0"/>
              <w:rPr>
                <w:sz w:val="20"/>
                <w:szCs w:val="20"/>
                <w:color w:val="auto"/>
              </w:rPr>
            </w:pPr>
            <w:r>
              <w:rPr>
                <w:rFonts w:ascii="Arial" w:cs="Arial" w:eastAsia="Arial" w:hAnsi="Arial"/>
                <w:sz w:val="16"/>
                <w:szCs w:val="16"/>
                <w:color w:val="auto"/>
                <w:w w:val="95"/>
              </w:rPr>
              <w:t>goodwill impairment tests in fiscal years beginning after</w:t>
            </w:r>
          </w:p>
        </w:tc>
        <w:tc>
          <w:tcPr>
            <w:tcW w:w="120" w:type="dxa"/>
            <w:vAlign w:val="bottom"/>
            <w:shd w:val="clear" w:color="auto" w:fill="CFF0FC"/>
          </w:tcPr>
          <w:p>
            <w:pPr>
              <w:spacing w:after="0"/>
              <w:rPr>
                <w:sz w:val="17"/>
                <w:szCs w:val="17"/>
                <w:color w:val="auto"/>
              </w:rPr>
            </w:pPr>
          </w:p>
        </w:tc>
        <w:tc>
          <w:tcPr>
            <w:tcW w:w="700" w:type="dxa"/>
            <w:vAlign w:val="bottom"/>
            <w:shd w:val="clear" w:color="auto" w:fill="CFF0FC"/>
          </w:tcPr>
          <w:p>
            <w:pPr>
              <w:spacing w:after="0"/>
              <w:rPr>
                <w:sz w:val="17"/>
                <w:szCs w:val="17"/>
                <w:color w:val="auto"/>
              </w:rPr>
            </w:pPr>
          </w:p>
        </w:tc>
        <w:tc>
          <w:tcPr>
            <w:tcW w:w="120" w:type="dxa"/>
            <w:vAlign w:val="bottom"/>
            <w:shd w:val="clear" w:color="auto" w:fill="CFF0FC"/>
          </w:tcPr>
          <w:p>
            <w:pPr>
              <w:spacing w:after="0"/>
              <w:rPr>
                <w:sz w:val="17"/>
                <w:szCs w:val="17"/>
                <w:color w:val="auto"/>
              </w:rPr>
            </w:pPr>
          </w:p>
        </w:tc>
        <w:tc>
          <w:tcPr>
            <w:tcW w:w="4900" w:type="dxa"/>
            <w:vAlign w:val="bottom"/>
            <w:shd w:val="clear" w:color="auto" w:fill="CFF0FC"/>
          </w:tcPr>
          <w:p>
            <w:pPr>
              <w:spacing w:after="0"/>
              <w:rPr>
                <w:sz w:val="17"/>
                <w:szCs w:val="17"/>
                <w:color w:val="auto"/>
              </w:rPr>
            </w:pPr>
          </w:p>
        </w:tc>
      </w:tr>
      <w:tr>
        <w:trPr>
          <w:trHeight w:val="202"/>
        </w:trPr>
        <w:tc>
          <w:tcPr>
            <w:tcW w:w="1700" w:type="dxa"/>
            <w:vAlign w:val="bottom"/>
            <w:shd w:val="clear" w:color="auto" w:fill="CFF0FC"/>
          </w:tcPr>
          <w:p>
            <w:pPr>
              <w:spacing w:after="0"/>
              <w:rPr>
                <w:sz w:val="17"/>
                <w:szCs w:val="17"/>
                <w:color w:val="auto"/>
              </w:rPr>
            </w:pPr>
          </w:p>
        </w:tc>
        <w:tc>
          <w:tcPr>
            <w:tcW w:w="120" w:type="dxa"/>
            <w:vAlign w:val="bottom"/>
            <w:shd w:val="clear" w:color="auto" w:fill="CFF0FC"/>
          </w:tcPr>
          <w:p>
            <w:pPr>
              <w:spacing w:after="0"/>
              <w:rPr>
                <w:sz w:val="17"/>
                <w:szCs w:val="17"/>
                <w:color w:val="auto"/>
              </w:rPr>
            </w:pPr>
          </w:p>
        </w:tc>
        <w:tc>
          <w:tcPr>
            <w:tcW w:w="3760" w:type="dxa"/>
            <w:vAlign w:val="bottom"/>
            <w:shd w:val="clear" w:color="auto" w:fill="CFF0FC"/>
          </w:tcPr>
          <w:p>
            <w:pPr>
              <w:spacing w:after="0"/>
              <w:rPr>
                <w:sz w:val="20"/>
                <w:szCs w:val="20"/>
                <w:color w:val="auto"/>
              </w:rPr>
            </w:pPr>
            <w:r>
              <w:rPr>
                <w:rFonts w:ascii="Arial" w:cs="Arial" w:eastAsia="Arial" w:hAnsi="Arial"/>
                <w:sz w:val="16"/>
                <w:szCs w:val="16"/>
                <w:color w:val="auto"/>
              </w:rPr>
              <w:t>December 15, 2019. Early adoption is permitted for</w:t>
            </w:r>
          </w:p>
        </w:tc>
        <w:tc>
          <w:tcPr>
            <w:tcW w:w="120" w:type="dxa"/>
            <w:vAlign w:val="bottom"/>
            <w:shd w:val="clear" w:color="auto" w:fill="CFF0FC"/>
          </w:tcPr>
          <w:p>
            <w:pPr>
              <w:spacing w:after="0"/>
              <w:rPr>
                <w:sz w:val="17"/>
                <w:szCs w:val="17"/>
                <w:color w:val="auto"/>
              </w:rPr>
            </w:pPr>
          </w:p>
        </w:tc>
        <w:tc>
          <w:tcPr>
            <w:tcW w:w="700" w:type="dxa"/>
            <w:vAlign w:val="bottom"/>
            <w:shd w:val="clear" w:color="auto" w:fill="CFF0FC"/>
          </w:tcPr>
          <w:p>
            <w:pPr>
              <w:spacing w:after="0"/>
              <w:rPr>
                <w:sz w:val="17"/>
                <w:szCs w:val="17"/>
                <w:color w:val="auto"/>
              </w:rPr>
            </w:pPr>
          </w:p>
        </w:tc>
        <w:tc>
          <w:tcPr>
            <w:tcW w:w="120" w:type="dxa"/>
            <w:vAlign w:val="bottom"/>
            <w:shd w:val="clear" w:color="auto" w:fill="CFF0FC"/>
          </w:tcPr>
          <w:p>
            <w:pPr>
              <w:spacing w:after="0"/>
              <w:rPr>
                <w:sz w:val="17"/>
                <w:szCs w:val="17"/>
                <w:color w:val="auto"/>
              </w:rPr>
            </w:pPr>
          </w:p>
        </w:tc>
        <w:tc>
          <w:tcPr>
            <w:tcW w:w="4900" w:type="dxa"/>
            <w:vAlign w:val="bottom"/>
            <w:shd w:val="clear" w:color="auto" w:fill="CFF0FC"/>
          </w:tcPr>
          <w:p>
            <w:pPr>
              <w:spacing w:after="0"/>
              <w:rPr>
                <w:sz w:val="17"/>
                <w:szCs w:val="17"/>
                <w:color w:val="auto"/>
              </w:rPr>
            </w:pPr>
          </w:p>
        </w:tc>
      </w:tr>
      <w:tr>
        <w:trPr>
          <w:trHeight w:val="202"/>
        </w:trPr>
        <w:tc>
          <w:tcPr>
            <w:tcW w:w="1700" w:type="dxa"/>
            <w:vAlign w:val="bottom"/>
            <w:shd w:val="clear" w:color="auto" w:fill="CFF0FC"/>
          </w:tcPr>
          <w:p>
            <w:pPr>
              <w:spacing w:after="0"/>
              <w:rPr>
                <w:sz w:val="17"/>
                <w:szCs w:val="17"/>
                <w:color w:val="auto"/>
              </w:rPr>
            </w:pPr>
          </w:p>
        </w:tc>
        <w:tc>
          <w:tcPr>
            <w:tcW w:w="120" w:type="dxa"/>
            <w:vAlign w:val="bottom"/>
            <w:shd w:val="clear" w:color="auto" w:fill="CFF0FC"/>
          </w:tcPr>
          <w:p>
            <w:pPr>
              <w:spacing w:after="0"/>
              <w:rPr>
                <w:sz w:val="17"/>
                <w:szCs w:val="17"/>
                <w:color w:val="auto"/>
              </w:rPr>
            </w:pPr>
          </w:p>
        </w:tc>
        <w:tc>
          <w:tcPr>
            <w:tcW w:w="3760" w:type="dxa"/>
            <w:vAlign w:val="bottom"/>
            <w:shd w:val="clear" w:color="auto" w:fill="CFF0FC"/>
          </w:tcPr>
          <w:p>
            <w:pPr>
              <w:spacing w:after="0"/>
              <w:rPr>
                <w:sz w:val="20"/>
                <w:szCs w:val="20"/>
                <w:color w:val="auto"/>
              </w:rPr>
            </w:pPr>
            <w:r>
              <w:rPr>
                <w:rFonts w:ascii="Arial" w:cs="Arial" w:eastAsia="Arial" w:hAnsi="Arial"/>
                <w:sz w:val="16"/>
                <w:szCs w:val="16"/>
                <w:color w:val="auto"/>
                <w:w w:val="98"/>
              </w:rPr>
              <w:t>interim or annual goodwill impairment tests performed</w:t>
            </w:r>
          </w:p>
        </w:tc>
        <w:tc>
          <w:tcPr>
            <w:tcW w:w="120" w:type="dxa"/>
            <w:vAlign w:val="bottom"/>
            <w:shd w:val="clear" w:color="auto" w:fill="CFF0FC"/>
          </w:tcPr>
          <w:p>
            <w:pPr>
              <w:spacing w:after="0"/>
              <w:rPr>
                <w:sz w:val="17"/>
                <w:szCs w:val="17"/>
                <w:color w:val="auto"/>
              </w:rPr>
            </w:pPr>
          </w:p>
        </w:tc>
        <w:tc>
          <w:tcPr>
            <w:tcW w:w="700" w:type="dxa"/>
            <w:vAlign w:val="bottom"/>
            <w:shd w:val="clear" w:color="auto" w:fill="CFF0FC"/>
          </w:tcPr>
          <w:p>
            <w:pPr>
              <w:spacing w:after="0"/>
              <w:rPr>
                <w:sz w:val="17"/>
                <w:szCs w:val="17"/>
                <w:color w:val="auto"/>
              </w:rPr>
            </w:pPr>
          </w:p>
        </w:tc>
        <w:tc>
          <w:tcPr>
            <w:tcW w:w="120" w:type="dxa"/>
            <w:vAlign w:val="bottom"/>
            <w:shd w:val="clear" w:color="auto" w:fill="CFF0FC"/>
          </w:tcPr>
          <w:p>
            <w:pPr>
              <w:spacing w:after="0"/>
              <w:rPr>
                <w:sz w:val="17"/>
                <w:szCs w:val="17"/>
                <w:color w:val="auto"/>
              </w:rPr>
            </w:pPr>
          </w:p>
        </w:tc>
        <w:tc>
          <w:tcPr>
            <w:tcW w:w="4900" w:type="dxa"/>
            <w:vAlign w:val="bottom"/>
            <w:shd w:val="clear" w:color="auto" w:fill="CFF0FC"/>
          </w:tcPr>
          <w:p>
            <w:pPr>
              <w:spacing w:after="0"/>
              <w:rPr>
                <w:sz w:val="17"/>
                <w:szCs w:val="17"/>
                <w:color w:val="auto"/>
              </w:rPr>
            </w:pPr>
          </w:p>
        </w:tc>
      </w:tr>
      <w:tr>
        <w:trPr>
          <w:trHeight w:val="212"/>
        </w:trPr>
        <w:tc>
          <w:tcPr>
            <w:tcW w:w="1700" w:type="dxa"/>
            <w:vAlign w:val="bottom"/>
            <w:tcBorders>
              <w:bottom w:val="single" w:sz="8" w:color="auto"/>
            </w:tcBorders>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3760" w:type="dxa"/>
            <w:vAlign w:val="bottom"/>
            <w:tcBorders>
              <w:bottom w:val="single" w:sz="8" w:color="auto"/>
            </w:tcBorders>
            <w:shd w:val="clear" w:color="auto" w:fill="CFF0FC"/>
          </w:tcPr>
          <w:p>
            <w:pPr>
              <w:spacing w:after="0"/>
              <w:rPr>
                <w:sz w:val="20"/>
                <w:szCs w:val="20"/>
                <w:color w:val="auto"/>
              </w:rPr>
            </w:pPr>
            <w:r>
              <w:rPr>
                <w:rFonts w:ascii="Arial" w:cs="Arial" w:eastAsia="Arial" w:hAnsi="Arial"/>
                <w:sz w:val="16"/>
                <w:szCs w:val="16"/>
                <w:color w:val="auto"/>
              </w:rPr>
              <w:t>on testing dates after January 1, 2017.</w:t>
            </w:r>
          </w:p>
        </w:tc>
        <w:tc>
          <w:tcPr>
            <w:tcW w:w="120" w:type="dxa"/>
            <w:vAlign w:val="bottom"/>
            <w:shd w:val="clear" w:color="auto" w:fill="CFF0FC"/>
          </w:tcPr>
          <w:p>
            <w:pPr>
              <w:spacing w:after="0"/>
              <w:rPr>
                <w:sz w:val="18"/>
                <w:szCs w:val="18"/>
                <w:color w:val="auto"/>
              </w:rPr>
            </w:pPr>
          </w:p>
        </w:tc>
        <w:tc>
          <w:tcPr>
            <w:tcW w:w="700" w:type="dxa"/>
            <w:vAlign w:val="bottom"/>
            <w:tcBorders>
              <w:bottom w:val="single" w:sz="8" w:color="auto"/>
            </w:tcBorders>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4900" w:type="dxa"/>
            <w:vAlign w:val="bottom"/>
            <w:tcBorders>
              <w:bottom w:val="single" w:sz="8" w:color="auto"/>
            </w:tcBorders>
            <w:shd w:val="clear" w:color="auto" w:fill="CFF0FC"/>
          </w:tcPr>
          <w:p>
            <w:pPr>
              <w:spacing w:after="0"/>
              <w:rPr>
                <w:sz w:val="18"/>
                <w:szCs w:val="18"/>
                <w:color w:val="auto"/>
              </w:rPr>
            </w:pPr>
          </w:p>
        </w:tc>
      </w:tr>
      <w:tr>
        <w:trPr>
          <w:trHeight w:val="199"/>
        </w:trPr>
        <w:tc>
          <w:tcPr>
            <w:tcW w:w="1700" w:type="dxa"/>
            <w:vAlign w:val="bottom"/>
          </w:tcPr>
          <w:p>
            <w:pPr>
              <w:spacing w:after="0"/>
              <w:rPr>
                <w:sz w:val="20"/>
                <w:szCs w:val="20"/>
                <w:color w:val="auto"/>
              </w:rPr>
            </w:pPr>
            <w:r>
              <w:rPr>
                <w:rFonts w:ascii="Arial" w:cs="Arial" w:eastAsia="Arial" w:hAnsi="Arial"/>
                <w:sz w:val="16"/>
                <w:szCs w:val="16"/>
                <w:b w:val="1"/>
                <w:bCs w:val="1"/>
                <w:color w:val="auto"/>
              </w:rPr>
              <w:t>ASU 2017-07</w:t>
            </w:r>
            <w:r>
              <w:rPr>
                <w:rFonts w:ascii="Arial" w:cs="Arial" w:eastAsia="Arial" w:hAnsi="Arial"/>
                <w:sz w:val="16"/>
                <w:szCs w:val="16"/>
                <w:color w:val="auto"/>
              </w:rPr>
              <w:t>,</w:t>
            </w:r>
          </w:p>
        </w:tc>
        <w:tc>
          <w:tcPr>
            <w:tcW w:w="120" w:type="dxa"/>
            <w:vAlign w:val="bottom"/>
          </w:tcPr>
          <w:p>
            <w:pPr>
              <w:spacing w:after="0"/>
              <w:rPr>
                <w:sz w:val="17"/>
                <w:szCs w:val="17"/>
                <w:color w:val="auto"/>
              </w:rPr>
            </w:pPr>
          </w:p>
        </w:tc>
        <w:tc>
          <w:tcPr>
            <w:tcW w:w="3760" w:type="dxa"/>
            <w:vAlign w:val="bottom"/>
          </w:tcPr>
          <w:p>
            <w:pPr>
              <w:spacing w:after="0"/>
              <w:rPr>
                <w:sz w:val="20"/>
                <w:szCs w:val="20"/>
                <w:color w:val="auto"/>
              </w:rPr>
            </w:pPr>
            <w:r>
              <w:rPr>
                <w:rFonts w:ascii="Arial" w:cs="Arial" w:eastAsia="Arial" w:hAnsi="Arial"/>
                <w:sz w:val="16"/>
                <w:szCs w:val="16"/>
                <w:color w:val="auto"/>
                <w:w w:val="90"/>
              </w:rPr>
              <w:t>The amendment requires an employer to disaggregate the</w:t>
            </w:r>
          </w:p>
        </w:tc>
        <w:tc>
          <w:tcPr>
            <w:tcW w:w="820" w:type="dxa"/>
            <w:vAlign w:val="bottom"/>
            <w:gridSpan w:val="2"/>
          </w:tcPr>
          <w:p>
            <w:pPr>
              <w:ind w:left="120"/>
              <w:spacing w:after="0"/>
              <w:rPr>
                <w:sz w:val="20"/>
                <w:szCs w:val="20"/>
                <w:color w:val="auto"/>
              </w:rPr>
            </w:pPr>
            <w:r>
              <w:rPr>
                <w:rFonts w:ascii="Arial" w:cs="Arial" w:eastAsia="Arial" w:hAnsi="Arial"/>
                <w:sz w:val="16"/>
                <w:szCs w:val="16"/>
                <w:color w:val="auto"/>
                <w:w w:val="90"/>
              </w:rPr>
              <w:t>January 1,</w:t>
            </w:r>
          </w:p>
        </w:tc>
        <w:tc>
          <w:tcPr>
            <w:tcW w:w="5020" w:type="dxa"/>
            <w:vAlign w:val="bottom"/>
            <w:gridSpan w:val="2"/>
          </w:tcPr>
          <w:p>
            <w:pPr>
              <w:ind w:left="120"/>
              <w:spacing w:after="0"/>
              <w:rPr>
                <w:sz w:val="20"/>
                <w:szCs w:val="20"/>
                <w:color w:val="auto"/>
              </w:rPr>
            </w:pPr>
            <w:r>
              <w:rPr>
                <w:rFonts w:ascii="Arial" w:cs="Arial" w:eastAsia="Arial" w:hAnsi="Arial"/>
                <w:sz w:val="16"/>
                <w:szCs w:val="16"/>
                <w:color w:val="auto"/>
                <w:w w:val="91"/>
              </w:rPr>
              <w:t>We adopted this new standard retrospectively. As a result, we recorded the</w:t>
            </w:r>
          </w:p>
        </w:tc>
      </w:tr>
      <w:tr>
        <w:trPr>
          <w:trHeight w:val="202"/>
        </w:trPr>
        <w:tc>
          <w:tcPr>
            <w:tcW w:w="1820" w:type="dxa"/>
            <w:vAlign w:val="bottom"/>
            <w:gridSpan w:val="2"/>
          </w:tcPr>
          <w:p>
            <w:pPr>
              <w:spacing w:after="0"/>
              <w:rPr>
                <w:sz w:val="20"/>
                <w:szCs w:val="20"/>
                <w:color w:val="auto"/>
              </w:rPr>
            </w:pPr>
            <w:r>
              <w:rPr>
                <w:rFonts w:ascii="Arial" w:cs="Arial" w:eastAsia="Arial" w:hAnsi="Arial"/>
                <w:sz w:val="16"/>
                <w:szCs w:val="16"/>
                <w:i w:val="1"/>
                <w:iCs w:val="1"/>
                <w:color w:val="auto"/>
              </w:rPr>
              <w:t>Compensation -</w:t>
            </w:r>
          </w:p>
        </w:tc>
        <w:tc>
          <w:tcPr>
            <w:tcW w:w="3760" w:type="dxa"/>
            <w:vAlign w:val="bottom"/>
          </w:tcPr>
          <w:p>
            <w:pPr>
              <w:spacing w:after="0"/>
              <w:rPr>
                <w:sz w:val="20"/>
                <w:szCs w:val="20"/>
                <w:color w:val="auto"/>
              </w:rPr>
            </w:pPr>
            <w:r>
              <w:rPr>
                <w:rFonts w:ascii="Arial" w:cs="Arial" w:eastAsia="Arial" w:hAnsi="Arial"/>
                <w:sz w:val="16"/>
                <w:szCs w:val="16"/>
                <w:color w:val="auto"/>
                <w:w w:val="96"/>
              </w:rPr>
              <w:t>service cost components from the other components of</w:t>
            </w:r>
          </w:p>
        </w:tc>
        <w:tc>
          <w:tcPr>
            <w:tcW w:w="820" w:type="dxa"/>
            <w:vAlign w:val="bottom"/>
            <w:gridSpan w:val="2"/>
          </w:tcPr>
          <w:p>
            <w:pPr>
              <w:ind w:left="120"/>
              <w:spacing w:after="0"/>
              <w:rPr>
                <w:sz w:val="20"/>
                <w:szCs w:val="20"/>
                <w:color w:val="auto"/>
              </w:rPr>
            </w:pPr>
            <w:r>
              <w:rPr>
                <w:rFonts w:ascii="Arial" w:cs="Arial" w:eastAsia="Arial" w:hAnsi="Arial"/>
                <w:sz w:val="16"/>
                <w:szCs w:val="16"/>
                <w:color w:val="auto"/>
              </w:rPr>
              <w:t>2018</w:t>
            </w:r>
          </w:p>
        </w:tc>
        <w:tc>
          <w:tcPr>
            <w:tcW w:w="5020" w:type="dxa"/>
            <w:vAlign w:val="bottom"/>
            <w:gridSpan w:val="2"/>
          </w:tcPr>
          <w:p>
            <w:pPr>
              <w:ind w:left="120"/>
              <w:spacing w:after="0"/>
              <w:rPr>
                <w:sz w:val="20"/>
                <w:szCs w:val="20"/>
                <w:color w:val="auto"/>
              </w:rPr>
            </w:pPr>
            <w:r>
              <w:rPr>
                <w:rFonts w:ascii="Arial" w:cs="Arial" w:eastAsia="Arial" w:hAnsi="Arial"/>
                <w:sz w:val="16"/>
                <w:szCs w:val="16"/>
                <w:color w:val="auto"/>
              </w:rPr>
              <w:t>nonservice cost component of net periodic benefit cost within other</w:t>
            </w:r>
          </w:p>
        </w:tc>
      </w:tr>
      <w:tr>
        <w:trPr>
          <w:trHeight w:val="202"/>
        </w:trPr>
        <w:tc>
          <w:tcPr>
            <w:tcW w:w="1820" w:type="dxa"/>
            <w:vAlign w:val="bottom"/>
            <w:gridSpan w:val="2"/>
          </w:tcPr>
          <w:p>
            <w:pPr>
              <w:spacing w:after="0"/>
              <w:rPr>
                <w:sz w:val="20"/>
                <w:szCs w:val="20"/>
                <w:color w:val="auto"/>
              </w:rPr>
            </w:pPr>
            <w:r>
              <w:rPr>
                <w:rFonts w:ascii="Arial" w:cs="Arial" w:eastAsia="Arial" w:hAnsi="Arial"/>
                <w:sz w:val="16"/>
                <w:szCs w:val="16"/>
                <w:i w:val="1"/>
                <w:iCs w:val="1"/>
                <w:color w:val="auto"/>
              </w:rPr>
              <w:t>Retirement Benefits</w:t>
            </w:r>
          </w:p>
        </w:tc>
        <w:tc>
          <w:tcPr>
            <w:tcW w:w="3760" w:type="dxa"/>
            <w:vAlign w:val="bottom"/>
          </w:tcPr>
          <w:p>
            <w:pPr>
              <w:spacing w:after="0"/>
              <w:rPr>
                <w:sz w:val="20"/>
                <w:szCs w:val="20"/>
                <w:color w:val="auto"/>
              </w:rPr>
            </w:pPr>
            <w:r>
              <w:rPr>
                <w:rFonts w:ascii="Arial" w:cs="Arial" w:eastAsia="Arial" w:hAnsi="Arial"/>
                <w:sz w:val="16"/>
                <w:szCs w:val="16"/>
                <w:color w:val="auto"/>
              </w:rPr>
              <w:t>net benefit cost. The service cost components are</w:t>
            </w:r>
          </w:p>
        </w:tc>
        <w:tc>
          <w:tcPr>
            <w:tcW w:w="12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5020" w:type="dxa"/>
            <w:vAlign w:val="bottom"/>
            <w:gridSpan w:val="2"/>
          </w:tcPr>
          <w:p>
            <w:pPr>
              <w:ind w:left="120"/>
              <w:spacing w:after="0"/>
              <w:rPr>
                <w:sz w:val="20"/>
                <w:szCs w:val="20"/>
                <w:color w:val="auto"/>
              </w:rPr>
            </w:pPr>
            <w:r>
              <w:rPr>
                <w:rFonts w:ascii="Arial" w:cs="Arial" w:eastAsia="Arial" w:hAnsi="Arial"/>
                <w:sz w:val="16"/>
                <w:szCs w:val="16"/>
                <w:color w:val="auto"/>
                <w:w w:val="91"/>
              </w:rPr>
              <w:t>expense and $0.5 million was reclassified from operating expenses to other</w:t>
            </w:r>
          </w:p>
        </w:tc>
      </w:tr>
      <w:tr>
        <w:trPr>
          <w:trHeight w:val="202"/>
        </w:trPr>
        <w:tc>
          <w:tcPr>
            <w:tcW w:w="1820" w:type="dxa"/>
            <w:vAlign w:val="bottom"/>
            <w:gridSpan w:val="2"/>
          </w:tcPr>
          <w:p>
            <w:pPr>
              <w:spacing w:after="0"/>
              <w:rPr>
                <w:sz w:val="20"/>
                <w:szCs w:val="20"/>
                <w:color w:val="auto"/>
              </w:rPr>
            </w:pPr>
            <w:r>
              <w:rPr>
                <w:rFonts w:ascii="Arial" w:cs="Arial" w:eastAsia="Arial" w:hAnsi="Arial"/>
                <w:sz w:val="16"/>
                <w:szCs w:val="16"/>
                <w:i w:val="1"/>
                <w:iCs w:val="1"/>
                <w:color w:val="auto"/>
              </w:rPr>
              <w:t>(Topic 715) - Improving</w:t>
            </w:r>
          </w:p>
        </w:tc>
        <w:tc>
          <w:tcPr>
            <w:tcW w:w="3760" w:type="dxa"/>
            <w:vAlign w:val="bottom"/>
          </w:tcPr>
          <w:p>
            <w:pPr>
              <w:spacing w:after="0"/>
              <w:rPr>
                <w:sz w:val="20"/>
                <w:szCs w:val="20"/>
                <w:color w:val="auto"/>
              </w:rPr>
            </w:pPr>
            <w:r>
              <w:rPr>
                <w:rFonts w:ascii="Arial" w:cs="Arial" w:eastAsia="Arial" w:hAnsi="Arial"/>
                <w:sz w:val="16"/>
                <w:szCs w:val="16"/>
                <w:color w:val="auto"/>
                <w:w w:val="99"/>
              </w:rPr>
              <w:t>required to be presented in operating income and the</w:t>
            </w:r>
          </w:p>
        </w:tc>
        <w:tc>
          <w:tcPr>
            <w:tcW w:w="12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5020" w:type="dxa"/>
            <w:vAlign w:val="bottom"/>
            <w:gridSpan w:val="2"/>
          </w:tcPr>
          <w:p>
            <w:pPr>
              <w:ind w:left="120"/>
              <w:spacing w:after="0"/>
              <w:rPr>
                <w:sz w:val="20"/>
                <w:szCs w:val="20"/>
                <w:color w:val="auto"/>
              </w:rPr>
            </w:pPr>
            <w:r>
              <w:rPr>
                <w:rFonts w:ascii="Arial" w:cs="Arial" w:eastAsia="Arial" w:hAnsi="Arial"/>
                <w:sz w:val="16"/>
                <w:szCs w:val="16"/>
                <w:color w:val="auto"/>
                <w:w w:val="92"/>
              </w:rPr>
              <w:t>expense for the three months ended March 31, 2017, to conform to current</w:t>
            </w:r>
          </w:p>
        </w:tc>
      </w:tr>
      <w:tr>
        <w:trPr>
          <w:trHeight w:val="202"/>
        </w:trPr>
        <w:tc>
          <w:tcPr>
            <w:tcW w:w="1820" w:type="dxa"/>
            <w:vAlign w:val="bottom"/>
            <w:gridSpan w:val="2"/>
          </w:tcPr>
          <w:p>
            <w:pPr>
              <w:spacing w:after="0"/>
              <w:rPr>
                <w:sz w:val="20"/>
                <w:szCs w:val="20"/>
                <w:color w:val="auto"/>
              </w:rPr>
            </w:pPr>
            <w:r>
              <w:rPr>
                <w:rFonts w:ascii="Arial" w:cs="Arial" w:eastAsia="Arial" w:hAnsi="Arial"/>
                <w:sz w:val="16"/>
                <w:szCs w:val="16"/>
                <w:i w:val="1"/>
                <w:iCs w:val="1"/>
                <w:color w:val="auto"/>
              </w:rPr>
              <w:t>the Presentation of Net</w:t>
            </w:r>
          </w:p>
        </w:tc>
        <w:tc>
          <w:tcPr>
            <w:tcW w:w="3760" w:type="dxa"/>
            <w:vAlign w:val="bottom"/>
          </w:tcPr>
          <w:p>
            <w:pPr>
              <w:spacing w:after="0"/>
              <w:rPr>
                <w:sz w:val="20"/>
                <w:szCs w:val="20"/>
                <w:color w:val="auto"/>
              </w:rPr>
            </w:pPr>
            <w:r>
              <w:rPr>
                <w:rFonts w:ascii="Arial" w:cs="Arial" w:eastAsia="Arial" w:hAnsi="Arial"/>
                <w:sz w:val="16"/>
                <w:szCs w:val="16"/>
                <w:color w:val="auto"/>
                <w:w w:val="95"/>
              </w:rPr>
              <w:t>other components of net benefit cost are required to be</w:t>
            </w:r>
          </w:p>
        </w:tc>
        <w:tc>
          <w:tcPr>
            <w:tcW w:w="12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5020" w:type="dxa"/>
            <w:vAlign w:val="bottom"/>
            <w:gridSpan w:val="2"/>
          </w:tcPr>
          <w:p>
            <w:pPr>
              <w:ind w:left="120"/>
              <w:spacing w:after="0"/>
              <w:rPr>
                <w:sz w:val="20"/>
                <w:szCs w:val="20"/>
                <w:color w:val="auto"/>
              </w:rPr>
            </w:pPr>
            <w:r>
              <w:rPr>
                <w:rFonts w:ascii="Arial" w:cs="Arial" w:eastAsia="Arial" w:hAnsi="Arial"/>
                <w:sz w:val="16"/>
                <w:szCs w:val="16"/>
                <w:color w:val="auto"/>
                <w:w w:val="94"/>
              </w:rPr>
              <w:t>period presentation. See below for additional details on the impact of this</w:t>
            </w:r>
          </w:p>
        </w:tc>
      </w:tr>
      <w:tr>
        <w:trPr>
          <w:trHeight w:val="202"/>
        </w:trPr>
        <w:tc>
          <w:tcPr>
            <w:tcW w:w="1820" w:type="dxa"/>
            <w:vAlign w:val="bottom"/>
            <w:gridSpan w:val="2"/>
          </w:tcPr>
          <w:p>
            <w:pPr>
              <w:spacing w:after="0"/>
              <w:rPr>
                <w:sz w:val="20"/>
                <w:szCs w:val="20"/>
                <w:color w:val="auto"/>
              </w:rPr>
            </w:pPr>
            <w:r>
              <w:rPr>
                <w:rFonts w:ascii="Arial" w:cs="Arial" w:eastAsia="Arial" w:hAnsi="Arial"/>
                <w:sz w:val="16"/>
                <w:szCs w:val="16"/>
                <w:i w:val="1"/>
                <w:iCs w:val="1"/>
                <w:color w:val="auto"/>
              </w:rPr>
              <w:t>Periodic Pension</w:t>
            </w:r>
          </w:p>
        </w:tc>
        <w:tc>
          <w:tcPr>
            <w:tcW w:w="3760" w:type="dxa"/>
            <w:vAlign w:val="bottom"/>
          </w:tcPr>
          <w:p>
            <w:pPr>
              <w:spacing w:after="0"/>
              <w:rPr>
                <w:sz w:val="20"/>
                <w:szCs w:val="20"/>
                <w:color w:val="auto"/>
              </w:rPr>
            </w:pPr>
            <w:r>
              <w:rPr>
                <w:rFonts w:ascii="Arial" w:cs="Arial" w:eastAsia="Arial" w:hAnsi="Arial"/>
                <w:sz w:val="16"/>
                <w:szCs w:val="16"/>
                <w:color w:val="auto"/>
              </w:rPr>
              <w:t>presented outside of operating income.</w:t>
            </w:r>
          </w:p>
        </w:tc>
        <w:tc>
          <w:tcPr>
            <w:tcW w:w="12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5020" w:type="dxa"/>
            <w:vAlign w:val="bottom"/>
            <w:gridSpan w:val="2"/>
          </w:tcPr>
          <w:p>
            <w:pPr>
              <w:ind w:left="120"/>
              <w:spacing w:after="0"/>
              <w:rPr>
                <w:sz w:val="20"/>
                <w:szCs w:val="20"/>
                <w:color w:val="auto"/>
              </w:rPr>
            </w:pPr>
            <w:r>
              <w:rPr>
                <w:rFonts w:ascii="Arial" w:cs="Arial" w:eastAsia="Arial" w:hAnsi="Arial"/>
                <w:sz w:val="16"/>
                <w:szCs w:val="16"/>
                <w:color w:val="auto"/>
              </w:rPr>
              <w:t>adoption on our results of operations.</w:t>
            </w:r>
          </w:p>
        </w:tc>
      </w:tr>
      <w:tr>
        <w:trPr>
          <w:trHeight w:val="202"/>
        </w:trPr>
        <w:tc>
          <w:tcPr>
            <w:tcW w:w="1820" w:type="dxa"/>
            <w:vAlign w:val="bottom"/>
            <w:gridSpan w:val="2"/>
          </w:tcPr>
          <w:p>
            <w:pPr>
              <w:spacing w:after="0"/>
              <w:rPr>
                <w:sz w:val="20"/>
                <w:szCs w:val="20"/>
                <w:color w:val="auto"/>
              </w:rPr>
            </w:pPr>
            <w:r>
              <w:rPr>
                <w:rFonts w:ascii="Arial" w:cs="Arial" w:eastAsia="Arial" w:hAnsi="Arial"/>
                <w:sz w:val="16"/>
                <w:szCs w:val="16"/>
                <w:i w:val="1"/>
                <w:iCs w:val="1"/>
                <w:color w:val="auto"/>
              </w:rPr>
              <w:t>Cost and Net Periodic</w:t>
            </w:r>
          </w:p>
        </w:tc>
        <w:tc>
          <w:tcPr>
            <w:tcW w:w="37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4900" w:type="dxa"/>
            <w:vAlign w:val="bottom"/>
          </w:tcPr>
          <w:p>
            <w:pPr>
              <w:spacing w:after="0"/>
              <w:rPr>
                <w:sz w:val="17"/>
                <w:szCs w:val="17"/>
                <w:color w:val="auto"/>
              </w:rPr>
            </w:pPr>
          </w:p>
        </w:tc>
      </w:tr>
      <w:tr>
        <w:trPr>
          <w:trHeight w:val="202"/>
        </w:trPr>
        <w:tc>
          <w:tcPr>
            <w:tcW w:w="1820" w:type="dxa"/>
            <w:vAlign w:val="bottom"/>
            <w:gridSpan w:val="2"/>
          </w:tcPr>
          <w:p>
            <w:pPr>
              <w:spacing w:after="0"/>
              <w:rPr>
                <w:sz w:val="20"/>
                <w:szCs w:val="20"/>
                <w:color w:val="auto"/>
              </w:rPr>
            </w:pPr>
            <w:r>
              <w:rPr>
                <w:rFonts w:ascii="Arial" w:cs="Arial" w:eastAsia="Arial" w:hAnsi="Arial"/>
                <w:sz w:val="16"/>
                <w:szCs w:val="16"/>
                <w:i w:val="1"/>
                <w:iCs w:val="1"/>
                <w:color w:val="auto"/>
              </w:rPr>
              <w:t>Postretirement Benefit</w:t>
            </w:r>
          </w:p>
        </w:tc>
        <w:tc>
          <w:tcPr>
            <w:tcW w:w="37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4900" w:type="dxa"/>
            <w:vAlign w:val="bottom"/>
          </w:tcPr>
          <w:p>
            <w:pPr>
              <w:spacing w:after="0"/>
              <w:rPr>
                <w:sz w:val="17"/>
                <w:szCs w:val="17"/>
                <w:color w:val="auto"/>
              </w:rPr>
            </w:pPr>
          </w:p>
        </w:tc>
      </w:tr>
      <w:tr>
        <w:trPr>
          <w:trHeight w:val="209"/>
        </w:trPr>
        <w:tc>
          <w:tcPr>
            <w:tcW w:w="1700" w:type="dxa"/>
            <w:vAlign w:val="bottom"/>
            <w:tcBorders>
              <w:bottom w:val="single" w:sz="8" w:color="auto"/>
            </w:tcBorders>
          </w:tcPr>
          <w:p>
            <w:pPr>
              <w:spacing w:after="0"/>
              <w:rPr>
                <w:sz w:val="20"/>
                <w:szCs w:val="20"/>
                <w:color w:val="auto"/>
              </w:rPr>
            </w:pPr>
            <w:r>
              <w:rPr>
                <w:rFonts w:ascii="Arial" w:cs="Arial" w:eastAsia="Arial" w:hAnsi="Arial"/>
                <w:sz w:val="16"/>
                <w:szCs w:val="16"/>
                <w:i w:val="1"/>
                <w:iCs w:val="1"/>
                <w:color w:val="auto"/>
              </w:rPr>
              <w:t>Cost</w:t>
            </w:r>
          </w:p>
        </w:tc>
        <w:tc>
          <w:tcPr>
            <w:tcW w:w="120" w:type="dxa"/>
            <w:vAlign w:val="bottom"/>
            <w:tcBorders>
              <w:bottom w:val="single" w:sz="8" w:color="CFF0FC"/>
            </w:tcBorders>
          </w:tcPr>
          <w:p>
            <w:pPr>
              <w:spacing w:after="0"/>
              <w:rPr>
                <w:sz w:val="18"/>
                <w:szCs w:val="18"/>
                <w:color w:val="auto"/>
              </w:rPr>
            </w:pPr>
          </w:p>
        </w:tc>
        <w:tc>
          <w:tcPr>
            <w:tcW w:w="3760" w:type="dxa"/>
            <w:vAlign w:val="bottom"/>
            <w:tcBorders>
              <w:bottom w:val="single" w:sz="8" w:color="auto"/>
            </w:tcBorders>
          </w:tcPr>
          <w:p>
            <w:pPr>
              <w:spacing w:after="0"/>
              <w:rPr>
                <w:sz w:val="18"/>
                <w:szCs w:val="18"/>
                <w:color w:val="auto"/>
              </w:rPr>
            </w:pPr>
          </w:p>
        </w:tc>
        <w:tc>
          <w:tcPr>
            <w:tcW w:w="120" w:type="dxa"/>
            <w:vAlign w:val="bottom"/>
            <w:tcBorders>
              <w:bottom w:val="single" w:sz="8" w:color="CFF0FC"/>
            </w:tcBorders>
          </w:tcPr>
          <w:p>
            <w:pPr>
              <w:spacing w:after="0"/>
              <w:rPr>
                <w:sz w:val="18"/>
                <w:szCs w:val="18"/>
                <w:color w:val="auto"/>
              </w:rPr>
            </w:pPr>
          </w:p>
        </w:tc>
        <w:tc>
          <w:tcPr>
            <w:tcW w:w="700" w:type="dxa"/>
            <w:vAlign w:val="bottom"/>
            <w:tcBorders>
              <w:bottom w:val="single" w:sz="8" w:color="auto"/>
            </w:tcBorders>
          </w:tcPr>
          <w:p>
            <w:pPr>
              <w:spacing w:after="0"/>
              <w:rPr>
                <w:sz w:val="18"/>
                <w:szCs w:val="18"/>
                <w:color w:val="auto"/>
              </w:rPr>
            </w:pPr>
          </w:p>
        </w:tc>
        <w:tc>
          <w:tcPr>
            <w:tcW w:w="120" w:type="dxa"/>
            <w:vAlign w:val="bottom"/>
            <w:tcBorders>
              <w:bottom w:val="single" w:sz="8" w:color="CFF0FC"/>
            </w:tcBorders>
          </w:tcPr>
          <w:p>
            <w:pPr>
              <w:spacing w:after="0"/>
              <w:rPr>
                <w:sz w:val="18"/>
                <w:szCs w:val="18"/>
                <w:color w:val="auto"/>
              </w:rPr>
            </w:pPr>
          </w:p>
        </w:tc>
        <w:tc>
          <w:tcPr>
            <w:tcW w:w="4900" w:type="dxa"/>
            <w:vAlign w:val="bottom"/>
            <w:tcBorders>
              <w:bottom w:val="single" w:sz="8" w:color="auto"/>
            </w:tcBorders>
          </w:tcPr>
          <w:p>
            <w:pPr>
              <w:spacing w:after="0"/>
              <w:rPr>
                <w:sz w:val="18"/>
                <w:szCs w:val="18"/>
                <w:color w:val="auto"/>
              </w:rPr>
            </w:pPr>
          </w:p>
        </w:tc>
      </w:tr>
      <w:tr>
        <w:trPr>
          <w:trHeight w:val="202"/>
        </w:trPr>
        <w:tc>
          <w:tcPr>
            <w:tcW w:w="1700" w:type="dxa"/>
            <w:vAlign w:val="bottom"/>
            <w:shd w:val="clear" w:color="auto" w:fill="CFF0FC"/>
          </w:tcPr>
          <w:p>
            <w:pPr>
              <w:spacing w:after="0"/>
              <w:rPr>
                <w:sz w:val="20"/>
                <w:szCs w:val="20"/>
                <w:color w:val="auto"/>
              </w:rPr>
            </w:pPr>
            <w:r>
              <w:rPr>
                <w:rFonts w:ascii="Arial" w:cs="Arial" w:eastAsia="Arial" w:hAnsi="Arial"/>
                <w:sz w:val="16"/>
                <w:szCs w:val="16"/>
                <w:b w:val="1"/>
                <w:bCs w:val="1"/>
                <w:color w:val="auto"/>
              </w:rPr>
              <w:t>ASU 2018-05</w:t>
            </w:r>
            <w:r>
              <w:rPr>
                <w:rFonts w:ascii="Arial" w:cs="Arial" w:eastAsia="Arial" w:hAnsi="Arial"/>
                <w:sz w:val="16"/>
                <w:szCs w:val="16"/>
                <w:color w:val="auto"/>
              </w:rPr>
              <w:t>,</w:t>
            </w:r>
            <w:r>
              <w:rPr>
                <w:rFonts w:ascii="Arial" w:cs="Arial" w:eastAsia="Arial" w:hAnsi="Arial"/>
                <w:sz w:val="16"/>
                <w:szCs w:val="16"/>
                <w:b w:val="1"/>
                <w:bCs w:val="1"/>
                <w:color w:val="auto"/>
              </w:rPr>
              <w:t xml:space="preserve"> </w:t>
            </w:r>
            <w:r>
              <w:rPr>
                <w:rFonts w:ascii="Arial" w:cs="Arial" w:eastAsia="Arial" w:hAnsi="Arial"/>
                <w:sz w:val="16"/>
                <w:szCs w:val="16"/>
                <w:i w:val="1"/>
                <w:iCs w:val="1"/>
                <w:color w:val="auto"/>
              </w:rPr>
              <w:t>Income</w:t>
            </w:r>
          </w:p>
        </w:tc>
        <w:tc>
          <w:tcPr>
            <w:tcW w:w="120" w:type="dxa"/>
            <w:vAlign w:val="bottom"/>
            <w:shd w:val="clear" w:color="auto" w:fill="CFF0FC"/>
          </w:tcPr>
          <w:p>
            <w:pPr>
              <w:spacing w:after="0"/>
              <w:rPr>
                <w:sz w:val="17"/>
                <w:szCs w:val="17"/>
                <w:color w:val="auto"/>
              </w:rPr>
            </w:pPr>
          </w:p>
        </w:tc>
        <w:tc>
          <w:tcPr>
            <w:tcW w:w="3760" w:type="dxa"/>
            <w:vAlign w:val="bottom"/>
            <w:shd w:val="clear" w:color="auto" w:fill="CFF0FC"/>
          </w:tcPr>
          <w:p>
            <w:pPr>
              <w:spacing w:after="0"/>
              <w:rPr>
                <w:sz w:val="20"/>
                <w:szCs w:val="20"/>
                <w:color w:val="auto"/>
              </w:rPr>
            </w:pPr>
            <w:r>
              <w:rPr>
                <w:rFonts w:ascii="Arial" w:cs="Arial" w:eastAsia="Arial" w:hAnsi="Arial"/>
                <w:sz w:val="16"/>
                <w:szCs w:val="16"/>
                <w:color w:val="auto"/>
                <w:w w:val="92"/>
              </w:rPr>
              <w:t>This amends ASC 740 to incorporate the requirements of</w:t>
            </w:r>
          </w:p>
        </w:tc>
        <w:tc>
          <w:tcPr>
            <w:tcW w:w="820" w:type="dxa"/>
            <w:vAlign w:val="bottom"/>
            <w:gridSpan w:val="2"/>
            <w:shd w:val="clear" w:color="auto" w:fill="CFF0FC"/>
          </w:tcPr>
          <w:p>
            <w:pPr>
              <w:ind w:left="120"/>
              <w:spacing w:after="0"/>
              <w:rPr>
                <w:sz w:val="20"/>
                <w:szCs w:val="20"/>
                <w:color w:val="auto"/>
              </w:rPr>
            </w:pPr>
            <w:r>
              <w:rPr>
                <w:rFonts w:ascii="Arial" w:cs="Arial" w:eastAsia="Arial" w:hAnsi="Arial"/>
                <w:sz w:val="16"/>
                <w:szCs w:val="16"/>
                <w:color w:val="auto"/>
              </w:rPr>
              <w:t>Upon</w:t>
            </w:r>
          </w:p>
        </w:tc>
        <w:tc>
          <w:tcPr>
            <w:tcW w:w="5020" w:type="dxa"/>
            <w:vAlign w:val="bottom"/>
            <w:gridSpan w:val="2"/>
            <w:shd w:val="clear" w:color="auto" w:fill="CFF0FC"/>
          </w:tcPr>
          <w:p>
            <w:pPr>
              <w:ind w:left="120"/>
              <w:spacing w:after="0"/>
              <w:rPr>
                <w:sz w:val="20"/>
                <w:szCs w:val="20"/>
                <w:color w:val="auto"/>
              </w:rPr>
            </w:pPr>
            <w:r>
              <w:rPr>
                <w:rFonts w:ascii="Arial" w:cs="Arial" w:eastAsia="Arial" w:hAnsi="Arial"/>
                <w:sz w:val="16"/>
                <w:szCs w:val="16"/>
                <w:color w:val="auto"/>
                <w:w w:val="99"/>
              </w:rPr>
              <w:t>We recognized the provisional tax impacts of the Tax Act in the fourth</w:t>
            </w:r>
          </w:p>
        </w:tc>
      </w:tr>
      <w:tr>
        <w:trPr>
          <w:trHeight w:val="202"/>
        </w:trPr>
        <w:tc>
          <w:tcPr>
            <w:tcW w:w="1820" w:type="dxa"/>
            <w:vAlign w:val="bottom"/>
            <w:gridSpan w:val="2"/>
            <w:shd w:val="clear" w:color="auto" w:fill="CFF0FC"/>
          </w:tcPr>
          <w:p>
            <w:pPr>
              <w:spacing w:after="0"/>
              <w:rPr>
                <w:sz w:val="20"/>
                <w:szCs w:val="20"/>
                <w:color w:val="auto"/>
              </w:rPr>
            </w:pPr>
            <w:r>
              <w:rPr>
                <w:rFonts w:ascii="Arial" w:cs="Arial" w:eastAsia="Arial" w:hAnsi="Arial"/>
                <w:sz w:val="16"/>
                <w:szCs w:val="16"/>
                <w:i w:val="1"/>
                <w:iCs w:val="1"/>
                <w:color w:val="auto"/>
              </w:rPr>
              <w:t>Taxes (Topic 740)—</w:t>
            </w:r>
          </w:p>
        </w:tc>
        <w:tc>
          <w:tcPr>
            <w:tcW w:w="3760" w:type="dxa"/>
            <w:vAlign w:val="bottom"/>
            <w:shd w:val="clear" w:color="auto" w:fill="CFF0FC"/>
          </w:tcPr>
          <w:p>
            <w:pPr>
              <w:spacing w:after="0"/>
              <w:rPr>
                <w:sz w:val="20"/>
                <w:szCs w:val="20"/>
                <w:color w:val="auto"/>
              </w:rPr>
            </w:pPr>
            <w:r>
              <w:rPr>
                <w:rFonts w:ascii="Arial" w:cs="Arial" w:eastAsia="Arial" w:hAnsi="Arial"/>
                <w:sz w:val="16"/>
                <w:szCs w:val="16"/>
                <w:color w:val="auto"/>
                <w:w w:val="96"/>
              </w:rPr>
              <w:t>SEC Staff Accounting Bulletin No. 118, which provides</w:t>
            </w:r>
          </w:p>
        </w:tc>
        <w:tc>
          <w:tcPr>
            <w:tcW w:w="820" w:type="dxa"/>
            <w:vAlign w:val="bottom"/>
            <w:gridSpan w:val="2"/>
            <w:shd w:val="clear" w:color="auto" w:fill="CFF0FC"/>
          </w:tcPr>
          <w:p>
            <w:pPr>
              <w:ind w:left="120"/>
              <w:spacing w:after="0"/>
              <w:rPr>
                <w:sz w:val="20"/>
                <w:szCs w:val="20"/>
                <w:color w:val="auto"/>
              </w:rPr>
            </w:pPr>
            <w:r>
              <w:rPr>
                <w:rFonts w:ascii="Arial" w:cs="Arial" w:eastAsia="Arial" w:hAnsi="Arial"/>
                <w:sz w:val="16"/>
                <w:szCs w:val="16"/>
                <w:color w:val="auto"/>
              </w:rPr>
              <w:t>issuance</w:t>
            </w:r>
          </w:p>
        </w:tc>
        <w:tc>
          <w:tcPr>
            <w:tcW w:w="5020" w:type="dxa"/>
            <w:vAlign w:val="bottom"/>
            <w:gridSpan w:val="2"/>
            <w:shd w:val="clear" w:color="auto" w:fill="CFF0FC"/>
          </w:tcPr>
          <w:p>
            <w:pPr>
              <w:ind w:left="120"/>
              <w:spacing w:after="0"/>
              <w:rPr>
                <w:sz w:val="20"/>
                <w:szCs w:val="20"/>
                <w:color w:val="auto"/>
              </w:rPr>
            </w:pPr>
            <w:r>
              <w:rPr>
                <w:rFonts w:ascii="Arial" w:cs="Arial" w:eastAsia="Arial" w:hAnsi="Arial"/>
                <w:sz w:val="16"/>
                <w:szCs w:val="16"/>
                <w:color w:val="auto"/>
                <w:w w:val="97"/>
              </w:rPr>
              <w:t>quarter of 2017. During the first quarter of 2018, we did not receive any</w:t>
            </w:r>
          </w:p>
        </w:tc>
      </w:tr>
      <w:tr>
        <w:trPr>
          <w:trHeight w:val="202"/>
        </w:trPr>
        <w:tc>
          <w:tcPr>
            <w:tcW w:w="1820" w:type="dxa"/>
            <w:vAlign w:val="bottom"/>
            <w:gridSpan w:val="2"/>
            <w:shd w:val="clear" w:color="auto" w:fill="CFF0FC"/>
          </w:tcPr>
          <w:p>
            <w:pPr>
              <w:spacing w:after="0"/>
              <w:rPr>
                <w:sz w:val="20"/>
                <w:szCs w:val="20"/>
                <w:color w:val="auto"/>
              </w:rPr>
            </w:pPr>
            <w:r>
              <w:rPr>
                <w:rFonts w:ascii="Arial" w:cs="Arial" w:eastAsia="Arial" w:hAnsi="Arial"/>
                <w:sz w:val="16"/>
                <w:szCs w:val="16"/>
                <w:i w:val="1"/>
                <w:iCs w:val="1"/>
                <w:color w:val="auto"/>
              </w:rPr>
              <w:t>Amendments to SEC</w:t>
            </w:r>
          </w:p>
        </w:tc>
        <w:tc>
          <w:tcPr>
            <w:tcW w:w="3760" w:type="dxa"/>
            <w:vAlign w:val="bottom"/>
            <w:shd w:val="clear" w:color="auto" w:fill="CFF0FC"/>
          </w:tcPr>
          <w:p>
            <w:pPr>
              <w:spacing w:after="0"/>
              <w:rPr>
                <w:sz w:val="20"/>
                <w:szCs w:val="20"/>
                <w:color w:val="auto"/>
              </w:rPr>
            </w:pPr>
            <w:r>
              <w:rPr>
                <w:rFonts w:ascii="Arial" w:cs="Arial" w:eastAsia="Arial" w:hAnsi="Arial"/>
                <w:sz w:val="16"/>
                <w:szCs w:val="16"/>
                <w:color w:val="auto"/>
                <w:w w:val="93"/>
              </w:rPr>
              <w:t>guidance on accounting for the tax effects of the Tax Act</w:t>
            </w:r>
          </w:p>
        </w:tc>
        <w:tc>
          <w:tcPr>
            <w:tcW w:w="120" w:type="dxa"/>
            <w:vAlign w:val="bottom"/>
            <w:shd w:val="clear" w:color="auto" w:fill="CFF0FC"/>
          </w:tcPr>
          <w:p>
            <w:pPr>
              <w:spacing w:after="0"/>
              <w:rPr>
                <w:sz w:val="17"/>
                <w:szCs w:val="17"/>
                <w:color w:val="auto"/>
              </w:rPr>
            </w:pPr>
          </w:p>
        </w:tc>
        <w:tc>
          <w:tcPr>
            <w:tcW w:w="700" w:type="dxa"/>
            <w:vAlign w:val="bottom"/>
            <w:shd w:val="clear" w:color="auto" w:fill="CFF0FC"/>
          </w:tcPr>
          <w:p>
            <w:pPr>
              <w:spacing w:after="0"/>
              <w:rPr>
                <w:sz w:val="17"/>
                <w:szCs w:val="17"/>
                <w:color w:val="auto"/>
              </w:rPr>
            </w:pPr>
          </w:p>
        </w:tc>
        <w:tc>
          <w:tcPr>
            <w:tcW w:w="5020" w:type="dxa"/>
            <w:vAlign w:val="bottom"/>
            <w:gridSpan w:val="2"/>
            <w:shd w:val="clear" w:color="auto" w:fill="CFF0FC"/>
          </w:tcPr>
          <w:p>
            <w:pPr>
              <w:ind w:left="120"/>
              <w:spacing w:after="0"/>
              <w:rPr>
                <w:sz w:val="20"/>
                <w:szCs w:val="20"/>
                <w:color w:val="auto"/>
              </w:rPr>
            </w:pPr>
            <w:r>
              <w:rPr>
                <w:rFonts w:ascii="Arial" w:cs="Arial" w:eastAsia="Arial" w:hAnsi="Arial"/>
                <w:sz w:val="16"/>
                <w:szCs w:val="16"/>
                <w:color w:val="auto"/>
                <w:w w:val="92"/>
              </w:rPr>
              <w:t>additional information regarding these provisional calculations. As a result,</w:t>
            </w:r>
          </w:p>
        </w:tc>
      </w:tr>
      <w:tr>
        <w:trPr>
          <w:trHeight w:val="202"/>
        </w:trPr>
        <w:tc>
          <w:tcPr>
            <w:tcW w:w="1820" w:type="dxa"/>
            <w:vAlign w:val="bottom"/>
            <w:gridSpan w:val="2"/>
            <w:shd w:val="clear" w:color="auto" w:fill="CFF0FC"/>
          </w:tcPr>
          <w:p>
            <w:pPr>
              <w:spacing w:after="0"/>
              <w:rPr>
                <w:sz w:val="20"/>
                <w:szCs w:val="20"/>
                <w:color w:val="auto"/>
              </w:rPr>
            </w:pPr>
            <w:r>
              <w:rPr>
                <w:rFonts w:ascii="Arial" w:cs="Arial" w:eastAsia="Arial" w:hAnsi="Arial"/>
                <w:sz w:val="16"/>
                <w:szCs w:val="16"/>
                <w:i w:val="1"/>
                <w:iCs w:val="1"/>
                <w:color w:val="auto"/>
              </w:rPr>
              <w:t>paragraphs pursuant to</w:t>
            </w:r>
          </w:p>
        </w:tc>
        <w:tc>
          <w:tcPr>
            <w:tcW w:w="3760" w:type="dxa"/>
            <w:vAlign w:val="bottom"/>
            <w:shd w:val="clear" w:color="auto" w:fill="CFF0FC"/>
          </w:tcPr>
          <w:p>
            <w:pPr>
              <w:spacing w:after="0"/>
              <w:rPr>
                <w:sz w:val="20"/>
                <w:szCs w:val="20"/>
                <w:color w:val="auto"/>
              </w:rPr>
            </w:pPr>
            <w:r>
              <w:rPr>
                <w:rFonts w:ascii="Arial" w:cs="Arial" w:eastAsia="Arial" w:hAnsi="Arial"/>
                <w:sz w:val="16"/>
                <w:szCs w:val="16"/>
                <w:color w:val="auto"/>
              </w:rPr>
              <w:t>for SEC registrants who do not have the necessary</w:t>
            </w:r>
          </w:p>
        </w:tc>
        <w:tc>
          <w:tcPr>
            <w:tcW w:w="120" w:type="dxa"/>
            <w:vAlign w:val="bottom"/>
            <w:shd w:val="clear" w:color="auto" w:fill="CFF0FC"/>
          </w:tcPr>
          <w:p>
            <w:pPr>
              <w:spacing w:after="0"/>
              <w:rPr>
                <w:sz w:val="17"/>
                <w:szCs w:val="17"/>
                <w:color w:val="auto"/>
              </w:rPr>
            </w:pPr>
          </w:p>
        </w:tc>
        <w:tc>
          <w:tcPr>
            <w:tcW w:w="700" w:type="dxa"/>
            <w:vAlign w:val="bottom"/>
            <w:shd w:val="clear" w:color="auto" w:fill="CFF0FC"/>
          </w:tcPr>
          <w:p>
            <w:pPr>
              <w:spacing w:after="0"/>
              <w:rPr>
                <w:sz w:val="17"/>
                <w:szCs w:val="17"/>
                <w:color w:val="auto"/>
              </w:rPr>
            </w:pPr>
          </w:p>
        </w:tc>
        <w:tc>
          <w:tcPr>
            <w:tcW w:w="5020" w:type="dxa"/>
            <w:vAlign w:val="bottom"/>
            <w:gridSpan w:val="2"/>
            <w:shd w:val="clear" w:color="auto" w:fill="CFF0FC"/>
          </w:tcPr>
          <w:p>
            <w:pPr>
              <w:ind w:left="120"/>
              <w:spacing w:after="0"/>
              <w:rPr>
                <w:sz w:val="20"/>
                <w:szCs w:val="20"/>
                <w:color w:val="auto"/>
              </w:rPr>
            </w:pPr>
            <w:r>
              <w:rPr>
                <w:rFonts w:ascii="Arial" w:cs="Arial" w:eastAsia="Arial" w:hAnsi="Arial"/>
                <w:sz w:val="16"/>
                <w:szCs w:val="16"/>
                <w:color w:val="auto"/>
                <w:w w:val="99"/>
              </w:rPr>
              <w:t>we continue to anticipate finalizing our analysis in connection with the</w:t>
            </w:r>
          </w:p>
        </w:tc>
      </w:tr>
      <w:tr>
        <w:trPr>
          <w:trHeight w:val="202"/>
        </w:trPr>
        <w:tc>
          <w:tcPr>
            <w:tcW w:w="1820" w:type="dxa"/>
            <w:vAlign w:val="bottom"/>
            <w:gridSpan w:val="2"/>
            <w:shd w:val="clear" w:color="auto" w:fill="CFF0FC"/>
          </w:tcPr>
          <w:p>
            <w:pPr>
              <w:spacing w:after="0"/>
              <w:rPr>
                <w:sz w:val="20"/>
                <w:szCs w:val="20"/>
                <w:color w:val="auto"/>
              </w:rPr>
            </w:pPr>
            <w:r>
              <w:rPr>
                <w:rFonts w:ascii="Arial" w:cs="Arial" w:eastAsia="Arial" w:hAnsi="Arial"/>
                <w:sz w:val="16"/>
                <w:szCs w:val="16"/>
                <w:i w:val="1"/>
                <w:iCs w:val="1"/>
                <w:color w:val="auto"/>
              </w:rPr>
              <w:t>SEC Staff Accounting</w:t>
            </w:r>
          </w:p>
        </w:tc>
        <w:tc>
          <w:tcPr>
            <w:tcW w:w="3760" w:type="dxa"/>
            <w:vAlign w:val="bottom"/>
            <w:shd w:val="clear" w:color="auto" w:fill="CFF0FC"/>
          </w:tcPr>
          <w:p>
            <w:pPr>
              <w:spacing w:after="0"/>
              <w:rPr>
                <w:sz w:val="20"/>
                <w:szCs w:val="20"/>
                <w:color w:val="auto"/>
              </w:rPr>
            </w:pPr>
            <w:r>
              <w:rPr>
                <w:rFonts w:ascii="Arial" w:cs="Arial" w:eastAsia="Arial" w:hAnsi="Arial"/>
                <w:sz w:val="16"/>
                <w:szCs w:val="16"/>
                <w:color w:val="auto"/>
              </w:rPr>
              <w:t>information available, prepared, or analyzed in</w:t>
            </w:r>
          </w:p>
        </w:tc>
        <w:tc>
          <w:tcPr>
            <w:tcW w:w="120" w:type="dxa"/>
            <w:vAlign w:val="bottom"/>
            <w:shd w:val="clear" w:color="auto" w:fill="CFF0FC"/>
          </w:tcPr>
          <w:p>
            <w:pPr>
              <w:spacing w:after="0"/>
              <w:rPr>
                <w:sz w:val="17"/>
                <w:szCs w:val="17"/>
                <w:color w:val="auto"/>
              </w:rPr>
            </w:pPr>
          </w:p>
        </w:tc>
        <w:tc>
          <w:tcPr>
            <w:tcW w:w="700" w:type="dxa"/>
            <w:vAlign w:val="bottom"/>
            <w:shd w:val="clear" w:color="auto" w:fill="CFF0FC"/>
          </w:tcPr>
          <w:p>
            <w:pPr>
              <w:spacing w:after="0"/>
              <w:rPr>
                <w:sz w:val="17"/>
                <w:szCs w:val="17"/>
                <w:color w:val="auto"/>
              </w:rPr>
            </w:pPr>
          </w:p>
        </w:tc>
        <w:tc>
          <w:tcPr>
            <w:tcW w:w="5020" w:type="dxa"/>
            <w:vAlign w:val="bottom"/>
            <w:gridSpan w:val="2"/>
            <w:shd w:val="clear" w:color="auto" w:fill="CFF0FC"/>
          </w:tcPr>
          <w:p>
            <w:pPr>
              <w:ind w:left="120"/>
              <w:spacing w:after="0"/>
              <w:rPr>
                <w:sz w:val="20"/>
                <w:szCs w:val="20"/>
                <w:color w:val="auto"/>
              </w:rPr>
            </w:pPr>
            <w:r>
              <w:rPr>
                <w:rFonts w:ascii="Arial" w:cs="Arial" w:eastAsia="Arial" w:hAnsi="Arial"/>
                <w:sz w:val="16"/>
                <w:szCs w:val="16"/>
                <w:color w:val="auto"/>
                <w:w w:val="94"/>
              </w:rPr>
              <w:t>completion of our tax return for 2017 to be filed in 2018. Refer to Note 16</w:t>
            </w:r>
          </w:p>
        </w:tc>
      </w:tr>
      <w:tr>
        <w:trPr>
          <w:trHeight w:val="202"/>
        </w:trPr>
        <w:tc>
          <w:tcPr>
            <w:tcW w:w="1820" w:type="dxa"/>
            <w:vAlign w:val="bottom"/>
            <w:gridSpan w:val="2"/>
            <w:shd w:val="clear" w:color="auto" w:fill="CFF0FC"/>
          </w:tcPr>
          <w:p>
            <w:pPr>
              <w:spacing w:after="0"/>
              <w:rPr>
                <w:sz w:val="20"/>
                <w:szCs w:val="20"/>
                <w:color w:val="auto"/>
              </w:rPr>
            </w:pPr>
            <w:r>
              <w:rPr>
                <w:rFonts w:ascii="Arial" w:cs="Arial" w:eastAsia="Arial" w:hAnsi="Arial"/>
                <w:sz w:val="16"/>
                <w:szCs w:val="16"/>
                <w:i w:val="1"/>
                <w:iCs w:val="1"/>
                <w:color w:val="auto"/>
              </w:rPr>
              <w:t>Bulletin No. 118</w:t>
            </w:r>
          </w:p>
        </w:tc>
        <w:tc>
          <w:tcPr>
            <w:tcW w:w="3760" w:type="dxa"/>
            <w:vAlign w:val="bottom"/>
            <w:shd w:val="clear" w:color="auto" w:fill="CFF0FC"/>
          </w:tcPr>
          <w:p>
            <w:pPr>
              <w:spacing w:after="0"/>
              <w:rPr>
                <w:sz w:val="20"/>
                <w:szCs w:val="20"/>
                <w:color w:val="auto"/>
              </w:rPr>
            </w:pPr>
            <w:r>
              <w:rPr>
                <w:rFonts w:ascii="Arial" w:cs="Arial" w:eastAsia="Arial" w:hAnsi="Arial"/>
                <w:sz w:val="16"/>
                <w:szCs w:val="16"/>
                <w:color w:val="auto"/>
                <w:w w:val="95"/>
              </w:rPr>
              <w:t>reasonable detail to complete the accounting for certain</w:t>
            </w:r>
          </w:p>
        </w:tc>
        <w:tc>
          <w:tcPr>
            <w:tcW w:w="120" w:type="dxa"/>
            <w:vAlign w:val="bottom"/>
            <w:shd w:val="clear" w:color="auto" w:fill="CFF0FC"/>
          </w:tcPr>
          <w:p>
            <w:pPr>
              <w:spacing w:after="0"/>
              <w:rPr>
                <w:sz w:val="17"/>
                <w:szCs w:val="17"/>
                <w:color w:val="auto"/>
              </w:rPr>
            </w:pPr>
          </w:p>
        </w:tc>
        <w:tc>
          <w:tcPr>
            <w:tcW w:w="700" w:type="dxa"/>
            <w:vAlign w:val="bottom"/>
            <w:shd w:val="clear" w:color="auto" w:fill="CFF0FC"/>
          </w:tcPr>
          <w:p>
            <w:pPr>
              <w:spacing w:after="0"/>
              <w:rPr>
                <w:sz w:val="17"/>
                <w:szCs w:val="17"/>
                <w:color w:val="auto"/>
              </w:rPr>
            </w:pPr>
          </w:p>
        </w:tc>
        <w:tc>
          <w:tcPr>
            <w:tcW w:w="5020" w:type="dxa"/>
            <w:vAlign w:val="bottom"/>
            <w:gridSpan w:val="2"/>
            <w:shd w:val="clear" w:color="auto" w:fill="CFF0FC"/>
          </w:tcPr>
          <w:p>
            <w:pPr>
              <w:ind w:left="120"/>
              <w:spacing w:after="0"/>
              <w:rPr>
                <w:sz w:val="20"/>
                <w:szCs w:val="20"/>
                <w:color w:val="auto"/>
              </w:rPr>
            </w:pPr>
            <w:r>
              <w:rPr>
                <w:rFonts w:ascii="Arial" w:cs="Arial" w:eastAsia="Arial" w:hAnsi="Arial"/>
                <w:sz w:val="16"/>
                <w:szCs w:val="16"/>
                <w:color w:val="auto"/>
              </w:rPr>
              <w:t>– Income Taxes for additional information.</w:t>
            </w:r>
          </w:p>
        </w:tc>
      </w:tr>
      <w:tr>
        <w:trPr>
          <w:trHeight w:val="209"/>
        </w:trPr>
        <w:tc>
          <w:tcPr>
            <w:tcW w:w="1700" w:type="dxa"/>
            <w:vAlign w:val="bottom"/>
            <w:tcBorders>
              <w:bottom w:val="single" w:sz="8" w:color="auto"/>
            </w:tcBorders>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3760" w:type="dxa"/>
            <w:vAlign w:val="bottom"/>
            <w:tcBorders>
              <w:bottom w:val="single" w:sz="8" w:color="auto"/>
            </w:tcBorders>
            <w:shd w:val="clear" w:color="auto" w:fill="CFF0FC"/>
          </w:tcPr>
          <w:p>
            <w:pPr>
              <w:spacing w:after="0"/>
              <w:rPr>
                <w:sz w:val="20"/>
                <w:szCs w:val="20"/>
                <w:color w:val="auto"/>
              </w:rPr>
            </w:pPr>
            <w:r>
              <w:rPr>
                <w:rFonts w:ascii="Arial" w:cs="Arial" w:eastAsia="Arial" w:hAnsi="Arial"/>
                <w:sz w:val="16"/>
                <w:szCs w:val="16"/>
                <w:color w:val="auto"/>
              </w:rPr>
              <w:t>income tax effects of the Tax Act.</w:t>
            </w:r>
          </w:p>
        </w:tc>
        <w:tc>
          <w:tcPr>
            <w:tcW w:w="120" w:type="dxa"/>
            <w:vAlign w:val="bottom"/>
            <w:shd w:val="clear" w:color="auto" w:fill="CFF0FC"/>
          </w:tcPr>
          <w:p>
            <w:pPr>
              <w:spacing w:after="0"/>
              <w:rPr>
                <w:sz w:val="18"/>
                <w:szCs w:val="18"/>
                <w:color w:val="auto"/>
              </w:rPr>
            </w:pPr>
          </w:p>
        </w:tc>
        <w:tc>
          <w:tcPr>
            <w:tcW w:w="700" w:type="dxa"/>
            <w:vAlign w:val="bottom"/>
            <w:tcBorders>
              <w:bottom w:val="single" w:sz="8" w:color="auto"/>
            </w:tcBorders>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4900" w:type="dxa"/>
            <w:vAlign w:val="bottom"/>
            <w:tcBorders>
              <w:bottom w:val="single" w:sz="8" w:color="auto"/>
            </w:tcBorders>
            <w:shd w:val="clear" w:color="auto" w:fill="CFF0FC"/>
          </w:tcPr>
          <w:p>
            <w:pPr>
              <w:spacing w:after="0"/>
              <w:rPr>
                <w:sz w:val="18"/>
                <w:szCs w:val="18"/>
                <w:color w:val="auto"/>
              </w:rPr>
            </w:pPr>
          </w:p>
        </w:tc>
      </w:tr>
    </w:tbl>
    <w:p>
      <w:pPr>
        <w:spacing w:after="0" w:line="33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69850</wp:posOffset>
            </wp:positionV>
            <wp:extent cx="7289800" cy="4254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1420"/>
          </w:cols>
          <w:pgMar w:left="240" w:top="350" w:right="239" w:bottom="1440" w:gutter="0" w:footer="0" w:header="0"/>
          <w:type w:val="continuous"/>
        </w:sectPr>
      </w:pPr>
    </w:p>
    <w:bookmarkStart w:id="10" w:name="page11"/>
    <w:bookmarkEnd w:id="10"/>
    <w:p>
      <w:pPr>
        <w:spacing w:after="0"/>
        <w:rPr>
          <w:sz w:val="20"/>
          <w:szCs w:val="20"/>
          <w:color w:val="auto"/>
        </w:rPr>
      </w:pPr>
      <w:r>
        <w:rPr>
          <w:rFonts w:ascii="Arial" w:cs="Arial" w:eastAsia="Arial" w:hAnsi="Arial"/>
          <w:sz w:val="17"/>
          <w:szCs w:val="17"/>
          <w:color w:val="auto"/>
        </w:rPr>
        <w:t>Prior to January 1, 2018, we presented revenue in our Condensed Consolidated Statements of Operations in three separate line items as follows:</w:t>
      </w:r>
    </w:p>
    <w:p>
      <w:pPr>
        <w:spacing w:after="0" w:line="320"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5820" w:type="dxa"/>
            <w:vAlign w:val="bottom"/>
            <w:vMerge w:val="restart"/>
          </w:tcPr>
          <w:p>
            <w:pPr>
              <w:spacing w:after="0"/>
              <w:rPr>
                <w:sz w:val="20"/>
                <w:szCs w:val="20"/>
                <w:color w:val="auto"/>
              </w:rPr>
            </w:pPr>
            <w:r>
              <w:rPr>
                <w:rFonts w:ascii="Arial" w:cs="Arial" w:eastAsia="Arial" w:hAnsi="Arial"/>
                <w:sz w:val="18"/>
                <w:szCs w:val="18"/>
                <w:i w:val="1"/>
                <w:iCs w:val="1"/>
                <w:color w:val="auto"/>
              </w:rPr>
              <w:t>(in thousands)</w:t>
            </w:r>
          </w:p>
        </w:tc>
        <w:tc>
          <w:tcPr>
            <w:tcW w:w="358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820" w:type="dxa"/>
            <w:vAlign w:val="bottom"/>
            <w:gridSpan w:val="2"/>
          </w:tcPr>
          <w:p>
            <w:pPr>
              <w:jc w:val="center"/>
              <w:ind w:right="320"/>
              <w:spacing w:after="0"/>
              <w:rPr>
                <w:sz w:val="20"/>
                <w:szCs w:val="20"/>
                <w:color w:val="auto"/>
              </w:rPr>
            </w:pPr>
            <w:r>
              <w:rPr>
                <w:rFonts w:ascii="Arial" w:cs="Arial" w:eastAsia="Arial" w:hAnsi="Arial"/>
                <w:sz w:val="14"/>
                <w:szCs w:val="14"/>
                <w:b w:val="1"/>
                <w:bCs w:val="1"/>
                <w:color w:val="auto"/>
                <w:w w:val="93"/>
              </w:rPr>
              <w:t>Three Months Ended</w:t>
            </w:r>
          </w:p>
        </w:tc>
        <w:tc>
          <w:tcPr>
            <w:tcW w:w="0" w:type="dxa"/>
            <w:vAlign w:val="bottom"/>
          </w:tcPr>
          <w:p>
            <w:pPr>
              <w:spacing w:after="0"/>
              <w:rPr>
                <w:sz w:val="1"/>
                <w:szCs w:val="1"/>
                <w:color w:val="auto"/>
              </w:rPr>
            </w:pPr>
          </w:p>
        </w:tc>
      </w:tr>
      <w:tr>
        <w:trPr>
          <w:trHeight w:val="213"/>
        </w:trPr>
        <w:tc>
          <w:tcPr>
            <w:tcW w:w="5820" w:type="dxa"/>
            <w:vAlign w:val="bottom"/>
            <w:vMerge w:val="continue"/>
          </w:tcPr>
          <w:p>
            <w:pPr>
              <w:spacing w:after="0"/>
              <w:rPr>
                <w:sz w:val="18"/>
                <w:szCs w:val="18"/>
                <w:color w:val="auto"/>
              </w:rPr>
            </w:pPr>
          </w:p>
        </w:tc>
        <w:tc>
          <w:tcPr>
            <w:tcW w:w="35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820" w:type="dxa"/>
            <w:vAlign w:val="bottom"/>
            <w:gridSpan w:val="2"/>
          </w:tcPr>
          <w:p>
            <w:pPr>
              <w:jc w:val="center"/>
              <w:ind w:right="320"/>
              <w:spacing w:after="0"/>
              <w:rPr>
                <w:sz w:val="20"/>
                <w:szCs w:val="20"/>
                <w:color w:val="auto"/>
              </w:rPr>
            </w:pPr>
            <w:r>
              <w:rPr>
                <w:rFonts w:ascii="Arial" w:cs="Arial" w:eastAsia="Arial" w:hAnsi="Arial"/>
                <w:sz w:val="14"/>
                <w:szCs w:val="14"/>
                <w:b w:val="1"/>
                <w:bCs w:val="1"/>
                <w:color w:val="auto"/>
                <w:w w:val="94"/>
              </w:rPr>
              <w:t>March 31, 2017</w:t>
            </w:r>
          </w:p>
        </w:tc>
        <w:tc>
          <w:tcPr>
            <w:tcW w:w="0" w:type="dxa"/>
            <w:vAlign w:val="bottom"/>
          </w:tcPr>
          <w:p>
            <w:pPr>
              <w:spacing w:after="0"/>
              <w:rPr>
                <w:sz w:val="1"/>
                <w:szCs w:val="1"/>
                <w:color w:val="auto"/>
              </w:rPr>
            </w:pPr>
          </w:p>
        </w:tc>
      </w:tr>
      <w:tr>
        <w:trPr>
          <w:trHeight w:val="222"/>
        </w:trPr>
        <w:tc>
          <w:tcPr>
            <w:tcW w:w="582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8"/>
                <w:szCs w:val="18"/>
                <w:b w:val="1"/>
                <w:bCs w:val="1"/>
                <w:color w:val="auto"/>
              </w:rPr>
              <w:t>Revenue:</w:t>
            </w:r>
          </w:p>
        </w:tc>
        <w:tc>
          <w:tcPr>
            <w:tcW w:w="3580" w:type="dxa"/>
            <w:vAlign w:val="bottom"/>
            <w:tcBorders>
              <w:top w:val="single" w:sz="8" w:color="CFF0FC"/>
            </w:tcBorders>
            <w:shd w:val="clear" w:color="auto" w:fill="CFF0FC"/>
          </w:tcPr>
          <w:p>
            <w:pPr>
              <w:spacing w:after="0"/>
              <w:rPr>
                <w:sz w:val="19"/>
                <w:szCs w:val="19"/>
                <w:color w:val="auto"/>
              </w:rPr>
            </w:pPr>
          </w:p>
        </w:tc>
        <w:tc>
          <w:tcPr>
            <w:tcW w:w="200" w:type="dxa"/>
            <w:vAlign w:val="bottom"/>
            <w:tcBorders>
              <w:top w:val="single" w:sz="8" w:color="auto"/>
            </w:tcBorders>
            <w:shd w:val="clear" w:color="auto" w:fill="CFF0FC"/>
          </w:tcPr>
          <w:p>
            <w:pPr>
              <w:spacing w:after="0"/>
              <w:rPr>
                <w:sz w:val="19"/>
                <w:szCs w:val="19"/>
                <w:color w:val="auto"/>
              </w:rPr>
            </w:pPr>
          </w:p>
        </w:tc>
        <w:tc>
          <w:tcPr>
            <w:tcW w:w="1720" w:type="dxa"/>
            <w:vAlign w:val="bottom"/>
            <w:tcBorders>
              <w:top w:val="single" w:sz="8" w:color="auto"/>
            </w:tcBorders>
            <w:shd w:val="clear" w:color="auto" w:fill="CFF0FC"/>
          </w:tcPr>
          <w:p>
            <w:pPr>
              <w:spacing w:after="0"/>
              <w:rPr>
                <w:sz w:val="19"/>
                <w:szCs w:val="19"/>
                <w:color w:val="auto"/>
              </w:rPr>
            </w:pPr>
          </w:p>
        </w:tc>
        <w:tc>
          <w:tcPr>
            <w:tcW w:w="100" w:type="dxa"/>
            <w:vAlign w:val="bottom"/>
            <w:tcBorders>
              <w:top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5820" w:type="dxa"/>
            <w:vAlign w:val="bottom"/>
          </w:tcPr>
          <w:p>
            <w:pPr>
              <w:ind w:left="140"/>
              <w:spacing w:after="0"/>
              <w:rPr>
                <w:sz w:val="20"/>
                <w:szCs w:val="20"/>
                <w:color w:val="auto"/>
              </w:rPr>
            </w:pPr>
            <w:r>
              <w:rPr>
                <w:rFonts w:ascii="Arial" w:cs="Arial" w:eastAsia="Arial" w:hAnsi="Arial"/>
                <w:sz w:val="18"/>
                <w:szCs w:val="18"/>
                <w:color w:val="auto"/>
              </w:rPr>
              <w:t>Exhibition and event services</w:t>
            </w:r>
          </w:p>
        </w:tc>
        <w:tc>
          <w:tcPr>
            <w:tcW w:w="3780" w:type="dxa"/>
            <w:vAlign w:val="bottom"/>
            <w:gridSpan w:val="2"/>
          </w:tcPr>
          <w:p>
            <w:pPr>
              <w:jc w:val="right"/>
              <w:ind w:right="10"/>
              <w:spacing w:after="0"/>
              <w:rPr>
                <w:sz w:val="20"/>
                <w:szCs w:val="20"/>
                <w:color w:val="auto"/>
              </w:rPr>
            </w:pPr>
            <w:r>
              <w:rPr>
                <w:rFonts w:ascii="Arial" w:cs="Arial" w:eastAsia="Arial" w:hAnsi="Arial"/>
                <w:sz w:val="18"/>
                <w:szCs w:val="18"/>
                <w:color w:val="auto"/>
              </w:rPr>
              <w:t>$</w:t>
            </w:r>
          </w:p>
        </w:tc>
        <w:tc>
          <w:tcPr>
            <w:tcW w:w="1720" w:type="dxa"/>
            <w:vAlign w:val="bottom"/>
          </w:tcPr>
          <w:p>
            <w:pPr>
              <w:jc w:val="right"/>
              <w:spacing w:after="0"/>
              <w:rPr>
                <w:sz w:val="20"/>
                <w:szCs w:val="20"/>
                <w:color w:val="auto"/>
              </w:rPr>
            </w:pPr>
            <w:r>
              <w:rPr>
                <w:rFonts w:ascii="Arial" w:cs="Arial" w:eastAsia="Arial" w:hAnsi="Arial"/>
                <w:sz w:val="18"/>
                <w:szCs w:val="18"/>
                <w:color w:val="auto"/>
              </w:rPr>
              <w:t>275,948</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5820" w:type="dxa"/>
            <w:vAlign w:val="bottom"/>
            <w:shd w:val="clear" w:color="auto" w:fill="CFF0FC"/>
          </w:tcPr>
          <w:p>
            <w:pPr>
              <w:ind w:left="140"/>
              <w:spacing w:after="0"/>
              <w:rPr>
                <w:sz w:val="20"/>
                <w:szCs w:val="20"/>
                <w:color w:val="auto"/>
              </w:rPr>
            </w:pPr>
            <w:r>
              <w:rPr>
                <w:rFonts w:ascii="Arial" w:cs="Arial" w:eastAsia="Arial" w:hAnsi="Arial"/>
                <w:sz w:val="18"/>
                <w:szCs w:val="18"/>
                <w:color w:val="auto"/>
              </w:rPr>
              <w:t>Exhibits and environments</w:t>
            </w:r>
          </w:p>
        </w:tc>
        <w:tc>
          <w:tcPr>
            <w:tcW w:w="358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7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41,923</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5820" w:type="dxa"/>
            <w:vAlign w:val="bottom"/>
            <w:tcBorders>
              <w:bottom w:val="single" w:sz="8" w:color="CFF0FC"/>
            </w:tcBorders>
          </w:tcPr>
          <w:p>
            <w:pPr>
              <w:ind w:left="140"/>
              <w:spacing w:after="0"/>
              <w:rPr>
                <w:sz w:val="20"/>
                <w:szCs w:val="20"/>
                <w:color w:val="auto"/>
              </w:rPr>
            </w:pPr>
            <w:r>
              <w:rPr>
                <w:rFonts w:ascii="Arial" w:cs="Arial" w:eastAsia="Arial" w:hAnsi="Arial"/>
                <w:sz w:val="18"/>
                <w:szCs w:val="18"/>
                <w:color w:val="auto"/>
              </w:rPr>
              <w:t>Pursuit services</w:t>
            </w:r>
          </w:p>
        </w:tc>
        <w:tc>
          <w:tcPr>
            <w:tcW w:w="3580" w:type="dxa"/>
            <w:vAlign w:val="bottom"/>
            <w:tcBorders>
              <w:bottom w:val="single" w:sz="8" w:color="CFF0FC"/>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17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7,936</w:t>
            </w:r>
          </w:p>
        </w:tc>
        <w:tc>
          <w:tcPr>
            <w:tcW w:w="100" w:type="dxa"/>
            <w:vAlign w:val="bottom"/>
            <w:tcBorders>
              <w:bottom w:val="single" w:sz="8" w:color="CFF0FC"/>
            </w:tcBorders>
          </w:tcPr>
          <w:p>
            <w:pPr>
              <w:spacing w:after="0"/>
              <w:rPr>
                <w:sz w:val="19"/>
                <w:szCs w:val="19"/>
                <w:color w:val="auto"/>
              </w:rPr>
            </w:pPr>
          </w:p>
        </w:tc>
        <w:tc>
          <w:tcPr>
            <w:tcW w:w="0" w:type="dxa"/>
            <w:vAlign w:val="bottom"/>
          </w:tcPr>
          <w:p>
            <w:pPr>
              <w:spacing w:after="0"/>
              <w:rPr>
                <w:sz w:val="1"/>
                <w:szCs w:val="1"/>
                <w:color w:val="auto"/>
              </w:rPr>
            </w:pPr>
          </w:p>
        </w:tc>
      </w:tr>
      <w:tr>
        <w:trPr>
          <w:trHeight w:val="222"/>
        </w:trPr>
        <w:tc>
          <w:tcPr>
            <w:tcW w:w="5820" w:type="dxa"/>
            <w:vAlign w:val="bottom"/>
            <w:tcBorders>
              <w:bottom w:val="single" w:sz="8" w:color="CFF0FC"/>
            </w:tcBorders>
            <w:shd w:val="clear" w:color="auto" w:fill="CFF0FC"/>
          </w:tcPr>
          <w:p>
            <w:pPr>
              <w:spacing w:after="0"/>
              <w:rPr>
                <w:sz w:val="20"/>
                <w:szCs w:val="20"/>
                <w:color w:val="auto"/>
              </w:rPr>
            </w:pPr>
            <w:r>
              <w:rPr>
                <w:rFonts w:ascii="Arial" w:cs="Arial" w:eastAsia="Arial" w:hAnsi="Arial"/>
                <w:sz w:val="18"/>
                <w:szCs w:val="18"/>
                <w:b w:val="1"/>
                <w:bCs w:val="1"/>
                <w:color w:val="auto"/>
              </w:rPr>
              <w:t>Total revenue</w:t>
            </w:r>
          </w:p>
        </w:tc>
        <w:tc>
          <w:tcPr>
            <w:tcW w:w="3580" w:type="dxa"/>
            <w:vAlign w:val="bottom"/>
            <w:tcBorders>
              <w:bottom w:val="single" w:sz="8" w:color="CFF0FC"/>
            </w:tcBorders>
            <w:shd w:val="clear" w:color="auto" w:fill="CFF0FC"/>
          </w:tcPr>
          <w:p>
            <w:pPr>
              <w:spacing w:after="0"/>
              <w:rPr>
                <w:sz w:val="19"/>
                <w:szCs w:val="19"/>
                <w:color w:val="auto"/>
              </w:rPr>
            </w:pPr>
          </w:p>
        </w:tc>
        <w:tc>
          <w:tcPr>
            <w:tcW w:w="200" w:type="dxa"/>
            <w:vAlign w:val="bottom"/>
            <w:tcBorders>
              <w:bottom w:val="single" w:sz="8" w:color="auto"/>
            </w:tcBorders>
            <w:shd w:val="clear" w:color="auto" w:fill="CFF0FC"/>
          </w:tcPr>
          <w:p>
            <w:pPr>
              <w:jc w:val="right"/>
              <w:ind w:right="10"/>
              <w:spacing w:after="0"/>
              <w:rPr>
                <w:sz w:val="20"/>
                <w:szCs w:val="20"/>
                <w:color w:val="auto"/>
              </w:rPr>
            </w:pPr>
            <w:r>
              <w:rPr>
                <w:rFonts w:ascii="Arial" w:cs="Arial" w:eastAsia="Arial" w:hAnsi="Arial"/>
                <w:sz w:val="18"/>
                <w:szCs w:val="18"/>
                <w:color w:val="auto"/>
                <w:w w:val="79"/>
              </w:rPr>
              <w:t>$</w:t>
            </w:r>
          </w:p>
        </w:tc>
        <w:tc>
          <w:tcPr>
            <w:tcW w:w="17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325,807</w:t>
            </w:r>
          </w:p>
        </w:tc>
        <w:tc>
          <w:tcPr>
            <w:tcW w:w="100" w:type="dxa"/>
            <w:vAlign w:val="bottom"/>
            <w:tcBorders>
              <w:bottom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5820" w:type="dxa"/>
            <w:vAlign w:val="bottom"/>
          </w:tcPr>
          <w:p>
            <w:pPr>
              <w:spacing w:after="0" w:line="20" w:lineRule="exact"/>
              <w:rPr>
                <w:sz w:val="1"/>
                <w:szCs w:val="1"/>
                <w:color w:val="auto"/>
              </w:rPr>
            </w:pPr>
          </w:p>
        </w:tc>
        <w:tc>
          <w:tcPr>
            <w:tcW w:w="358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7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07" w:lineRule="exact"/>
        <w:rPr>
          <w:sz w:val="20"/>
          <w:szCs w:val="20"/>
          <w:color w:val="auto"/>
        </w:rPr>
      </w:pPr>
    </w:p>
    <w:p>
      <w:pPr>
        <w:jc w:val="both"/>
        <w:spacing w:after="0" w:line="262" w:lineRule="auto"/>
        <w:rPr>
          <w:sz w:val="20"/>
          <w:szCs w:val="20"/>
          <w:color w:val="auto"/>
        </w:rPr>
      </w:pPr>
      <w:r>
        <w:rPr>
          <w:rFonts w:ascii="Arial" w:cs="Arial" w:eastAsia="Arial" w:hAnsi="Arial"/>
          <w:sz w:val="18"/>
          <w:szCs w:val="18"/>
          <w:color w:val="auto"/>
        </w:rPr>
        <w:t>In connection with the adoption of Topic 606, we changed the presentation of revenue in our Condensed Consolidated Statements of Operations and now present total services revenue and total products revenue. As a result, we changed the prior reporting period to conform to the current period presentation as follows:</w:t>
      </w:r>
    </w:p>
    <w:p>
      <w:pPr>
        <w:spacing w:after="0" w:line="268"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9400" w:type="dxa"/>
            <w:vAlign w:val="bottom"/>
            <w:vMerge w:val="restart"/>
          </w:tcPr>
          <w:p>
            <w:pPr>
              <w:spacing w:after="0"/>
              <w:rPr>
                <w:sz w:val="20"/>
                <w:szCs w:val="20"/>
                <w:color w:val="auto"/>
              </w:rPr>
            </w:pPr>
            <w:r>
              <w:rPr>
                <w:rFonts w:ascii="Arial" w:cs="Arial" w:eastAsia="Arial" w:hAnsi="Arial"/>
                <w:sz w:val="18"/>
                <w:szCs w:val="18"/>
                <w:i w:val="1"/>
                <w:iCs w:val="1"/>
                <w:color w:val="auto"/>
              </w:rPr>
              <w:t>(in thousands)</w:t>
            </w:r>
          </w:p>
        </w:tc>
        <w:tc>
          <w:tcPr>
            <w:tcW w:w="180" w:type="dxa"/>
            <w:vAlign w:val="bottom"/>
          </w:tcPr>
          <w:p>
            <w:pPr>
              <w:spacing w:after="0"/>
              <w:rPr>
                <w:sz w:val="16"/>
                <w:szCs w:val="16"/>
                <w:color w:val="auto"/>
              </w:rPr>
            </w:pPr>
          </w:p>
        </w:tc>
        <w:tc>
          <w:tcPr>
            <w:tcW w:w="1840" w:type="dxa"/>
            <w:vAlign w:val="bottom"/>
            <w:gridSpan w:val="2"/>
          </w:tcPr>
          <w:p>
            <w:pPr>
              <w:jc w:val="center"/>
              <w:ind w:right="340"/>
              <w:spacing w:after="0"/>
              <w:rPr>
                <w:sz w:val="20"/>
                <w:szCs w:val="20"/>
                <w:color w:val="auto"/>
              </w:rPr>
            </w:pPr>
            <w:r>
              <w:rPr>
                <w:rFonts w:ascii="Arial" w:cs="Arial" w:eastAsia="Arial" w:hAnsi="Arial"/>
                <w:sz w:val="14"/>
                <w:szCs w:val="14"/>
                <w:b w:val="1"/>
                <w:bCs w:val="1"/>
                <w:color w:val="auto"/>
                <w:w w:val="93"/>
              </w:rPr>
              <w:t>Three Months Ended</w:t>
            </w:r>
          </w:p>
        </w:tc>
        <w:tc>
          <w:tcPr>
            <w:tcW w:w="0" w:type="dxa"/>
            <w:vAlign w:val="bottom"/>
          </w:tcPr>
          <w:p>
            <w:pPr>
              <w:spacing w:after="0"/>
              <w:rPr>
                <w:sz w:val="1"/>
                <w:szCs w:val="1"/>
                <w:color w:val="auto"/>
              </w:rPr>
            </w:pPr>
          </w:p>
        </w:tc>
      </w:tr>
      <w:tr>
        <w:trPr>
          <w:trHeight w:val="213"/>
        </w:trPr>
        <w:tc>
          <w:tcPr>
            <w:tcW w:w="9400" w:type="dxa"/>
            <w:vAlign w:val="bottom"/>
            <w:vMerge w:val="continue"/>
          </w:tcPr>
          <w:p>
            <w:pPr>
              <w:spacing w:after="0"/>
              <w:rPr>
                <w:sz w:val="18"/>
                <w:szCs w:val="18"/>
                <w:color w:val="auto"/>
              </w:rPr>
            </w:pPr>
          </w:p>
        </w:tc>
        <w:tc>
          <w:tcPr>
            <w:tcW w:w="180" w:type="dxa"/>
            <w:vAlign w:val="bottom"/>
          </w:tcPr>
          <w:p>
            <w:pPr>
              <w:spacing w:after="0"/>
              <w:rPr>
                <w:sz w:val="18"/>
                <w:szCs w:val="18"/>
                <w:color w:val="auto"/>
              </w:rPr>
            </w:pPr>
          </w:p>
        </w:tc>
        <w:tc>
          <w:tcPr>
            <w:tcW w:w="1840" w:type="dxa"/>
            <w:vAlign w:val="bottom"/>
            <w:gridSpan w:val="2"/>
          </w:tcPr>
          <w:p>
            <w:pPr>
              <w:jc w:val="center"/>
              <w:ind w:right="320"/>
              <w:spacing w:after="0"/>
              <w:rPr>
                <w:sz w:val="20"/>
                <w:szCs w:val="20"/>
                <w:color w:val="auto"/>
              </w:rPr>
            </w:pPr>
            <w:r>
              <w:rPr>
                <w:rFonts w:ascii="Arial" w:cs="Arial" w:eastAsia="Arial" w:hAnsi="Arial"/>
                <w:sz w:val="14"/>
                <w:szCs w:val="14"/>
                <w:b w:val="1"/>
                <w:bCs w:val="1"/>
                <w:color w:val="auto"/>
                <w:w w:val="96"/>
              </w:rPr>
              <w:t>March 31, 2017</w:t>
            </w:r>
          </w:p>
        </w:tc>
        <w:tc>
          <w:tcPr>
            <w:tcW w:w="0" w:type="dxa"/>
            <w:vAlign w:val="bottom"/>
          </w:tcPr>
          <w:p>
            <w:pPr>
              <w:spacing w:after="0"/>
              <w:rPr>
                <w:sz w:val="1"/>
                <w:szCs w:val="1"/>
                <w:color w:val="auto"/>
              </w:rPr>
            </w:pPr>
          </w:p>
        </w:tc>
      </w:tr>
      <w:tr>
        <w:trPr>
          <w:trHeight w:val="222"/>
        </w:trPr>
        <w:tc>
          <w:tcPr>
            <w:tcW w:w="940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8"/>
                <w:szCs w:val="18"/>
                <w:b w:val="1"/>
                <w:bCs w:val="1"/>
                <w:color w:val="auto"/>
              </w:rPr>
              <w:t>Revenue:</w:t>
            </w:r>
          </w:p>
        </w:tc>
        <w:tc>
          <w:tcPr>
            <w:tcW w:w="180" w:type="dxa"/>
            <w:vAlign w:val="bottom"/>
            <w:tcBorders>
              <w:top w:val="single" w:sz="8" w:color="auto"/>
            </w:tcBorders>
            <w:shd w:val="clear" w:color="auto" w:fill="CFF0FC"/>
          </w:tcPr>
          <w:p>
            <w:pPr>
              <w:spacing w:after="0"/>
              <w:rPr>
                <w:sz w:val="19"/>
                <w:szCs w:val="19"/>
                <w:color w:val="auto"/>
              </w:rPr>
            </w:pPr>
          </w:p>
        </w:tc>
        <w:tc>
          <w:tcPr>
            <w:tcW w:w="1720" w:type="dxa"/>
            <w:vAlign w:val="bottom"/>
            <w:tcBorders>
              <w:top w:val="single" w:sz="8" w:color="auto"/>
            </w:tcBorders>
            <w:shd w:val="clear" w:color="auto" w:fill="CFF0FC"/>
          </w:tcPr>
          <w:p>
            <w:pPr>
              <w:spacing w:after="0"/>
              <w:rPr>
                <w:sz w:val="19"/>
                <w:szCs w:val="19"/>
                <w:color w:val="auto"/>
              </w:rPr>
            </w:pPr>
          </w:p>
        </w:tc>
        <w:tc>
          <w:tcPr>
            <w:tcW w:w="120" w:type="dxa"/>
            <w:vAlign w:val="bottom"/>
            <w:tcBorders>
              <w:top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9400" w:type="dxa"/>
            <w:vAlign w:val="bottom"/>
          </w:tcPr>
          <w:p>
            <w:pPr>
              <w:ind w:left="140"/>
              <w:spacing w:after="0"/>
              <w:rPr>
                <w:sz w:val="20"/>
                <w:szCs w:val="20"/>
                <w:color w:val="auto"/>
              </w:rPr>
            </w:pPr>
            <w:r>
              <w:rPr>
                <w:rFonts w:ascii="Arial" w:cs="Arial" w:eastAsia="Arial" w:hAnsi="Arial"/>
                <w:sz w:val="18"/>
                <w:szCs w:val="18"/>
                <w:color w:val="auto"/>
              </w:rPr>
              <w:t>Services</w:t>
            </w:r>
          </w:p>
        </w:tc>
        <w:tc>
          <w:tcPr>
            <w:tcW w:w="180" w:type="dxa"/>
            <w:vAlign w:val="bottom"/>
          </w:tcPr>
          <w:p>
            <w:pPr>
              <w:jc w:val="right"/>
              <w:ind w:right="27"/>
              <w:spacing w:after="0"/>
              <w:rPr>
                <w:sz w:val="20"/>
                <w:szCs w:val="20"/>
                <w:color w:val="auto"/>
              </w:rPr>
            </w:pPr>
            <w:r>
              <w:rPr>
                <w:rFonts w:ascii="Arial" w:cs="Arial" w:eastAsia="Arial" w:hAnsi="Arial"/>
                <w:sz w:val="15"/>
                <w:szCs w:val="15"/>
                <w:color w:val="auto"/>
                <w:w w:val="71"/>
              </w:rPr>
              <w:t>$</w:t>
            </w:r>
          </w:p>
        </w:tc>
        <w:tc>
          <w:tcPr>
            <w:tcW w:w="1720" w:type="dxa"/>
            <w:vAlign w:val="bottom"/>
          </w:tcPr>
          <w:p>
            <w:pPr>
              <w:jc w:val="right"/>
              <w:spacing w:after="0"/>
              <w:rPr>
                <w:sz w:val="20"/>
                <w:szCs w:val="20"/>
                <w:color w:val="auto"/>
              </w:rPr>
            </w:pPr>
            <w:r>
              <w:rPr>
                <w:rFonts w:ascii="Arial" w:cs="Arial" w:eastAsia="Arial" w:hAnsi="Arial"/>
                <w:sz w:val="18"/>
                <w:szCs w:val="18"/>
                <w:color w:val="auto"/>
              </w:rPr>
              <w:t>290,643</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9400" w:type="dxa"/>
            <w:vAlign w:val="bottom"/>
            <w:shd w:val="clear" w:color="auto" w:fill="CFF0FC"/>
          </w:tcPr>
          <w:p>
            <w:pPr>
              <w:ind w:left="140"/>
              <w:spacing w:after="0"/>
              <w:rPr>
                <w:sz w:val="20"/>
                <w:szCs w:val="20"/>
                <w:color w:val="auto"/>
              </w:rPr>
            </w:pPr>
            <w:r>
              <w:rPr>
                <w:rFonts w:ascii="Arial" w:cs="Arial" w:eastAsia="Arial" w:hAnsi="Arial"/>
                <w:sz w:val="18"/>
                <w:szCs w:val="18"/>
                <w:color w:val="auto"/>
              </w:rPr>
              <w:t>Products</w:t>
            </w:r>
          </w:p>
        </w:tc>
        <w:tc>
          <w:tcPr>
            <w:tcW w:w="180" w:type="dxa"/>
            <w:vAlign w:val="bottom"/>
            <w:tcBorders>
              <w:bottom w:val="single" w:sz="8" w:color="auto"/>
            </w:tcBorders>
            <w:shd w:val="clear" w:color="auto" w:fill="CFF0FC"/>
          </w:tcPr>
          <w:p>
            <w:pPr>
              <w:spacing w:after="0"/>
              <w:rPr>
                <w:sz w:val="19"/>
                <w:szCs w:val="19"/>
                <w:color w:val="auto"/>
              </w:rPr>
            </w:pPr>
          </w:p>
        </w:tc>
        <w:tc>
          <w:tcPr>
            <w:tcW w:w="17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35,164</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2"/>
        </w:trPr>
        <w:tc>
          <w:tcPr>
            <w:tcW w:w="9400" w:type="dxa"/>
            <w:vAlign w:val="bottom"/>
          </w:tcPr>
          <w:p>
            <w:pPr>
              <w:spacing w:after="0"/>
              <w:rPr>
                <w:sz w:val="20"/>
                <w:szCs w:val="20"/>
                <w:color w:val="auto"/>
              </w:rPr>
            </w:pPr>
            <w:r>
              <w:rPr>
                <w:rFonts w:ascii="Arial" w:cs="Arial" w:eastAsia="Arial" w:hAnsi="Arial"/>
                <w:sz w:val="18"/>
                <w:szCs w:val="18"/>
                <w:b w:val="1"/>
                <w:bCs w:val="1"/>
                <w:color w:val="auto"/>
              </w:rPr>
              <w:t>Total revenue</w:t>
            </w:r>
          </w:p>
        </w:tc>
        <w:tc>
          <w:tcPr>
            <w:tcW w:w="180" w:type="dxa"/>
            <w:vAlign w:val="bottom"/>
            <w:tcBorders>
              <w:bottom w:val="single" w:sz="8" w:color="auto"/>
            </w:tcBorders>
          </w:tcPr>
          <w:p>
            <w:pPr>
              <w:jc w:val="right"/>
              <w:ind w:right="27"/>
              <w:spacing w:after="0"/>
              <w:rPr>
                <w:sz w:val="20"/>
                <w:szCs w:val="20"/>
                <w:color w:val="auto"/>
              </w:rPr>
            </w:pPr>
            <w:r>
              <w:rPr>
                <w:rFonts w:ascii="Arial" w:cs="Arial" w:eastAsia="Arial" w:hAnsi="Arial"/>
                <w:sz w:val="15"/>
                <w:szCs w:val="15"/>
                <w:color w:val="auto"/>
                <w:w w:val="71"/>
              </w:rPr>
              <w:t>$</w:t>
            </w:r>
          </w:p>
        </w:tc>
        <w:tc>
          <w:tcPr>
            <w:tcW w:w="17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325,807</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94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7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07" w:lineRule="exact"/>
        <w:rPr>
          <w:sz w:val="20"/>
          <w:szCs w:val="20"/>
          <w:color w:val="auto"/>
        </w:rPr>
      </w:pPr>
    </w:p>
    <w:p>
      <w:pPr>
        <w:jc w:val="both"/>
        <w:spacing w:after="0" w:line="262" w:lineRule="auto"/>
        <w:rPr>
          <w:sz w:val="20"/>
          <w:szCs w:val="20"/>
          <w:color w:val="auto"/>
        </w:rPr>
      </w:pPr>
      <w:r>
        <w:rPr>
          <w:rFonts w:ascii="Arial" w:cs="Arial" w:eastAsia="Arial" w:hAnsi="Arial"/>
          <w:sz w:val="18"/>
          <w:szCs w:val="18"/>
          <w:color w:val="auto"/>
        </w:rPr>
        <w:t>As a result of the change in presentation of revenue in the Condensed Consolidated Statements of Operations, we also made the following conforming changes to the presentation of cost of services and cost of products. The following table also summarizes the impact of adopting ASU 2017-07 on our Condensed Consolidated Statements of Operations:</w:t>
      </w:r>
    </w:p>
    <w:p>
      <w:pPr>
        <w:spacing w:after="0" w:line="268"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3680" w:type="dxa"/>
            <w:vAlign w:val="bottom"/>
          </w:tcPr>
          <w:p>
            <w:pPr>
              <w:spacing w:after="0"/>
              <w:rPr>
                <w:sz w:val="14"/>
                <w:szCs w:val="14"/>
                <w:color w:val="auto"/>
              </w:rPr>
            </w:pPr>
          </w:p>
        </w:tc>
        <w:tc>
          <w:tcPr>
            <w:tcW w:w="226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040" w:type="dxa"/>
            <w:vAlign w:val="bottom"/>
            <w:tcBorders>
              <w:bottom w:val="single" w:sz="8" w:color="auto"/>
            </w:tcBorders>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2680" w:type="dxa"/>
            <w:vAlign w:val="bottom"/>
            <w:tcBorders>
              <w:bottom w:val="single" w:sz="8" w:color="auto"/>
            </w:tcBorders>
            <w:gridSpan w:val="5"/>
          </w:tcPr>
          <w:p>
            <w:pPr>
              <w:jc w:val="right"/>
              <w:ind w:right="360"/>
              <w:spacing w:after="0"/>
              <w:rPr>
                <w:sz w:val="20"/>
                <w:szCs w:val="20"/>
                <w:color w:val="auto"/>
              </w:rPr>
            </w:pPr>
            <w:r>
              <w:rPr>
                <w:rFonts w:ascii="Arial" w:cs="Arial" w:eastAsia="Arial" w:hAnsi="Arial"/>
                <w:sz w:val="14"/>
                <w:szCs w:val="14"/>
                <w:b w:val="1"/>
                <w:bCs w:val="1"/>
                <w:color w:val="auto"/>
                <w:w w:val="95"/>
              </w:rPr>
              <w:t>Three Months Ended March 31, 2017</w:t>
            </w:r>
          </w:p>
        </w:tc>
        <w:tc>
          <w:tcPr>
            <w:tcW w:w="200" w:type="dxa"/>
            <w:vAlign w:val="bottom"/>
            <w:tcBorders>
              <w:bottom w:val="single" w:sz="8" w:color="auto"/>
            </w:tcBorders>
          </w:tcPr>
          <w:p>
            <w:pPr>
              <w:spacing w:after="0"/>
              <w:rPr>
                <w:sz w:val="14"/>
                <w:szCs w:val="14"/>
                <w:color w:val="auto"/>
              </w:rPr>
            </w:pPr>
          </w:p>
        </w:tc>
        <w:tc>
          <w:tcPr>
            <w:tcW w:w="980" w:type="dxa"/>
            <w:vAlign w:val="bottom"/>
            <w:tcBorders>
              <w:bottom w:val="single" w:sz="8" w:color="auto"/>
            </w:tcBorders>
          </w:tcPr>
          <w:p>
            <w:pPr>
              <w:spacing w:after="0"/>
              <w:rPr>
                <w:sz w:val="14"/>
                <w:szCs w:val="14"/>
                <w:color w:val="auto"/>
              </w:rPr>
            </w:pP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2"/>
        </w:trPr>
        <w:tc>
          <w:tcPr>
            <w:tcW w:w="3680" w:type="dxa"/>
            <w:vAlign w:val="bottom"/>
          </w:tcPr>
          <w:p>
            <w:pPr>
              <w:spacing w:after="0"/>
              <w:rPr>
                <w:sz w:val="11"/>
                <w:szCs w:val="11"/>
                <w:color w:val="auto"/>
              </w:rPr>
            </w:pPr>
          </w:p>
        </w:tc>
        <w:tc>
          <w:tcPr>
            <w:tcW w:w="22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400" w:type="dxa"/>
            <w:vAlign w:val="bottom"/>
            <w:gridSpan w:val="3"/>
          </w:tcPr>
          <w:p>
            <w:pPr>
              <w:jc w:val="center"/>
              <w:ind w:right="260"/>
              <w:spacing w:after="0" w:line="132" w:lineRule="exact"/>
              <w:rPr>
                <w:sz w:val="20"/>
                <w:szCs w:val="20"/>
                <w:color w:val="auto"/>
              </w:rPr>
            </w:pPr>
            <w:r>
              <w:rPr>
                <w:rFonts w:ascii="Arial" w:cs="Arial" w:eastAsia="Arial" w:hAnsi="Arial"/>
                <w:sz w:val="14"/>
                <w:szCs w:val="14"/>
                <w:b w:val="1"/>
                <w:bCs w:val="1"/>
                <w:color w:val="auto"/>
                <w:w w:val="89"/>
              </w:rPr>
              <w:t>Reclassifications</w:t>
            </w:r>
          </w:p>
        </w:tc>
        <w:tc>
          <w:tcPr>
            <w:tcW w:w="12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8"/>
        </w:trPr>
        <w:tc>
          <w:tcPr>
            <w:tcW w:w="3680" w:type="dxa"/>
            <w:vAlign w:val="bottom"/>
          </w:tcPr>
          <w:p>
            <w:pPr>
              <w:spacing w:after="0"/>
              <w:rPr>
                <w:sz w:val="12"/>
                <w:szCs w:val="12"/>
                <w:color w:val="auto"/>
              </w:rPr>
            </w:pPr>
          </w:p>
        </w:tc>
        <w:tc>
          <w:tcPr>
            <w:tcW w:w="22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40" w:type="dxa"/>
            <w:vAlign w:val="bottom"/>
            <w:vMerge w:val="restart"/>
          </w:tcPr>
          <w:p>
            <w:pPr>
              <w:jc w:val="right"/>
              <w:ind w:right="96"/>
              <w:spacing w:after="0"/>
              <w:rPr>
                <w:sz w:val="20"/>
                <w:szCs w:val="20"/>
                <w:color w:val="auto"/>
              </w:rPr>
            </w:pPr>
            <w:r>
              <w:rPr>
                <w:rFonts w:ascii="Arial" w:cs="Arial" w:eastAsia="Arial" w:hAnsi="Arial"/>
                <w:sz w:val="14"/>
                <w:szCs w:val="14"/>
                <w:b w:val="1"/>
                <w:bCs w:val="1"/>
                <w:color w:val="auto"/>
                <w:w w:val="90"/>
              </w:rPr>
              <w:t>As Previously</w:t>
            </w:r>
          </w:p>
        </w:tc>
        <w:tc>
          <w:tcPr>
            <w:tcW w:w="240" w:type="dxa"/>
            <w:vAlign w:val="bottom"/>
          </w:tcPr>
          <w:p>
            <w:pPr>
              <w:spacing w:after="0"/>
              <w:rPr>
                <w:sz w:val="12"/>
                <w:szCs w:val="12"/>
                <w:color w:val="auto"/>
              </w:rPr>
            </w:pPr>
          </w:p>
        </w:tc>
        <w:tc>
          <w:tcPr>
            <w:tcW w:w="1400" w:type="dxa"/>
            <w:vAlign w:val="bottom"/>
            <w:gridSpan w:val="3"/>
          </w:tcPr>
          <w:p>
            <w:pPr>
              <w:jc w:val="center"/>
              <w:ind w:right="260"/>
              <w:spacing w:after="0" w:line="148" w:lineRule="exact"/>
              <w:rPr>
                <w:sz w:val="20"/>
                <w:szCs w:val="20"/>
                <w:color w:val="auto"/>
              </w:rPr>
            </w:pPr>
            <w:r>
              <w:rPr>
                <w:rFonts w:ascii="Arial" w:cs="Arial" w:eastAsia="Arial" w:hAnsi="Arial"/>
                <w:sz w:val="14"/>
                <w:szCs w:val="14"/>
                <w:b w:val="1"/>
                <w:bCs w:val="1"/>
                <w:color w:val="auto"/>
                <w:w w:val="94"/>
              </w:rPr>
              <w:t>to Conform with</w:t>
            </w:r>
          </w:p>
        </w:tc>
        <w:tc>
          <w:tcPr>
            <w:tcW w:w="120" w:type="dxa"/>
            <w:vAlign w:val="bottom"/>
          </w:tcPr>
          <w:p>
            <w:pPr>
              <w:spacing w:after="0"/>
              <w:rPr>
                <w:sz w:val="12"/>
                <w:szCs w:val="12"/>
                <w:color w:val="auto"/>
              </w:rPr>
            </w:pPr>
          </w:p>
        </w:tc>
        <w:tc>
          <w:tcPr>
            <w:tcW w:w="10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100" w:type="dxa"/>
            <w:vAlign w:val="bottom"/>
            <w:gridSpan w:val="2"/>
            <w:vMerge w:val="restart"/>
          </w:tcPr>
          <w:p>
            <w:pPr>
              <w:ind w:left="100"/>
              <w:spacing w:after="0"/>
              <w:rPr>
                <w:sz w:val="20"/>
                <w:szCs w:val="20"/>
                <w:color w:val="auto"/>
              </w:rPr>
            </w:pPr>
            <w:r>
              <w:rPr>
                <w:rFonts w:ascii="Arial" w:cs="Arial" w:eastAsia="Arial" w:hAnsi="Arial"/>
                <w:sz w:val="14"/>
                <w:szCs w:val="14"/>
                <w:b w:val="1"/>
                <w:bCs w:val="1"/>
                <w:color w:val="auto"/>
              </w:rPr>
              <w:t>As Newly</w:t>
            </w:r>
          </w:p>
        </w:tc>
        <w:tc>
          <w:tcPr>
            <w:tcW w:w="0" w:type="dxa"/>
            <w:vAlign w:val="bottom"/>
          </w:tcPr>
          <w:p>
            <w:pPr>
              <w:spacing w:after="0"/>
              <w:rPr>
                <w:sz w:val="1"/>
                <w:szCs w:val="1"/>
                <w:color w:val="auto"/>
              </w:rPr>
            </w:pPr>
          </w:p>
        </w:tc>
      </w:tr>
      <w:tr>
        <w:trPr>
          <w:trHeight w:val="148"/>
        </w:trPr>
        <w:tc>
          <w:tcPr>
            <w:tcW w:w="3680" w:type="dxa"/>
            <w:vAlign w:val="bottom"/>
            <w:vMerge w:val="restart"/>
          </w:tcPr>
          <w:p>
            <w:pPr>
              <w:spacing w:after="0"/>
              <w:rPr>
                <w:sz w:val="20"/>
                <w:szCs w:val="20"/>
                <w:color w:val="auto"/>
              </w:rPr>
            </w:pPr>
            <w:r>
              <w:rPr>
                <w:rFonts w:ascii="Arial" w:cs="Arial" w:eastAsia="Arial" w:hAnsi="Arial"/>
                <w:sz w:val="18"/>
                <w:szCs w:val="18"/>
                <w:i w:val="1"/>
                <w:iCs w:val="1"/>
                <w:color w:val="auto"/>
              </w:rPr>
              <w:t>(in thousands)</w:t>
            </w:r>
          </w:p>
        </w:tc>
        <w:tc>
          <w:tcPr>
            <w:tcW w:w="22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40" w:type="dxa"/>
            <w:vAlign w:val="bottom"/>
            <w:vMerge w:val="continue"/>
          </w:tcPr>
          <w:p>
            <w:pPr>
              <w:spacing w:after="0"/>
              <w:rPr>
                <w:sz w:val="12"/>
                <w:szCs w:val="12"/>
                <w:color w:val="auto"/>
              </w:rPr>
            </w:pPr>
          </w:p>
        </w:tc>
        <w:tc>
          <w:tcPr>
            <w:tcW w:w="2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300" w:type="dxa"/>
            <w:vAlign w:val="bottom"/>
            <w:gridSpan w:val="2"/>
          </w:tcPr>
          <w:p>
            <w:pPr>
              <w:jc w:val="center"/>
              <w:ind w:right="360"/>
              <w:spacing w:after="0" w:line="148" w:lineRule="exact"/>
              <w:rPr>
                <w:sz w:val="20"/>
                <w:szCs w:val="20"/>
                <w:color w:val="auto"/>
              </w:rPr>
            </w:pPr>
            <w:r>
              <w:rPr>
                <w:rFonts w:ascii="Arial" w:cs="Arial" w:eastAsia="Arial" w:hAnsi="Arial"/>
                <w:sz w:val="14"/>
                <w:szCs w:val="14"/>
                <w:b w:val="1"/>
                <w:bCs w:val="1"/>
                <w:color w:val="auto"/>
                <w:w w:val="92"/>
              </w:rPr>
              <w:t>Revenue</w:t>
            </w:r>
          </w:p>
        </w:tc>
        <w:tc>
          <w:tcPr>
            <w:tcW w:w="120" w:type="dxa"/>
            <w:vAlign w:val="bottom"/>
          </w:tcPr>
          <w:p>
            <w:pPr>
              <w:spacing w:after="0"/>
              <w:rPr>
                <w:sz w:val="12"/>
                <w:szCs w:val="12"/>
                <w:color w:val="auto"/>
              </w:rPr>
            </w:pPr>
          </w:p>
        </w:tc>
        <w:tc>
          <w:tcPr>
            <w:tcW w:w="1260" w:type="dxa"/>
            <w:vAlign w:val="bottom"/>
            <w:gridSpan w:val="2"/>
            <w:vMerge w:val="restart"/>
          </w:tcPr>
          <w:p>
            <w:pPr>
              <w:jc w:val="right"/>
              <w:ind w:right="420"/>
              <w:spacing w:after="0"/>
              <w:rPr>
                <w:sz w:val="20"/>
                <w:szCs w:val="20"/>
                <w:color w:val="auto"/>
              </w:rPr>
            </w:pPr>
            <w:r>
              <w:rPr>
                <w:rFonts w:ascii="Arial" w:cs="Arial" w:eastAsia="Arial" w:hAnsi="Arial"/>
                <w:sz w:val="14"/>
                <w:szCs w:val="14"/>
                <w:b w:val="1"/>
                <w:bCs w:val="1"/>
                <w:color w:val="auto"/>
                <w:w w:val="96"/>
              </w:rPr>
              <w:t>ASU 2017-07</w:t>
            </w:r>
          </w:p>
        </w:tc>
        <w:tc>
          <w:tcPr>
            <w:tcW w:w="200" w:type="dxa"/>
            <w:vAlign w:val="bottom"/>
          </w:tcPr>
          <w:p>
            <w:pPr>
              <w:spacing w:after="0"/>
              <w:rPr>
                <w:sz w:val="12"/>
                <w:szCs w:val="12"/>
                <w:color w:val="auto"/>
              </w:rPr>
            </w:pPr>
          </w:p>
        </w:tc>
        <w:tc>
          <w:tcPr>
            <w:tcW w:w="1100" w:type="dxa"/>
            <w:vAlign w:val="bottom"/>
            <w:gridSpan w:val="2"/>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71"/>
        </w:trPr>
        <w:tc>
          <w:tcPr>
            <w:tcW w:w="3680" w:type="dxa"/>
            <w:vAlign w:val="bottom"/>
            <w:vMerge w:val="continue"/>
          </w:tcPr>
          <w:p>
            <w:pPr>
              <w:spacing w:after="0"/>
              <w:rPr>
                <w:sz w:val="14"/>
                <w:szCs w:val="14"/>
                <w:color w:val="auto"/>
              </w:rPr>
            </w:pPr>
          </w:p>
        </w:tc>
        <w:tc>
          <w:tcPr>
            <w:tcW w:w="22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40" w:type="dxa"/>
            <w:vAlign w:val="bottom"/>
          </w:tcPr>
          <w:p>
            <w:pPr>
              <w:jc w:val="right"/>
              <w:ind w:right="216"/>
              <w:spacing w:after="0"/>
              <w:rPr>
                <w:sz w:val="20"/>
                <w:szCs w:val="20"/>
                <w:color w:val="auto"/>
              </w:rPr>
            </w:pPr>
            <w:r>
              <w:rPr>
                <w:rFonts w:ascii="Arial" w:cs="Arial" w:eastAsia="Arial" w:hAnsi="Arial"/>
                <w:sz w:val="14"/>
                <w:szCs w:val="14"/>
                <w:b w:val="1"/>
                <w:bCs w:val="1"/>
                <w:color w:val="auto"/>
              </w:rPr>
              <w:t>Reported</w:t>
            </w:r>
          </w:p>
        </w:tc>
        <w:tc>
          <w:tcPr>
            <w:tcW w:w="2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300" w:type="dxa"/>
            <w:vAlign w:val="bottom"/>
            <w:gridSpan w:val="2"/>
          </w:tcPr>
          <w:p>
            <w:pPr>
              <w:jc w:val="center"/>
              <w:ind w:right="360"/>
              <w:spacing w:after="0"/>
              <w:rPr>
                <w:sz w:val="20"/>
                <w:szCs w:val="20"/>
                <w:color w:val="auto"/>
              </w:rPr>
            </w:pPr>
            <w:r>
              <w:rPr>
                <w:rFonts w:ascii="Arial" w:cs="Arial" w:eastAsia="Arial" w:hAnsi="Arial"/>
                <w:sz w:val="14"/>
                <w:szCs w:val="14"/>
                <w:b w:val="1"/>
                <w:bCs w:val="1"/>
                <w:color w:val="auto"/>
                <w:w w:val="91"/>
              </w:rPr>
              <w:t>Presentation</w:t>
            </w:r>
          </w:p>
        </w:tc>
        <w:tc>
          <w:tcPr>
            <w:tcW w:w="120" w:type="dxa"/>
            <w:vAlign w:val="bottom"/>
          </w:tcPr>
          <w:p>
            <w:pPr>
              <w:spacing w:after="0"/>
              <w:rPr>
                <w:sz w:val="14"/>
                <w:szCs w:val="14"/>
                <w:color w:val="auto"/>
              </w:rPr>
            </w:pPr>
          </w:p>
        </w:tc>
        <w:tc>
          <w:tcPr>
            <w:tcW w:w="1260" w:type="dxa"/>
            <w:vAlign w:val="bottom"/>
            <w:gridSpan w:val="2"/>
            <w:vMerge w:val="continue"/>
          </w:tcPr>
          <w:p>
            <w:pPr>
              <w:spacing w:after="0"/>
              <w:rPr>
                <w:sz w:val="14"/>
                <w:szCs w:val="14"/>
                <w:color w:val="auto"/>
              </w:rPr>
            </w:pPr>
          </w:p>
        </w:tc>
        <w:tc>
          <w:tcPr>
            <w:tcW w:w="200" w:type="dxa"/>
            <w:vAlign w:val="bottom"/>
          </w:tcPr>
          <w:p>
            <w:pPr>
              <w:spacing w:after="0"/>
              <w:rPr>
                <w:sz w:val="14"/>
                <w:szCs w:val="14"/>
                <w:color w:val="auto"/>
              </w:rPr>
            </w:pPr>
          </w:p>
        </w:tc>
        <w:tc>
          <w:tcPr>
            <w:tcW w:w="1100" w:type="dxa"/>
            <w:vAlign w:val="bottom"/>
            <w:gridSpan w:val="2"/>
          </w:tcPr>
          <w:p>
            <w:pPr>
              <w:ind w:left="100"/>
              <w:spacing w:after="0"/>
              <w:rPr>
                <w:sz w:val="20"/>
                <w:szCs w:val="20"/>
                <w:color w:val="auto"/>
              </w:rPr>
            </w:pPr>
            <w:r>
              <w:rPr>
                <w:rFonts w:ascii="Arial" w:cs="Arial" w:eastAsia="Arial" w:hAnsi="Arial"/>
                <w:sz w:val="14"/>
                <w:szCs w:val="14"/>
                <w:b w:val="1"/>
                <w:bCs w:val="1"/>
                <w:color w:val="auto"/>
              </w:rPr>
              <w:t>Reported</w:t>
            </w:r>
          </w:p>
        </w:tc>
        <w:tc>
          <w:tcPr>
            <w:tcW w:w="0" w:type="dxa"/>
            <w:vAlign w:val="bottom"/>
          </w:tcPr>
          <w:p>
            <w:pPr>
              <w:spacing w:after="0"/>
              <w:rPr>
                <w:sz w:val="1"/>
                <w:szCs w:val="1"/>
                <w:color w:val="auto"/>
              </w:rPr>
            </w:pPr>
          </w:p>
        </w:tc>
      </w:tr>
      <w:tr>
        <w:trPr>
          <w:trHeight w:val="222"/>
        </w:trPr>
        <w:tc>
          <w:tcPr>
            <w:tcW w:w="368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8"/>
                <w:szCs w:val="18"/>
                <w:color w:val="auto"/>
              </w:rPr>
              <w:t>Cost of services</w:t>
            </w:r>
          </w:p>
        </w:tc>
        <w:tc>
          <w:tcPr>
            <w:tcW w:w="2260" w:type="dxa"/>
            <w:vAlign w:val="bottom"/>
            <w:tcBorders>
              <w:top w:val="single" w:sz="8" w:color="CFF0FC"/>
            </w:tcBorders>
            <w:shd w:val="clear" w:color="auto" w:fill="CFF0FC"/>
          </w:tcPr>
          <w:p>
            <w:pPr>
              <w:spacing w:after="0"/>
              <w:rPr>
                <w:sz w:val="19"/>
                <w:szCs w:val="19"/>
                <w:color w:val="auto"/>
              </w:rPr>
            </w:pPr>
          </w:p>
        </w:tc>
        <w:tc>
          <w:tcPr>
            <w:tcW w:w="12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104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273,609</w:t>
            </w:r>
          </w:p>
        </w:tc>
        <w:tc>
          <w:tcPr>
            <w:tcW w:w="240" w:type="dxa"/>
            <w:vAlign w:val="bottom"/>
            <w:tcBorders>
              <w:top w:val="single" w:sz="8" w:color="CFF0FC"/>
            </w:tcBorders>
            <w:shd w:val="clear" w:color="auto" w:fill="CFF0FC"/>
          </w:tcPr>
          <w:p>
            <w:pPr>
              <w:spacing w:after="0"/>
              <w:rPr>
                <w:sz w:val="19"/>
                <w:szCs w:val="19"/>
                <w:color w:val="auto"/>
              </w:rPr>
            </w:pPr>
          </w:p>
        </w:tc>
        <w:tc>
          <w:tcPr>
            <w:tcW w:w="10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106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7,412</w:t>
            </w:r>
          </w:p>
        </w:tc>
        <w:tc>
          <w:tcPr>
            <w:tcW w:w="240" w:type="dxa"/>
            <w:vAlign w:val="bottom"/>
            <w:tcBorders>
              <w:top w:val="single" w:sz="8" w:color="CFF0FC"/>
            </w:tcBorders>
            <w:shd w:val="clear" w:color="auto" w:fill="CFF0FC"/>
          </w:tcPr>
          <w:p>
            <w:pPr>
              <w:spacing w:after="0"/>
              <w:rPr>
                <w:sz w:val="19"/>
                <w:szCs w:val="19"/>
                <w:color w:val="auto"/>
              </w:rPr>
            </w:pPr>
          </w:p>
        </w:tc>
        <w:tc>
          <w:tcPr>
            <w:tcW w:w="12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104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(383)</w:t>
            </w:r>
          </w:p>
        </w:tc>
        <w:tc>
          <w:tcPr>
            <w:tcW w:w="220" w:type="dxa"/>
            <w:vAlign w:val="bottom"/>
            <w:tcBorders>
              <w:top w:val="single" w:sz="8" w:color="CFF0FC"/>
            </w:tcBorders>
            <w:shd w:val="clear" w:color="auto" w:fill="CFF0FC"/>
          </w:tcPr>
          <w:p>
            <w:pPr>
              <w:spacing w:after="0"/>
              <w:rPr>
                <w:sz w:val="19"/>
                <w:szCs w:val="19"/>
                <w:color w:val="auto"/>
              </w:rPr>
            </w:pPr>
          </w:p>
        </w:tc>
        <w:tc>
          <w:tcPr>
            <w:tcW w:w="200" w:type="dxa"/>
            <w:vAlign w:val="bottom"/>
            <w:tcBorders>
              <w:top w:val="single" w:sz="8" w:color="auto"/>
            </w:tcBorders>
            <w:shd w:val="clear" w:color="auto" w:fill="CFF0FC"/>
          </w:tcPr>
          <w:p>
            <w:pPr>
              <w:jc w:val="right"/>
              <w:ind w:right="10"/>
              <w:spacing w:after="0"/>
              <w:rPr>
                <w:sz w:val="20"/>
                <w:szCs w:val="20"/>
                <w:color w:val="auto"/>
              </w:rPr>
            </w:pPr>
            <w:r>
              <w:rPr>
                <w:rFonts w:ascii="Arial" w:cs="Arial" w:eastAsia="Arial" w:hAnsi="Arial"/>
                <w:sz w:val="18"/>
                <w:szCs w:val="18"/>
                <w:color w:val="auto"/>
                <w:w w:val="79"/>
              </w:rPr>
              <w:t>$</w:t>
            </w:r>
          </w:p>
        </w:tc>
        <w:tc>
          <w:tcPr>
            <w:tcW w:w="98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280,638</w:t>
            </w:r>
          </w:p>
        </w:tc>
        <w:tc>
          <w:tcPr>
            <w:tcW w:w="120" w:type="dxa"/>
            <w:vAlign w:val="bottom"/>
            <w:tcBorders>
              <w:top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3680" w:type="dxa"/>
            <w:vAlign w:val="bottom"/>
          </w:tcPr>
          <w:p>
            <w:pPr>
              <w:spacing w:after="0"/>
              <w:rPr>
                <w:sz w:val="20"/>
                <w:szCs w:val="20"/>
                <w:color w:val="auto"/>
              </w:rPr>
            </w:pPr>
            <w:r>
              <w:rPr>
                <w:rFonts w:ascii="Arial" w:cs="Arial" w:eastAsia="Arial" w:hAnsi="Arial"/>
                <w:sz w:val="18"/>
                <w:szCs w:val="18"/>
                <w:color w:val="auto"/>
              </w:rPr>
              <w:t>Cost of products</w:t>
            </w:r>
          </w:p>
        </w:tc>
        <w:tc>
          <w:tcPr>
            <w:tcW w:w="23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040" w:type="dxa"/>
            <w:vAlign w:val="bottom"/>
          </w:tcPr>
          <w:p>
            <w:pPr>
              <w:jc w:val="right"/>
              <w:spacing w:after="0"/>
              <w:rPr>
                <w:sz w:val="20"/>
                <w:szCs w:val="20"/>
                <w:color w:val="auto"/>
              </w:rPr>
            </w:pPr>
            <w:r>
              <w:rPr>
                <w:rFonts w:ascii="Arial" w:cs="Arial" w:eastAsia="Arial" w:hAnsi="Arial"/>
                <w:sz w:val="18"/>
                <w:szCs w:val="18"/>
                <w:color w:val="auto"/>
              </w:rPr>
              <w:t>39,514</w:t>
            </w:r>
          </w:p>
        </w:tc>
        <w:tc>
          <w:tcPr>
            <w:tcW w:w="3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300" w:type="dxa"/>
            <w:vAlign w:val="bottom"/>
            <w:gridSpan w:val="2"/>
          </w:tcPr>
          <w:p>
            <w:pPr>
              <w:jc w:val="right"/>
              <w:ind w:right="180"/>
              <w:spacing w:after="0"/>
              <w:rPr>
                <w:sz w:val="20"/>
                <w:szCs w:val="20"/>
                <w:color w:val="auto"/>
              </w:rPr>
            </w:pPr>
            <w:r>
              <w:rPr>
                <w:rFonts w:ascii="Arial" w:cs="Arial" w:eastAsia="Arial" w:hAnsi="Arial"/>
                <w:sz w:val="18"/>
                <w:szCs w:val="18"/>
                <w:color w:val="auto"/>
              </w:rPr>
              <w:t>(7,412)</w:t>
            </w:r>
          </w:p>
        </w:tc>
        <w:tc>
          <w:tcPr>
            <w:tcW w:w="12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26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200" w:type="dxa"/>
            <w:vAlign w:val="bottom"/>
          </w:tcPr>
          <w:p>
            <w:pPr>
              <w:jc w:val="right"/>
              <w:ind w:right="10"/>
              <w:spacing w:after="0"/>
              <w:rPr>
                <w:sz w:val="20"/>
                <w:szCs w:val="20"/>
                <w:color w:val="auto"/>
              </w:rPr>
            </w:pPr>
            <w:r>
              <w:rPr>
                <w:rFonts w:ascii="Arial" w:cs="Arial" w:eastAsia="Arial" w:hAnsi="Arial"/>
                <w:sz w:val="18"/>
                <w:szCs w:val="18"/>
                <w:color w:val="auto"/>
                <w:w w:val="79"/>
              </w:rPr>
              <w:t>$</w:t>
            </w:r>
          </w:p>
        </w:tc>
        <w:tc>
          <w:tcPr>
            <w:tcW w:w="980" w:type="dxa"/>
            <w:vAlign w:val="bottom"/>
          </w:tcPr>
          <w:p>
            <w:pPr>
              <w:jc w:val="right"/>
              <w:spacing w:after="0"/>
              <w:rPr>
                <w:sz w:val="20"/>
                <w:szCs w:val="20"/>
                <w:color w:val="auto"/>
              </w:rPr>
            </w:pPr>
            <w:r>
              <w:rPr>
                <w:rFonts w:ascii="Arial" w:cs="Arial" w:eastAsia="Arial" w:hAnsi="Arial"/>
                <w:sz w:val="18"/>
                <w:szCs w:val="18"/>
                <w:color w:val="auto"/>
              </w:rPr>
              <w:t>32,102</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3680" w:type="dxa"/>
            <w:vAlign w:val="bottom"/>
            <w:shd w:val="clear" w:color="auto" w:fill="CFF0FC"/>
          </w:tcPr>
          <w:p>
            <w:pPr>
              <w:spacing w:after="0"/>
              <w:rPr>
                <w:sz w:val="20"/>
                <w:szCs w:val="20"/>
                <w:color w:val="auto"/>
              </w:rPr>
            </w:pPr>
            <w:r>
              <w:rPr>
                <w:rFonts w:ascii="Arial" w:cs="Arial" w:eastAsia="Arial" w:hAnsi="Arial"/>
                <w:sz w:val="18"/>
                <w:szCs w:val="18"/>
                <w:color w:val="auto"/>
              </w:rPr>
              <w:t>Corporate activities</w:t>
            </w:r>
          </w:p>
        </w:tc>
        <w:tc>
          <w:tcPr>
            <w:tcW w:w="238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0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2,610</w:t>
            </w:r>
          </w:p>
        </w:tc>
        <w:tc>
          <w:tcPr>
            <w:tcW w:w="34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300" w:type="dxa"/>
            <w:vAlign w:val="bottom"/>
            <w:gridSpan w:val="2"/>
            <w:shd w:val="clear" w:color="auto" w:fill="CFF0FC"/>
          </w:tcPr>
          <w:p>
            <w:pPr>
              <w:jc w:val="right"/>
              <w:ind w:right="240"/>
              <w:spacing w:after="0"/>
              <w:rPr>
                <w:sz w:val="20"/>
                <w:szCs w:val="20"/>
                <w:color w:val="auto"/>
              </w:rPr>
            </w:pPr>
            <w:r>
              <w:rPr>
                <w:rFonts w:ascii="Arial" w:cs="Arial" w:eastAsia="Arial" w:hAnsi="Arial"/>
                <w:sz w:val="18"/>
                <w:szCs w:val="18"/>
                <w:color w:val="auto"/>
              </w:rPr>
              <w:t>—</w:t>
            </w:r>
          </w:p>
        </w:tc>
        <w:tc>
          <w:tcPr>
            <w:tcW w:w="120" w:type="dxa"/>
            <w:vAlign w:val="bottom"/>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1260" w:type="dxa"/>
            <w:vAlign w:val="bottom"/>
            <w:gridSpan w:val="2"/>
            <w:shd w:val="clear" w:color="auto" w:fill="CFF0FC"/>
          </w:tcPr>
          <w:p>
            <w:pPr>
              <w:jc w:val="right"/>
              <w:ind w:right="160"/>
              <w:spacing w:after="0"/>
              <w:rPr>
                <w:sz w:val="20"/>
                <w:szCs w:val="20"/>
                <w:color w:val="auto"/>
              </w:rPr>
            </w:pPr>
            <w:r>
              <w:rPr>
                <w:rFonts w:ascii="Arial" w:cs="Arial" w:eastAsia="Arial" w:hAnsi="Arial"/>
                <w:sz w:val="18"/>
                <w:szCs w:val="18"/>
                <w:color w:val="auto"/>
              </w:rPr>
              <w:t>(69)</w:t>
            </w:r>
          </w:p>
        </w:tc>
        <w:tc>
          <w:tcPr>
            <w:tcW w:w="200" w:type="dxa"/>
            <w:vAlign w:val="bottom"/>
            <w:shd w:val="clear" w:color="auto" w:fill="CFF0FC"/>
          </w:tcPr>
          <w:p>
            <w:pPr>
              <w:jc w:val="right"/>
              <w:ind w:right="10"/>
              <w:spacing w:after="0"/>
              <w:rPr>
                <w:sz w:val="20"/>
                <w:szCs w:val="20"/>
                <w:color w:val="auto"/>
              </w:rPr>
            </w:pPr>
            <w:r>
              <w:rPr>
                <w:rFonts w:ascii="Arial" w:cs="Arial" w:eastAsia="Arial" w:hAnsi="Arial"/>
                <w:sz w:val="18"/>
                <w:szCs w:val="18"/>
                <w:color w:val="auto"/>
                <w:w w:val="79"/>
              </w:rPr>
              <w:t>$</w:t>
            </w:r>
          </w:p>
        </w:tc>
        <w:tc>
          <w:tcPr>
            <w:tcW w:w="9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2,541</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680" w:type="dxa"/>
            <w:vAlign w:val="bottom"/>
          </w:tcPr>
          <w:p>
            <w:pPr>
              <w:spacing w:after="0"/>
              <w:rPr>
                <w:sz w:val="20"/>
                <w:szCs w:val="20"/>
                <w:color w:val="auto"/>
              </w:rPr>
            </w:pPr>
            <w:r>
              <w:rPr>
                <w:rFonts w:ascii="Arial" w:cs="Arial" w:eastAsia="Arial" w:hAnsi="Arial"/>
                <w:sz w:val="18"/>
                <w:szCs w:val="18"/>
                <w:color w:val="auto"/>
              </w:rPr>
              <w:t>Other expense</w:t>
            </w:r>
          </w:p>
        </w:tc>
        <w:tc>
          <w:tcPr>
            <w:tcW w:w="23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040" w:type="dxa"/>
            <w:vAlign w:val="bottom"/>
          </w:tcPr>
          <w:p>
            <w:pPr>
              <w:jc w:val="right"/>
              <w:spacing w:after="0"/>
              <w:rPr>
                <w:sz w:val="20"/>
                <w:szCs w:val="20"/>
                <w:color w:val="auto"/>
              </w:rPr>
            </w:pPr>
            <w:r>
              <w:rPr>
                <w:rFonts w:ascii="Arial" w:cs="Arial" w:eastAsia="Arial" w:hAnsi="Arial"/>
                <w:sz w:val="18"/>
                <w:szCs w:val="18"/>
                <w:color w:val="auto"/>
              </w:rPr>
              <w:t>—</w:t>
            </w:r>
          </w:p>
        </w:tc>
        <w:tc>
          <w:tcPr>
            <w:tcW w:w="3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30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12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040" w:type="dxa"/>
            <w:vAlign w:val="bottom"/>
          </w:tcPr>
          <w:p>
            <w:pPr>
              <w:jc w:val="right"/>
              <w:spacing w:after="0"/>
              <w:rPr>
                <w:sz w:val="20"/>
                <w:szCs w:val="20"/>
                <w:color w:val="auto"/>
              </w:rPr>
            </w:pPr>
            <w:r>
              <w:rPr>
                <w:rFonts w:ascii="Arial" w:cs="Arial" w:eastAsia="Arial" w:hAnsi="Arial"/>
                <w:sz w:val="18"/>
                <w:szCs w:val="18"/>
                <w:color w:val="auto"/>
              </w:rPr>
              <w:t>452</w:t>
            </w:r>
          </w:p>
        </w:tc>
        <w:tc>
          <w:tcPr>
            <w:tcW w:w="220" w:type="dxa"/>
            <w:vAlign w:val="bottom"/>
          </w:tcPr>
          <w:p>
            <w:pPr>
              <w:spacing w:after="0"/>
              <w:rPr>
                <w:sz w:val="19"/>
                <w:szCs w:val="19"/>
                <w:color w:val="auto"/>
              </w:rPr>
            </w:pPr>
          </w:p>
        </w:tc>
        <w:tc>
          <w:tcPr>
            <w:tcW w:w="200" w:type="dxa"/>
            <w:vAlign w:val="bottom"/>
          </w:tcPr>
          <w:p>
            <w:pPr>
              <w:jc w:val="right"/>
              <w:ind w:right="10"/>
              <w:spacing w:after="0"/>
              <w:rPr>
                <w:sz w:val="20"/>
                <w:szCs w:val="20"/>
                <w:color w:val="auto"/>
              </w:rPr>
            </w:pPr>
            <w:r>
              <w:rPr>
                <w:rFonts w:ascii="Arial" w:cs="Arial" w:eastAsia="Arial" w:hAnsi="Arial"/>
                <w:sz w:val="18"/>
                <w:szCs w:val="18"/>
                <w:color w:val="auto"/>
                <w:w w:val="79"/>
              </w:rPr>
              <w:t>$</w:t>
            </w:r>
          </w:p>
        </w:tc>
        <w:tc>
          <w:tcPr>
            <w:tcW w:w="980" w:type="dxa"/>
            <w:vAlign w:val="bottom"/>
          </w:tcPr>
          <w:p>
            <w:pPr>
              <w:jc w:val="right"/>
              <w:spacing w:after="0"/>
              <w:rPr>
                <w:sz w:val="20"/>
                <w:szCs w:val="20"/>
                <w:color w:val="auto"/>
              </w:rPr>
            </w:pPr>
            <w:r>
              <w:rPr>
                <w:rFonts w:ascii="Arial" w:cs="Arial" w:eastAsia="Arial" w:hAnsi="Arial"/>
                <w:sz w:val="18"/>
                <w:szCs w:val="18"/>
                <w:color w:val="auto"/>
              </w:rPr>
              <w:t>452</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34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Significant Accounting Policies</w:t>
      </w:r>
    </w:p>
    <w:p>
      <w:pPr>
        <w:spacing w:after="0" w:line="12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Use of Estimates</w:t>
      </w:r>
    </w:p>
    <w:p>
      <w:pPr>
        <w:spacing w:after="0" w:line="116" w:lineRule="exact"/>
        <w:rPr>
          <w:sz w:val="20"/>
          <w:szCs w:val="20"/>
          <w:color w:val="auto"/>
        </w:rPr>
      </w:pPr>
    </w:p>
    <w:p>
      <w:pPr>
        <w:jc w:val="both"/>
        <w:spacing w:after="0" w:line="289" w:lineRule="auto"/>
        <w:rPr>
          <w:sz w:val="20"/>
          <w:szCs w:val="20"/>
          <w:color w:val="auto"/>
        </w:rPr>
      </w:pPr>
      <w:r>
        <w:rPr>
          <w:rFonts w:ascii="Arial" w:cs="Arial" w:eastAsia="Arial" w:hAnsi="Arial"/>
          <w:sz w:val="16"/>
          <w:szCs w:val="16"/>
          <w:color w:val="auto"/>
        </w:rPr>
        <w:t>The preparation of financial statements in conformity with GAAP requires management to make estimates and assumptions that affect the reported amounts of assets and liabilities at the date of the financial statements and the reported amounts of revenue and expenses during the reported period. Estimates and assumptions are used in accounting for, among other things, the fair value of our reporting units used to perform annual impairment testing of recorded goodwill; allowances for uncollectible accounts receivable; provisions for income taxes, including uncertain tax positions; valuation allowances related to deferred tax assets; liabilities for losses related to self-insured liability claims; liabilities for losses related to environmental remediation obligations; sublease income associated with restructuring liabilities; assumptions used to measure pension and postretirement benefit costs and obligations; assumptions used to determine share-based compensation costs under the fair value method; assumptions in the redemption value of redeemable noncontrolling interests; and allocation of purchase price of acquired businesses. Actual results could differ from these and other estimates.</w:t>
      </w:r>
    </w:p>
    <w:p>
      <w:pPr>
        <w:spacing w:after="0" w:line="27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Revenue Recognition</w:t>
      </w:r>
    </w:p>
    <w:p>
      <w:pPr>
        <w:spacing w:after="0" w:line="116" w:lineRule="exact"/>
        <w:rPr>
          <w:sz w:val="20"/>
          <w:szCs w:val="20"/>
          <w:color w:val="auto"/>
        </w:rPr>
      </w:pPr>
    </w:p>
    <w:p>
      <w:pPr>
        <w:jc w:val="both"/>
        <w:spacing w:after="0" w:line="262" w:lineRule="auto"/>
        <w:rPr>
          <w:sz w:val="20"/>
          <w:szCs w:val="20"/>
          <w:color w:val="auto"/>
        </w:rPr>
      </w:pPr>
      <w:r>
        <w:rPr>
          <w:rFonts w:ascii="Arial" w:cs="Arial" w:eastAsia="Arial" w:hAnsi="Arial"/>
          <w:sz w:val="18"/>
          <w:szCs w:val="18"/>
          <w:color w:val="auto"/>
        </w:rPr>
        <w:t>Beginning January 1, 2018, revenue is measured based on a specified amount of consideration in a contract with a customer, net of commissions paid to customers and amounts collected on behalf of third parties. We recognize revenue when a performance obligation is satisfied by transferring control of a product or service to a customer.</w:t>
      </w:r>
    </w:p>
    <w:p>
      <w:pPr>
        <w:spacing w:after="0" w:line="129" w:lineRule="exact"/>
        <w:rPr>
          <w:sz w:val="20"/>
          <w:szCs w:val="20"/>
          <w:color w:val="auto"/>
        </w:rPr>
      </w:pPr>
    </w:p>
    <w:p>
      <w:pPr>
        <w:jc w:val="both"/>
        <w:ind w:right="20"/>
        <w:spacing w:after="0" w:line="275" w:lineRule="auto"/>
        <w:rPr>
          <w:sz w:val="20"/>
          <w:szCs w:val="20"/>
          <w:color w:val="auto"/>
        </w:rPr>
      </w:pPr>
      <w:r>
        <w:rPr>
          <w:rFonts w:ascii="Arial" w:cs="Arial" w:eastAsia="Arial" w:hAnsi="Arial"/>
          <w:sz w:val="18"/>
          <w:szCs w:val="18"/>
          <w:color w:val="auto"/>
        </w:rPr>
        <w:t>GES’ service revenue is primarily derived through its comprehensive range of services to event organizers and corporate brand marketers including Core Services, Audio-Visual, and Event Technology. GES’ service revenue is recognized when we have a right to</w:t>
      </w:r>
    </w:p>
    <w:p>
      <w:pPr>
        <w:spacing w:after="0" w:line="17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69850</wp:posOffset>
            </wp:positionV>
            <wp:extent cx="7289800" cy="425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1420"/>
          </w:cols>
          <w:pgMar w:left="240" w:top="340" w:right="239" w:bottom="1440" w:gutter="0" w:footer="0" w:header="0"/>
        </w:sectPr>
      </w:pPr>
    </w:p>
    <w:bookmarkStart w:id="11" w:name="page12"/>
    <w:bookmarkEnd w:id="11"/>
    <w:p>
      <w:pPr>
        <w:jc w:val="both"/>
        <w:spacing w:after="0" w:line="278" w:lineRule="auto"/>
        <w:rPr>
          <w:sz w:val="20"/>
          <w:szCs w:val="20"/>
          <w:color w:val="auto"/>
        </w:rPr>
      </w:pPr>
      <w:r>
        <w:rPr>
          <w:rFonts w:ascii="Arial" w:cs="Arial" w:eastAsia="Arial" w:hAnsi="Arial"/>
          <w:sz w:val="17"/>
          <w:szCs w:val="17"/>
          <w:color w:val="auto"/>
        </w:rPr>
        <w:t>invoice, net of commissions paid to customers, at the close of the event. GES’ product revenue is derived from the build of exhibits and environments and graphics. GES’ product revenue from the build of exhibits is recognized upon delivery of the product while graphics is recognized at the close of the event when we have the right to invoice. GES’ service revenue and graphics product revenue are recognized over time as they are considered part of a single performance obligation satisfied over time. GES’ product revenue from the build of exhibits is recognized at a point in time.</w:t>
      </w:r>
    </w:p>
    <w:p>
      <w:pPr>
        <w:spacing w:after="0" w:line="116" w:lineRule="exact"/>
        <w:rPr>
          <w:sz w:val="20"/>
          <w:szCs w:val="20"/>
          <w:color w:val="auto"/>
        </w:rPr>
      </w:pPr>
    </w:p>
    <w:p>
      <w:pPr>
        <w:jc w:val="both"/>
        <w:spacing w:after="0" w:line="310" w:lineRule="auto"/>
        <w:rPr>
          <w:sz w:val="20"/>
          <w:szCs w:val="20"/>
          <w:color w:val="auto"/>
        </w:rPr>
      </w:pPr>
      <w:r>
        <w:rPr>
          <w:rFonts w:ascii="Arial" w:cs="Arial" w:eastAsia="Arial" w:hAnsi="Arial"/>
          <w:sz w:val="16"/>
          <w:szCs w:val="16"/>
          <w:color w:val="auto"/>
        </w:rPr>
        <w:t>Pursuit’s service revenue is derived through its accommodations, admissions, transportation, and travel planning services. Pursuit’s product revenue is derived through food and beverage and retail sales. Pursuit’s revenue is recognized at the time services are performed or upon delivery of the product. Pursuit’s service revenue is recognized over time as the customer simultaneously receives and consumes the benefits. Pursuit’s product revenue is recognized at a point in time.</w:t>
      </w:r>
    </w:p>
    <w:p>
      <w:pPr>
        <w:spacing w:after="0" w:line="94" w:lineRule="exact"/>
        <w:rPr>
          <w:sz w:val="20"/>
          <w:szCs w:val="20"/>
          <w:color w:val="auto"/>
        </w:rPr>
      </w:pPr>
    </w:p>
    <w:p>
      <w:pPr>
        <w:jc w:val="both"/>
        <w:spacing w:after="0" w:line="275" w:lineRule="auto"/>
        <w:rPr>
          <w:sz w:val="20"/>
          <w:szCs w:val="20"/>
          <w:color w:val="auto"/>
        </w:rPr>
      </w:pPr>
      <w:r>
        <w:rPr>
          <w:rFonts w:ascii="Arial" w:cs="Arial" w:eastAsia="Arial" w:hAnsi="Arial"/>
          <w:sz w:val="18"/>
          <w:szCs w:val="18"/>
          <w:color w:val="auto"/>
        </w:rPr>
        <w:t>The following table summarizes the impact of adopting Topic 606 on our unaudited Condensed Consolidated Statement of Operations for the three months ended March 31, 2018:</w:t>
      </w:r>
    </w:p>
    <w:p>
      <w:pPr>
        <w:spacing w:after="0" w:line="243"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4140" w:type="dxa"/>
            <w:vAlign w:val="bottom"/>
          </w:tcPr>
          <w:p>
            <w:pPr>
              <w:spacing w:after="0"/>
              <w:rPr>
                <w:sz w:val="14"/>
                <w:szCs w:val="14"/>
                <w:color w:val="auto"/>
              </w:rPr>
            </w:pPr>
          </w:p>
        </w:tc>
        <w:tc>
          <w:tcPr>
            <w:tcW w:w="262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3320" w:type="dxa"/>
            <w:vAlign w:val="bottom"/>
            <w:tcBorders>
              <w:bottom w:val="single" w:sz="8" w:color="auto"/>
            </w:tcBorders>
            <w:gridSpan w:val="7"/>
          </w:tcPr>
          <w:p>
            <w:pPr>
              <w:jc w:val="right"/>
              <w:ind w:right="20"/>
              <w:spacing w:after="0"/>
              <w:rPr>
                <w:sz w:val="20"/>
                <w:szCs w:val="20"/>
                <w:color w:val="auto"/>
              </w:rPr>
            </w:pPr>
            <w:r>
              <w:rPr>
                <w:rFonts w:ascii="Arial" w:cs="Arial" w:eastAsia="Arial" w:hAnsi="Arial"/>
                <w:sz w:val="14"/>
                <w:szCs w:val="14"/>
                <w:b w:val="1"/>
                <w:bCs w:val="1"/>
                <w:color w:val="auto"/>
              </w:rPr>
              <w:t>Three Months Ended March 31, 2018</w:t>
            </w:r>
          </w:p>
        </w:tc>
        <w:tc>
          <w:tcPr>
            <w:tcW w:w="1100" w:type="dxa"/>
            <w:vAlign w:val="bottom"/>
            <w:tcBorders>
              <w:bottom w:val="single" w:sz="8" w:color="auto"/>
            </w:tcBorders>
          </w:tcPr>
          <w:p>
            <w:pPr>
              <w:spacing w:after="0"/>
              <w:rPr>
                <w:sz w:val="14"/>
                <w:szCs w:val="14"/>
                <w:color w:val="auto"/>
              </w:rPr>
            </w:pP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2"/>
        </w:trPr>
        <w:tc>
          <w:tcPr>
            <w:tcW w:w="4140" w:type="dxa"/>
            <w:vAlign w:val="bottom"/>
          </w:tcPr>
          <w:p>
            <w:pPr>
              <w:spacing w:after="0"/>
              <w:rPr>
                <w:sz w:val="11"/>
                <w:szCs w:val="11"/>
                <w:color w:val="auto"/>
              </w:rPr>
            </w:pPr>
          </w:p>
        </w:tc>
        <w:tc>
          <w:tcPr>
            <w:tcW w:w="26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80" w:type="dxa"/>
            <w:vAlign w:val="bottom"/>
            <w:gridSpan w:val="2"/>
          </w:tcPr>
          <w:p>
            <w:pPr>
              <w:jc w:val="center"/>
              <w:ind w:right="360"/>
              <w:spacing w:after="0" w:line="132" w:lineRule="exact"/>
              <w:rPr>
                <w:sz w:val="20"/>
                <w:szCs w:val="20"/>
                <w:color w:val="auto"/>
              </w:rPr>
            </w:pPr>
            <w:r>
              <w:rPr>
                <w:rFonts w:ascii="Arial" w:cs="Arial" w:eastAsia="Arial" w:hAnsi="Arial"/>
                <w:sz w:val="14"/>
                <w:szCs w:val="14"/>
                <w:b w:val="1"/>
                <w:bCs w:val="1"/>
                <w:color w:val="auto"/>
                <w:w w:val="90"/>
              </w:rPr>
              <w:t>Balances without</w:t>
            </w:r>
          </w:p>
        </w:tc>
        <w:tc>
          <w:tcPr>
            <w:tcW w:w="140" w:type="dxa"/>
            <w:vAlign w:val="bottom"/>
          </w:tcPr>
          <w:p>
            <w:pPr>
              <w:spacing w:after="0"/>
              <w:rPr>
                <w:sz w:val="11"/>
                <w:szCs w:val="11"/>
                <w:color w:val="auto"/>
              </w:rPr>
            </w:pPr>
          </w:p>
        </w:tc>
        <w:tc>
          <w:tcPr>
            <w:tcW w:w="12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8"/>
        </w:trPr>
        <w:tc>
          <w:tcPr>
            <w:tcW w:w="4140" w:type="dxa"/>
            <w:vAlign w:val="bottom"/>
            <w:vMerge w:val="restart"/>
          </w:tcPr>
          <w:p>
            <w:pPr>
              <w:spacing w:after="0"/>
              <w:rPr>
                <w:sz w:val="20"/>
                <w:szCs w:val="20"/>
                <w:color w:val="auto"/>
              </w:rPr>
            </w:pPr>
            <w:r>
              <w:rPr>
                <w:rFonts w:ascii="Arial" w:cs="Arial" w:eastAsia="Arial" w:hAnsi="Arial"/>
                <w:sz w:val="18"/>
                <w:szCs w:val="18"/>
                <w:i w:val="1"/>
                <w:iCs w:val="1"/>
                <w:color w:val="auto"/>
              </w:rPr>
              <w:t>(in thousands)</w:t>
            </w:r>
          </w:p>
        </w:tc>
        <w:tc>
          <w:tcPr>
            <w:tcW w:w="26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80" w:type="dxa"/>
            <w:vAlign w:val="bottom"/>
            <w:gridSpan w:val="2"/>
          </w:tcPr>
          <w:p>
            <w:pPr>
              <w:jc w:val="center"/>
              <w:ind w:right="360"/>
              <w:spacing w:after="0" w:line="148" w:lineRule="exact"/>
              <w:rPr>
                <w:sz w:val="20"/>
                <w:szCs w:val="20"/>
                <w:color w:val="auto"/>
              </w:rPr>
            </w:pPr>
            <w:r>
              <w:rPr>
                <w:rFonts w:ascii="Arial" w:cs="Arial" w:eastAsia="Arial" w:hAnsi="Arial"/>
                <w:sz w:val="14"/>
                <w:szCs w:val="14"/>
                <w:b w:val="1"/>
                <w:bCs w:val="1"/>
                <w:color w:val="auto"/>
                <w:w w:val="91"/>
              </w:rPr>
              <w:t>Adoption of</w:t>
            </w:r>
          </w:p>
        </w:tc>
        <w:tc>
          <w:tcPr>
            <w:tcW w:w="140" w:type="dxa"/>
            <w:vAlign w:val="bottom"/>
          </w:tcPr>
          <w:p>
            <w:pPr>
              <w:spacing w:after="0"/>
              <w:rPr>
                <w:sz w:val="12"/>
                <w:szCs w:val="12"/>
                <w:color w:val="auto"/>
              </w:rPr>
            </w:pPr>
          </w:p>
        </w:tc>
        <w:tc>
          <w:tcPr>
            <w:tcW w:w="1380" w:type="dxa"/>
            <w:vAlign w:val="bottom"/>
            <w:gridSpan w:val="2"/>
            <w:vMerge w:val="restart"/>
          </w:tcPr>
          <w:p>
            <w:pPr>
              <w:jc w:val="right"/>
              <w:ind w:right="320"/>
              <w:spacing w:after="0"/>
              <w:rPr>
                <w:sz w:val="20"/>
                <w:szCs w:val="20"/>
                <w:color w:val="auto"/>
              </w:rPr>
            </w:pPr>
            <w:r>
              <w:rPr>
                <w:rFonts w:ascii="Arial" w:cs="Arial" w:eastAsia="Arial" w:hAnsi="Arial"/>
                <w:sz w:val="14"/>
                <w:szCs w:val="14"/>
                <w:b w:val="1"/>
                <w:bCs w:val="1"/>
                <w:color w:val="auto"/>
                <w:w w:val="93"/>
              </w:rPr>
              <w:t>Effect of Change</w:t>
            </w:r>
          </w:p>
        </w:tc>
        <w:tc>
          <w:tcPr>
            <w:tcW w:w="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220" w:type="dxa"/>
            <w:vAlign w:val="bottom"/>
            <w:gridSpan w:val="2"/>
            <w:vMerge w:val="restart"/>
          </w:tcPr>
          <w:p>
            <w:pPr>
              <w:jc w:val="right"/>
              <w:ind w:right="400"/>
              <w:spacing w:after="0"/>
              <w:rPr>
                <w:sz w:val="20"/>
                <w:szCs w:val="20"/>
                <w:color w:val="auto"/>
              </w:rPr>
            </w:pPr>
            <w:r>
              <w:rPr>
                <w:rFonts w:ascii="Arial" w:cs="Arial" w:eastAsia="Arial" w:hAnsi="Arial"/>
                <w:sz w:val="14"/>
                <w:szCs w:val="14"/>
                <w:b w:val="1"/>
                <w:bCs w:val="1"/>
                <w:color w:val="auto"/>
                <w:w w:val="96"/>
              </w:rPr>
              <w:t>As Reported</w:t>
            </w:r>
          </w:p>
        </w:tc>
        <w:tc>
          <w:tcPr>
            <w:tcW w:w="0" w:type="dxa"/>
            <w:vAlign w:val="bottom"/>
          </w:tcPr>
          <w:p>
            <w:pPr>
              <w:spacing w:after="0"/>
              <w:rPr>
                <w:sz w:val="1"/>
                <w:szCs w:val="1"/>
                <w:color w:val="auto"/>
              </w:rPr>
            </w:pPr>
          </w:p>
        </w:tc>
      </w:tr>
      <w:tr>
        <w:trPr>
          <w:trHeight w:val="171"/>
        </w:trPr>
        <w:tc>
          <w:tcPr>
            <w:tcW w:w="4140" w:type="dxa"/>
            <w:vAlign w:val="bottom"/>
            <w:vMerge w:val="continue"/>
          </w:tcPr>
          <w:p>
            <w:pPr>
              <w:spacing w:after="0"/>
              <w:rPr>
                <w:sz w:val="14"/>
                <w:szCs w:val="14"/>
                <w:color w:val="auto"/>
              </w:rPr>
            </w:pPr>
          </w:p>
        </w:tc>
        <w:tc>
          <w:tcPr>
            <w:tcW w:w="26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480" w:type="dxa"/>
            <w:vAlign w:val="bottom"/>
            <w:gridSpan w:val="2"/>
          </w:tcPr>
          <w:p>
            <w:pPr>
              <w:jc w:val="center"/>
              <w:ind w:right="380"/>
              <w:spacing w:after="0"/>
              <w:rPr>
                <w:sz w:val="20"/>
                <w:szCs w:val="20"/>
                <w:color w:val="auto"/>
              </w:rPr>
            </w:pPr>
            <w:r>
              <w:rPr>
                <w:rFonts w:ascii="Arial" w:cs="Arial" w:eastAsia="Arial" w:hAnsi="Arial"/>
                <w:sz w:val="14"/>
                <w:szCs w:val="14"/>
                <w:b w:val="1"/>
                <w:bCs w:val="1"/>
                <w:color w:val="auto"/>
                <w:w w:val="89"/>
              </w:rPr>
              <w:t>Topic 606</w:t>
            </w:r>
          </w:p>
        </w:tc>
        <w:tc>
          <w:tcPr>
            <w:tcW w:w="140" w:type="dxa"/>
            <w:vAlign w:val="bottom"/>
          </w:tcPr>
          <w:p>
            <w:pPr>
              <w:spacing w:after="0"/>
              <w:rPr>
                <w:sz w:val="14"/>
                <w:szCs w:val="14"/>
                <w:color w:val="auto"/>
              </w:rPr>
            </w:pPr>
          </w:p>
        </w:tc>
        <w:tc>
          <w:tcPr>
            <w:tcW w:w="1380" w:type="dxa"/>
            <w:vAlign w:val="bottom"/>
            <w:gridSpan w:val="2"/>
            <w:vMerge w:val="continue"/>
          </w:tcPr>
          <w:p>
            <w:pPr>
              <w:spacing w:after="0"/>
              <w:rPr>
                <w:sz w:val="14"/>
                <w:szCs w:val="14"/>
                <w:color w:val="auto"/>
              </w:rPr>
            </w:pPr>
          </w:p>
        </w:tc>
        <w:tc>
          <w:tcPr>
            <w:tcW w:w="8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220" w:type="dxa"/>
            <w:vAlign w:val="bottom"/>
            <w:gridSpan w:val="2"/>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22"/>
        </w:trPr>
        <w:tc>
          <w:tcPr>
            <w:tcW w:w="414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8"/>
                <w:szCs w:val="18"/>
                <w:b w:val="1"/>
                <w:bCs w:val="1"/>
                <w:color w:val="auto"/>
              </w:rPr>
              <w:t>Revenue:</w:t>
            </w:r>
          </w:p>
        </w:tc>
        <w:tc>
          <w:tcPr>
            <w:tcW w:w="2620" w:type="dxa"/>
            <w:vAlign w:val="bottom"/>
            <w:tcBorders>
              <w:top w:val="single" w:sz="8" w:color="CFF0FC"/>
            </w:tcBorders>
            <w:shd w:val="clear" w:color="auto" w:fill="CFF0FC"/>
          </w:tcPr>
          <w:p>
            <w:pPr>
              <w:spacing w:after="0"/>
              <w:rPr>
                <w:sz w:val="19"/>
                <w:szCs w:val="19"/>
                <w:color w:val="auto"/>
              </w:rPr>
            </w:pPr>
          </w:p>
        </w:tc>
        <w:tc>
          <w:tcPr>
            <w:tcW w:w="120" w:type="dxa"/>
            <w:vAlign w:val="bottom"/>
            <w:tcBorders>
              <w:top w:val="single" w:sz="8" w:color="auto"/>
            </w:tcBorders>
            <w:shd w:val="clear" w:color="auto" w:fill="CFF0FC"/>
          </w:tcPr>
          <w:p>
            <w:pPr>
              <w:spacing w:after="0"/>
              <w:rPr>
                <w:sz w:val="19"/>
                <w:szCs w:val="19"/>
                <w:color w:val="auto"/>
              </w:rPr>
            </w:pPr>
          </w:p>
        </w:tc>
        <w:tc>
          <w:tcPr>
            <w:tcW w:w="1240" w:type="dxa"/>
            <w:vAlign w:val="bottom"/>
            <w:tcBorders>
              <w:top w:val="single" w:sz="8" w:color="auto"/>
            </w:tcBorders>
            <w:shd w:val="clear" w:color="auto" w:fill="CFF0FC"/>
          </w:tcPr>
          <w:p>
            <w:pPr>
              <w:spacing w:after="0"/>
              <w:rPr>
                <w:sz w:val="19"/>
                <w:szCs w:val="19"/>
                <w:color w:val="auto"/>
              </w:rPr>
            </w:pPr>
          </w:p>
        </w:tc>
        <w:tc>
          <w:tcPr>
            <w:tcW w:w="240" w:type="dxa"/>
            <w:vAlign w:val="bottom"/>
            <w:tcBorders>
              <w:top w:val="single" w:sz="8" w:color="CFF0FC"/>
            </w:tcBorders>
            <w:shd w:val="clear" w:color="auto" w:fill="CFF0FC"/>
          </w:tcPr>
          <w:p>
            <w:pPr>
              <w:spacing w:after="0"/>
              <w:rPr>
                <w:sz w:val="19"/>
                <w:szCs w:val="19"/>
                <w:color w:val="auto"/>
              </w:rPr>
            </w:pPr>
          </w:p>
        </w:tc>
        <w:tc>
          <w:tcPr>
            <w:tcW w:w="140" w:type="dxa"/>
            <w:vAlign w:val="bottom"/>
            <w:tcBorders>
              <w:top w:val="single" w:sz="8" w:color="auto"/>
            </w:tcBorders>
            <w:shd w:val="clear" w:color="auto" w:fill="CFF0FC"/>
          </w:tcPr>
          <w:p>
            <w:pPr>
              <w:spacing w:after="0"/>
              <w:rPr>
                <w:sz w:val="19"/>
                <w:szCs w:val="19"/>
                <w:color w:val="auto"/>
              </w:rPr>
            </w:pPr>
          </w:p>
        </w:tc>
        <w:tc>
          <w:tcPr>
            <w:tcW w:w="1220" w:type="dxa"/>
            <w:vAlign w:val="bottom"/>
            <w:tcBorders>
              <w:top w:val="single" w:sz="8" w:color="auto"/>
            </w:tcBorders>
            <w:shd w:val="clear" w:color="auto" w:fill="CFF0FC"/>
          </w:tcPr>
          <w:p>
            <w:pPr>
              <w:spacing w:after="0"/>
              <w:rPr>
                <w:sz w:val="19"/>
                <w:szCs w:val="19"/>
                <w:color w:val="auto"/>
              </w:rPr>
            </w:pPr>
          </w:p>
        </w:tc>
        <w:tc>
          <w:tcPr>
            <w:tcW w:w="160" w:type="dxa"/>
            <w:vAlign w:val="bottom"/>
            <w:tcBorders>
              <w:top w:val="single" w:sz="8" w:color="CFF0FC"/>
            </w:tcBorders>
            <w:shd w:val="clear" w:color="auto" w:fill="CFF0FC"/>
          </w:tcPr>
          <w:p>
            <w:pPr>
              <w:spacing w:after="0"/>
              <w:rPr>
                <w:sz w:val="19"/>
                <w:szCs w:val="19"/>
                <w:color w:val="auto"/>
              </w:rPr>
            </w:pPr>
          </w:p>
        </w:tc>
        <w:tc>
          <w:tcPr>
            <w:tcW w:w="80" w:type="dxa"/>
            <w:vAlign w:val="bottom"/>
            <w:tcBorders>
              <w:top w:val="single" w:sz="8" w:color="CFF0FC"/>
            </w:tcBorders>
            <w:shd w:val="clear" w:color="auto" w:fill="CFF0FC"/>
          </w:tcPr>
          <w:p>
            <w:pPr>
              <w:spacing w:after="0"/>
              <w:rPr>
                <w:sz w:val="19"/>
                <w:szCs w:val="19"/>
                <w:color w:val="auto"/>
              </w:rPr>
            </w:pPr>
          </w:p>
        </w:tc>
        <w:tc>
          <w:tcPr>
            <w:tcW w:w="240" w:type="dxa"/>
            <w:vAlign w:val="bottom"/>
            <w:tcBorders>
              <w:top w:val="single" w:sz="8" w:color="auto"/>
            </w:tcBorders>
            <w:shd w:val="clear" w:color="auto" w:fill="CFF0FC"/>
          </w:tcPr>
          <w:p>
            <w:pPr>
              <w:spacing w:after="0"/>
              <w:rPr>
                <w:sz w:val="19"/>
                <w:szCs w:val="19"/>
                <w:color w:val="auto"/>
              </w:rPr>
            </w:pPr>
          </w:p>
        </w:tc>
        <w:tc>
          <w:tcPr>
            <w:tcW w:w="1100" w:type="dxa"/>
            <w:vAlign w:val="bottom"/>
            <w:tcBorders>
              <w:top w:val="single" w:sz="8" w:color="auto"/>
            </w:tcBorders>
            <w:shd w:val="clear" w:color="auto" w:fill="CFF0FC"/>
          </w:tcPr>
          <w:p>
            <w:pPr>
              <w:spacing w:after="0"/>
              <w:rPr>
                <w:sz w:val="19"/>
                <w:szCs w:val="19"/>
                <w:color w:val="auto"/>
              </w:rPr>
            </w:pPr>
          </w:p>
        </w:tc>
        <w:tc>
          <w:tcPr>
            <w:tcW w:w="120" w:type="dxa"/>
            <w:vAlign w:val="bottom"/>
            <w:tcBorders>
              <w:top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4140" w:type="dxa"/>
            <w:vAlign w:val="bottom"/>
          </w:tcPr>
          <w:p>
            <w:pPr>
              <w:ind w:left="140"/>
              <w:spacing w:after="0"/>
              <w:rPr>
                <w:sz w:val="20"/>
                <w:szCs w:val="20"/>
                <w:color w:val="auto"/>
              </w:rPr>
            </w:pPr>
            <w:r>
              <w:rPr>
                <w:rFonts w:ascii="Arial" w:cs="Arial" w:eastAsia="Arial" w:hAnsi="Arial"/>
                <w:sz w:val="18"/>
                <w:szCs w:val="18"/>
                <w:color w:val="auto"/>
              </w:rPr>
              <w:t>GES services</w:t>
            </w:r>
          </w:p>
        </w:tc>
        <w:tc>
          <w:tcPr>
            <w:tcW w:w="274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1240" w:type="dxa"/>
            <w:vAlign w:val="bottom"/>
          </w:tcPr>
          <w:p>
            <w:pPr>
              <w:jc w:val="right"/>
              <w:spacing w:after="0"/>
              <w:rPr>
                <w:sz w:val="20"/>
                <w:szCs w:val="20"/>
                <w:color w:val="auto"/>
              </w:rPr>
            </w:pPr>
            <w:r>
              <w:rPr>
                <w:rFonts w:ascii="Arial" w:cs="Arial" w:eastAsia="Arial" w:hAnsi="Arial"/>
                <w:sz w:val="18"/>
                <w:szCs w:val="18"/>
                <w:color w:val="auto"/>
              </w:rPr>
              <w:t>237,793</w:t>
            </w:r>
          </w:p>
        </w:tc>
        <w:tc>
          <w:tcPr>
            <w:tcW w:w="240" w:type="dxa"/>
            <w:vAlign w:val="bottom"/>
          </w:tcPr>
          <w:p>
            <w:pPr>
              <w:spacing w:after="0"/>
              <w:rPr>
                <w:sz w:val="19"/>
                <w:szCs w:val="19"/>
                <w:color w:val="auto"/>
              </w:rPr>
            </w:pPr>
          </w:p>
        </w:tc>
        <w:tc>
          <w:tcPr>
            <w:tcW w:w="14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220" w:type="dxa"/>
            <w:vAlign w:val="bottom"/>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9"/>
                <w:szCs w:val="19"/>
                <w:color w:val="auto"/>
              </w:rPr>
            </w:pPr>
          </w:p>
        </w:tc>
        <w:tc>
          <w:tcPr>
            <w:tcW w:w="32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1100" w:type="dxa"/>
            <w:vAlign w:val="bottom"/>
          </w:tcPr>
          <w:p>
            <w:pPr>
              <w:jc w:val="right"/>
              <w:spacing w:after="0"/>
              <w:rPr>
                <w:sz w:val="20"/>
                <w:szCs w:val="20"/>
                <w:color w:val="auto"/>
              </w:rPr>
            </w:pPr>
            <w:r>
              <w:rPr>
                <w:rFonts w:ascii="Arial" w:cs="Arial" w:eastAsia="Arial" w:hAnsi="Arial"/>
                <w:sz w:val="18"/>
                <w:szCs w:val="18"/>
                <w:color w:val="auto"/>
              </w:rPr>
              <w:t>237,793</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4140" w:type="dxa"/>
            <w:vAlign w:val="bottom"/>
            <w:shd w:val="clear" w:color="auto" w:fill="CFF0FC"/>
          </w:tcPr>
          <w:p>
            <w:pPr>
              <w:ind w:left="140"/>
              <w:spacing w:after="0"/>
              <w:rPr>
                <w:sz w:val="20"/>
                <w:szCs w:val="20"/>
                <w:color w:val="auto"/>
              </w:rPr>
            </w:pPr>
            <w:r>
              <w:rPr>
                <w:rFonts w:ascii="Arial" w:cs="Arial" w:eastAsia="Arial" w:hAnsi="Arial"/>
                <w:sz w:val="18"/>
                <w:szCs w:val="18"/>
                <w:color w:val="auto"/>
              </w:rPr>
              <w:t>GES products</w:t>
            </w:r>
          </w:p>
        </w:tc>
        <w:tc>
          <w:tcPr>
            <w:tcW w:w="2740" w:type="dxa"/>
            <w:vAlign w:val="bottom"/>
            <w:gridSpan w:val="2"/>
            <w:shd w:val="clear" w:color="auto" w:fill="CFF0FC"/>
          </w:tcPr>
          <w:p>
            <w:pPr>
              <w:jc w:val="right"/>
              <w:ind w:right="20"/>
              <w:spacing w:after="0"/>
              <w:rPr>
                <w:sz w:val="20"/>
                <w:szCs w:val="20"/>
                <w:color w:val="auto"/>
              </w:rPr>
            </w:pPr>
            <w:r>
              <w:rPr>
                <w:rFonts w:ascii="Arial" w:cs="Arial" w:eastAsia="Arial" w:hAnsi="Arial"/>
                <w:sz w:val="18"/>
                <w:szCs w:val="18"/>
                <w:color w:val="auto"/>
              </w:rPr>
              <w:t>$</w:t>
            </w:r>
          </w:p>
        </w:tc>
        <w:tc>
          <w:tcPr>
            <w:tcW w:w="12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29,913</w:t>
            </w:r>
          </w:p>
        </w:tc>
        <w:tc>
          <w:tcPr>
            <w:tcW w:w="240" w:type="dxa"/>
            <w:vAlign w:val="bottom"/>
            <w:shd w:val="clear" w:color="auto" w:fill="CFF0FC"/>
          </w:tcPr>
          <w:p>
            <w:pPr>
              <w:spacing w:after="0"/>
              <w:rPr>
                <w:sz w:val="19"/>
                <w:szCs w:val="19"/>
                <w:color w:val="auto"/>
              </w:rPr>
            </w:pPr>
          </w:p>
        </w:tc>
        <w:tc>
          <w:tcPr>
            <w:tcW w:w="140" w:type="dxa"/>
            <w:vAlign w:val="bottom"/>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12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60" w:type="dxa"/>
            <w:vAlign w:val="bottom"/>
            <w:shd w:val="clear" w:color="auto" w:fill="CFF0FC"/>
          </w:tcPr>
          <w:p>
            <w:pPr>
              <w:spacing w:after="0"/>
              <w:rPr>
                <w:sz w:val="19"/>
                <w:szCs w:val="19"/>
                <w:color w:val="auto"/>
              </w:rPr>
            </w:pPr>
          </w:p>
        </w:tc>
        <w:tc>
          <w:tcPr>
            <w:tcW w:w="320" w:type="dxa"/>
            <w:vAlign w:val="bottom"/>
            <w:gridSpan w:val="2"/>
            <w:shd w:val="clear" w:color="auto" w:fill="CFF0FC"/>
          </w:tcPr>
          <w:p>
            <w:pPr>
              <w:jc w:val="right"/>
              <w:ind w:right="140"/>
              <w:spacing w:after="0"/>
              <w:rPr>
                <w:sz w:val="20"/>
                <w:szCs w:val="20"/>
                <w:color w:val="auto"/>
              </w:rPr>
            </w:pPr>
            <w:r>
              <w:rPr>
                <w:rFonts w:ascii="Arial" w:cs="Arial" w:eastAsia="Arial" w:hAnsi="Arial"/>
                <w:sz w:val="18"/>
                <w:szCs w:val="18"/>
                <w:color w:val="auto"/>
              </w:rPr>
              <w:t>$</w:t>
            </w:r>
          </w:p>
        </w:tc>
        <w:tc>
          <w:tcPr>
            <w:tcW w:w="11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29,913</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4140" w:type="dxa"/>
            <w:vAlign w:val="bottom"/>
          </w:tcPr>
          <w:p>
            <w:pPr>
              <w:ind w:left="140"/>
              <w:spacing w:after="0"/>
              <w:rPr>
                <w:sz w:val="20"/>
                <w:szCs w:val="20"/>
                <w:color w:val="auto"/>
              </w:rPr>
            </w:pPr>
            <w:r>
              <w:rPr>
                <w:rFonts w:ascii="Arial" w:cs="Arial" w:eastAsia="Arial" w:hAnsi="Arial"/>
                <w:sz w:val="18"/>
                <w:szCs w:val="18"/>
                <w:color w:val="auto"/>
              </w:rPr>
              <w:t>Pursuit services</w:t>
            </w:r>
          </w:p>
        </w:tc>
        <w:tc>
          <w:tcPr>
            <w:tcW w:w="274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1240" w:type="dxa"/>
            <w:vAlign w:val="bottom"/>
          </w:tcPr>
          <w:p>
            <w:pPr>
              <w:jc w:val="right"/>
              <w:spacing w:after="0"/>
              <w:rPr>
                <w:sz w:val="20"/>
                <w:szCs w:val="20"/>
                <w:color w:val="auto"/>
              </w:rPr>
            </w:pPr>
            <w:r>
              <w:rPr>
                <w:rFonts w:ascii="Arial" w:cs="Arial" w:eastAsia="Arial" w:hAnsi="Arial"/>
                <w:sz w:val="18"/>
                <w:szCs w:val="18"/>
                <w:color w:val="auto"/>
              </w:rPr>
              <w:t>7,755</w:t>
            </w:r>
          </w:p>
        </w:tc>
        <w:tc>
          <w:tcPr>
            <w:tcW w:w="240" w:type="dxa"/>
            <w:vAlign w:val="bottom"/>
          </w:tcPr>
          <w:p>
            <w:pPr>
              <w:spacing w:after="0"/>
              <w:rPr>
                <w:sz w:val="19"/>
                <w:szCs w:val="19"/>
                <w:color w:val="auto"/>
              </w:rPr>
            </w:pPr>
          </w:p>
        </w:tc>
        <w:tc>
          <w:tcPr>
            <w:tcW w:w="14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220" w:type="dxa"/>
            <w:vAlign w:val="bottom"/>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9"/>
                <w:szCs w:val="19"/>
                <w:color w:val="auto"/>
              </w:rPr>
            </w:pPr>
          </w:p>
        </w:tc>
        <w:tc>
          <w:tcPr>
            <w:tcW w:w="32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1100" w:type="dxa"/>
            <w:vAlign w:val="bottom"/>
          </w:tcPr>
          <w:p>
            <w:pPr>
              <w:jc w:val="right"/>
              <w:spacing w:after="0"/>
              <w:rPr>
                <w:sz w:val="20"/>
                <w:szCs w:val="20"/>
                <w:color w:val="auto"/>
              </w:rPr>
            </w:pPr>
            <w:r>
              <w:rPr>
                <w:rFonts w:ascii="Arial" w:cs="Arial" w:eastAsia="Arial" w:hAnsi="Arial"/>
                <w:sz w:val="18"/>
                <w:szCs w:val="18"/>
                <w:color w:val="auto"/>
              </w:rPr>
              <w:t>7,755</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4140" w:type="dxa"/>
            <w:vAlign w:val="bottom"/>
            <w:shd w:val="clear" w:color="auto" w:fill="CFF0FC"/>
          </w:tcPr>
          <w:p>
            <w:pPr>
              <w:ind w:left="140"/>
              <w:spacing w:after="0"/>
              <w:rPr>
                <w:sz w:val="20"/>
                <w:szCs w:val="20"/>
                <w:color w:val="auto"/>
              </w:rPr>
            </w:pPr>
            <w:r>
              <w:rPr>
                <w:rFonts w:ascii="Arial" w:cs="Arial" w:eastAsia="Arial" w:hAnsi="Arial"/>
                <w:sz w:val="18"/>
                <w:szCs w:val="18"/>
                <w:color w:val="auto"/>
              </w:rPr>
              <w:t>Pursuit products</w:t>
            </w:r>
          </w:p>
        </w:tc>
        <w:tc>
          <w:tcPr>
            <w:tcW w:w="2740" w:type="dxa"/>
            <w:vAlign w:val="bottom"/>
            <w:gridSpan w:val="2"/>
            <w:shd w:val="clear" w:color="auto" w:fill="CFF0FC"/>
          </w:tcPr>
          <w:p>
            <w:pPr>
              <w:jc w:val="right"/>
              <w:ind w:right="20"/>
              <w:spacing w:after="0"/>
              <w:rPr>
                <w:sz w:val="20"/>
                <w:szCs w:val="20"/>
                <w:color w:val="auto"/>
              </w:rPr>
            </w:pPr>
            <w:r>
              <w:rPr>
                <w:rFonts w:ascii="Arial" w:cs="Arial" w:eastAsia="Arial" w:hAnsi="Arial"/>
                <w:sz w:val="18"/>
                <w:szCs w:val="18"/>
                <w:color w:val="auto"/>
              </w:rPr>
              <w:t>$</w:t>
            </w:r>
          </w:p>
        </w:tc>
        <w:tc>
          <w:tcPr>
            <w:tcW w:w="12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1,967</w:t>
            </w:r>
          </w:p>
        </w:tc>
        <w:tc>
          <w:tcPr>
            <w:tcW w:w="240" w:type="dxa"/>
            <w:vAlign w:val="bottom"/>
            <w:shd w:val="clear" w:color="auto" w:fill="CFF0FC"/>
          </w:tcPr>
          <w:p>
            <w:pPr>
              <w:spacing w:after="0"/>
              <w:rPr>
                <w:sz w:val="19"/>
                <w:szCs w:val="19"/>
                <w:color w:val="auto"/>
              </w:rPr>
            </w:pPr>
          </w:p>
        </w:tc>
        <w:tc>
          <w:tcPr>
            <w:tcW w:w="140" w:type="dxa"/>
            <w:vAlign w:val="bottom"/>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12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60" w:type="dxa"/>
            <w:vAlign w:val="bottom"/>
            <w:shd w:val="clear" w:color="auto" w:fill="CFF0FC"/>
          </w:tcPr>
          <w:p>
            <w:pPr>
              <w:spacing w:after="0"/>
              <w:rPr>
                <w:sz w:val="19"/>
                <w:szCs w:val="19"/>
                <w:color w:val="auto"/>
              </w:rPr>
            </w:pPr>
          </w:p>
        </w:tc>
        <w:tc>
          <w:tcPr>
            <w:tcW w:w="320" w:type="dxa"/>
            <w:vAlign w:val="bottom"/>
            <w:gridSpan w:val="2"/>
            <w:shd w:val="clear" w:color="auto" w:fill="CFF0FC"/>
          </w:tcPr>
          <w:p>
            <w:pPr>
              <w:jc w:val="right"/>
              <w:ind w:right="140"/>
              <w:spacing w:after="0"/>
              <w:rPr>
                <w:sz w:val="20"/>
                <w:szCs w:val="20"/>
                <w:color w:val="auto"/>
              </w:rPr>
            </w:pPr>
            <w:r>
              <w:rPr>
                <w:rFonts w:ascii="Arial" w:cs="Arial" w:eastAsia="Arial" w:hAnsi="Arial"/>
                <w:sz w:val="18"/>
                <w:szCs w:val="18"/>
                <w:color w:val="auto"/>
              </w:rPr>
              <w:t>$</w:t>
            </w:r>
          </w:p>
        </w:tc>
        <w:tc>
          <w:tcPr>
            <w:tcW w:w="11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1,967</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4140" w:type="dxa"/>
            <w:vAlign w:val="bottom"/>
          </w:tcPr>
          <w:p>
            <w:pPr>
              <w:spacing w:after="0"/>
              <w:rPr>
                <w:sz w:val="20"/>
                <w:szCs w:val="20"/>
                <w:color w:val="auto"/>
              </w:rPr>
            </w:pPr>
            <w:r>
              <w:rPr>
                <w:rFonts w:ascii="Arial" w:cs="Arial" w:eastAsia="Arial" w:hAnsi="Arial"/>
                <w:sz w:val="18"/>
                <w:szCs w:val="18"/>
                <w:b w:val="1"/>
                <w:bCs w:val="1"/>
                <w:color w:val="auto"/>
              </w:rPr>
              <w:t>Costs and expenses:</w:t>
            </w:r>
          </w:p>
        </w:tc>
        <w:tc>
          <w:tcPr>
            <w:tcW w:w="26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4140" w:type="dxa"/>
            <w:vAlign w:val="bottom"/>
            <w:shd w:val="clear" w:color="auto" w:fill="CFF0FC"/>
          </w:tcPr>
          <w:p>
            <w:pPr>
              <w:ind w:left="140"/>
              <w:spacing w:after="0"/>
              <w:rPr>
                <w:sz w:val="20"/>
                <w:szCs w:val="20"/>
                <w:color w:val="auto"/>
              </w:rPr>
            </w:pPr>
            <w:r>
              <w:rPr>
                <w:rFonts w:ascii="Arial" w:cs="Arial" w:eastAsia="Arial" w:hAnsi="Arial"/>
                <w:sz w:val="18"/>
                <w:szCs w:val="18"/>
                <w:color w:val="auto"/>
              </w:rPr>
              <w:t>Costs of services</w:t>
            </w:r>
          </w:p>
        </w:tc>
        <w:tc>
          <w:tcPr>
            <w:tcW w:w="2740" w:type="dxa"/>
            <w:vAlign w:val="bottom"/>
            <w:gridSpan w:val="2"/>
            <w:shd w:val="clear" w:color="auto" w:fill="CFF0FC"/>
          </w:tcPr>
          <w:p>
            <w:pPr>
              <w:jc w:val="right"/>
              <w:ind w:right="20"/>
              <w:spacing w:after="0"/>
              <w:rPr>
                <w:sz w:val="20"/>
                <w:szCs w:val="20"/>
                <w:color w:val="auto"/>
              </w:rPr>
            </w:pPr>
            <w:r>
              <w:rPr>
                <w:rFonts w:ascii="Arial" w:cs="Arial" w:eastAsia="Arial" w:hAnsi="Arial"/>
                <w:sz w:val="18"/>
                <w:szCs w:val="18"/>
                <w:color w:val="auto"/>
              </w:rPr>
              <w:t>$</w:t>
            </w:r>
          </w:p>
        </w:tc>
        <w:tc>
          <w:tcPr>
            <w:tcW w:w="12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258,142</w:t>
            </w:r>
          </w:p>
        </w:tc>
        <w:tc>
          <w:tcPr>
            <w:tcW w:w="240" w:type="dxa"/>
            <w:vAlign w:val="bottom"/>
            <w:shd w:val="clear" w:color="auto" w:fill="CFF0FC"/>
          </w:tcPr>
          <w:p>
            <w:pPr>
              <w:spacing w:after="0"/>
              <w:rPr>
                <w:sz w:val="19"/>
                <w:szCs w:val="19"/>
                <w:color w:val="auto"/>
              </w:rPr>
            </w:pPr>
          </w:p>
        </w:tc>
        <w:tc>
          <w:tcPr>
            <w:tcW w:w="140" w:type="dxa"/>
            <w:vAlign w:val="bottom"/>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1380" w:type="dxa"/>
            <w:vAlign w:val="bottom"/>
            <w:gridSpan w:val="2"/>
            <w:shd w:val="clear" w:color="auto" w:fill="CFF0FC"/>
          </w:tcPr>
          <w:p>
            <w:pPr>
              <w:jc w:val="right"/>
              <w:ind w:right="100"/>
              <w:spacing w:after="0"/>
              <w:rPr>
                <w:sz w:val="20"/>
                <w:szCs w:val="20"/>
                <w:color w:val="auto"/>
              </w:rPr>
            </w:pPr>
            <w:r>
              <w:rPr>
                <w:rFonts w:ascii="Arial" w:cs="Arial" w:eastAsia="Arial" w:hAnsi="Arial"/>
                <w:sz w:val="18"/>
                <w:szCs w:val="18"/>
                <w:color w:val="auto"/>
              </w:rPr>
              <w:t>(847)</w:t>
            </w:r>
          </w:p>
        </w:tc>
        <w:tc>
          <w:tcPr>
            <w:tcW w:w="320" w:type="dxa"/>
            <w:vAlign w:val="bottom"/>
            <w:gridSpan w:val="2"/>
            <w:shd w:val="clear" w:color="auto" w:fill="CFF0FC"/>
          </w:tcPr>
          <w:p>
            <w:pPr>
              <w:jc w:val="right"/>
              <w:ind w:right="140"/>
              <w:spacing w:after="0"/>
              <w:rPr>
                <w:sz w:val="20"/>
                <w:szCs w:val="20"/>
                <w:color w:val="auto"/>
              </w:rPr>
            </w:pPr>
            <w:r>
              <w:rPr>
                <w:rFonts w:ascii="Arial" w:cs="Arial" w:eastAsia="Arial" w:hAnsi="Arial"/>
                <w:sz w:val="18"/>
                <w:szCs w:val="18"/>
                <w:color w:val="auto"/>
              </w:rPr>
              <w:t>$</w:t>
            </w:r>
          </w:p>
        </w:tc>
        <w:tc>
          <w:tcPr>
            <w:tcW w:w="11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257,295</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4140" w:type="dxa"/>
            <w:vAlign w:val="bottom"/>
          </w:tcPr>
          <w:p>
            <w:pPr>
              <w:ind w:left="140"/>
              <w:spacing w:after="0"/>
              <w:rPr>
                <w:sz w:val="20"/>
                <w:szCs w:val="20"/>
                <w:color w:val="auto"/>
              </w:rPr>
            </w:pPr>
            <w:r>
              <w:rPr>
                <w:rFonts w:ascii="Arial" w:cs="Arial" w:eastAsia="Arial" w:hAnsi="Arial"/>
                <w:sz w:val="18"/>
                <w:szCs w:val="18"/>
                <w:color w:val="auto"/>
              </w:rPr>
              <w:t>Costs of products</w:t>
            </w:r>
          </w:p>
        </w:tc>
        <w:tc>
          <w:tcPr>
            <w:tcW w:w="274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1240" w:type="dxa"/>
            <w:vAlign w:val="bottom"/>
          </w:tcPr>
          <w:p>
            <w:pPr>
              <w:jc w:val="right"/>
              <w:spacing w:after="0"/>
              <w:rPr>
                <w:sz w:val="20"/>
                <w:szCs w:val="20"/>
                <w:color w:val="auto"/>
              </w:rPr>
            </w:pPr>
            <w:r>
              <w:rPr>
                <w:rFonts w:ascii="Arial" w:cs="Arial" w:eastAsia="Arial" w:hAnsi="Arial"/>
                <w:sz w:val="18"/>
                <w:szCs w:val="18"/>
                <w:color w:val="auto"/>
              </w:rPr>
              <w:t>31,122</w:t>
            </w:r>
          </w:p>
        </w:tc>
        <w:tc>
          <w:tcPr>
            <w:tcW w:w="240" w:type="dxa"/>
            <w:vAlign w:val="bottom"/>
          </w:tcPr>
          <w:p>
            <w:pPr>
              <w:spacing w:after="0"/>
              <w:rPr>
                <w:sz w:val="19"/>
                <w:szCs w:val="19"/>
                <w:color w:val="auto"/>
              </w:rPr>
            </w:pPr>
          </w:p>
        </w:tc>
        <w:tc>
          <w:tcPr>
            <w:tcW w:w="14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220" w:type="dxa"/>
            <w:vAlign w:val="bottom"/>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9"/>
                <w:szCs w:val="19"/>
                <w:color w:val="auto"/>
              </w:rPr>
            </w:pPr>
          </w:p>
        </w:tc>
        <w:tc>
          <w:tcPr>
            <w:tcW w:w="32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1100" w:type="dxa"/>
            <w:vAlign w:val="bottom"/>
          </w:tcPr>
          <w:p>
            <w:pPr>
              <w:jc w:val="right"/>
              <w:spacing w:after="0"/>
              <w:rPr>
                <w:sz w:val="20"/>
                <w:szCs w:val="20"/>
                <w:color w:val="auto"/>
              </w:rPr>
            </w:pPr>
            <w:r>
              <w:rPr>
                <w:rFonts w:ascii="Arial" w:cs="Arial" w:eastAsia="Arial" w:hAnsi="Arial"/>
                <w:sz w:val="18"/>
                <w:szCs w:val="18"/>
                <w:color w:val="auto"/>
              </w:rPr>
              <w:t>31,122</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4140" w:type="dxa"/>
            <w:vAlign w:val="bottom"/>
            <w:shd w:val="clear" w:color="auto" w:fill="CFF0FC"/>
          </w:tcPr>
          <w:p>
            <w:pPr>
              <w:ind w:left="140"/>
              <w:spacing w:after="0"/>
              <w:rPr>
                <w:sz w:val="20"/>
                <w:szCs w:val="20"/>
                <w:color w:val="auto"/>
              </w:rPr>
            </w:pPr>
            <w:r>
              <w:rPr>
                <w:rFonts w:ascii="Arial" w:cs="Arial" w:eastAsia="Arial" w:hAnsi="Arial"/>
                <w:sz w:val="18"/>
                <w:szCs w:val="18"/>
                <w:color w:val="auto"/>
              </w:rPr>
              <w:t>Income tax benefit</w:t>
            </w:r>
          </w:p>
        </w:tc>
        <w:tc>
          <w:tcPr>
            <w:tcW w:w="2740" w:type="dxa"/>
            <w:vAlign w:val="bottom"/>
            <w:gridSpan w:val="2"/>
            <w:shd w:val="clear" w:color="auto" w:fill="CFF0FC"/>
          </w:tcPr>
          <w:p>
            <w:pPr>
              <w:jc w:val="right"/>
              <w:ind w:right="20"/>
              <w:spacing w:after="0"/>
              <w:rPr>
                <w:sz w:val="20"/>
                <w:szCs w:val="20"/>
                <w:color w:val="auto"/>
              </w:rPr>
            </w:pPr>
            <w:r>
              <w:rPr>
                <w:rFonts w:ascii="Arial" w:cs="Arial" w:eastAsia="Arial" w:hAnsi="Arial"/>
                <w:sz w:val="18"/>
                <w:szCs w:val="18"/>
                <w:color w:val="auto"/>
              </w:rPr>
              <w:t>$</w:t>
            </w:r>
          </w:p>
        </w:tc>
        <w:tc>
          <w:tcPr>
            <w:tcW w:w="1480" w:type="dxa"/>
            <w:vAlign w:val="bottom"/>
            <w:gridSpan w:val="2"/>
            <w:shd w:val="clear" w:color="auto" w:fill="CFF0FC"/>
          </w:tcPr>
          <w:p>
            <w:pPr>
              <w:jc w:val="right"/>
              <w:ind w:right="180"/>
              <w:spacing w:after="0"/>
              <w:rPr>
                <w:sz w:val="20"/>
                <w:szCs w:val="20"/>
                <w:color w:val="auto"/>
              </w:rPr>
            </w:pPr>
            <w:r>
              <w:rPr>
                <w:rFonts w:ascii="Arial" w:cs="Arial" w:eastAsia="Arial" w:hAnsi="Arial"/>
                <w:sz w:val="18"/>
                <w:szCs w:val="18"/>
                <w:color w:val="auto"/>
              </w:rPr>
              <w:t>(4,852)</w:t>
            </w:r>
          </w:p>
        </w:tc>
        <w:tc>
          <w:tcPr>
            <w:tcW w:w="140" w:type="dxa"/>
            <w:vAlign w:val="bottom"/>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12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214</w:t>
            </w:r>
          </w:p>
        </w:tc>
        <w:tc>
          <w:tcPr>
            <w:tcW w:w="160" w:type="dxa"/>
            <w:vAlign w:val="bottom"/>
            <w:shd w:val="clear" w:color="auto" w:fill="CFF0FC"/>
          </w:tcPr>
          <w:p>
            <w:pPr>
              <w:spacing w:after="0"/>
              <w:rPr>
                <w:sz w:val="19"/>
                <w:szCs w:val="19"/>
                <w:color w:val="auto"/>
              </w:rPr>
            </w:pPr>
          </w:p>
        </w:tc>
        <w:tc>
          <w:tcPr>
            <w:tcW w:w="320" w:type="dxa"/>
            <w:vAlign w:val="bottom"/>
            <w:gridSpan w:val="2"/>
            <w:shd w:val="clear" w:color="auto" w:fill="CFF0FC"/>
          </w:tcPr>
          <w:p>
            <w:pPr>
              <w:jc w:val="right"/>
              <w:ind w:right="140"/>
              <w:spacing w:after="0"/>
              <w:rPr>
                <w:sz w:val="20"/>
                <w:szCs w:val="20"/>
                <w:color w:val="auto"/>
              </w:rPr>
            </w:pPr>
            <w:r>
              <w:rPr>
                <w:rFonts w:ascii="Arial" w:cs="Arial" w:eastAsia="Arial" w:hAnsi="Arial"/>
                <w:sz w:val="18"/>
                <w:szCs w:val="18"/>
                <w:color w:val="auto"/>
              </w:rPr>
              <w:t>$</w:t>
            </w:r>
          </w:p>
        </w:tc>
        <w:tc>
          <w:tcPr>
            <w:tcW w:w="1220" w:type="dxa"/>
            <w:vAlign w:val="bottom"/>
            <w:gridSpan w:val="2"/>
            <w:shd w:val="clear" w:color="auto" w:fill="CFF0FC"/>
          </w:tcPr>
          <w:p>
            <w:pPr>
              <w:jc w:val="right"/>
              <w:ind w:right="60"/>
              <w:spacing w:after="0"/>
              <w:rPr>
                <w:sz w:val="20"/>
                <w:szCs w:val="20"/>
                <w:color w:val="auto"/>
              </w:rPr>
            </w:pPr>
            <w:r>
              <w:rPr>
                <w:rFonts w:ascii="Arial" w:cs="Arial" w:eastAsia="Arial" w:hAnsi="Arial"/>
                <w:sz w:val="18"/>
                <w:szCs w:val="18"/>
                <w:color w:val="auto"/>
              </w:rPr>
              <w:t>(4,638)</w:t>
            </w:r>
          </w:p>
        </w:tc>
        <w:tc>
          <w:tcPr>
            <w:tcW w:w="0" w:type="dxa"/>
            <w:vAlign w:val="bottom"/>
          </w:tcPr>
          <w:p>
            <w:pPr>
              <w:spacing w:after="0"/>
              <w:rPr>
                <w:sz w:val="1"/>
                <w:szCs w:val="1"/>
                <w:color w:val="auto"/>
              </w:rPr>
            </w:pPr>
          </w:p>
        </w:tc>
      </w:tr>
      <w:tr>
        <w:trPr>
          <w:trHeight w:val="234"/>
        </w:trPr>
        <w:tc>
          <w:tcPr>
            <w:tcW w:w="4140" w:type="dxa"/>
            <w:vAlign w:val="bottom"/>
          </w:tcPr>
          <w:p>
            <w:pPr>
              <w:spacing w:after="0"/>
              <w:rPr>
                <w:sz w:val="20"/>
                <w:szCs w:val="20"/>
                <w:color w:val="auto"/>
              </w:rPr>
            </w:pPr>
            <w:r>
              <w:rPr>
                <w:rFonts w:ascii="Arial" w:cs="Arial" w:eastAsia="Arial" w:hAnsi="Arial"/>
                <w:sz w:val="18"/>
                <w:szCs w:val="18"/>
                <w:b w:val="1"/>
                <w:bCs w:val="1"/>
                <w:color w:val="auto"/>
              </w:rPr>
              <w:t>Net loss</w:t>
            </w:r>
          </w:p>
        </w:tc>
        <w:tc>
          <w:tcPr>
            <w:tcW w:w="274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1480" w:type="dxa"/>
            <w:vAlign w:val="bottom"/>
            <w:gridSpan w:val="2"/>
          </w:tcPr>
          <w:p>
            <w:pPr>
              <w:jc w:val="right"/>
              <w:ind w:right="180"/>
              <w:spacing w:after="0"/>
              <w:rPr>
                <w:sz w:val="20"/>
                <w:szCs w:val="20"/>
                <w:color w:val="auto"/>
              </w:rPr>
            </w:pPr>
            <w:r>
              <w:rPr>
                <w:rFonts w:ascii="Arial" w:cs="Arial" w:eastAsia="Arial" w:hAnsi="Arial"/>
                <w:sz w:val="18"/>
                <w:szCs w:val="18"/>
                <w:color w:val="auto"/>
              </w:rPr>
              <w:t>(10,468)</w:t>
            </w:r>
          </w:p>
        </w:tc>
        <w:tc>
          <w:tcPr>
            <w:tcW w:w="14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380" w:type="dxa"/>
            <w:vAlign w:val="bottom"/>
            <w:gridSpan w:val="2"/>
          </w:tcPr>
          <w:p>
            <w:pPr>
              <w:jc w:val="right"/>
              <w:ind w:right="100"/>
              <w:spacing w:after="0"/>
              <w:rPr>
                <w:sz w:val="20"/>
                <w:szCs w:val="20"/>
                <w:color w:val="auto"/>
              </w:rPr>
            </w:pPr>
            <w:r>
              <w:rPr>
                <w:rFonts w:ascii="Arial" w:cs="Arial" w:eastAsia="Arial" w:hAnsi="Arial"/>
                <w:sz w:val="18"/>
                <w:szCs w:val="18"/>
                <w:color w:val="auto"/>
              </w:rPr>
              <w:t>(633)</w:t>
            </w:r>
          </w:p>
        </w:tc>
        <w:tc>
          <w:tcPr>
            <w:tcW w:w="32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1220" w:type="dxa"/>
            <w:vAlign w:val="bottom"/>
            <w:gridSpan w:val="2"/>
          </w:tcPr>
          <w:p>
            <w:pPr>
              <w:jc w:val="right"/>
              <w:ind w:right="60"/>
              <w:spacing w:after="0"/>
              <w:rPr>
                <w:sz w:val="20"/>
                <w:szCs w:val="20"/>
                <w:color w:val="auto"/>
              </w:rPr>
            </w:pPr>
            <w:r>
              <w:rPr>
                <w:rFonts w:ascii="Arial" w:cs="Arial" w:eastAsia="Arial" w:hAnsi="Arial"/>
                <w:sz w:val="18"/>
                <w:szCs w:val="18"/>
                <w:color w:val="auto"/>
              </w:rPr>
              <w:t>(9,835)</w:t>
            </w:r>
          </w:p>
        </w:tc>
        <w:tc>
          <w:tcPr>
            <w:tcW w:w="0" w:type="dxa"/>
            <w:vAlign w:val="bottom"/>
          </w:tcPr>
          <w:p>
            <w:pPr>
              <w:spacing w:after="0"/>
              <w:rPr>
                <w:sz w:val="1"/>
                <w:szCs w:val="1"/>
                <w:color w:val="auto"/>
              </w:rPr>
            </w:pPr>
          </w:p>
        </w:tc>
      </w:tr>
    </w:tbl>
    <w:p>
      <w:pPr>
        <w:spacing w:after="0" w:line="30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Noncontrolling Interests</w:t>
      </w:r>
    </w:p>
    <w:p>
      <w:pPr>
        <w:spacing w:after="0" w:line="116" w:lineRule="exact"/>
        <w:rPr>
          <w:sz w:val="20"/>
          <w:szCs w:val="20"/>
          <w:color w:val="auto"/>
        </w:rPr>
      </w:pPr>
    </w:p>
    <w:p>
      <w:pPr>
        <w:jc w:val="both"/>
        <w:spacing w:after="0" w:line="278" w:lineRule="auto"/>
        <w:rPr>
          <w:sz w:val="20"/>
          <w:szCs w:val="20"/>
          <w:color w:val="auto"/>
        </w:rPr>
      </w:pPr>
      <w:r>
        <w:rPr>
          <w:rFonts w:ascii="Arial" w:cs="Arial" w:eastAsia="Arial" w:hAnsi="Arial"/>
          <w:sz w:val="17"/>
          <w:szCs w:val="17"/>
          <w:color w:val="auto"/>
        </w:rPr>
        <w:t>Non-redeemable noncontrolling interest represents the portion of equity in a subsidiary that is not attributable, directly or indirectly, to us. Our non-redeemable noncontrolling interest relates to the 20% equity ownership interest that we do not own in Glacier Park, Inc. We report non-redeemable noncontrolling interest within stockholders’ equity in the Condensed Consolidated Balance Sheets. The amount of consolidated net income attributable to Viad and the non-redeemable noncontrolling interest is presented in the Condensed Consolidated Statements of Operations.</w:t>
      </w:r>
    </w:p>
    <w:p>
      <w:pPr>
        <w:spacing w:after="0" w:line="116" w:lineRule="exact"/>
        <w:rPr>
          <w:sz w:val="20"/>
          <w:szCs w:val="20"/>
          <w:color w:val="auto"/>
        </w:rPr>
      </w:pPr>
    </w:p>
    <w:p>
      <w:pPr>
        <w:jc w:val="both"/>
        <w:spacing w:after="0" w:line="253" w:lineRule="auto"/>
        <w:rPr>
          <w:sz w:val="20"/>
          <w:szCs w:val="20"/>
          <w:color w:val="auto"/>
        </w:rPr>
      </w:pPr>
      <w:r>
        <w:rPr>
          <w:rFonts w:ascii="Arial" w:cs="Arial" w:eastAsia="Arial" w:hAnsi="Arial"/>
          <w:sz w:val="18"/>
          <w:szCs w:val="18"/>
          <w:color w:val="auto"/>
        </w:rPr>
        <w:t>Noncontrolling interests with redemption features that are not solely within our control are considered redeemable noncontrolling interests. The Esja Attractions ehf. (“Esja”) purchase agreement contains a put option that gives the minority Esja shareholders the right to sell (or “put”) their Esja shares to us based on a calculated formula within a predefined term. This redeemable noncontrolling interest is considered temporary equity and we report it between liabilities and stockholders’ equity in the Condensed Consolidated Balance Sheets. The amount of the net income or loss attributable to redeemable noncontrolling interests is recorded in the Condensed Consolidated Statements of Operations and the accretion of the redemption value is recorded as an adjustment to retained earnings and is included in our earnings (loss) per share. Refer to Note 20 – Redeemable Noncontrolling Interest for additional information.</w:t>
      </w:r>
    </w:p>
    <w:p>
      <w:pPr>
        <w:spacing w:after="0" w:line="19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69850</wp:posOffset>
            </wp:positionV>
            <wp:extent cx="7289800" cy="4254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1420"/>
          </w:cols>
          <w:pgMar w:left="240" w:top="502" w:right="239" w:bottom="1440" w:gutter="0" w:footer="0" w:header="0"/>
        </w:sectPr>
      </w:pPr>
    </w:p>
    <w:bookmarkStart w:id="12" w:name="page13"/>
    <w:bookmarkEnd w:id="12"/>
    <w:p>
      <w:pPr>
        <w:spacing w:after="0"/>
        <w:rPr>
          <w:sz w:val="20"/>
          <w:szCs w:val="20"/>
          <w:color w:val="auto"/>
        </w:rPr>
      </w:pPr>
      <w:r>
        <w:rPr>
          <w:rFonts w:ascii="Arial" w:cs="Arial" w:eastAsia="Arial" w:hAnsi="Arial"/>
          <w:sz w:val="18"/>
          <w:szCs w:val="18"/>
          <w:b w:val="1"/>
          <w:bCs w:val="1"/>
          <w:i w:val="1"/>
          <w:iCs w:val="1"/>
          <w:color w:val="auto"/>
        </w:rPr>
        <w:t>Insurance Recoveries</w:t>
      </w:r>
    </w:p>
    <w:p>
      <w:pPr>
        <w:spacing w:after="0" w:line="116" w:lineRule="exact"/>
        <w:rPr>
          <w:sz w:val="20"/>
          <w:szCs w:val="20"/>
          <w:color w:val="auto"/>
        </w:rPr>
      </w:pPr>
    </w:p>
    <w:p>
      <w:pPr>
        <w:jc w:val="both"/>
        <w:ind w:right="20"/>
        <w:spacing w:after="0" w:line="262" w:lineRule="auto"/>
        <w:rPr>
          <w:sz w:val="20"/>
          <w:szCs w:val="20"/>
          <w:color w:val="auto"/>
        </w:rPr>
      </w:pPr>
      <w:r>
        <w:rPr>
          <w:rFonts w:ascii="Arial" w:cs="Arial" w:eastAsia="Arial" w:hAnsi="Arial"/>
          <w:sz w:val="18"/>
          <w:szCs w:val="18"/>
          <w:color w:val="auto"/>
        </w:rPr>
        <w:t>Receipts from insurance up to the amount of the recognized losses are considered recoveries and are accounted for when they are probable of receipt. Anticipated proceeds in excess of the recognized loss are considered a gain contingency. A contingency gain for anticipated insurance proceeds in excess of losses already recognized is not recognized until all contingencies relating to the insurance claim have been resolved.</w:t>
      </w:r>
    </w:p>
    <w:p>
      <w:pPr>
        <w:spacing w:after="0" w:line="129" w:lineRule="exact"/>
        <w:rPr>
          <w:sz w:val="20"/>
          <w:szCs w:val="20"/>
          <w:color w:val="auto"/>
        </w:rPr>
      </w:pPr>
    </w:p>
    <w:p>
      <w:pPr>
        <w:jc w:val="both"/>
        <w:ind w:right="20"/>
        <w:spacing w:after="0" w:line="262" w:lineRule="auto"/>
        <w:rPr>
          <w:sz w:val="20"/>
          <w:szCs w:val="20"/>
          <w:color w:val="auto"/>
        </w:rPr>
      </w:pPr>
      <w:r>
        <w:rPr>
          <w:rFonts w:ascii="Arial" w:cs="Arial" w:eastAsia="Arial" w:hAnsi="Arial"/>
          <w:sz w:val="18"/>
          <w:szCs w:val="18"/>
          <w:color w:val="auto"/>
        </w:rPr>
        <w:t>Insurance proceeds allocated to business interruption gains are reported as cash flows from operating activities, and proceeds allocated to impairment recoveries are reported as cash flows from investing activities. Insurance proceeds used for capitalizable costs are classified as cash flows from investing activities, and proceeds used for non-capitalizable costs are classified as operating activities.</w:t>
      </w:r>
    </w:p>
    <w:p>
      <w:pPr>
        <w:spacing w:after="0" w:line="28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Note 2. </w:t>
      </w:r>
      <w:r>
        <w:rPr>
          <w:rFonts w:ascii="Arial" w:cs="Arial" w:eastAsia="Arial" w:hAnsi="Arial"/>
          <w:sz w:val="18"/>
          <w:szCs w:val="18"/>
          <w:b w:val="1"/>
          <w:bCs w:val="1"/>
          <w:u w:val="single" w:color="auto"/>
          <w:color w:val="auto"/>
        </w:rPr>
        <w:t>Revenue and Related Contract Costs and Contract Liabilities</w:t>
      </w:r>
    </w:p>
    <w:p>
      <w:pPr>
        <w:spacing w:after="0" w:line="120" w:lineRule="exact"/>
        <w:rPr>
          <w:sz w:val="20"/>
          <w:szCs w:val="20"/>
          <w:color w:val="auto"/>
        </w:rPr>
      </w:pPr>
    </w:p>
    <w:p>
      <w:pPr>
        <w:jc w:val="both"/>
        <w:ind w:right="20"/>
        <w:spacing w:after="0" w:line="272" w:lineRule="auto"/>
        <w:rPr>
          <w:sz w:val="20"/>
          <w:szCs w:val="20"/>
          <w:color w:val="auto"/>
        </w:rPr>
      </w:pPr>
      <w:r>
        <w:rPr>
          <w:rFonts w:ascii="Arial" w:cs="Arial" w:eastAsia="Arial" w:hAnsi="Arial"/>
          <w:sz w:val="17"/>
          <w:szCs w:val="17"/>
          <w:color w:val="auto"/>
        </w:rPr>
        <w:t>GES’ performance obligations consist of services or product(s) outlined in a contract. While multi-year contracts are often signed for recurring events, the obligations for each occurrence are well defined and conclude upon the occurrence of each event. The obligations are typically the provision of services or sale of a product in connection with an exhibition, conference or other event. Revenue for services is recognized when we have a right to invoice, generally at the close of the exhibition, conference, or corporate event, which typically lasts one to three days. Revenue for consumer events is recognized over the duration of the event. Revenue for products is recognized upon delivery or when we have the right to invoice, generally at the close of the exhibition, conference, or corporate event. Payment terms are generally within 30-60 days and contain no significant financing components.</w:t>
      </w:r>
    </w:p>
    <w:p>
      <w:pPr>
        <w:spacing w:after="0" w:line="123" w:lineRule="exact"/>
        <w:rPr>
          <w:sz w:val="20"/>
          <w:szCs w:val="20"/>
          <w:color w:val="auto"/>
        </w:rPr>
      </w:pPr>
    </w:p>
    <w:p>
      <w:pPr>
        <w:jc w:val="both"/>
        <w:ind w:right="20"/>
        <w:spacing w:after="0" w:line="258" w:lineRule="auto"/>
        <w:rPr>
          <w:sz w:val="20"/>
          <w:szCs w:val="20"/>
          <w:color w:val="auto"/>
        </w:rPr>
      </w:pPr>
      <w:r>
        <w:rPr>
          <w:rFonts w:ascii="Arial" w:cs="Arial" w:eastAsia="Arial" w:hAnsi="Arial"/>
          <w:sz w:val="18"/>
          <w:szCs w:val="18"/>
          <w:color w:val="auto"/>
        </w:rPr>
        <w:t>Pursuit’s performance obligations are short-term in nature. They include the provision of a hotel room, an attraction admission, a chartered or ticketed bus or van ride, the fulfillment of travel planning itineraries, and/or the sale of food, beverage or retail products. Revenue is recognized when the service has been provided or the product has been delivered. When credit is extended, payment terms are generally within 30 days and contain no significant financing components.</w:t>
      </w:r>
    </w:p>
    <w:p>
      <w:pPr>
        <w:spacing w:after="0" w:line="132" w:lineRule="exact"/>
        <w:rPr>
          <w:sz w:val="20"/>
          <w:szCs w:val="20"/>
          <w:color w:val="auto"/>
        </w:rPr>
      </w:pPr>
    </w:p>
    <w:p>
      <w:pPr>
        <w:jc w:val="both"/>
        <w:ind w:right="20"/>
        <w:spacing w:after="0" w:line="258" w:lineRule="auto"/>
        <w:rPr>
          <w:sz w:val="20"/>
          <w:szCs w:val="20"/>
          <w:color w:val="auto"/>
        </w:rPr>
      </w:pPr>
      <w:r>
        <w:rPr>
          <w:rFonts w:ascii="Arial" w:cs="Arial" w:eastAsia="Arial" w:hAnsi="Arial"/>
          <w:sz w:val="18"/>
          <w:szCs w:val="18"/>
          <w:color w:val="auto"/>
        </w:rPr>
        <w:t>Customer deposits are typically received by GES and Pursuit prior to transferring the related product or service to the customer. These deposits are recorded as a contract liability and recognized as revenue upon satisfaction of the related contract performance obligation(s). GES also provides customer rebates and volume discounts to certain event organizers that are recorded as contract liabilities and are recognized as a reduction of revenue. These amounts are included in the Condensed Consolidated Balance Sheets under the caption “Contract liabilities”.</w:t>
      </w:r>
    </w:p>
    <w:p>
      <w:pPr>
        <w:spacing w:after="0" w:line="132" w:lineRule="exact"/>
        <w:rPr>
          <w:sz w:val="20"/>
          <w:szCs w:val="20"/>
          <w:color w:val="auto"/>
        </w:rPr>
      </w:pPr>
    </w:p>
    <w:p>
      <w:pPr>
        <w:jc w:val="both"/>
        <w:ind w:right="20"/>
        <w:spacing w:after="0" w:line="272" w:lineRule="auto"/>
        <w:rPr>
          <w:sz w:val="20"/>
          <w:szCs w:val="20"/>
          <w:color w:val="auto"/>
        </w:rPr>
      </w:pPr>
      <w:r>
        <w:rPr>
          <w:rFonts w:ascii="Arial" w:cs="Arial" w:eastAsia="Arial" w:hAnsi="Arial"/>
          <w:sz w:val="17"/>
          <w:szCs w:val="17"/>
          <w:color w:val="auto"/>
        </w:rPr>
        <w:t>GES capitalizes certain incremental costs incurred in obtaining and fulfilling contracts. Capitalized costs principally relate to direct costs of materials and services incurred in fulfilling services of future exhibitions, conferences, and events, and also include incentives and commissions incurred upon contract signing. Costs associated with preliminary contract activities (i.e. proposal activities) are expensed as incurred. Capitalized contract costs are expensed upon the transfer of the related goods or services and are included in cost of services or cost of products sold, as applicable. The deferred incremental costs of obtaining and fulfilling contracts are included in the Condensed Consolidated Balance Sheets under the captions “Current contract costs” and “Other investments and assets.” These amounts were previously reported in inventories under “Work in process.”</w:t>
      </w:r>
    </w:p>
    <w:p>
      <w:pPr>
        <w:spacing w:after="0" w:line="123" w:lineRule="exact"/>
        <w:rPr>
          <w:sz w:val="20"/>
          <w:szCs w:val="20"/>
          <w:color w:val="auto"/>
        </w:rPr>
      </w:pPr>
    </w:p>
    <w:p>
      <w:pPr>
        <w:spacing w:after="0"/>
        <w:rPr>
          <w:sz w:val="20"/>
          <w:szCs w:val="20"/>
          <w:color w:val="auto"/>
        </w:rPr>
      </w:pPr>
      <w:r>
        <w:rPr>
          <w:rFonts w:ascii="Arial" w:cs="Arial" w:eastAsia="Arial" w:hAnsi="Arial"/>
          <w:sz w:val="18"/>
          <w:szCs w:val="18"/>
          <w:color w:val="auto"/>
        </w:rPr>
        <w:t>We elected to apply the following practical expedients related to performance obligations:</w:t>
      </w:r>
    </w:p>
    <w:p>
      <w:pPr>
        <w:spacing w:after="0" w:line="169" w:lineRule="exact"/>
        <w:rPr>
          <w:sz w:val="20"/>
          <w:szCs w:val="20"/>
          <w:color w:val="auto"/>
        </w:rPr>
      </w:pPr>
    </w:p>
    <w:p>
      <w:pPr>
        <w:jc w:val="both"/>
        <w:ind w:right="20"/>
        <w:spacing w:after="0" w:line="285" w:lineRule="auto"/>
        <w:rPr>
          <w:sz w:val="20"/>
          <w:szCs w:val="20"/>
          <w:color w:val="auto"/>
        </w:rPr>
      </w:pPr>
      <w:r>
        <w:rPr>
          <w:rFonts w:ascii="Arial" w:cs="Arial" w:eastAsia="Arial" w:hAnsi="Arial"/>
          <w:sz w:val="17"/>
          <w:szCs w:val="17"/>
          <w:color w:val="auto"/>
        </w:rPr>
        <w:t>Not to disclose the amount of consideration allocated to the remaining performance obligations or an explanation of when we expect to recognize that amount as revenue as of December 31, 2017 and not to disclose the value of unsatisfied performance obligations for contracts with an original duration of one year or less because the vast majority of our contract liabilities relate to future exhibitions and events that will occur within the next 12 months.</w:t>
      </w:r>
    </w:p>
    <w:p>
      <w:pPr>
        <w:spacing w:after="0" w:line="26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Contract Liabilities</w:t>
      </w:r>
    </w:p>
    <w:p>
      <w:pPr>
        <w:spacing w:after="0" w:line="120" w:lineRule="exact"/>
        <w:rPr>
          <w:sz w:val="20"/>
          <w:szCs w:val="20"/>
          <w:color w:val="auto"/>
        </w:rPr>
      </w:pPr>
    </w:p>
    <w:p>
      <w:pPr>
        <w:spacing w:after="0"/>
        <w:rPr>
          <w:sz w:val="20"/>
          <w:szCs w:val="20"/>
          <w:color w:val="auto"/>
        </w:rPr>
      </w:pPr>
      <w:r>
        <w:rPr>
          <w:rFonts w:ascii="Arial" w:cs="Arial" w:eastAsia="Arial" w:hAnsi="Arial"/>
          <w:sz w:val="18"/>
          <w:szCs w:val="18"/>
          <w:color w:val="auto"/>
        </w:rPr>
        <w:t>Changes to contract liabilities are as follows:</w:t>
      </w:r>
    </w:p>
    <w:p>
      <w:pPr>
        <w:spacing w:after="0" w:line="237" w:lineRule="exact"/>
        <w:rPr>
          <w:sz w:val="20"/>
          <w:szCs w:val="20"/>
          <w:color w:val="auto"/>
        </w:rPr>
      </w:pPr>
    </w:p>
    <w:tbl>
      <w:tblPr>
        <w:tblLayout w:type="fixed"/>
        <w:tblInd w:w="0" w:type="dxa"/>
        <w:tblCellMar>
          <w:top w:w="0" w:type="dxa"/>
          <w:left w:w="0" w:type="dxa"/>
          <w:bottom w:w="0" w:type="dxa"/>
          <w:right w:w="0" w:type="dxa"/>
        </w:tblCellMar>
      </w:tblPr>
      <w:tr>
        <w:trPr>
          <w:trHeight w:val="229"/>
        </w:trPr>
        <w:tc>
          <w:tcPr>
            <w:tcW w:w="4280" w:type="dxa"/>
            <w:vAlign w:val="bottom"/>
          </w:tcPr>
          <w:p>
            <w:pPr>
              <w:spacing w:after="0"/>
              <w:rPr>
                <w:sz w:val="20"/>
                <w:szCs w:val="20"/>
                <w:color w:val="auto"/>
              </w:rPr>
            </w:pPr>
            <w:r>
              <w:rPr>
                <w:rFonts w:ascii="Arial" w:cs="Arial" w:eastAsia="Arial" w:hAnsi="Arial"/>
                <w:sz w:val="18"/>
                <w:szCs w:val="18"/>
                <w:i w:val="1"/>
                <w:iCs w:val="1"/>
                <w:color w:val="auto"/>
              </w:rPr>
              <w:t>(in thousands)</w:t>
            </w:r>
          </w:p>
        </w:tc>
        <w:tc>
          <w:tcPr>
            <w:tcW w:w="512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4280" w:type="dxa"/>
            <w:vAlign w:val="bottom"/>
            <w:shd w:val="clear" w:color="auto" w:fill="CFF0FC"/>
          </w:tcPr>
          <w:p>
            <w:pPr>
              <w:spacing w:after="0"/>
              <w:rPr>
                <w:sz w:val="20"/>
                <w:szCs w:val="20"/>
                <w:color w:val="auto"/>
              </w:rPr>
            </w:pPr>
            <w:r>
              <w:rPr>
                <w:rFonts w:ascii="Arial" w:cs="Arial" w:eastAsia="Arial" w:hAnsi="Arial"/>
                <w:sz w:val="18"/>
                <w:szCs w:val="18"/>
                <w:b w:val="1"/>
                <w:bCs w:val="1"/>
                <w:color w:val="auto"/>
              </w:rPr>
              <w:t>Balance at January 1, 2018</w:t>
            </w:r>
          </w:p>
        </w:tc>
        <w:tc>
          <w:tcPr>
            <w:tcW w:w="5840" w:type="dxa"/>
            <w:vAlign w:val="bottom"/>
            <w:gridSpan w:val="2"/>
            <w:shd w:val="clear" w:color="auto" w:fill="CFF0FC"/>
          </w:tcPr>
          <w:p>
            <w:pPr>
              <w:jc w:val="right"/>
              <w:ind w:right="530"/>
              <w:spacing w:after="0"/>
              <w:rPr>
                <w:sz w:val="20"/>
                <w:szCs w:val="20"/>
                <w:color w:val="auto"/>
              </w:rPr>
            </w:pPr>
            <w:r>
              <w:rPr>
                <w:rFonts w:ascii="Arial" w:cs="Arial" w:eastAsia="Arial" w:hAnsi="Arial"/>
                <w:sz w:val="18"/>
                <w:szCs w:val="18"/>
                <w:color w:val="auto"/>
              </w:rPr>
              <w:t>$</w:t>
            </w:r>
          </w:p>
        </w:tc>
        <w:tc>
          <w:tcPr>
            <w:tcW w:w="12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31,981</w:t>
            </w:r>
          </w:p>
        </w:tc>
        <w:tc>
          <w:tcPr>
            <w:tcW w:w="100" w:type="dxa"/>
            <w:vAlign w:val="bottom"/>
            <w:shd w:val="clear" w:color="auto" w:fill="CFF0FC"/>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4280" w:type="dxa"/>
            <w:vAlign w:val="bottom"/>
          </w:tcPr>
          <w:p>
            <w:pPr>
              <w:spacing w:after="0"/>
              <w:rPr>
                <w:sz w:val="20"/>
                <w:szCs w:val="20"/>
                <w:color w:val="auto"/>
              </w:rPr>
            </w:pPr>
            <w:r>
              <w:rPr>
                <w:rFonts w:ascii="Arial" w:cs="Arial" w:eastAsia="Arial" w:hAnsi="Arial"/>
                <w:sz w:val="18"/>
                <w:szCs w:val="18"/>
                <w:color w:val="auto"/>
              </w:rPr>
              <w:t>Cash additions</w:t>
            </w:r>
          </w:p>
        </w:tc>
        <w:tc>
          <w:tcPr>
            <w:tcW w:w="512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38,241</w:t>
            </w:r>
          </w:p>
        </w:tc>
        <w:tc>
          <w:tcPr>
            <w:tcW w:w="1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4280" w:type="dxa"/>
            <w:vAlign w:val="bottom"/>
            <w:shd w:val="clear" w:color="auto" w:fill="CFF0FC"/>
          </w:tcPr>
          <w:p>
            <w:pPr>
              <w:spacing w:after="0"/>
              <w:rPr>
                <w:sz w:val="20"/>
                <w:szCs w:val="20"/>
                <w:color w:val="auto"/>
              </w:rPr>
            </w:pPr>
            <w:r>
              <w:rPr>
                <w:rFonts w:ascii="Arial" w:cs="Arial" w:eastAsia="Arial" w:hAnsi="Arial"/>
                <w:sz w:val="18"/>
                <w:szCs w:val="18"/>
                <w:color w:val="auto"/>
              </w:rPr>
              <w:t>Revenue recognized</w:t>
            </w:r>
          </w:p>
        </w:tc>
        <w:tc>
          <w:tcPr>
            <w:tcW w:w="5120" w:type="dxa"/>
            <w:vAlign w:val="bottom"/>
            <w:shd w:val="clear" w:color="auto" w:fill="CFF0FC"/>
          </w:tcPr>
          <w:p>
            <w:pPr>
              <w:spacing w:after="0"/>
              <w:rPr>
                <w:sz w:val="19"/>
                <w:szCs w:val="19"/>
                <w:color w:val="auto"/>
              </w:rPr>
            </w:pPr>
          </w:p>
        </w:tc>
        <w:tc>
          <w:tcPr>
            <w:tcW w:w="720" w:type="dxa"/>
            <w:vAlign w:val="bottom"/>
            <w:shd w:val="clear" w:color="auto" w:fill="CFF0FC"/>
          </w:tcPr>
          <w:p>
            <w:pPr>
              <w:spacing w:after="0"/>
              <w:rPr>
                <w:sz w:val="19"/>
                <w:szCs w:val="19"/>
                <w:color w:val="auto"/>
              </w:rPr>
            </w:pPr>
          </w:p>
        </w:tc>
        <w:tc>
          <w:tcPr>
            <w:tcW w:w="1300" w:type="dxa"/>
            <w:vAlign w:val="bottom"/>
            <w:gridSpan w:val="2"/>
            <w:shd w:val="clear" w:color="auto" w:fill="CFF0FC"/>
          </w:tcPr>
          <w:p>
            <w:pPr>
              <w:jc w:val="right"/>
              <w:ind w:right="40"/>
              <w:spacing w:after="0"/>
              <w:rPr>
                <w:sz w:val="20"/>
                <w:szCs w:val="20"/>
                <w:color w:val="auto"/>
              </w:rPr>
            </w:pPr>
            <w:r>
              <w:rPr>
                <w:rFonts w:ascii="Arial" w:cs="Arial" w:eastAsia="Arial" w:hAnsi="Arial"/>
                <w:sz w:val="18"/>
                <w:szCs w:val="18"/>
                <w:color w:val="auto"/>
              </w:rPr>
              <w:t>(18,526)</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4280" w:type="dxa"/>
            <w:vAlign w:val="bottom"/>
            <w:tcBorders>
              <w:bottom w:val="single" w:sz="8" w:color="CFF0FC"/>
            </w:tcBorders>
          </w:tcPr>
          <w:p>
            <w:pPr>
              <w:spacing w:after="0"/>
              <w:rPr>
                <w:sz w:val="20"/>
                <w:szCs w:val="20"/>
                <w:color w:val="auto"/>
              </w:rPr>
            </w:pPr>
            <w:r>
              <w:rPr>
                <w:rFonts w:ascii="Arial" w:cs="Arial" w:eastAsia="Arial" w:hAnsi="Arial"/>
                <w:sz w:val="18"/>
                <w:szCs w:val="18"/>
                <w:color w:val="auto"/>
              </w:rPr>
              <w:t>Foreign exchange translation adjustment</w:t>
            </w:r>
          </w:p>
        </w:tc>
        <w:tc>
          <w:tcPr>
            <w:tcW w:w="5120" w:type="dxa"/>
            <w:vAlign w:val="bottom"/>
            <w:tcBorders>
              <w:bottom w:val="single" w:sz="8" w:color="CFF0FC"/>
            </w:tcBorders>
          </w:tcPr>
          <w:p>
            <w:pPr>
              <w:spacing w:after="0"/>
              <w:rPr>
                <w:sz w:val="19"/>
                <w:szCs w:val="19"/>
                <w:color w:val="auto"/>
              </w:rPr>
            </w:pPr>
          </w:p>
        </w:tc>
        <w:tc>
          <w:tcPr>
            <w:tcW w:w="720" w:type="dxa"/>
            <w:vAlign w:val="bottom"/>
            <w:tcBorders>
              <w:bottom w:val="single" w:sz="8" w:color="auto"/>
            </w:tcBorders>
          </w:tcPr>
          <w:p>
            <w:pPr>
              <w:spacing w:after="0"/>
              <w:rPr>
                <w:sz w:val="19"/>
                <w:szCs w:val="19"/>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195</w:t>
            </w:r>
          </w:p>
        </w:tc>
        <w:tc>
          <w:tcPr>
            <w:tcW w:w="100" w:type="dxa"/>
            <w:vAlign w:val="bottom"/>
            <w:tcBorders>
              <w:bottom w:val="single" w:sz="8" w:color="CFF0FC"/>
            </w:tcBorders>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2"/>
        </w:trPr>
        <w:tc>
          <w:tcPr>
            <w:tcW w:w="4280" w:type="dxa"/>
            <w:vAlign w:val="bottom"/>
            <w:tcBorders>
              <w:bottom w:val="single" w:sz="8" w:color="CFF0FC"/>
            </w:tcBorders>
            <w:shd w:val="clear" w:color="auto" w:fill="CFF0FC"/>
          </w:tcPr>
          <w:p>
            <w:pPr>
              <w:spacing w:after="0"/>
              <w:rPr>
                <w:sz w:val="20"/>
                <w:szCs w:val="20"/>
                <w:color w:val="auto"/>
              </w:rPr>
            </w:pPr>
            <w:r>
              <w:rPr>
                <w:rFonts w:ascii="Arial" w:cs="Arial" w:eastAsia="Arial" w:hAnsi="Arial"/>
                <w:sz w:val="18"/>
                <w:szCs w:val="18"/>
                <w:b w:val="1"/>
                <w:bCs w:val="1"/>
                <w:color w:val="auto"/>
              </w:rPr>
              <w:t>Balance at March 31, 2018</w:t>
            </w:r>
          </w:p>
        </w:tc>
        <w:tc>
          <w:tcPr>
            <w:tcW w:w="5120" w:type="dxa"/>
            <w:vAlign w:val="bottom"/>
            <w:tcBorders>
              <w:bottom w:val="single" w:sz="8" w:color="CFF0FC"/>
            </w:tcBorders>
            <w:shd w:val="clear" w:color="auto" w:fill="CFF0FC"/>
          </w:tcPr>
          <w:p>
            <w:pPr>
              <w:spacing w:after="0"/>
              <w:rPr>
                <w:sz w:val="19"/>
                <w:szCs w:val="19"/>
                <w:color w:val="auto"/>
              </w:rPr>
            </w:pPr>
          </w:p>
        </w:tc>
        <w:tc>
          <w:tcPr>
            <w:tcW w:w="720" w:type="dxa"/>
            <w:vAlign w:val="bottom"/>
            <w:tcBorders>
              <w:bottom w:val="single" w:sz="8" w:color="auto"/>
            </w:tcBorders>
            <w:shd w:val="clear" w:color="auto" w:fill="CFF0FC"/>
          </w:tcPr>
          <w:p>
            <w:pPr>
              <w:jc w:val="right"/>
              <w:ind w:right="530"/>
              <w:spacing w:after="0"/>
              <w:rPr>
                <w:sz w:val="20"/>
                <w:szCs w:val="20"/>
                <w:color w:val="auto"/>
              </w:rPr>
            </w:pPr>
            <w:r>
              <w:rPr>
                <w:rFonts w:ascii="Arial" w:cs="Arial" w:eastAsia="Arial" w:hAnsi="Arial"/>
                <w:sz w:val="18"/>
                <w:szCs w:val="18"/>
                <w:color w:val="auto"/>
                <w:w w:val="79"/>
              </w:rPr>
              <w:t>$</w:t>
            </w:r>
          </w:p>
        </w:tc>
        <w:tc>
          <w:tcPr>
            <w:tcW w:w="12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51,891</w:t>
            </w:r>
          </w:p>
        </w:tc>
        <w:tc>
          <w:tcPr>
            <w:tcW w:w="100" w:type="dxa"/>
            <w:vAlign w:val="bottom"/>
            <w:tcBorders>
              <w:bottom w:val="single" w:sz="8" w:color="CFF0FC"/>
            </w:tcBorders>
            <w:shd w:val="clear" w:color="auto" w:fill="CFF0FC"/>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4280" w:type="dxa"/>
            <w:vAlign w:val="bottom"/>
          </w:tcPr>
          <w:p>
            <w:pPr>
              <w:spacing w:after="0" w:line="20" w:lineRule="exact"/>
              <w:rPr>
                <w:sz w:val="1"/>
                <w:szCs w:val="1"/>
                <w:color w:val="auto"/>
              </w:rPr>
            </w:pPr>
          </w:p>
        </w:tc>
        <w:tc>
          <w:tcPr>
            <w:tcW w:w="5120" w:type="dxa"/>
            <w:vAlign w:val="bottom"/>
            <w:vMerge w:val="restart"/>
          </w:tcPr>
          <w:p>
            <w:pPr>
              <w:jc w:val="right"/>
              <w:ind w:right="3510"/>
              <w:spacing w:after="0"/>
              <w:rPr>
                <w:sz w:val="20"/>
                <w:szCs w:val="20"/>
                <w:color w:val="auto"/>
              </w:rPr>
            </w:pPr>
            <w:r>
              <w:rPr>
                <w:rFonts w:ascii="Arial" w:cs="Arial" w:eastAsia="Arial" w:hAnsi="Arial"/>
                <w:sz w:val="18"/>
                <w:szCs w:val="18"/>
                <w:color w:val="auto"/>
              </w:rPr>
              <w:t>11</w:t>
            </w:r>
          </w:p>
        </w:tc>
        <w:tc>
          <w:tcPr>
            <w:tcW w:w="72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1"/>
        </w:trPr>
        <w:tc>
          <w:tcPr>
            <w:tcW w:w="4280" w:type="dxa"/>
            <w:vAlign w:val="bottom"/>
          </w:tcPr>
          <w:p>
            <w:pPr>
              <w:spacing w:after="0"/>
              <w:rPr>
                <w:sz w:val="24"/>
                <w:szCs w:val="24"/>
                <w:color w:val="auto"/>
              </w:rPr>
            </w:pPr>
          </w:p>
        </w:tc>
        <w:tc>
          <w:tcPr>
            <w:tcW w:w="5120" w:type="dxa"/>
            <w:vAlign w:val="bottom"/>
            <w:vMerge w:val="continue"/>
          </w:tcPr>
          <w:p>
            <w:pPr>
              <w:spacing w:after="0"/>
              <w:rPr>
                <w:sz w:val="24"/>
                <w:szCs w:val="24"/>
                <w:color w:val="auto"/>
              </w:rPr>
            </w:pPr>
          </w:p>
        </w:tc>
        <w:tc>
          <w:tcPr>
            <w:tcW w:w="72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4"/>
        </w:trPr>
        <w:tc>
          <w:tcPr>
            <w:tcW w:w="4280" w:type="dxa"/>
            <w:vAlign w:val="bottom"/>
            <w:tcBorders>
              <w:bottom w:val="single" w:sz="8" w:color="9A9A9A"/>
            </w:tcBorders>
          </w:tcPr>
          <w:p>
            <w:pPr>
              <w:spacing w:after="0"/>
              <w:rPr>
                <w:sz w:val="9"/>
                <w:szCs w:val="9"/>
                <w:color w:val="auto"/>
              </w:rPr>
            </w:pPr>
          </w:p>
        </w:tc>
        <w:tc>
          <w:tcPr>
            <w:tcW w:w="5120" w:type="dxa"/>
            <w:vAlign w:val="bottom"/>
            <w:tcBorders>
              <w:bottom w:val="single" w:sz="8" w:color="9A9A9A"/>
            </w:tcBorders>
          </w:tcPr>
          <w:p>
            <w:pPr>
              <w:spacing w:after="0"/>
              <w:rPr>
                <w:sz w:val="9"/>
                <w:szCs w:val="9"/>
                <w:color w:val="auto"/>
              </w:rPr>
            </w:pPr>
          </w:p>
        </w:tc>
        <w:tc>
          <w:tcPr>
            <w:tcW w:w="720" w:type="dxa"/>
            <w:vAlign w:val="bottom"/>
            <w:tcBorders>
              <w:bottom w:val="single" w:sz="8" w:color="9A9A9A"/>
            </w:tcBorders>
          </w:tcPr>
          <w:p>
            <w:pPr>
              <w:spacing w:after="0"/>
              <w:rPr>
                <w:sz w:val="9"/>
                <w:szCs w:val="9"/>
                <w:color w:val="auto"/>
              </w:rPr>
            </w:pPr>
          </w:p>
        </w:tc>
        <w:tc>
          <w:tcPr>
            <w:tcW w:w="1200" w:type="dxa"/>
            <w:vAlign w:val="bottom"/>
            <w:tcBorders>
              <w:bottom w:val="single" w:sz="8" w:color="9A9A9A"/>
            </w:tcBorders>
          </w:tcPr>
          <w:p>
            <w:pPr>
              <w:spacing w:after="0"/>
              <w:rPr>
                <w:sz w:val="9"/>
                <w:szCs w:val="9"/>
                <w:color w:val="auto"/>
              </w:rPr>
            </w:pPr>
          </w:p>
        </w:tc>
        <w:tc>
          <w:tcPr>
            <w:tcW w:w="100" w:type="dxa"/>
            <w:vAlign w:val="bottom"/>
            <w:tcBorders>
              <w:bottom w:val="single" w:sz="8" w:color="9A9A9A"/>
            </w:tcBorders>
          </w:tcPr>
          <w:p>
            <w:pPr>
              <w:spacing w:after="0"/>
              <w:rPr>
                <w:sz w:val="9"/>
                <w:szCs w:val="9"/>
                <w:color w:val="auto"/>
              </w:rPr>
            </w:pPr>
          </w:p>
        </w:tc>
        <w:tc>
          <w:tcPr>
            <w:tcW w:w="20" w:type="dxa"/>
            <w:vAlign w:val="bottom"/>
            <w:tcBorders>
              <w:bottom w:val="single" w:sz="8" w:color="9A9A9A"/>
            </w:tcBorders>
          </w:tcPr>
          <w:p>
            <w:pPr>
              <w:spacing w:after="0"/>
              <w:rPr>
                <w:sz w:val="9"/>
                <w:szCs w:val="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7247890</wp:posOffset>
            </wp:positionH>
            <wp:positionV relativeFrom="paragraph">
              <wp:posOffset>-29210</wp:posOffset>
            </wp:positionV>
            <wp:extent cx="33655" cy="4254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3655" cy="4254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33655" cy="42545"/>
                    </a:xfrm>
                    <a:prstGeom prst="rect">
                      <a:avLst/>
                    </a:prstGeom>
                    <a:noFill/>
                  </pic:spPr>
                </pic:pic>
              </a:graphicData>
            </a:graphic>
          </wp:anchor>
        </w:drawing>
      </w:r>
    </w:p>
    <w:p>
      <w:pPr>
        <w:sectPr>
          <w:pgSz w:w="11900" w:h="16838" w:orient="portrait"/>
          <w:cols w:equalWidth="0" w:num="1">
            <w:col w:w="11440"/>
          </w:cols>
          <w:pgMar w:left="240" w:top="663" w:right="219" w:bottom="1440" w:gutter="0" w:footer="0" w:header="0"/>
        </w:sectPr>
      </w:pPr>
    </w:p>
    <w:bookmarkStart w:id="13" w:name="page14"/>
    <w:bookmarkEnd w:id="13"/>
    <w:p>
      <w:pPr>
        <w:spacing w:after="0"/>
        <w:rPr>
          <w:sz w:val="20"/>
          <w:szCs w:val="20"/>
          <w:color w:val="auto"/>
        </w:rPr>
      </w:pPr>
      <w:r>
        <w:rPr>
          <w:rFonts w:ascii="Arial" w:cs="Arial" w:eastAsia="Arial" w:hAnsi="Arial"/>
          <w:sz w:val="18"/>
          <w:szCs w:val="18"/>
          <w:b w:val="1"/>
          <w:bCs w:val="1"/>
          <w:color w:val="auto"/>
        </w:rPr>
        <w:t>Contract Costs</w:t>
      </w:r>
    </w:p>
    <w:p>
      <w:pPr>
        <w:spacing w:after="0" w:line="120" w:lineRule="exact"/>
        <w:rPr>
          <w:sz w:val="20"/>
          <w:szCs w:val="20"/>
          <w:color w:val="auto"/>
        </w:rPr>
      </w:pPr>
    </w:p>
    <w:p>
      <w:pPr>
        <w:jc w:val="both"/>
        <w:ind w:right="20"/>
        <w:spacing w:after="0" w:line="258" w:lineRule="auto"/>
        <w:rPr>
          <w:sz w:val="20"/>
          <w:szCs w:val="20"/>
          <w:color w:val="auto"/>
        </w:rPr>
      </w:pPr>
      <w:r>
        <w:rPr>
          <w:rFonts w:ascii="Arial" w:cs="Arial" w:eastAsia="Arial" w:hAnsi="Arial"/>
          <w:sz w:val="18"/>
          <w:szCs w:val="18"/>
          <w:color w:val="auto"/>
        </w:rPr>
        <w:t>Capitalized contract costs were $27.2 million as of March 31, 2018 and $16.9 million as of December 31, 2017. The contract costs as of March 31, 2018 consisted of $3.7 million to obtain contracts and $23.5 million to fulfill contracts. During the three months ended March 31, 2018, $8.6 million of the December 31, 2017 balance was recognized in cost of services or products and $18.6 million of costs remained deferred. We did not recognize an impairment loss with respect to capitalized contract costs.</w:t>
      </w:r>
    </w:p>
    <w:p>
      <w:pPr>
        <w:spacing w:after="0" w:line="28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Disaggregation of Revenue</w:t>
      </w:r>
    </w:p>
    <w:p>
      <w:pPr>
        <w:spacing w:after="0" w:line="120" w:lineRule="exact"/>
        <w:rPr>
          <w:sz w:val="20"/>
          <w:szCs w:val="20"/>
          <w:color w:val="auto"/>
        </w:rPr>
      </w:pPr>
    </w:p>
    <w:p>
      <w:pPr>
        <w:spacing w:after="0"/>
        <w:rPr>
          <w:sz w:val="20"/>
          <w:szCs w:val="20"/>
          <w:color w:val="auto"/>
        </w:rPr>
      </w:pPr>
      <w:r>
        <w:rPr>
          <w:rFonts w:ascii="Arial" w:cs="Arial" w:eastAsia="Arial" w:hAnsi="Arial"/>
          <w:sz w:val="18"/>
          <w:szCs w:val="18"/>
          <w:color w:val="auto"/>
        </w:rPr>
        <w:t>The following tables disaggregate revenue of GES and Pursuit by major product line, timing of revenue recognition, and markets served:</w:t>
      </w:r>
    </w:p>
    <w:p>
      <w:pPr>
        <w:spacing w:after="0" w:line="32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GES</w:t>
      </w:r>
    </w:p>
    <w:p>
      <w:pPr>
        <w:spacing w:after="0" w:line="313"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4240" w:type="dxa"/>
            <w:vAlign w:val="bottom"/>
          </w:tcPr>
          <w:p>
            <w:pPr>
              <w:spacing w:after="0"/>
              <w:rPr>
                <w:sz w:val="14"/>
                <w:szCs w:val="14"/>
                <w:color w:val="auto"/>
              </w:rPr>
            </w:pPr>
          </w:p>
        </w:tc>
        <w:tc>
          <w:tcPr>
            <w:tcW w:w="1720" w:type="dxa"/>
            <w:vAlign w:val="bottom"/>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960" w:type="dxa"/>
            <w:vAlign w:val="bottom"/>
            <w:tcBorders>
              <w:bottom w:val="single" w:sz="8" w:color="auto"/>
            </w:tcBorders>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2680" w:type="dxa"/>
            <w:vAlign w:val="bottom"/>
            <w:tcBorders>
              <w:bottom w:val="single" w:sz="8" w:color="auto"/>
            </w:tcBorders>
            <w:gridSpan w:val="5"/>
          </w:tcPr>
          <w:p>
            <w:pPr>
              <w:jc w:val="right"/>
              <w:ind w:right="360"/>
              <w:spacing w:after="0"/>
              <w:rPr>
                <w:sz w:val="20"/>
                <w:szCs w:val="20"/>
                <w:color w:val="auto"/>
              </w:rPr>
            </w:pPr>
            <w:r>
              <w:rPr>
                <w:rFonts w:ascii="Arial" w:cs="Arial" w:eastAsia="Arial" w:hAnsi="Arial"/>
                <w:sz w:val="14"/>
                <w:szCs w:val="14"/>
                <w:b w:val="1"/>
                <w:bCs w:val="1"/>
                <w:color w:val="auto"/>
                <w:w w:val="95"/>
              </w:rPr>
              <w:t>Three Months Ended March 31, 2018</w:t>
            </w:r>
          </w:p>
        </w:tc>
        <w:tc>
          <w:tcPr>
            <w:tcW w:w="260" w:type="dxa"/>
            <w:vAlign w:val="bottom"/>
            <w:tcBorders>
              <w:bottom w:val="single" w:sz="8" w:color="auto"/>
            </w:tcBorders>
          </w:tcPr>
          <w:p>
            <w:pPr>
              <w:spacing w:after="0"/>
              <w:rPr>
                <w:sz w:val="14"/>
                <w:szCs w:val="14"/>
                <w:color w:val="auto"/>
              </w:rPr>
            </w:pPr>
          </w:p>
        </w:tc>
        <w:tc>
          <w:tcPr>
            <w:tcW w:w="92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2"/>
        </w:trPr>
        <w:tc>
          <w:tcPr>
            <w:tcW w:w="4240" w:type="dxa"/>
            <w:vAlign w:val="bottom"/>
            <w:vMerge w:val="restart"/>
          </w:tcPr>
          <w:p>
            <w:pPr>
              <w:spacing w:after="0"/>
              <w:rPr>
                <w:sz w:val="20"/>
                <w:szCs w:val="20"/>
                <w:color w:val="auto"/>
              </w:rPr>
            </w:pPr>
            <w:r>
              <w:rPr>
                <w:rFonts w:ascii="Arial" w:cs="Arial" w:eastAsia="Arial" w:hAnsi="Arial"/>
                <w:sz w:val="18"/>
                <w:szCs w:val="18"/>
                <w:i w:val="1"/>
                <w:iCs w:val="1"/>
                <w:color w:val="auto"/>
              </w:rPr>
              <w:t>(in thousands)</w:t>
            </w:r>
          </w:p>
        </w:tc>
        <w:tc>
          <w:tcPr>
            <w:tcW w:w="17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960" w:type="dxa"/>
            <w:vAlign w:val="bottom"/>
            <w:vMerge w:val="restart"/>
          </w:tcPr>
          <w:p>
            <w:pPr>
              <w:jc w:val="right"/>
              <w:ind w:right="191"/>
              <w:spacing w:after="0"/>
              <w:rPr>
                <w:sz w:val="20"/>
                <w:szCs w:val="20"/>
                <w:color w:val="auto"/>
              </w:rPr>
            </w:pPr>
            <w:r>
              <w:rPr>
                <w:rFonts w:ascii="Arial" w:cs="Arial" w:eastAsia="Arial" w:hAnsi="Arial"/>
                <w:sz w:val="14"/>
                <w:szCs w:val="14"/>
                <w:b w:val="1"/>
                <w:bCs w:val="1"/>
                <w:color w:val="auto"/>
              </w:rPr>
              <w:t>GES U.S.</w:t>
            </w:r>
          </w:p>
        </w:tc>
        <w:tc>
          <w:tcPr>
            <w:tcW w:w="240" w:type="dxa"/>
            <w:vAlign w:val="bottom"/>
          </w:tcPr>
          <w:p>
            <w:pPr>
              <w:spacing w:after="0"/>
              <w:rPr>
                <w:sz w:val="11"/>
                <w:szCs w:val="11"/>
                <w:color w:val="auto"/>
              </w:rPr>
            </w:pPr>
          </w:p>
        </w:tc>
        <w:tc>
          <w:tcPr>
            <w:tcW w:w="1400" w:type="dxa"/>
            <w:vAlign w:val="bottom"/>
            <w:gridSpan w:val="3"/>
            <w:vMerge w:val="restart"/>
          </w:tcPr>
          <w:p>
            <w:pPr>
              <w:ind w:left="20"/>
              <w:spacing w:after="0"/>
              <w:rPr>
                <w:sz w:val="20"/>
                <w:szCs w:val="20"/>
                <w:color w:val="auto"/>
              </w:rPr>
            </w:pPr>
            <w:r>
              <w:rPr>
                <w:rFonts w:ascii="Arial" w:cs="Arial" w:eastAsia="Arial" w:hAnsi="Arial"/>
                <w:sz w:val="14"/>
                <w:szCs w:val="14"/>
                <w:b w:val="1"/>
                <w:bCs w:val="1"/>
                <w:color w:val="auto"/>
              </w:rPr>
              <w:t>GES International</w:t>
            </w:r>
          </w:p>
        </w:tc>
        <w:tc>
          <w:tcPr>
            <w:tcW w:w="140" w:type="dxa"/>
            <w:vAlign w:val="bottom"/>
          </w:tcPr>
          <w:p>
            <w:pPr>
              <w:spacing w:after="0"/>
              <w:rPr>
                <w:sz w:val="11"/>
                <w:szCs w:val="11"/>
                <w:color w:val="auto"/>
              </w:rPr>
            </w:pPr>
          </w:p>
        </w:tc>
        <w:tc>
          <w:tcPr>
            <w:tcW w:w="1260" w:type="dxa"/>
            <w:vAlign w:val="bottom"/>
            <w:gridSpan w:val="2"/>
          </w:tcPr>
          <w:p>
            <w:pPr>
              <w:jc w:val="right"/>
              <w:ind w:right="420"/>
              <w:spacing w:after="0" w:line="132" w:lineRule="exact"/>
              <w:rPr>
                <w:sz w:val="20"/>
                <w:szCs w:val="20"/>
                <w:color w:val="auto"/>
              </w:rPr>
            </w:pPr>
            <w:r>
              <w:rPr>
                <w:rFonts w:ascii="Arial" w:cs="Arial" w:eastAsia="Arial" w:hAnsi="Arial"/>
                <w:sz w:val="14"/>
                <w:szCs w:val="14"/>
                <w:b w:val="1"/>
                <w:bCs w:val="1"/>
                <w:color w:val="auto"/>
                <w:w w:val="93"/>
              </w:rPr>
              <w:t>Intersegment</w:t>
            </w:r>
          </w:p>
        </w:tc>
        <w:tc>
          <w:tcPr>
            <w:tcW w:w="260" w:type="dxa"/>
            <w:vAlign w:val="bottom"/>
          </w:tcPr>
          <w:p>
            <w:pPr>
              <w:spacing w:after="0"/>
              <w:rPr>
                <w:sz w:val="11"/>
                <w:szCs w:val="11"/>
                <w:color w:val="auto"/>
              </w:rPr>
            </w:pPr>
          </w:p>
        </w:tc>
        <w:tc>
          <w:tcPr>
            <w:tcW w:w="1020" w:type="dxa"/>
            <w:vAlign w:val="bottom"/>
            <w:gridSpan w:val="2"/>
            <w:vMerge w:val="restart"/>
          </w:tcPr>
          <w:p>
            <w:pPr>
              <w:jc w:val="right"/>
              <w:ind w:right="540"/>
              <w:spacing w:after="0"/>
              <w:rPr>
                <w:sz w:val="20"/>
                <w:szCs w:val="20"/>
                <w:color w:val="auto"/>
              </w:rPr>
            </w:pPr>
            <w:r>
              <w:rPr>
                <w:rFonts w:ascii="Arial" w:cs="Arial" w:eastAsia="Arial" w:hAnsi="Arial"/>
                <w:sz w:val="14"/>
                <w:szCs w:val="14"/>
                <w:b w:val="1"/>
                <w:bCs w:val="1"/>
                <w:color w:val="auto"/>
              </w:rPr>
              <w:t>Total</w:t>
            </w: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71"/>
        </w:trPr>
        <w:tc>
          <w:tcPr>
            <w:tcW w:w="4240" w:type="dxa"/>
            <w:vAlign w:val="bottom"/>
            <w:vMerge w:val="continue"/>
          </w:tcPr>
          <w:p>
            <w:pPr>
              <w:spacing w:after="0"/>
              <w:rPr>
                <w:sz w:val="14"/>
                <w:szCs w:val="14"/>
                <w:color w:val="auto"/>
              </w:rPr>
            </w:pPr>
          </w:p>
        </w:tc>
        <w:tc>
          <w:tcPr>
            <w:tcW w:w="17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960" w:type="dxa"/>
            <w:vAlign w:val="bottom"/>
            <w:vMerge w:val="continue"/>
          </w:tcPr>
          <w:p>
            <w:pPr>
              <w:spacing w:after="0"/>
              <w:rPr>
                <w:sz w:val="14"/>
                <w:szCs w:val="14"/>
                <w:color w:val="auto"/>
              </w:rPr>
            </w:pPr>
          </w:p>
        </w:tc>
        <w:tc>
          <w:tcPr>
            <w:tcW w:w="240" w:type="dxa"/>
            <w:vAlign w:val="bottom"/>
          </w:tcPr>
          <w:p>
            <w:pPr>
              <w:spacing w:after="0"/>
              <w:rPr>
                <w:sz w:val="14"/>
                <w:szCs w:val="14"/>
                <w:color w:val="auto"/>
              </w:rPr>
            </w:pPr>
          </w:p>
        </w:tc>
        <w:tc>
          <w:tcPr>
            <w:tcW w:w="1400" w:type="dxa"/>
            <w:vAlign w:val="bottom"/>
            <w:gridSpan w:val="3"/>
            <w:vMerge w:val="continue"/>
          </w:tcPr>
          <w:p>
            <w:pPr>
              <w:spacing w:after="0"/>
              <w:rPr>
                <w:sz w:val="14"/>
                <w:szCs w:val="14"/>
                <w:color w:val="auto"/>
              </w:rPr>
            </w:pPr>
          </w:p>
        </w:tc>
        <w:tc>
          <w:tcPr>
            <w:tcW w:w="140" w:type="dxa"/>
            <w:vAlign w:val="bottom"/>
          </w:tcPr>
          <w:p>
            <w:pPr>
              <w:spacing w:after="0"/>
              <w:rPr>
                <w:sz w:val="14"/>
                <w:szCs w:val="14"/>
                <w:color w:val="auto"/>
              </w:rPr>
            </w:pPr>
          </w:p>
        </w:tc>
        <w:tc>
          <w:tcPr>
            <w:tcW w:w="1260" w:type="dxa"/>
            <w:vAlign w:val="bottom"/>
            <w:gridSpan w:val="2"/>
          </w:tcPr>
          <w:p>
            <w:pPr>
              <w:jc w:val="right"/>
              <w:ind w:right="440"/>
              <w:spacing w:after="0"/>
              <w:rPr>
                <w:sz w:val="20"/>
                <w:szCs w:val="20"/>
                <w:color w:val="auto"/>
              </w:rPr>
            </w:pPr>
            <w:r>
              <w:rPr>
                <w:rFonts w:ascii="Arial" w:cs="Arial" w:eastAsia="Arial" w:hAnsi="Arial"/>
                <w:sz w:val="14"/>
                <w:szCs w:val="14"/>
                <w:b w:val="1"/>
                <w:bCs w:val="1"/>
                <w:color w:val="auto"/>
                <w:w w:val="96"/>
              </w:rPr>
              <w:t>Eliminations</w:t>
            </w:r>
          </w:p>
        </w:tc>
        <w:tc>
          <w:tcPr>
            <w:tcW w:w="260" w:type="dxa"/>
            <w:vAlign w:val="bottom"/>
          </w:tcPr>
          <w:p>
            <w:pPr>
              <w:spacing w:after="0"/>
              <w:rPr>
                <w:sz w:val="14"/>
                <w:szCs w:val="14"/>
                <w:color w:val="auto"/>
              </w:rPr>
            </w:pPr>
          </w:p>
        </w:tc>
        <w:tc>
          <w:tcPr>
            <w:tcW w:w="1020" w:type="dxa"/>
            <w:vAlign w:val="bottom"/>
            <w:gridSpan w:val="2"/>
            <w:vMerge w:val="continue"/>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22"/>
        </w:trPr>
        <w:tc>
          <w:tcPr>
            <w:tcW w:w="424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8"/>
                <w:szCs w:val="18"/>
                <w:b w:val="1"/>
                <w:bCs w:val="1"/>
                <w:color w:val="auto"/>
              </w:rPr>
              <w:t>Services:</w:t>
            </w:r>
          </w:p>
        </w:tc>
        <w:tc>
          <w:tcPr>
            <w:tcW w:w="1720" w:type="dxa"/>
            <w:vAlign w:val="bottom"/>
            <w:tcBorders>
              <w:top w:val="single" w:sz="8" w:color="CFF0FC"/>
            </w:tcBorders>
            <w:shd w:val="clear" w:color="auto" w:fill="CFF0FC"/>
          </w:tcPr>
          <w:p>
            <w:pPr>
              <w:spacing w:after="0"/>
              <w:rPr>
                <w:sz w:val="19"/>
                <w:szCs w:val="19"/>
                <w:color w:val="auto"/>
              </w:rPr>
            </w:pPr>
          </w:p>
        </w:tc>
        <w:tc>
          <w:tcPr>
            <w:tcW w:w="180" w:type="dxa"/>
            <w:vAlign w:val="bottom"/>
            <w:tcBorders>
              <w:top w:val="single" w:sz="8" w:color="auto"/>
            </w:tcBorders>
            <w:shd w:val="clear" w:color="auto" w:fill="CFF0FC"/>
          </w:tcPr>
          <w:p>
            <w:pPr>
              <w:spacing w:after="0"/>
              <w:rPr>
                <w:sz w:val="19"/>
                <w:szCs w:val="19"/>
                <w:color w:val="auto"/>
              </w:rPr>
            </w:pPr>
          </w:p>
        </w:tc>
        <w:tc>
          <w:tcPr>
            <w:tcW w:w="960" w:type="dxa"/>
            <w:vAlign w:val="bottom"/>
            <w:tcBorders>
              <w:top w:val="single" w:sz="8" w:color="auto"/>
            </w:tcBorders>
            <w:shd w:val="clear" w:color="auto" w:fill="CFF0FC"/>
          </w:tcPr>
          <w:p>
            <w:pPr>
              <w:spacing w:after="0"/>
              <w:rPr>
                <w:sz w:val="19"/>
                <w:szCs w:val="19"/>
                <w:color w:val="auto"/>
              </w:rPr>
            </w:pPr>
          </w:p>
        </w:tc>
        <w:tc>
          <w:tcPr>
            <w:tcW w:w="240" w:type="dxa"/>
            <w:vAlign w:val="bottom"/>
            <w:tcBorders>
              <w:top w:val="single" w:sz="8" w:color="CFF0FC"/>
            </w:tcBorders>
            <w:shd w:val="clear" w:color="auto" w:fill="CFF0FC"/>
          </w:tcPr>
          <w:p>
            <w:pPr>
              <w:spacing w:after="0"/>
              <w:rPr>
                <w:sz w:val="19"/>
                <w:szCs w:val="19"/>
                <w:color w:val="auto"/>
              </w:rPr>
            </w:pPr>
          </w:p>
        </w:tc>
        <w:tc>
          <w:tcPr>
            <w:tcW w:w="120" w:type="dxa"/>
            <w:vAlign w:val="bottom"/>
            <w:tcBorders>
              <w:top w:val="single" w:sz="8" w:color="auto"/>
            </w:tcBorders>
            <w:shd w:val="clear" w:color="auto" w:fill="CFF0FC"/>
          </w:tcPr>
          <w:p>
            <w:pPr>
              <w:spacing w:after="0"/>
              <w:rPr>
                <w:sz w:val="19"/>
                <w:szCs w:val="19"/>
                <w:color w:val="auto"/>
              </w:rPr>
            </w:pPr>
          </w:p>
        </w:tc>
        <w:tc>
          <w:tcPr>
            <w:tcW w:w="1040" w:type="dxa"/>
            <w:vAlign w:val="bottom"/>
            <w:tcBorders>
              <w:top w:val="single" w:sz="8" w:color="auto"/>
            </w:tcBorders>
            <w:shd w:val="clear" w:color="auto" w:fill="CFF0FC"/>
          </w:tcPr>
          <w:p>
            <w:pPr>
              <w:spacing w:after="0"/>
              <w:rPr>
                <w:sz w:val="19"/>
                <w:szCs w:val="19"/>
                <w:color w:val="auto"/>
              </w:rPr>
            </w:pPr>
          </w:p>
        </w:tc>
        <w:tc>
          <w:tcPr>
            <w:tcW w:w="240" w:type="dxa"/>
            <w:vAlign w:val="bottom"/>
            <w:tcBorders>
              <w:top w:val="single" w:sz="8" w:color="CFF0FC"/>
            </w:tcBorders>
            <w:shd w:val="clear" w:color="auto" w:fill="CFF0FC"/>
          </w:tcPr>
          <w:p>
            <w:pPr>
              <w:spacing w:after="0"/>
              <w:rPr>
                <w:sz w:val="19"/>
                <w:szCs w:val="19"/>
                <w:color w:val="auto"/>
              </w:rPr>
            </w:pPr>
          </w:p>
        </w:tc>
        <w:tc>
          <w:tcPr>
            <w:tcW w:w="140" w:type="dxa"/>
            <w:vAlign w:val="bottom"/>
            <w:tcBorders>
              <w:top w:val="single" w:sz="8" w:color="auto"/>
            </w:tcBorders>
            <w:shd w:val="clear" w:color="auto" w:fill="CFF0FC"/>
          </w:tcPr>
          <w:p>
            <w:pPr>
              <w:spacing w:after="0"/>
              <w:rPr>
                <w:sz w:val="19"/>
                <w:szCs w:val="19"/>
                <w:color w:val="auto"/>
              </w:rPr>
            </w:pPr>
          </w:p>
        </w:tc>
        <w:tc>
          <w:tcPr>
            <w:tcW w:w="1020" w:type="dxa"/>
            <w:vAlign w:val="bottom"/>
            <w:tcBorders>
              <w:top w:val="single" w:sz="8" w:color="auto"/>
            </w:tcBorders>
            <w:shd w:val="clear" w:color="auto" w:fill="CFF0FC"/>
          </w:tcPr>
          <w:p>
            <w:pPr>
              <w:spacing w:after="0"/>
              <w:rPr>
                <w:sz w:val="19"/>
                <w:szCs w:val="19"/>
                <w:color w:val="auto"/>
              </w:rPr>
            </w:pPr>
          </w:p>
        </w:tc>
        <w:tc>
          <w:tcPr>
            <w:tcW w:w="240" w:type="dxa"/>
            <w:vAlign w:val="bottom"/>
            <w:tcBorders>
              <w:top w:val="single" w:sz="8" w:color="CFF0FC"/>
            </w:tcBorders>
            <w:shd w:val="clear" w:color="auto" w:fill="CFF0FC"/>
          </w:tcPr>
          <w:p>
            <w:pPr>
              <w:spacing w:after="0"/>
              <w:rPr>
                <w:sz w:val="19"/>
                <w:szCs w:val="19"/>
                <w:color w:val="auto"/>
              </w:rPr>
            </w:pPr>
          </w:p>
        </w:tc>
        <w:tc>
          <w:tcPr>
            <w:tcW w:w="260" w:type="dxa"/>
            <w:vAlign w:val="bottom"/>
            <w:tcBorders>
              <w:top w:val="single" w:sz="8" w:color="auto"/>
            </w:tcBorders>
            <w:shd w:val="clear" w:color="auto" w:fill="CFF0FC"/>
          </w:tcPr>
          <w:p>
            <w:pPr>
              <w:spacing w:after="0"/>
              <w:rPr>
                <w:sz w:val="19"/>
                <w:szCs w:val="19"/>
                <w:color w:val="auto"/>
              </w:rPr>
            </w:pPr>
          </w:p>
        </w:tc>
        <w:tc>
          <w:tcPr>
            <w:tcW w:w="920" w:type="dxa"/>
            <w:vAlign w:val="bottom"/>
            <w:tcBorders>
              <w:top w:val="single" w:sz="8" w:color="auto"/>
            </w:tcBorders>
            <w:shd w:val="clear" w:color="auto" w:fill="CFF0FC"/>
          </w:tcPr>
          <w:p>
            <w:pPr>
              <w:spacing w:after="0"/>
              <w:rPr>
                <w:sz w:val="19"/>
                <w:szCs w:val="19"/>
                <w:color w:val="auto"/>
              </w:rPr>
            </w:pPr>
          </w:p>
        </w:tc>
        <w:tc>
          <w:tcPr>
            <w:tcW w:w="100" w:type="dxa"/>
            <w:vAlign w:val="bottom"/>
            <w:tcBorders>
              <w:top w:val="single" w:sz="8" w:color="CFF0FC"/>
            </w:tcBorders>
            <w:shd w:val="clear" w:color="auto" w:fill="CFF0FC"/>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4240" w:type="dxa"/>
            <w:vAlign w:val="bottom"/>
          </w:tcPr>
          <w:p>
            <w:pPr>
              <w:ind w:left="140"/>
              <w:spacing w:after="0"/>
              <w:rPr>
                <w:sz w:val="20"/>
                <w:szCs w:val="20"/>
                <w:color w:val="auto"/>
              </w:rPr>
            </w:pPr>
            <w:r>
              <w:rPr>
                <w:rFonts w:ascii="Arial" w:cs="Arial" w:eastAsia="Arial" w:hAnsi="Arial"/>
                <w:sz w:val="18"/>
                <w:szCs w:val="18"/>
                <w:color w:val="auto"/>
              </w:rPr>
              <w:t>Core services</w:t>
            </w:r>
          </w:p>
        </w:tc>
        <w:tc>
          <w:tcPr>
            <w:tcW w:w="19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960" w:type="dxa"/>
            <w:vAlign w:val="bottom"/>
          </w:tcPr>
          <w:p>
            <w:pPr>
              <w:jc w:val="right"/>
              <w:spacing w:after="0"/>
              <w:rPr>
                <w:sz w:val="20"/>
                <w:szCs w:val="20"/>
                <w:color w:val="auto"/>
              </w:rPr>
            </w:pPr>
            <w:r>
              <w:rPr>
                <w:rFonts w:ascii="Arial" w:cs="Arial" w:eastAsia="Arial" w:hAnsi="Arial"/>
                <w:sz w:val="18"/>
                <w:szCs w:val="18"/>
                <w:color w:val="auto"/>
              </w:rPr>
              <w:t>163,367</w:t>
            </w:r>
          </w:p>
        </w:tc>
        <w:tc>
          <w:tcPr>
            <w:tcW w:w="360" w:type="dxa"/>
            <w:vAlign w:val="bottom"/>
            <w:gridSpan w:val="2"/>
          </w:tcPr>
          <w:p>
            <w:pPr>
              <w:ind w:left="240"/>
              <w:spacing w:after="0"/>
              <w:rPr>
                <w:sz w:val="20"/>
                <w:szCs w:val="20"/>
                <w:color w:val="auto"/>
              </w:rPr>
            </w:pPr>
            <w:r>
              <w:rPr>
                <w:rFonts w:ascii="Arial" w:cs="Arial" w:eastAsia="Arial" w:hAnsi="Arial"/>
                <w:sz w:val="18"/>
                <w:szCs w:val="18"/>
                <w:color w:val="auto"/>
                <w:w w:val="99"/>
              </w:rPr>
              <w:t>$</w:t>
            </w:r>
          </w:p>
        </w:tc>
        <w:tc>
          <w:tcPr>
            <w:tcW w:w="1040" w:type="dxa"/>
            <w:vAlign w:val="bottom"/>
          </w:tcPr>
          <w:p>
            <w:pPr>
              <w:jc w:val="right"/>
              <w:spacing w:after="0"/>
              <w:rPr>
                <w:sz w:val="20"/>
                <w:szCs w:val="20"/>
                <w:color w:val="auto"/>
              </w:rPr>
            </w:pPr>
            <w:r>
              <w:rPr>
                <w:rFonts w:ascii="Arial" w:cs="Arial" w:eastAsia="Arial" w:hAnsi="Arial"/>
                <w:sz w:val="18"/>
                <w:szCs w:val="18"/>
                <w:color w:val="auto"/>
              </w:rPr>
              <w:t>46,213</w:t>
            </w:r>
          </w:p>
        </w:tc>
        <w:tc>
          <w:tcPr>
            <w:tcW w:w="240" w:type="dxa"/>
            <w:vAlign w:val="bottom"/>
          </w:tcPr>
          <w:p>
            <w:pPr>
              <w:spacing w:after="0"/>
              <w:rPr>
                <w:sz w:val="19"/>
                <w:szCs w:val="19"/>
                <w:color w:val="auto"/>
              </w:rPr>
            </w:pPr>
          </w:p>
        </w:tc>
        <w:tc>
          <w:tcPr>
            <w:tcW w:w="14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26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260" w:type="dxa"/>
            <w:vAlign w:val="bottom"/>
          </w:tcPr>
          <w:p>
            <w:pPr>
              <w:jc w:val="right"/>
              <w:ind w:right="70"/>
              <w:spacing w:after="0"/>
              <w:rPr>
                <w:sz w:val="20"/>
                <w:szCs w:val="20"/>
                <w:color w:val="auto"/>
              </w:rPr>
            </w:pPr>
            <w:r>
              <w:rPr>
                <w:rFonts w:ascii="Arial" w:cs="Arial" w:eastAsia="Arial" w:hAnsi="Arial"/>
                <w:sz w:val="18"/>
                <w:szCs w:val="18"/>
                <w:color w:val="auto"/>
                <w:w w:val="79"/>
              </w:rPr>
              <w:t>$</w:t>
            </w:r>
          </w:p>
        </w:tc>
        <w:tc>
          <w:tcPr>
            <w:tcW w:w="920" w:type="dxa"/>
            <w:vAlign w:val="bottom"/>
          </w:tcPr>
          <w:p>
            <w:pPr>
              <w:jc w:val="right"/>
              <w:spacing w:after="0"/>
              <w:rPr>
                <w:sz w:val="20"/>
                <w:szCs w:val="20"/>
                <w:color w:val="auto"/>
              </w:rPr>
            </w:pPr>
            <w:r>
              <w:rPr>
                <w:rFonts w:ascii="Arial" w:cs="Arial" w:eastAsia="Arial" w:hAnsi="Arial"/>
                <w:sz w:val="18"/>
                <w:szCs w:val="18"/>
                <w:color w:val="auto"/>
              </w:rPr>
              <w:t>209,580</w:t>
            </w:r>
          </w:p>
        </w:tc>
        <w:tc>
          <w:tcPr>
            <w:tcW w:w="1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4240" w:type="dxa"/>
            <w:vAlign w:val="bottom"/>
            <w:shd w:val="clear" w:color="auto" w:fill="CFF0FC"/>
          </w:tcPr>
          <w:p>
            <w:pPr>
              <w:ind w:left="140"/>
              <w:spacing w:after="0"/>
              <w:rPr>
                <w:sz w:val="20"/>
                <w:szCs w:val="20"/>
                <w:color w:val="auto"/>
              </w:rPr>
            </w:pPr>
            <w:r>
              <w:rPr>
                <w:rFonts w:ascii="Arial" w:cs="Arial" w:eastAsia="Arial" w:hAnsi="Arial"/>
                <w:sz w:val="18"/>
                <w:szCs w:val="18"/>
                <w:color w:val="auto"/>
              </w:rPr>
              <w:t>Audio-visual</w:t>
            </w:r>
          </w:p>
        </w:tc>
        <w:tc>
          <w:tcPr>
            <w:tcW w:w="17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9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17,084</w:t>
            </w:r>
          </w:p>
        </w:tc>
        <w:tc>
          <w:tcPr>
            <w:tcW w:w="24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0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3,168</w:t>
            </w:r>
          </w:p>
        </w:tc>
        <w:tc>
          <w:tcPr>
            <w:tcW w:w="24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1260" w:type="dxa"/>
            <w:vAlign w:val="bottom"/>
            <w:gridSpan w:val="2"/>
            <w:shd w:val="clear" w:color="auto" w:fill="CFF0FC"/>
          </w:tcPr>
          <w:p>
            <w:pPr>
              <w:jc w:val="right"/>
              <w:ind w:right="260"/>
              <w:spacing w:after="0"/>
              <w:rPr>
                <w:sz w:val="20"/>
                <w:szCs w:val="20"/>
                <w:color w:val="auto"/>
              </w:rPr>
            </w:pPr>
            <w:r>
              <w:rPr>
                <w:rFonts w:ascii="Arial" w:cs="Arial" w:eastAsia="Arial" w:hAnsi="Arial"/>
                <w:sz w:val="18"/>
                <w:szCs w:val="18"/>
                <w:color w:val="auto"/>
              </w:rPr>
              <w:t>—</w:t>
            </w:r>
          </w:p>
        </w:tc>
        <w:tc>
          <w:tcPr>
            <w:tcW w:w="260" w:type="dxa"/>
            <w:vAlign w:val="bottom"/>
            <w:shd w:val="clear" w:color="auto" w:fill="CFF0FC"/>
          </w:tcPr>
          <w:p>
            <w:pPr>
              <w:spacing w:after="0"/>
              <w:rPr>
                <w:sz w:val="19"/>
                <w:szCs w:val="19"/>
                <w:color w:val="auto"/>
              </w:rPr>
            </w:pPr>
          </w:p>
        </w:tc>
        <w:tc>
          <w:tcPr>
            <w:tcW w:w="9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20,252</w:t>
            </w:r>
          </w:p>
        </w:tc>
        <w:tc>
          <w:tcPr>
            <w:tcW w:w="100" w:type="dxa"/>
            <w:vAlign w:val="bottom"/>
            <w:shd w:val="clear" w:color="auto" w:fill="CFF0FC"/>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4240" w:type="dxa"/>
            <w:vAlign w:val="bottom"/>
          </w:tcPr>
          <w:p>
            <w:pPr>
              <w:ind w:left="140"/>
              <w:spacing w:after="0"/>
              <w:rPr>
                <w:sz w:val="20"/>
                <w:szCs w:val="20"/>
                <w:color w:val="auto"/>
              </w:rPr>
            </w:pPr>
            <w:r>
              <w:rPr>
                <w:rFonts w:ascii="Arial" w:cs="Arial" w:eastAsia="Arial" w:hAnsi="Arial"/>
                <w:sz w:val="18"/>
                <w:szCs w:val="18"/>
                <w:color w:val="auto"/>
              </w:rPr>
              <w:t>Event technology</w:t>
            </w:r>
          </w:p>
        </w:tc>
        <w:tc>
          <w:tcPr>
            <w:tcW w:w="17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8,035</w:t>
            </w:r>
          </w:p>
        </w:tc>
        <w:tc>
          <w:tcPr>
            <w:tcW w:w="2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3,274</w:t>
            </w:r>
          </w:p>
        </w:tc>
        <w:tc>
          <w:tcPr>
            <w:tcW w:w="2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26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11,309</w:t>
            </w:r>
          </w:p>
        </w:tc>
        <w:tc>
          <w:tcPr>
            <w:tcW w:w="1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4240" w:type="dxa"/>
            <w:vAlign w:val="bottom"/>
            <w:shd w:val="clear" w:color="auto" w:fill="CFF0FC"/>
          </w:tcPr>
          <w:p>
            <w:pPr>
              <w:ind w:left="140"/>
              <w:spacing w:after="0"/>
              <w:rPr>
                <w:sz w:val="20"/>
                <w:szCs w:val="20"/>
                <w:color w:val="auto"/>
              </w:rPr>
            </w:pPr>
            <w:r>
              <w:rPr>
                <w:rFonts w:ascii="Arial" w:cs="Arial" w:eastAsia="Arial" w:hAnsi="Arial"/>
                <w:sz w:val="18"/>
                <w:szCs w:val="18"/>
                <w:color w:val="auto"/>
              </w:rPr>
              <w:t>Intersegment eliminations</w:t>
            </w:r>
          </w:p>
        </w:tc>
        <w:tc>
          <w:tcPr>
            <w:tcW w:w="17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9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24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280" w:type="dxa"/>
            <w:vAlign w:val="bottom"/>
            <w:gridSpan w:val="2"/>
            <w:shd w:val="clear" w:color="auto" w:fill="CFF0FC"/>
          </w:tcPr>
          <w:p>
            <w:pPr>
              <w:jc w:val="right"/>
              <w:ind w:right="240"/>
              <w:spacing w:after="0"/>
              <w:rPr>
                <w:sz w:val="20"/>
                <w:szCs w:val="20"/>
                <w:color w:val="auto"/>
              </w:rPr>
            </w:pPr>
            <w:r>
              <w:rPr>
                <w:rFonts w:ascii="Arial" w:cs="Arial" w:eastAsia="Arial" w:hAnsi="Arial"/>
                <w:sz w:val="18"/>
                <w:szCs w:val="18"/>
                <w:color w:val="auto"/>
              </w:rPr>
              <w:t>—</w:t>
            </w:r>
          </w:p>
        </w:tc>
        <w:tc>
          <w:tcPr>
            <w:tcW w:w="140" w:type="dxa"/>
            <w:vAlign w:val="bottom"/>
            <w:shd w:val="clear" w:color="auto" w:fill="CFF0FC"/>
          </w:tcPr>
          <w:p>
            <w:pPr>
              <w:spacing w:after="0"/>
              <w:rPr>
                <w:sz w:val="19"/>
                <w:szCs w:val="19"/>
                <w:color w:val="auto"/>
              </w:rPr>
            </w:pPr>
          </w:p>
        </w:tc>
        <w:tc>
          <w:tcPr>
            <w:tcW w:w="1260" w:type="dxa"/>
            <w:vAlign w:val="bottom"/>
            <w:gridSpan w:val="2"/>
            <w:shd w:val="clear" w:color="auto" w:fill="CFF0FC"/>
          </w:tcPr>
          <w:p>
            <w:pPr>
              <w:jc w:val="right"/>
              <w:ind w:right="180"/>
              <w:spacing w:after="0"/>
              <w:rPr>
                <w:sz w:val="20"/>
                <w:szCs w:val="20"/>
                <w:color w:val="auto"/>
              </w:rPr>
            </w:pPr>
            <w:r>
              <w:rPr>
                <w:rFonts w:ascii="Arial" w:cs="Arial" w:eastAsia="Arial" w:hAnsi="Arial"/>
                <w:sz w:val="18"/>
                <w:szCs w:val="18"/>
                <w:color w:val="auto"/>
              </w:rPr>
              <w:t>(3,348)</w:t>
            </w:r>
          </w:p>
        </w:tc>
        <w:tc>
          <w:tcPr>
            <w:tcW w:w="260" w:type="dxa"/>
            <w:vAlign w:val="bottom"/>
            <w:shd w:val="clear" w:color="auto" w:fill="CFF0FC"/>
          </w:tcPr>
          <w:p>
            <w:pPr>
              <w:spacing w:after="0"/>
              <w:rPr>
                <w:sz w:val="19"/>
                <w:szCs w:val="19"/>
                <w:color w:val="auto"/>
              </w:rPr>
            </w:pPr>
          </w:p>
        </w:tc>
        <w:tc>
          <w:tcPr>
            <w:tcW w:w="1020" w:type="dxa"/>
            <w:vAlign w:val="bottom"/>
            <w:gridSpan w:val="2"/>
            <w:shd w:val="clear" w:color="auto" w:fill="CFF0FC"/>
          </w:tcPr>
          <w:p>
            <w:pPr>
              <w:jc w:val="right"/>
              <w:ind w:right="40"/>
              <w:spacing w:after="0"/>
              <w:rPr>
                <w:sz w:val="20"/>
                <w:szCs w:val="20"/>
                <w:color w:val="auto"/>
              </w:rPr>
            </w:pPr>
            <w:r>
              <w:rPr>
                <w:rFonts w:ascii="Arial" w:cs="Arial" w:eastAsia="Arial" w:hAnsi="Arial"/>
                <w:sz w:val="18"/>
                <w:szCs w:val="18"/>
                <w:color w:val="auto"/>
              </w:rPr>
              <w:t>(3,348)</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2"/>
        </w:trPr>
        <w:tc>
          <w:tcPr>
            <w:tcW w:w="4240" w:type="dxa"/>
            <w:vAlign w:val="bottom"/>
            <w:tcBorders>
              <w:bottom w:val="single" w:sz="8" w:color="CFF0FC"/>
            </w:tcBorders>
          </w:tcPr>
          <w:p>
            <w:pPr>
              <w:spacing w:after="0"/>
              <w:rPr>
                <w:sz w:val="20"/>
                <w:szCs w:val="20"/>
                <w:color w:val="auto"/>
              </w:rPr>
            </w:pPr>
            <w:r>
              <w:rPr>
                <w:rFonts w:ascii="Arial" w:cs="Arial" w:eastAsia="Arial" w:hAnsi="Arial"/>
                <w:sz w:val="18"/>
                <w:szCs w:val="18"/>
                <w:color w:val="auto"/>
              </w:rPr>
              <w:t>Total services</w:t>
            </w:r>
          </w:p>
        </w:tc>
        <w:tc>
          <w:tcPr>
            <w:tcW w:w="1720" w:type="dxa"/>
            <w:vAlign w:val="bottom"/>
            <w:tcBorders>
              <w:bottom w:val="single" w:sz="8" w:color="CFF0FC"/>
            </w:tcBorders>
          </w:tcPr>
          <w:p>
            <w:pPr>
              <w:spacing w:after="0"/>
              <w:rPr>
                <w:sz w:val="19"/>
                <w:szCs w:val="19"/>
                <w:color w:val="auto"/>
              </w:rPr>
            </w:pPr>
          </w:p>
        </w:tc>
        <w:tc>
          <w:tcPr>
            <w:tcW w:w="180" w:type="dxa"/>
            <w:vAlign w:val="bottom"/>
            <w:tcBorders>
              <w:top w:val="single" w:sz="8" w:color="auto"/>
              <w:bottom w:val="single" w:sz="8" w:color="auto"/>
            </w:tcBorders>
          </w:tcPr>
          <w:p>
            <w:pPr>
              <w:spacing w:after="0"/>
              <w:rPr>
                <w:sz w:val="19"/>
                <w:szCs w:val="19"/>
                <w:color w:val="auto"/>
              </w:rPr>
            </w:pPr>
          </w:p>
        </w:tc>
        <w:tc>
          <w:tcPr>
            <w:tcW w:w="9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188,486</w:t>
            </w:r>
          </w:p>
        </w:tc>
        <w:tc>
          <w:tcPr>
            <w:tcW w:w="240" w:type="dxa"/>
            <w:vAlign w:val="bottom"/>
            <w:tcBorders>
              <w:bottom w:val="single" w:sz="8" w:color="CFF0FC"/>
            </w:tcBorders>
          </w:tcPr>
          <w:p>
            <w:pPr>
              <w:spacing w:after="0"/>
              <w:rPr>
                <w:sz w:val="19"/>
                <w:szCs w:val="19"/>
                <w:color w:val="auto"/>
              </w:rPr>
            </w:pPr>
          </w:p>
        </w:tc>
        <w:tc>
          <w:tcPr>
            <w:tcW w:w="120" w:type="dxa"/>
            <w:vAlign w:val="bottom"/>
            <w:tcBorders>
              <w:top w:val="single" w:sz="8" w:color="auto"/>
              <w:bottom w:val="single" w:sz="8" w:color="auto"/>
            </w:tcBorders>
          </w:tcPr>
          <w:p>
            <w:pPr>
              <w:spacing w:after="0"/>
              <w:rPr>
                <w:sz w:val="19"/>
                <w:szCs w:val="19"/>
                <w:color w:val="auto"/>
              </w:rPr>
            </w:pPr>
          </w:p>
        </w:tc>
        <w:tc>
          <w:tcPr>
            <w:tcW w:w="10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52,655</w:t>
            </w:r>
          </w:p>
        </w:tc>
        <w:tc>
          <w:tcPr>
            <w:tcW w:w="240" w:type="dxa"/>
            <w:vAlign w:val="bottom"/>
            <w:tcBorders>
              <w:bottom w:val="single" w:sz="8" w:color="CFF0FC"/>
            </w:tcBorders>
          </w:tcPr>
          <w:p>
            <w:pPr>
              <w:spacing w:after="0"/>
              <w:rPr>
                <w:sz w:val="19"/>
                <w:szCs w:val="19"/>
                <w:color w:val="auto"/>
              </w:rPr>
            </w:pPr>
          </w:p>
        </w:tc>
        <w:tc>
          <w:tcPr>
            <w:tcW w:w="140" w:type="dxa"/>
            <w:vAlign w:val="bottom"/>
            <w:tcBorders>
              <w:top w:val="single" w:sz="8" w:color="auto"/>
              <w:bottom w:val="single" w:sz="8" w:color="auto"/>
            </w:tcBorders>
          </w:tcPr>
          <w:p>
            <w:pPr>
              <w:spacing w:after="0"/>
              <w:rPr>
                <w:sz w:val="19"/>
                <w:szCs w:val="19"/>
                <w:color w:val="auto"/>
              </w:rPr>
            </w:pPr>
          </w:p>
        </w:tc>
        <w:tc>
          <w:tcPr>
            <w:tcW w:w="10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(3,348)</w:t>
            </w:r>
          </w:p>
        </w:tc>
        <w:tc>
          <w:tcPr>
            <w:tcW w:w="240" w:type="dxa"/>
            <w:vAlign w:val="bottom"/>
            <w:tcBorders>
              <w:bottom w:val="single" w:sz="8" w:color="CFF0FC"/>
            </w:tcBorders>
          </w:tcPr>
          <w:p>
            <w:pPr>
              <w:spacing w:after="0"/>
              <w:rPr>
                <w:sz w:val="19"/>
                <w:szCs w:val="19"/>
                <w:color w:val="auto"/>
              </w:rPr>
            </w:pPr>
          </w:p>
        </w:tc>
        <w:tc>
          <w:tcPr>
            <w:tcW w:w="260" w:type="dxa"/>
            <w:vAlign w:val="bottom"/>
            <w:tcBorders>
              <w:top w:val="single" w:sz="8" w:color="auto"/>
              <w:bottom w:val="single" w:sz="8" w:color="auto"/>
            </w:tcBorders>
          </w:tcPr>
          <w:p>
            <w:pPr>
              <w:spacing w:after="0"/>
              <w:rPr>
                <w:sz w:val="19"/>
                <w:szCs w:val="19"/>
                <w:color w:val="auto"/>
              </w:rPr>
            </w:pPr>
          </w:p>
        </w:tc>
        <w:tc>
          <w:tcPr>
            <w:tcW w:w="9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237,793</w:t>
            </w:r>
          </w:p>
        </w:tc>
        <w:tc>
          <w:tcPr>
            <w:tcW w:w="100" w:type="dxa"/>
            <w:vAlign w:val="bottom"/>
            <w:tcBorders>
              <w:bottom w:val="single" w:sz="8" w:color="CFF0FC"/>
            </w:tcBorders>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2"/>
        </w:trPr>
        <w:tc>
          <w:tcPr>
            <w:tcW w:w="4240" w:type="dxa"/>
            <w:vAlign w:val="bottom"/>
            <w:shd w:val="clear" w:color="auto" w:fill="CFF0FC"/>
          </w:tcPr>
          <w:p>
            <w:pPr>
              <w:spacing w:after="0"/>
              <w:rPr>
                <w:sz w:val="20"/>
                <w:szCs w:val="20"/>
                <w:color w:val="auto"/>
              </w:rPr>
            </w:pPr>
            <w:r>
              <w:rPr>
                <w:rFonts w:ascii="Arial" w:cs="Arial" w:eastAsia="Arial" w:hAnsi="Arial"/>
                <w:sz w:val="18"/>
                <w:szCs w:val="18"/>
                <w:b w:val="1"/>
                <w:bCs w:val="1"/>
                <w:color w:val="auto"/>
              </w:rPr>
              <w:t>Products:</w:t>
            </w:r>
          </w:p>
        </w:tc>
        <w:tc>
          <w:tcPr>
            <w:tcW w:w="17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96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04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102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9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4240" w:type="dxa"/>
            <w:vAlign w:val="bottom"/>
          </w:tcPr>
          <w:p>
            <w:pPr>
              <w:ind w:left="140"/>
              <w:spacing w:after="0"/>
              <w:rPr>
                <w:sz w:val="20"/>
                <w:szCs w:val="20"/>
                <w:color w:val="auto"/>
              </w:rPr>
            </w:pPr>
            <w:r>
              <w:rPr>
                <w:rFonts w:ascii="Arial" w:cs="Arial" w:eastAsia="Arial" w:hAnsi="Arial"/>
                <w:sz w:val="18"/>
                <w:szCs w:val="18"/>
                <w:color w:val="auto"/>
              </w:rPr>
              <w:t>Core products</w:t>
            </w:r>
          </w:p>
        </w:tc>
        <w:tc>
          <w:tcPr>
            <w:tcW w:w="17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15,382</w:t>
            </w:r>
          </w:p>
        </w:tc>
        <w:tc>
          <w:tcPr>
            <w:tcW w:w="2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14,531</w:t>
            </w:r>
          </w:p>
        </w:tc>
        <w:tc>
          <w:tcPr>
            <w:tcW w:w="2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26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29,913</w:t>
            </w:r>
          </w:p>
        </w:tc>
        <w:tc>
          <w:tcPr>
            <w:tcW w:w="1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2"/>
        </w:trPr>
        <w:tc>
          <w:tcPr>
            <w:tcW w:w="4240" w:type="dxa"/>
            <w:vAlign w:val="bottom"/>
            <w:tcBorders>
              <w:top w:val="single" w:sz="8" w:color="CFF0FC"/>
              <w:bottom w:val="single" w:sz="8" w:color="CFF0FC"/>
            </w:tcBorders>
            <w:shd w:val="clear" w:color="auto" w:fill="CFF0FC"/>
          </w:tcPr>
          <w:p>
            <w:pPr>
              <w:spacing w:after="0"/>
              <w:rPr>
                <w:sz w:val="20"/>
                <w:szCs w:val="20"/>
                <w:color w:val="auto"/>
              </w:rPr>
            </w:pPr>
            <w:r>
              <w:rPr>
                <w:rFonts w:ascii="Arial" w:cs="Arial" w:eastAsia="Arial" w:hAnsi="Arial"/>
                <w:sz w:val="18"/>
                <w:szCs w:val="18"/>
                <w:b w:val="1"/>
                <w:bCs w:val="1"/>
                <w:color w:val="auto"/>
              </w:rPr>
              <w:t>Total revenue</w:t>
            </w:r>
          </w:p>
        </w:tc>
        <w:tc>
          <w:tcPr>
            <w:tcW w:w="1720" w:type="dxa"/>
            <w:vAlign w:val="bottom"/>
            <w:tcBorders>
              <w:top w:val="single" w:sz="8" w:color="CFF0FC"/>
              <w:bottom w:val="single" w:sz="8" w:color="CFF0FC"/>
            </w:tcBorders>
            <w:shd w:val="clear" w:color="auto" w:fill="CFF0FC"/>
          </w:tcPr>
          <w:p>
            <w:pPr>
              <w:spacing w:after="0"/>
              <w:rPr>
                <w:sz w:val="19"/>
                <w:szCs w:val="19"/>
                <w:color w:val="auto"/>
              </w:rPr>
            </w:pPr>
          </w:p>
        </w:tc>
        <w:tc>
          <w:tcPr>
            <w:tcW w:w="18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96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203,868</w:t>
            </w:r>
          </w:p>
        </w:tc>
        <w:tc>
          <w:tcPr>
            <w:tcW w:w="240" w:type="dxa"/>
            <w:vAlign w:val="bottom"/>
            <w:tcBorders>
              <w:top w:val="single" w:sz="8" w:color="CFF0FC"/>
              <w:bottom w:val="single" w:sz="8" w:color="CFF0FC"/>
            </w:tcBorders>
            <w:shd w:val="clear" w:color="auto" w:fill="CFF0FC"/>
          </w:tcPr>
          <w:p>
            <w:pPr>
              <w:spacing w:after="0"/>
              <w:rPr>
                <w:sz w:val="19"/>
                <w:szCs w:val="19"/>
                <w:color w:val="auto"/>
              </w:rPr>
            </w:pPr>
          </w:p>
        </w:tc>
        <w:tc>
          <w:tcPr>
            <w:tcW w:w="120" w:type="dxa"/>
            <w:vAlign w:val="bottom"/>
            <w:tcBorders>
              <w:top w:val="single" w:sz="8" w:color="auto"/>
              <w:bottom w:val="single" w:sz="8" w:color="auto"/>
            </w:tcBorders>
            <w:shd w:val="clear" w:color="auto" w:fill="CFF0FC"/>
          </w:tcPr>
          <w:p>
            <w:pPr>
              <w:spacing w:after="0"/>
              <w:rPr>
                <w:sz w:val="20"/>
                <w:szCs w:val="20"/>
                <w:color w:val="auto"/>
              </w:rPr>
            </w:pPr>
            <w:r>
              <w:rPr>
                <w:rFonts w:ascii="Arial" w:cs="Arial" w:eastAsia="Arial" w:hAnsi="Arial"/>
                <w:sz w:val="18"/>
                <w:szCs w:val="18"/>
                <w:color w:val="auto"/>
                <w:w w:val="99"/>
              </w:rPr>
              <w:t>$</w:t>
            </w:r>
          </w:p>
        </w:tc>
        <w:tc>
          <w:tcPr>
            <w:tcW w:w="104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67,186</w:t>
            </w:r>
          </w:p>
        </w:tc>
        <w:tc>
          <w:tcPr>
            <w:tcW w:w="240" w:type="dxa"/>
            <w:vAlign w:val="bottom"/>
            <w:tcBorders>
              <w:top w:val="single" w:sz="8" w:color="CFF0FC"/>
              <w:bottom w:val="single" w:sz="8" w:color="CFF0FC"/>
            </w:tcBorders>
            <w:shd w:val="clear" w:color="auto" w:fill="CFF0FC"/>
          </w:tcPr>
          <w:p>
            <w:pPr>
              <w:spacing w:after="0"/>
              <w:rPr>
                <w:sz w:val="19"/>
                <w:szCs w:val="19"/>
                <w:color w:val="auto"/>
              </w:rPr>
            </w:pPr>
          </w:p>
        </w:tc>
        <w:tc>
          <w:tcPr>
            <w:tcW w:w="14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102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(3,348)</w:t>
            </w:r>
          </w:p>
        </w:tc>
        <w:tc>
          <w:tcPr>
            <w:tcW w:w="240" w:type="dxa"/>
            <w:vAlign w:val="bottom"/>
            <w:tcBorders>
              <w:top w:val="single" w:sz="8" w:color="CFF0FC"/>
              <w:bottom w:val="single" w:sz="8" w:color="CFF0FC"/>
            </w:tcBorders>
            <w:shd w:val="clear" w:color="auto" w:fill="CFF0FC"/>
          </w:tcPr>
          <w:p>
            <w:pPr>
              <w:spacing w:after="0"/>
              <w:rPr>
                <w:sz w:val="19"/>
                <w:szCs w:val="19"/>
                <w:color w:val="auto"/>
              </w:rPr>
            </w:pPr>
          </w:p>
        </w:tc>
        <w:tc>
          <w:tcPr>
            <w:tcW w:w="260" w:type="dxa"/>
            <w:vAlign w:val="bottom"/>
            <w:tcBorders>
              <w:top w:val="single" w:sz="8" w:color="auto"/>
              <w:bottom w:val="single" w:sz="8" w:color="auto"/>
            </w:tcBorders>
            <w:shd w:val="clear" w:color="auto" w:fill="CFF0FC"/>
          </w:tcPr>
          <w:p>
            <w:pPr>
              <w:jc w:val="right"/>
              <w:ind w:right="70"/>
              <w:spacing w:after="0"/>
              <w:rPr>
                <w:sz w:val="20"/>
                <w:szCs w:val="20"/>
                <w:color w:val="auto"/>
              </w:rPr>
            </w:pPr>
            <w:r>
              <w:rPr>
                <w:rFonts w:ascii="Arial" w:cs="Arial" w:eastAsia="Arial" w:hAnsi="Arial"/>
                <w:sz w:val="18"/>
                <w:szCs w:val="18"/>
                <w:color w:val="auto"/>
                <w:w w:val="79"/>
              </w:rPr>
              <w:t>$</w:t>
            </w:r>
          </w:p>
        </w:tc>
        <w:tc>
          <w:tcPr>
            <w:tcW w:w="92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267,706</w:t>
            </w:r>
          </w:p>
        </w:tc>
        <w:tc>
          <w:tcPr>
            <w:tcW w:w="100" w:type="dxa"/>
            <w:vAlign w:val="bottom"/>
            <w:tcBorders>
              <w:top w:val="single" w:sz="8" w:color="CFF0FC"/>
              <w:bottom w:val="single" w:sz="8" w:color="CFF0FC"/>
            </w:tcBorders>
            <w:shd w:val="clear" w:color="auto" w:fill="CFF0FC"/>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4240" w:type="dxa"/>
            <w:vAlign w:val="bottom"/>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4240" w:type="dxa"/>
            <w:vAlign w:val="bottom"/>
          </w:tcPr>
          <w:p>
            <w:pPr>
              <w:spacing w:after="0"/>
              <w:rPr>
                <w:sz w:val="18"/>
                <w:szCs w:val="18"/>
                <w:color w:val="auto"/>
              </w:rPr>
            </w:pPr>
          </w:p>
        </w:tc>
        <w:tc>
          <w:tcPr>
            <w:tcW w:w="17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9"/>
        </w:trPr>
        <w:tc>
          <w:tcPr>
            <w:tcW w:w="4240" w:type="dxa"/>
            <w:vAlign w:val="bottom"/>
            <w:shd w:val="clear" w:color="auto" w:fill="CFF0FC"/>
          </w:tcPr>
          <w:p>
            <w:pPr>
              <w:spacing w:after="0"/>
              <w:rPr>
                <w:sz w:val="20"/>
                <w:szCs w:val="20"/>
                <w:color w:val="auto"/>
              </w:rPr>
            </w:pPr>
            <w:r>
              <w:rPr>
                <w:rFonts w:ascii="Arial" w:cs="Arial" w:eastAsia="Arial" w:hAnsi="Arial"/>
                <w:sz w:val="18"/>
                <w:szCs w:val="18"/>
                <w:b w:val="1"/>
                <w:bCs w:val="1"/>
                <w:color w:val="auto"/>
              </w:rPr>
              <w:t>Timing of revenue recognition:</w:t>
            </w:r>
          </w:p>
        </w:tc>
        <w:tc>
          <w:tcPr>
            <w:tcW w:w="17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96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04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102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9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4240" w:type="dxa"/>
            <w:vAlign w:val="bottom"/>
          </w:tcPr>
          <w:p>
            <w:pPr>
              <w:ind w:left="140"/>
              <w:spacing w:after="0"/>
              <w:rPr>
                <w:sz w:val="20"/>
                <w:szCs w:val="20"/>
                <w:color w:val="auto"/>
              </w:rPr>
            </w:pPr>
            <w:r>
              <w:rPr>
                <w:rFonts w:ascii="Arial" w:cs="Arial" w:eastAsia="Arial" w:hAnsi="Arial"/>
                <w:sz w:val="18"/>
                <w:szCs w:val="18"/>
                <w:color w:val="auto"/>
              </w:rPr>
              <w:t>Services transferred over time</w:t>
            </w:r>
          </w:p>
        </w:tc>
        <w:tc>
          <w:tcPr>
            <w:tcW w:w="19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960" w:type="dxa"/>
            <w:vAlign w:val="bottom"/>
          </w:tcPr>
          <w:p>
            <w:pPr>
              <w:jc w:val="right"/>
              <w:spacing w:after="0"/>
              <w:rPr>
                <w:sz w:val="20"/>
                <w:szCs w:val="20"/>
                <w:color w:val="auto"/>
              </w:rPr>
            </w:pPr>
            <w:r>
              <w:rPr>
                <w:rFonts w:ascii="Arial" w:cs="Arial" w:eastAsia="Arial" w:hAnsi="Arial"/>
                <w:sz w:val="18"/>
                <w:szCs w:val="18"/>
                <w:color w:val="auto"/>
              </w:rPr>
              <w:t>188,486</w:t>
            </w:r>
          </w:p>
        </w:tc>
        <w:tc>
          <w:tcPr>
            <w:tcW w:w="360" w:type="dxa"/>
            <w:vAlign w:val="bottom"/>
            <w:gridSpan w:val="2"/>
          </w:tcPr>
          <w:p>
            <w:pPr>
              <w:ind w:left="240"/>
              <w:spacing w:after="0"/>
              <w:rPr>
                <w:sz w:val="20"/>
                <w:szCs w:val="20"/>
                <w:color w:val="auto"/>
              </w:rPr>
            </w:pPr>
            <w:r>
              <w:rPr>
                <w:rFonts w:ascii="Arial" w:cs="Arial" w:eastAsia="Arial" w:hAnsi="Arial"/>
                <w:sz w:val="18"/>
                <w:szCs w:val="18"/>
                <w:color w:val="auto"/>
                <w:w w:val="99"/>
              </w:rPr>
              <w:t>$</w:t>
            </w:r>
          </w:p>
        </w:tc>
        <w:tc>
          <w:tcPr>
            <w:tcW w:w="1040" w:type="dxa"/>
            <w:vAlign w:val="bottom"/>
          </w:tcPr>
          <w:p>
            <w:pPr>
              <w:jc w:val="right"/>
              <w:spacing w:after="0"/>
              <w:rPr>
                <w:sz w:val="20"/>
                <w:szCs w:val="20"/>
                <w:color w:val="auto"/>
              </w:rPr>
            </w:pPr>
            <w:r>
              <w:rPr>
                <w:rFonts w:ascii="Arial" w:cs="Arial" w:eastAsia="Arial" w:hAnsi="Arial"/>
                <w:sz w:val="18"/>
                <w:szCs w:val="18"/>
                <w:color w:val="auto"/>
              </w:rPr>
              <w:t>52,654</w:t>
            </w:r>
          </w:p>
        </w:tc>
        <w:tc>
          <w:tcPr>
            <w:tcW w:w="240" w:type="dxa"/>
            <w:vAlign w:val="bottom"/>
          </w:tcPr>
          <w:p>
            <w:pPr>
              <w:spacing w:after="0"/>
              <w:rPr>
                <w:sz w:val="19"/>
                <w:szCs w:val="19"/>
                <w:color w:val="auto"/>
              </w:rPr>
            </w:pPr>
          </w:p>
        </w:tc>
        <w:tc>
          <w:tcPr>
            <w:tcW w:w="14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26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260" w:type="dxa"/>
            <w:vAlign w:val="bottom"/>
          </w:tcPr>
          <w:p>
            <w:pPr>
              <w:jc w:val="right"/>
              <w:ind w:right="70"/>
              <w:spacing w:after="0"/>
              <w:rPr>
                <w:sz w:val="20"/>
                <w:szCs w:val="20"/>
                <w:color w:val="auto"/>
              </w:rPr>
            </w:pPr>
            <w:r>
              <w:rPr>
                <w:rFonts w:ascii="Arial" w:cs="Arial" w:eastAsia="Arial" w:hAnsi="Arial"/>
                <w:sz w:val="18"/>
                <w:szCs w:val="18"/>
                <w:color w:val="auto"/>
                <w:w w:val="79"/>
              </w:rPr>
              <w:t>$</w:t>
            </w:r>
          </w:p>
        </w:tc>
        <w:tc>
          <w:tcPr>
            <w:tcW w:w="920" w:type="dxa"/>
            <w:vAlign w:val="bottom"/>
          </w:tcPr>
          <w:p>
            <w:pPr>
              <w:jc w:val="right"/>
              <w:spacing w:after="0"/>
              <w:rPr>
                <w:sz w:val="20"/>
                <w:szCs w:val="20"/>
                <w:color w:val="auto"/>
              </w:rPr>
            </w:pPr>
            <w:r>
              <w:rPr>
                <w:rFonts w:ascii="Arial" w:cs="Arial" w:eastAsia="Arial" w:hAnsi="Arial"/>
                <w:sz w:val="18"/>
                <w:szCs w:val="18"/>
                <w:color w:val="auto"/>
              </w:rPr>
              <w:t>241,140</w:t>
            </w:r>
          </w:p>
        </w:tc>
        <w:tc>
          <w:tcPr>
            <w:tcW w:w="1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4240" w:type="dxa"/>
            <w:vAlign w:val="bottom"/>
            <w:shd w:val="clear" w:color="auto" w:fill="CFF0FC"/>
          </w:tcPr>
          <w:p>
            <w:pPr>
              <w:ind w:left="140"/>
              <w:spacing w:after="0"/>
              <w:rPr>
                <w:sz w:val="20"/>
                <w:szCs w:val="20"/>
                <w:color w:val="auto"/>
              </w:rPr>
            </w:pPr>
            <w:r>
              <w:rPr>
                <w:rFonts w:ascii="Arial" w:cs="Arial" w:eastAsia="Arial" w:hAnsi="Arial"/>
                <w:sz w:val="18"/>
                <w:szCs w:val="18"/>
                <w:color w:val="auto"/>
              </w:rPr>
              <w:t>Products transferred over time</w:t>
            </w:r>
          </w:p>
        </w:tc>
        <w:tc>
          <w:tcPr>
            <w:tcW w:w="17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9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10,592</w:t>
            </w:r>
          </w:p>
        </w:tc>
        <w:tc>
          <w:tcPr>
            <w:tcW w:w="24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0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4,107</w:t>
            </w:r>
          </w:p>
        </w:tc>
        <w:tc>
          <w:tcPr>
            <w:tcW w:w="24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1260" w:type="dxa"/>
            <w:vAlign w:val="bottom"/>
            <w:gridSpan w:val="2"/>
            <w:shd w:val="clear" w:color="auto" w:fill="CFF0FC"/>
          </w:tcPr>
          <w:p>
            <w:pPr>
              <w:jc w:val="right"/>
              <w:ind w:right="260"/>
              <w:spacing w:after="0"/>
              <w:rPr>
                <w:sz w:val="20"/>
                <w:szCs w:val="20"/>
                <w:color w:val="auto"/>
              </w:rPr>
            </w:pPr>
            <w:r>
              <w:rPr>
                <w:rFonts w:ascii="Arial" w:cs="Arial" w:eastAsia="Arial" w:hAnsi="Arial"/>
                <w:sz w:val="18"/>
                <w:szCs w:val="18"/>
                <w:color w:val="auto"/>
              </w:rPr>
              <w:t>—</w:t>
            </w:r>
          </w:p>
        </w:tc>
        <w:tc>
          <w:tcPr>
            <w:tcW w:w="260" w:type="dxa"/>
            <w:vAlign w:val="bottom"/>
            <w:shd w:val="clear" w:color="auto" w:fill="CFF0FC"/>
          </w:tcPr>
          <w:p>
            <w:pPr>
              <w:spacing w:after="0"/>
              <w:rPr>
                <w:sz w:val="19"/>
                <w:szCs w:val="19"/>
                <w:color w:val="auto"/>
              </w:rPr>
            </w:pPr>
          </w:p>
        </w:tc>
        <w:tc>
          <w:tcPr>
            <w:tcW w:w="9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14,699</w:t>
            </w:r>
          </w:p>
        </w:tc>
        <w:tc>
          <w:tcPr>
            <w:tcW w:w="100" w:type="dxa"/>
            <w:vAlign w:val="bottom"/>
            <w:shd w:val="clear" w:color="auto" w:fill="CFF0FC"/>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4240" w:type="dxa"/>
            <w:vAlign w:val="bottom"/>
          </w:tcPr>
          <w:p>
            <w:pPr>
              <w:ind w:left="140"/>
              <w:spacing w:after="0"/>
              <w:rPr>
                <w:sz w:val="20"/>
                <w:szCs w:val="20"/>
                <w:color w:val="auto"/>
              </w:rPr>
            </w:pPr>
            <w:r>
              <w:rPr>
                <w:rFonts w:ascii="Arial" w:cs="Arial" w:eastAsia="Arial" w:hAnsi="Arial"/>
                <w:sz w:val="18"/>
                <w:szCs w:val="18"/>
                <w:color w:val="auto"/>
              </w:rPr>
              <w:t>Products transferred at a point in time</w:t>
            </w:r>
          </w:p>
        </w:tc>
        <w:tc>
          <w:tcPr>
            <w:tcW w:w="17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4,790</w:t>
            </w:r>
          </w:p>
        </w:tc>
        <w:tc>
          <w:tcPr>
            <w:tcW w:w="2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10,425</w:t>
            </w:r>
          </w:p>
        </w:tc>
        <w:tc>
          <w:tcPr>
            <w:tcW w:w="2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26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15,215</w:t>
            </w:r>
          </w:p>
        </w:tc>
        <w:tc>
          <w:tcPr>
            <w:tcW w:w="1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4240" w:type="dxa"/>
            <w:vAlign w:val="bottom"/>
            <w:shd w:val="clear" w:color="auto" w:fill="CFF0FC"/>
          </w:tcPr>
          <w:p>
            <w:pPr>
              <w:ind w:left="140"/>
              <w:spacing w:after="0"/>
              <w:rPr>
                <w:sz w:val="20"/>
                <w:szCs w:val="20"/>
                <w:color w:val="auto"/>
              </w:rPr>
            </w:pPr>
            <w:r>
              <w:rPr>
                <w:rFonts w:ascii="Arial" w:cs="Arial" w:eastAsia="Arial" w:hAnsi="Arial"/>
                <w:sz w:val="18"/>
                <w:szCs w:val="18"/>
                <w:color w:val="auto"/>
              </w:rPr>
              <w:t>Intersegment eliminations</w:t>
            </w:r>
          </w:p>
        </w:tc>
        <w:tc>
          <w:tcPr>
            <w:tcW w:w="17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9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24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280" w:type="dxa"/>
            <w:vAlign w:val="bottom"/>
            <w:gridSpan w:val="2"/>
            <w:shd w:val="clear" w:color="auto" w:fill="CFF0FC"/>
          </w:tcPr>
          <w:p>
            <w:pPr>
              <w:jc w:val="right"/>
              <w:ind w:right="240"/>
              <w:spacing w:after="0"/>
              <w:rPr>
                <w:sz w:val="20"/>
                <w:szCs w:val="20"/>
                <w:color w:val="auto"/>
              </w:rPr>
            </w:pPr>
            <w:r>
              <w:rPr>
                <w:rFonts w:ascii="Arial" w:cs="Arial" w:eastAsia="Arial" w:hAnsi="Arial"/>
                <w:sz w:val="18"/>
                <w:szCs w:val="18"/>
                <w:color w:val="auto"/>
              </w:rPr>
              <w:t>—</w:t>
            </w:r>
          </w:p>
        </w:tc>
        <w:tc>
          <w:tcPr>
            <w:tcW w:w="140" w:type="dxa"/>
            <w:vAlign w:val="bottom"/>
            <w:shd w:val="clear" w:color="auto" w:fill="CFF0FC"/>
          </w:tcPr>
          <w:p>
            <w:pPr>
              <w:spacing w:after="0"/>
              <w:rPr>
                <w:sz w:val="19"/>
                <w:szCs w:val="19"/>
                <w:color w:val="auto"/>
              </w:rPr>
            </w:pPr>
          </w:p>
        </w:tc>
        <w:tc>
          <w:tcPr>
            <w:tcW w:w="1260" w:type="dxa"/>
            <w:vAlign w:val="bottom"/>
            <w:gridSpan w:val="2"/>
            <w:shd w:val="clear" w:color="auto" w:fill="CFF0FC"/>
          </w:tcPr>
          <w:p>
            <w:pPr>
              <w:jc w:val="right"/>
              <w:ind w:right="180"/>
              <w:spacing w:after="0"/>
              <w:rPr>
                <w:sz w:val="20"/>
                <w:szCs w:val="20"/>
                <w:color w:val="auto"/>
              </w:rPr>
            </w:pPr>
            <w:r>
              <w:rPr>
                <w:rFonts w:ascii="Arial" w:cs="Arial" w:eastAsia="Arial" w:hAnsi="Arial"/>
                <w:sz w:val="18"/>
                <w:szCs w:val="18"/>
                <w:color w:val="auto"/>
              </w:rPr>
              <w:t>(3,348)</w:t>
            </w:r>
          </w:p>
        </w:tc>
        <w:tc>
          <w:tcPr>
            <w:tcW w:w="260" w:type="dxa"/>
            <w:vAlign w:val="bottom"/>
            <w:shd w:val="clear" w:color="auto" w:fill="CFF0FC"/>
          </w:tcPr>
          <w:p>
            <w:pPr>
              <w:spacing w:after="0"/>
              <w:rPr>
                <w:sz w:val="19"/>
                <w:szCs w:val="19"/>
                <w:color w:val="auto"/>
              </w:rPr>
            </w:pPr>
          </w:p>
        </w:tc>
        <w:tc>
          <w:tcPr>
            <w:tcW w:w="1020" w:type="dxa"/>
            <w:vAlign w:val="bottom"/>
            <w:gridSpan w:val="2"/>
            <w:shd w:val="clear" w:color="auto" w:fill="CFF0FC"/>
          </w:tcPr>
          <w:p>
            <w:pPr>
              <w:jc w:val="right"/>
              <w:ind w:right="40"/>
              <w:spacing w:after="0"/>
              <w:rPr>
                <w:sz w:val="20"/>
                <w:szCs w:val="20"/>
                <w:color w:val="auto"/>
              </w:rPr>
            </w:pPr>
            <w:r>
              <w:rPr>
                <w:rFonts w:ascii="Arial" w:cs="Arial" w:eastAsia="Arial" w:hAnsi="Arial"/>
                <w:sz w:val="18"/>
                <w:szCs w:val="18"/>
                <w:color w:val="auto"/>
              </w:rPr>
              <w:t>(3,348)</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62"/>
        </w:trPr>
        <w:tc>
          <w:tcPr>
            <w:tcW w:w="4240" w:type="dxa"/>
            <w:vAlign w:val="bottom"/>
            <w:tcBorders>
              <w:bottom w:val="single" w:sz="8" w:color="CFF0FC"/>
            </w:tcBorders>
          </w:tcPr>
          <w:p>
            <w:pPr>
              <w:spacing w:after="0"/>
              <w:rPr>
                <w:sz w:val="20"/>
                <w:szCs w:val="20"/>
                <w:color w:val="auto"/>
              </w:rPr>
            </w:pPr>
            <w:r>
              <w:rPr>
                <w:rFonts w:ascii="Arial" w:cs="Arial" w:eastAsia="Arial" w:hAnsi="Arial"/>
                <w:sz w:val="18"/>
                <w:szCs w:val="18"/>
                <w:b w:val="1"/>
                <w:bCs w:val="1"/>
                <w:color w:val="auto"/>
              </w:rPr>
              <w:t>Total revenue</w:t>
            </w:r>
          </w:p>
        </w:tc>
        <w:tc>
          <w:tcPr>
            <w:tcW w:w="1720" w:type="dxa"/>
            <w:vAlign w:val="bottom"/>
            <w:tcBorders>
              <w:bottom w:val="single" w:sz="8" w:color="CFF0FC"/>
            </w:tcBorders>
          </w:tcPr>
          <w:p>
            <w:pPr>
              <w:spacing w:after="0"/>
              <w:rPr>
                <w:sz w:val="22"/>
                <w:szCs w:val="22"/>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9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203,868</w:t>
            </w:r>
          </w:p>
        </w:tc>
        <w:tc>
          <w:tcPr>
            <w:tcW w:w="240" w:type="dxa"/>
            <w:vAlign w:val="bottom"/>
            <w:tcBorders>
              <w:bottom w:val="single" w:sz="8" w:color="CFF0FC"/>
            </w:tcBorders>
          </w:tcPr>
          <w:p>
            <w:pPr>
              <w:spacing w:after="0"/>
              <w:rPr>
                <w:sz w:val="22"/>
                <w:szCs w:val="22"/>
                <w:color w:val="auto"/>
              </w:rPr>
            </w:pPr>
          </w:p>
        </w:tc>
        <w:tc>
          <w:tcPr>
            <w:tcW w:w="12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w w:val="99"/>
              </w:rPr>
              <w:t>$</w:t>
            </w:r>
          </w:p>
        </w:tc>
        <w:tc>
          <w:tcPr>
            <w:tcW w:w="10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67,186</w:t>
            </w:r>
          </w:p>
        </w:tc>
        <w:tc>
          <w:tcPr>
            <w:tcW w:w="240" w:type="dxa"/>
            <w:vAlign w:val="bottom"/>
            <w:tcBorders>
              <w:bottom w:val="single" w:sz="8" w:color="CFF0FC"/>
            </w:tcBorders>
          </w:tcPr>
          <w:p>
            <w:pPr>
              <w:spacing w:after="0"/>
              <w:rPr>
                <w:sz w:val="22"/>
                <w:szCs w:val="22"/>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0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(3,348)</w:t>
            </w:r>
          </w:p>
        </w:tc>
        <w:tc>
          <w:tcPr>
            <w:tcW w:w="240" w:type="dxa"/>
            <w:vAlign w:val="bottom"/>
            <w:tcBorders>
              <w:bottom w:val="single" w:sz="8" w:color="CFF0FC"/>
            </w:tcBorders>
          </w:tcPr>
          <w:p>
            <w:pPr>
              <w:spacing w:after="0"/>
              <w:rPr>
                <w:sz w:val="22"/>
                <w:szCs w:val="22"/>
                <w:color w:val="auto"/>
              </w:rPr>
            </w:pPr>
          </w:p>
        </w:tc>
        <w:tc>
          <w:tcPr>
            <w:tcW w:w="260" w:type="dxa"/>
            <w:vAlign w:val="bottom"/>
            <w:tcBorders>
              <w:top w:val="single" w:sz="8" w:color="auto"/>
              <w:bottom w:val="single" w:sz="8" w:color="auto"/>
            </w:tcBorders>
          </w:tcPr>
          <w:p>
            <w:pPr>
              <w:jc w:val="right"/>
              <w:ind w:right="70"/>
              <w:spacing w:after="0"/>
              <w:rPr>
                <w:sz w:val="20"/>
                <w:szCs w:val="20"/>
                <w:color w:val="auto"/>
              </w:rPr>
            </w:pPr>
            <w:r>
              <w:rPr>
                <w:rFonts w:ascii="Arial" w:cs="Arial" w:eastAsia="Arial" w:hAnsi="Arial"/>
                <w:sz w:val="18"/>
                <w:szCs w:val="18"/>
                <w:color w:val="auto"/>
                <w:w w:val="79"/>
              </w:rPr>
              <w:t>$</w:t>
            </w:r>
          </w:p>
        </w:tc>
        <w:tc>
          <w:tcPr>
            <w:tcW w:w="9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267,706</w:t>
            </w:r>
          </w:p>
        </w:tc>
        <w:tc>
          <w:tcPr>
            <w:tcW w:w="100" w:type="dxa"/>
            <w:vAlign w:val="bottom"/>
            <w:tcBorders>
              <w:bottom w:val="single" w:sz="8" w:color="CFF0FC"/>
            </w:tcBorders>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09"/>
        </w:trPr>
        <w:tc>
          <w:tcPr>
            <w:tcW w:w="4240" w:type="dxa"/>
            <w:vAlign w:val="bottom"/>
            <w:shd w:val="clear" w:color="auto" w:fill="CFF0FC"/>
          </w:tcPr>
          <w:p>
            <w:pPr>
              <w:spacing w:after="0"/>
              <w:rPr>
                <w:sz w:val="18"/>
                <w:szCs w:val="18"/>
                <w:color w:val="auto"/>
              </w:rPr>
            </w:pPr>
          </w:p>
        </w:tc>
        <w:tc>
          <w:tcPr>
            <w:tcW w:w="1720" w:type="dxa"/>
            <w:vAlign w:val="bottom"/>
            <w:shd w:val="clear" w:color="auto" w:fill="CFF0FC"/>
          </w:tcPr>
          <w:p>
            <w:pPr>
              <w:spacing w:after="0"/>
              <w:rPr>
                <w:sz w:val="18"/>
                <w:szCs w:val="18"/>
                <w:color w:val="auto"/>
              </w:rPr>
            </w:pPr>
          </w:p>
        </w:tc>
        <w:tc>
          <w:tcPr>
            <w:tcW w:w="180" w:type="dxa"/>
            <w:vAlign w:val="bottom"/>
            <w:shd w:val="clear" w:color="auto" w:fill="CFF0FC"/>
          </w:tcPr>
          <w:p>
            <w:pPr>
              <w:spacing w:after="0"/>
              <w:rPr>
                <w:sz w:val="18"/>
                <w:szCs w:val="18"/>
                <w:color w:val="auto"/>
              </w:rPr>
            </w:pPr>
          </w:p>
        </w:tc>
        <w:tc>
          <w:tcPr>
            <w:tcW w:w="96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104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140" w:type="dxa"/>
            <w:vAlign w:val="bottom"/>
            <w:shd w:val="clear" w:color="auto" w:fill="CFF0FC"/>
          </w:tcPr>
          <w:p>
            <w:pPr>
              <w:spacing w:after="0"/>
              <w:rPr>
                <w:sz w:val="18"/>
                <w:szCs w:val="18"/>
                <w:color w:val="auto"/>
              </w:rPr>
            </w:pPr>
          </w:p>
        </w:tc>
        <w:tc>
          <w:tcPr>
            <w:tcW w:w="102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260" w:type="dxa"/>
            <w:vAlign w:val="bottom"/>
            <w:shd w:val="clear" w:color="auto" w:fill="CFF0FC"/>
          </w:tcPr>
          <w:p>
            <w:pPr>
              <w:spacing w:after="0"/>
              <w:rPr>
                <w:sz w:val="18"/>
                <w:szCs w:val="18"/>
                <w:color w:val="auto"/>
              </w:rPr>
            </w:pPr>
          </w:p>
        </w:tc>
        <w:tc>
          <w:tcPr>
            <w:tcW w:w="92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9"/>
        </w:trPr>
        <w:tc>
          <w:tcPr>
            <w:tcW w:w="4240" w:type="dxa"/>
            <w:vAlign w:val="bottom"/>
          </w:tcPr>
          <w:p>
            <w:pPr>
              <w:spacing w:after="0"/>
              <w:rPr>
                <w:sz w:val="20"/>
                <w:szCs w:val="20"/>
                <w:color w:val="auto"/>
              </w:rPr>
            </w:pPr>
            <w:r>
              <w:rPr>
                <w:rFonts w:ascii="Arial" w:cs="Arial" w:eastAsia="Arial" w:hAnsi="Arial"/>
                <w:sz w:val="18"/>
                <w:szCs w:val="18"/>
                <w:b w:val="1"/>
                <w:bCs w:val="1"/>
                <w:color w:val="auto"/>
              </w:rPr>
              <w:t>Markets:</w:t>
            </w:r>
          </w:p>
        </w:tc>
        <w:tc>
          <w:tcPr>
            <w:tcW w:w="17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4240" w:type="dxa"/>
            <w:vAlign w:val="bottom"/>
            <w:shd w:val="clear" w:color="auto" w:fill="CFF0FC"/>
          </w:tcPr>
          <w:p>
            <w:pPr>
              <w:ind w:left="140"/>
              <w:spacing w:after="0"/>
              <w:rPr>
                <w:sz w:val="20"/>
                <w:szCs w:val="20"/>
                <w:color w:val="auto"/>
              </w:rPr>
            </w:pPr>
            <w:r>
              <w:rPr>
                <w:rFonts w:ascii="Arial" w:cs="Arial" w:eastAsia="Arial" w:hAnsi="Arial"/>
                <w:sz w:val="18"/>
                <w:szCs w:val="18"/>
                <w:color w:val="auto"/>
              </w:rPr>
              <w:t>Exhibitions</w:t>
            </w:r>
          </w:p>
        </w:tc>
        <w:tc>
          <w:tcPr>
            <w:tcW w:w="190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9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130,494</w:t>
            </w:r>
          </w:p>
        </w:tc>
        <w:tc>
          <w:tcPr>
            <w:tcW w:w="360" w:type="dxa"/>
            <w:vAlign w:val="bottom"/>
            <w:gridSpan w:val="2"/>
            <w:shd w:val="clear" w:color="auto" w:fill="CFF0FC"/>
          </w:tcPr>
          <w:p>
            <w:pPr>
              <w:ind w:left="240"/>
              <w:spacing w:after="0"/>
              <w:rPr>
                <w:sz w:val="20"/>
                <w:szCs w:val="20"/>
                <w:color w:val="auto"/>
              </w:rPr>
            </w:pPr>
            <w:r>
              <w:rPr>
                <w:rFonts w:ascii="Arial" w:cs="Arial" w:eastAsia="Arial" w:hAnsi="Arial"/>
                <w:sz w:val="18"/>
                <w:szCs w:val="18"/>
                <w:color w:val="auto"/>
                <w:w w:val="99"/>
              </w:rPr>
              <w:t>$</w:t>
            </w:r>
          </w:p>
        </w:tc>
        <w:tc>
          <w:tcPr>
            <w:tcW w:w="10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55,330</w:t>
            </w:r>
          </w:p>
        </w:tc>
        <w:tc>
          <w:tcPr>
            <w:tcW w:w="240" w:type="dxa"/>
            <w:vAlign w:val="bottom"/>
            <w:shd w:val="clear" w:color="auto" w:fill="CFF0FC"/>
          </w:tcPr>
          <w:p>
            <w:pPr>
              <w:spacing w:after="0"/>
              <w:rPr>
                <w:sz w:val="19"/>
                <w:szCs w:val="19"/>
                <w:color w:val="auto"/>
              </w:rPr>
            </w:pPr>
          </w:p>
        </w:tc>
        <w:tc>
          <w:tcPr>
            <w:tcW w:w="140" w:type="dxa"/>
            <w:vAlign w:val="bottom"/>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1260" w:type="dxa"/>
            <w:vAlign w:val="bottom"/>
            <w:gridSpan w:val="2"/>
            <w:shd w:val="clear" w:color="auto" w:fill="CFF0FC"/>
          </w:tcPr>
          <w:p>
            <w:pPr>
              <w:jc w:val="right"/>
              <w:ind w:right="260"/>
              <w:spacing w:after="0"/>
              <w:rPr>
                <w:sz w:val="20"/>
                <w:szCs w:val="20"/>
                <w:color w:val="auto"/>
              </w:rPr>
            </w:pPr>
            <w:r>
              <w:rPr>
                <w:rFonts w:ascii="Arial" w:cs="Arial" w:eastAsia="Arial" w:hAnsi="Arial"/>
                <w:sz w:val="18"/>
                <w:szCs w:val="18"/>
                <w:color w:val="auto"/>
              </w:rPr>
              <w:t>—</w:t>
            </w:r>
          </w:p>
        </w:tc>
        <w:tc>
          <w:tcPr>
            <w:tcW w:w="260" w:type="dxa"/>
            <w:vAlign w:val="bottom"/>
            <w:shd w:val="clear" w:color="auto" w:fill="CFF0FC"/>
          </w:tcPr>
          <w:p>
            <w:pPr>
              <w:jc w:val="right"/>
              <w:ind w:right="70"/>
              <w:spacing w:after="0"/>
              <w:rPr>
                <w:sz w:val="20"/>
                <w:szCs w:val="20"/>
                <w:color w:val="auto"/>
              </w:rPr>
            </w:pPr>
            <w:r>
              <w:rPr>
                <w:rFonts w:ascii="Arial" w:cs="Arial" w:eastAsia="Arial" w:hAnsi="Arial"/>
                <w:sz w:val="18"/>
                <w:szCs w:val="18"/>
                <w:color w:val="auto"/>
                <w:w w:val="79"/>
              </w:rPr>
              <w:t>$</w:t>
            </w:r>
          </w:p>
        </w:tc>
        <w:tc>
          <w:tcPr>
            <w:tcW w:w="9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185,824</w:t>
            </w:r>
          </w:p>
        </w:tc>
        <w:tc>
          <w:tcPr>
            <w:tcW w:w="100" w:type="dxa"/>
            <w:vAlign w:val="bottom"/>
            <w:shd w:val="clear" w:color="auto" w:fill="CFF0FC"/>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4240" w:type="dxa"/>
            <w:vAlign w:val="bottom"/>
          </w:tcPr>
          <w:p>
            <w:pPr>
              <w:ind w:left="140"/>
              <w:spacing w:after="0"/>
              <w:rPr>
                <w:sz w:val="20"/>
                <w:szCs w:val="20"/>
                <w:color w:val="auto"/>
              </w:rPr>
            </w:pPr>
            <w:r>
              <w:rPr>
                <w:rFonts w:ascii="Arial" w:cs="Arial" w:eastAsia="Arial" w:hAnsi="Arial"/>
                <w:sz w:val="18"/>
                <w:szCs w:val="18"/>
                <w:color w:val="auto"/>
              </w:rPr>
              <w:t>Conferences</w:t>
            </w:r>
          </w:p>
        </w:tc>
        <w:tc>
          <w:tcPr>
            <w:tcW w:w="17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37,816</w:t>
            </w:r>
          </w:p>
        </w:tc>
        <w:tc>
          <w:tcPr>
            <w:tcW w:w="2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6,661</w:t>
            </w:r>
          </w:p>
        </w:tc>
        <w:tc>
          <w:tcPr>
            <w:tcW w:w="2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26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44,477</w:t>
            </w:r>
          </w:p>
        </w:tc>
        <w:tc>
          <w:tcPr>
            <w:tcW w:w="1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4240" w:type="dxa"/>
            <w:vAlign w:val="bottom"/>
            <w:shd w:val="clear" w:color="auto" w:fill="CFF0FC"/>
          </w:tcPr>
          <w:p>
            <w:pPr>
              <w:ind w:left="140"/>
              <w:spacing w:after="0"/>
              <w:rPr>
                <w:sz w:val="20"/>
                <w:szCs w:val="20"/>
                <w:color w:val="auto"/>
              </w:rPr>
            </w:pPr>
            <w:r>
              <w:rPr>
                <w:rFonts w:ascii="Arial" w:cs="Arial" w:eastAsia="Arial" w:hAnsi="Arial"/>
                <w:sz w:val="18"/>
                <w:szCs w:val="18"/>
                <w:color w:val="auto"/>
              </w:rPr>
              <w:t>Corporate events</w:t>
            </w:r>
          </w:p>
        </w:tc>
        <w:tc>
          <w:tcPr>
            <w:tcW w:w="17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9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29,444</w:t>
            </w:r>
          </w:p>
        </w:tc>
        <w:tc>
          <w:tcPr>
            <w:tcW w:w="24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0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4,860</w:t>
            </w:r>
          </w:p>
        </w:tc>
        <w:tc>
          <w:tcPr>
            <w:tcW w:w="24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1260" w:type="dxa"/>
            <w:vAlign w:val="bottom"/>
            <w:gridSpan w:val="2"/>
            <w:shd w:val="clear" w:color="auto" w:fill="CFF0FC"/>
          </w:tcPr>
          <w:p>
            <w:pPr>
              <w:jc w:val="right"/>
              <w:ind w:right="260"/>
              <w:spacing w:after="0"/>
              <w:rPr>
                <w:sz w:val="20"/>
                <w:szCs w:val="20"/>
                <w:color w:val="auto"/>
              </w:rPr>
            </w:pPr>
            <w:r>
              <w:rPr>
                <w:rFonts w:ascii="Arial" w:cs="Arial" w:eastAsia="Arial" w:hAnsi="Arial"/>
                <w:sz w:val="18"/>
                <w:szCs w:val="18"/>
                <w:color w:val="auto"/>
              </w:rPr>
              <w:t>—</w:t>
            </w:r>
          </w:p>
        </w:tc>
        <w:tc>
          <w:tcPr>
            <w:tcW w:w="260" w:type="dxa"/>
            <w:vAlign w:val="bottom"/>
            <w:shd w:val="clear" w:color="auto" w:fill="CFF0FC"/>
          </w:tcPr>
          <w:p>
            <w:pPr>
              <w:spacing w:after="0"/>
              <w:rPr>
                <w:sz w:val="19"/>
                <w:szCs w:val="19"/>
                <w:color w:val="auto"/>
              </w:rPr>
            </w:pPr>
          </w:p>
        </w:tc>
        <w:tc>
          <w:tcPr>
            <w:tcW w:w="9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34,304</w:t>
            </w:r>
          </w:p>
        </w:tc>
        <w:tc>
          <w:tcPr>
            <w:tcW w:w="100" w:type="dxa"/>
            <w:vAlign w:val="bottom"/>
            <w:shd w:val="clear" w:color="auto" w:fill="CFF0FC"/>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4240" w:type="dxa"/>
            <w:vAlign w:val="bottom"/>
          </w:tcPr>
          <w:p>
            <w:pPr>
              <w:ind w:left="140"/>
              <w:spacing w:after="0"/>
              <w:rPr>
                <w:sz w:val="20"/>
                <w:szCs w:val="20"/>
                <w:color w:val="auto"/>
              </w:rPr>
            </w:pPr>
            <w:r>
              <w:rPr>
                <w:rFonts w:ascii="Arial" w:cs="Arial" w:eastAsia="Arial" w:hAnsi="Arial"/>
                <w:sz w:val="18"/>
                <w:szCs w:val="18"/>
                <w:color w:val="auto"/>
              </w:rPr>
              <w:t>Consumer events</w:t>
            </w:r>
          </w:p>
        </w:tc>
        <w:tc>
          <w:tcPr>
            <w:tcW w:w="17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6,114</w:t>
            </w:r>
          </w:p>
        </w:tc>
        <w:tc>
          <w:tcPr>
            <w:tcW w:w="2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335</w:t>
            </w:r>
          </w:p>
        </w:tc>
        <w:tc>
          <w:tcPr>
            <w:tcW w:w="2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26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6,449</w:t>
            </w:r>
          </w:p>
        </w:tc>
        <w:tc>
          <w:tcPr>
            <w:tcW w:w="1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4240" w:type="dxa"/>
            <w:vAlign w:val="bottom"/>
            <w:shd w:val="clear" w:color="auto" w:fill="CFF0FC"/>
          </w:tcPr>
          <w:p>
            <w:pPr>
              <w:ind w:left="140"/>
              <w:spacing w:after="0"/>
              <w:rPr>
                <w:sz w:val="20"/>
                <w:szCs w:val="20"/>
                <w:color w:val="auto"/>
              </w:rPr>
            </w:pPr>
            <w:r>
              <w:rPr>
                <w:rFonts w:ascii="Arial" w:cs="Arial" w:eastAsia="Arial" w:hAnsi="Arial"/>
                <w:sz w:val="18"/>
                <w:szCs w:val="18"/>
                <w:color w:val="auto"/>
              </w:rPr>
              <w:t>Intersegment eliminations</w:t>
            </w:r>
          </w:p>
        </w:tc>
        <w:tc>
          <w:tcPr>
            <w:tcW w:w="17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9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24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280" w:type="dxa"/>
            <w:vAlign w:val="bottom"/>
            <w:gridSpan w:val="2"/>
            <w:shd w:val="clear" w:color="auto" w:fill="CFF0FC"/>
          </w:tcPr>
          <w:p>
            <w:pPr>
              <w:jc w:val="right"/>
              <w:ind w:right="240"/>
              <w:spacing w:after="0"/>
              <w:rPr>
                <w:sz w:val="20"/>
                <w:szCs w:val="20"/>
                <w:color w:val="auto"/>
              </w:rPr>
            </w:pPr>
            <w:r>
              <w:rPr>
                <w:rFonts w:ascii="Arial" w:cs="Arial" w:eastAsia="Arial" w:hAnsi="Arial"/>
                <w:sz w:val="18"/>
                <w:szCs w:val="18"/>
                <w:color w:val="auto"/>
              </w:rPr>
              <w:t>—</w:t>
            </w:r>
          </w:p>
        </w:tc>
        <w:tc>
          <w:tcPr>
            <w:tcW w:w="140" w:type="dxa"/>
            <w:vAlign w:val="bottom"/>
            <w:shd w:val="clear" w:color="auto" w:fill="CFF0FC"/>
          </w:tcPr>
          <w:p>
            <w:pPr>
              <w:spacing w:after="0"/>
              <w:rPr>
                <w:sz w:val="19"/>
                <w:szCs w:val="19"/>
                <w:color w:val="auto"/>
              </w:rPr>
            </w:pPr>
          </w:p>
        </w:tc>
        <w:tc>
          <w:tcPr>
            <w:tcW w:w="1260" w:type="dxa"/>
            <w:vAlign w:val="bottom"/>
            <w:gridSpan w:val="2"/>
            <w:shd w:val="clear" w:color="auto" w:fill="CFF0FC"/>
          </w:tcPr>
          <w:p>
            <w:pPr>
              <w:jc w:val="right"/>
              <w:ind w:right="180"/>
              <w:spacing w:after="0"/>
              <w:rPr>
                <w:sz w:val="20"/>
                <w:szCs w:val="20"/>
                <w:color w:val="auto"/>
              </w:rPr>
            </w:pPr>
            <w:r>
              <w:rPr>
                <w:rFonts w:ascii="Arial" w:cs="Arial" w:eastAsia="Arial" w:hAnsi="Arial"/>
                <w:sz w:val="18"/>
                <w:szCs w:val="18"/>
                <w:color w:val="auto"/>
              </w:rPr>
              <w:t>(3,348)</w:t>
            </w:r>
          </w:p>
        </w:tc>
        <w:tc>
          <w:tcPr>
            <w:tcW w:w="260" w:type="dxa"/>
            <w:vAlign w:val="bottom"/>
            <w:shd w:val="clear" w:color="auto" w:fill="CFF0FC"/>
          </w:tcPr>
          <w:p>
            <w:pPr>
              <w:spacing w:after="0"/>
              <w:rPr>
                <w:sz w:val="19"/>
                <w:szCs w:val="19"/>
                <w:color w:val="auto"/>
              </w:rPr>
            </w:pPr>
          </w:p>
        </w:tc>
        <w:tc>
          <w:tcPr>
            <w:tcW w:w="1020" w:type="dxa"/>
            <w:vAlign w:val="bottom"/>
            <w:gridSpan w:val="2"/>
            <w:shd w:val="clear" w:color="auto" w:fill="CFF0FC"/>
          </w:tcPr>
          <w:p>
            <w:pPr>
              <w:jc w:val="right"/>
              <w:ind w:right="40"/>
              <w:spacing w:after="0"/>
              <w:rPr>
                <w:sz w:val="20"/>
                <w:szCs w:val="20"/>
                <w:color w:val="auto"/>
              </w:rPr>
            </w:pPr>
            <w:r>
              <w:rPr>
                <w:rFonts w:ascii="Arial" w:cs="Arial" w:eastAsia="Arial" w:hAnsi="Arial"/>
                <w:sz w:val="18"/>
                <w:szCs w:val="18"/>
                <w:color w:val="auto"/>
              </w:rPr>
              <w:t>(3,348)</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2"/>
        </w:trPr>
        <w:tc>
          <w:tcPr>
            <w:tcW w:w="4240" w:type="dxa"/>
            <w:vAlign w:val="bottom"/>
          </w:tcPr>
          <w:p>
            <w:pPr>
              <w:spacing w:after="0"/>
              <w:rPr>
                <w:sz w:val="20"/>
                <w:szCs w:val="20"/>
                <w:color w:val="auto"/>
              </w:rPr>
            </w:pPr>
            <w:r>
              <w:rPr>
                <w:rFonts w:ascii="Arial" w:cs="Arial" w:eastAsia="Arial" w:hAnsi="Arial"/>
                <w:sz w:val="18"/>
                <w:szCs w:val="18"/>
                <w:b w:val="1"/>
                <w:bCs w:val="1"/>
                <w:color w:val="auto"/>
              </w:rPr>
              <w:t>Total revenue</w:t>
            </w:r>
          </w:p>
        </w:tc>
        <w:tc>
          <w:tcPr>
            <w:tcW w:w="1720" w:type="dxa"/>
            <w:vAlign w:val="bottom"/>
          </w:tcPr>
          <w:p>
            <w:pPr>
              <w:spacing w:after="0"/>
              <w:rPr>
                <w:sz w:val="19"/>
                <w:szCs w:val="19"/>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9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203,868</w:t>
            </w:r>
          </w:p>
        </w:tc>
        <w:tc>
          <w:tcPr>
            <w:tcW w:w="240" w:type="dxa"/>
            <w:vAlign w:val="bottom"/>
          </w:tcPr>
          <w:p>
            <w:pPr>
              <w:spacing w:after="0"/>
              <w:rPr>
                <w:sz w:val="19"/>
                <w:szCs w:val="19"/>
                <w:color w:val="auto"/>
              </w:rPr>
            </w:pPr>
          </w:p>
        </w:tc>
        <w:tc>
          <w:tcPr>
            <w:tcW w:w="12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w w:val="99"/>
              </w:rPr>
              <w:t>$</w:t>
            </w:r>
          </w:p>
        </w:tc>
        <w:tc>
          <w:tcPr>
            <w:tcW w:w="10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67,186</w:t>
            </w:r>
          </w:p>
        </w:tc>
        <w:tc>
          <w:tcPr>
            <w:tcW w:w="240" w:type="dxa"/>
            <w:vAlign w:val="bottom"/>
          </w:tcPr>
          <w:p>
            <w:pPr>
              <w:spacing w:after="0"/>
              <w:rPr>
                <w:sz w:val="19"/>
                <w:szCs w:val="19"/>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0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(3,348)</w:t>
            </w:r>
          </w:p>
        </w:tc>
        <w:tc>
          <w:tcPr>
            <w:tcW w:w="240" w:type="dxa"/>
            <w:vAlign w:val="bottom"/>
          </w:tcPr>
          <w:p>
            <w:pPr>
              <w:spacing w:after="0"/>
              <w:rPr>
                <w:sz w:val="19"/>
                <w:szCs w:val="19"/>
                <w:color w:val="auto"/>
              </w:rPr>
            </w:pPr>
          </w:p>
        </w:tc>
        <w:tc>
          <w:tcPr>
            <w:tcW w:w="260" w:type="dxa"/>
            <w:vAlign w:val="bottom"/>
            <w:tcBorders>
              <w:top w:val="single" w:sz="8" w:color="auto"/>
              <w:bottom w:val="single" w:sz="8" w:color="auto"/>
            </w:tcBorders>
          </w:tcPr>
          <w:p>
            <w:pPr>
              <w:jc w:val="right"/>
              <w:ind w:right="70"/>
              <w:spacing w:after="0"/>
              <w:rPr>
                <w:sz w:val="20"/>
                <w:szCs w:val="20"/>
                <w:color w:val="auto"/>
              </w:rPr>
            </w:pPr>
            <w:r>
              <w:rPr>
                <w:rFonts w:ascii="Arial" w:cs="Arial" w:eastAsia="Arial" w:hAnsi="Arial"/>
                <w:sz w:val="18"/>
                <w:szCs w:val="18"/>
                <w:color w:val="auto"/>
                <w:w w:val="79"/>
              </w:rPr>
              <w:t>$</w:t>
            </w:r>
          </w:p>
        </w:tc>
        <w:tc>
          <w:tcPr>
            <w:tcW w:w="9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267,706</w:t>
            </w:r>
          </w:p>
        </w:tc>
        <w:tc>
          <w:tcPr>
            <w:tcW w:w="1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4240" w:type="dxa"/>
            <w:vAlign w:val="bottom"/>
          </w:tcPr>
          <w:p>
            <w:pPr>
              <w:spacing w:after="0" w:line="20" w:lineRule="exact"/>
              <w:rPr>
                <w:sz w:val="1"/>
                <w:szCs w:val="1"/>
                <w:color w:val="auto"/>
              </w:rPr>
            </w:pPr>
          </w:p>
        </w:tc>
        <w:tc>
          <w:tcPr>
            <w:tcW w:w="1720" w:type="dxa"/>
            <w:vAlign w:val="bottom"/>
            <w:vMerge w:val="restart"/>
          </w:tcPr>
          <w:p>
            <w:pPr>
              <w:jc w:val="right"/>
              <w:ind w:right="70"/>
              <w:spacing w:after="0"/>
              <w:rPr>
                <w:sz w:val="20"/>
                <w:szCs w:val="20"/>
                <w:color w:val="auto"/>
              </w:rPr>
            </w:pPr>
            <w:r>
              <w:rPr>
                <w:rFonts w:ascii="Arial" w:cs="Arial" w:eastAsia="Arial" w:hAnsi="Arial"/>
                <w:sz w:val="18"/>
                <w:szCs w:val="18"/>
                <w:color w:val="auto"/>
              </w:rPr>
              <w:t>12</w:t>
            </w:r>
          </w:p>
        </w:tc>
        <w:tc>
          <w:tcPr>
            <w:tcW w:w="18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26"/>
        </w:trPr>
        <w:tc>
          <w:tcPr>
            <w:tcW w:w="4240" w:type="dxa"/>
            <w:vAlign w:val="bottom"/>
          </w:tcPr>
          <w:p>
            <w:pPr>
              <w:spacing w:after="0"/>
              <w:rPr>
                <w:sz w:val="24"/>
                <w:szCs w:val="24"/>
                <w:color w:val="auto"/>
              </w:rPr>
            </w:pPr>
          </w:p>
        </w:tc>
        <w:tc>
          <w:tcPr>
            <w:tcW w:w="1720" w:type="dxa"/>
            <w:vAlign w:val="bottom"/>
            <w:vMerge w:val="continue"/>
          </w:tcPr>
          <w:p>
            <w:pPr>
              <w:spacing w:after="0"/>
              <w:rPr>
                <w:sz w:val="24"/>
                <w:szCs w:val="24"/>
                <w:color w:val="auto"/>
              </w:rPr>
            </w:pPr>
          </w:p>
        </w:tc>
        <w:tc>
          <w:tcPr>
            <w:tcW w:w="18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4"/>
        </w:trPr>
        <w:tc>
          <w:tcPr>
            <w:tcW w:w="4240" w:type="dxa"/>
            <w:vAlign w:val="bottom"/>
            <w:tcBorders>
              <w:bottom w:val="single" w:sz="8" w:color="9A9A9A"/>
            </w:tcBorders>
          </w:tcPr>
          <w:p>
            <w:pPr>
              <w:spacing w:after="0"/>
              <w:rPr>
                <w:sz w:val="9"/>
                <w:szCs w:val="9"/>
                <w:color w:val="auto"/>
              </w:rPr>
            </w:pPr>
          </w:p>
        </w:tc>
        <w:tc>
          <w:tcPr>
            <w:tcW w:w="1720" w:type="dxa"/>
            <w:vAlign w:val="bottom"/>
            <w:tcBorders>
              <w:bottom w:val="single" w:sz="8" w:color="9A9A9A"/>
            </w:tcBorders>
          </w:tcPr>
          <w:p>
            <w:pPr>
              <w:spacing w:after="0"/>
              <w:rPr>
                <w:sz w:val="9"/>
                <w:szCs w:val="9"/>
                <w:color w:val="auto"/>
              </w:rPr>
            </w:pPr>
          </w:p>
        </w:tc>
        <w:tc>
          <w:tcPr>
            <w:tcW w:w="180" w:type="dxa"/>
            <w:vAlign w:val="bottom"/>
            <w:tcBorders>
              <w:bottom w:val="single" w:sz="8" w:color="9A9A9A"/>
            </w:tcBorders>
          </w:tcPr>
          <w:p>
            <w:pPr>
              <w:spacing w:after="0"/>
              <w:rPr>
                <w:sz w:val="9"/>
                <w:szCs w:val="9"/>
                <w:color w:val="auto"/>
              </w:rPr>
            </w:pPr>
          </w:p>
        </w:tc>
        <w:tc>
          <w:tcPr>
            <w:tcW w:w="960" w:type="dxa"/>
            <w:vAlign w:val="bottom"/>
            <w:tcBorders>
              <w:bottom w:val="single" w:sz="8" w:color="9A9A9A"/>
            </w:tcBorders>
          </w:tcPr>
          <w:p>
            <w:pPr>
              <w:spacing w:after="0"/>
              <w:rPr>
                <w:sz w:val="9"/>
                <w:szCs w:val="9"/>
                <w:color w:val="auto"/>
              </w:rPr>
            </w:pPr>
          </w:p>
        </w:tc>
        <w:tc>
          <w:tcPr>
            <w:tcW w:w="240" w:type="dxa"/>
            <w:vAlign w:val="bottom"/>
            <w:tcBorders>
              <w:bottom w:val="single" w:sz="8" w:color="9A9A9A"/>
            </w:tcBorders>
          </w:tcPr>
          <w:p>
            <w:pPr>
              <w:spacing w:after="0"/>
              <w:rPr>
                <w:sz w:val="9"/>
                <w:szCs w:val="9"/>
                <w:color w:val="auto"/>
              </w:rPr>
            </w:pPr>
          </w:p>
        </w:tc>
        <w:tc>
          <w:tcPr>
            <w:tcW w:w="120" w:type="dxa"/>
            <w:vAlign w:val="bottom"/>
            <w:tcBorders>
              <w:bottom w:val="single" w:sz="8" w:color="9A9A9A"/>
            </w:tcBorders>
          </w:tcPr>
          <w:p>
            <w:pPr>
              <w:spacing w:after="0"/>
              <w:rPr>
                <w:sz w:val="9"/>
                <w:szCs w:val="9"/>
                <w:color w:val="auto"/>
              </w:rPr>
            </w:pPr>
          </w:p>
        </w:tc>
        <w:tc>
          <w:tcPr>
            <w:tcW w:w="1040" w:type="dxa"/>
            <w:vAlign w:val="bottom"/>
            <w:tcBorders>
              <w:bottom w:val="single" w:sz="8" w:color="9A9A9A"/>
            </w:tcBorders>
          </w:tcPr>
          <w:p>
            <w:pPr>
              <w:spacing w:after="0"/>
              <w:rPr>
                <w:sz w:val="9"/>
                <w:szCs w:val="9"/>
                <w:color w:val="auto"/>
              </w:rPr>
            </w:pPr>
          </w:p>
        </w:tc>
        <w:tc>
          <w:tcPr>
            <w:tcW w:w="240" w:type="dxa"/>
            <w:vAlign w:val="bottom"/>
            <w:tcBorders>
              <w:bottom w:val="single" w:sz="8" w:color="9A9A9A"/>
            </w:tcBorders>
          </w:tcPr>
          <w:p>
            <w:pPr>
              <w:spacing w:after="0"/>
              <w:rPr>
                <w:sz w:val="9"/>
                <w:szCs w:val="9"/>
                <w:color w:val="auto"/>
              </w:rPr>
            </w:pPr>
          </w:p>
        </w:tc>
        <w:tc>
          <w:tcPr>
            <w:tcW w:w="140" w:type="dxa"/>
            <w:vAlign w:val="bottom"/>
            <w:tcBorders>
              <w:bottom w:val="single" w:sz="8" w:color="9A9A9A"/>
            </w:tcBorders>
          </w:tcPr>
          <w:p>
            <w:pPr>
              <w:spacing w:after="0"/>
              <w:rPr>
                <w:sz w:val="9"/>
                <w:szCs w:val="9"/>
                <w:color w:val="auto"/>
              </w:rPr>
            </w:pPr>
          </w:p>
        </w:tc>
        <w:tc>
          <w:tcPr>
            <w:tcW w:w="1020" w:type="dxa"/>
            <w:vAlign w:val="bottom"/>
            <w:tcBorders>
              <w:bottom w:val="single" w:sz="8" w:color="9A9A9A"/>
            </w:tcBorders>
          </w:tcPr>
          <w:p>
            <w:pPr>
              <w:spacing w:after="0"/>
              <w:rPr>
                <w:sz w:val="9"/>
                <w:szCs w:val="9"/>
                <w:color w:val="auto"/>
              </w:rPr>
            </w:pPr>
          </w:p>
        </w:tc>
        <w:tc>
          <w:tcPr>
            <w:tcW w:w="240" w:type="dxa"/>
            <w:vAlign w:val="bottom"/>
            <w:tcBorders>
              <w:bottom w:val="single" w:sz="8" w:color="9A9A9A"/>
            </w:tcBorders>
          </w:tcPr>
          <w:p>
            <w:pPr>
              <w:spacing w:after="0"/>
              <w:rPr>
                <w:sz w:val="9"/>
                <w:szCs w:val="9"/>
                <w:color w:val="auto"/>
              </w:rPr>
            </w:pPr>
          </w:p>
        </w:tc>
        <w:tc>
          <w:tcPr>
            <w:tcW w:w="260" w:type="dxa"/>
            <w:vAlign w:val="bottom"/>
            <w:tcBorders>
              <w:bottom w:val="single" w:sz="8" w:color="9A9A9A"/>
            </w:tcBorders>
          </w:tcPr>
          <w:p>
            <w:pPr>
              <w:spacing w:after="0"/>
              <w:rPr>
                <w:sz w:val="9"/>
                <w:szCs w:val="9"/>
                <w:color w:val="auto"/>
              </w:rPr>
            </w:pPr>
          </w:p>
        </w:tc>
        <w:tc>
          <w:tcPr>
            <w:tcW w:w="920" w:type="dxa"/>
            <w:vAlign w:val="bottom"/>
            <w:tcBorders>
              <w:bottom w:val="single" w:sz="8" w:color="9A9A9A"/>
            </w:tcBorders>
          </w:tcPr>
          <w:p>
            <w:pPr>
              <w:spacing w:after="0"/>
              <w:rPr>
                <w:sz w:val="9"/>
                <w:szCs w:val="9"/>
                <w:color w:val="auto"/>
              </w:rPr>
            </w:pPr>
          </w:p>
        </w:tc>
        <w:tc>
          <w:tcPr>
            <w:tcW w:w="100" w:type="dxa"/>
            <w:vAlign w:val="bottom"/>
            <w:tcBorders>
              <w:bottom w:val="single" w:sz="8" w:color="9A9A9A"/>
            </w:tcBorders>
          </w:tcPr>
          <w:p>
            <w:pPr>
              <w:spacing w:after="0"/>
              <w:rPr>
                <w:sz w:val="9"/>
                <w:szCs w:val="9"/>
                <w:color w:val="auto"/>
              </w:rPr>
            </w:pPr>
          </w:p>
        </w:tc>
        <w:tc>
          <w:tcPr>
            <w:tcW w:w="20" w:type="dxa"/>
            <w:vAlign w:val="bottom"/>
            <w:tcBorders>
              <w:bottom w:val="single" w:sz="8" w:color="9A9A9A"/>
            </w:tcBorders>
          </w:tcPr>
          <w:p>
            <w:pPr>
              <w:spacing w:after="0"/>
              <w:rPr>
                <w:sz w:val="9"/>
                <w:szCs w:val="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7247890</wp:posOffset>
            </wp:positionH>
            <wp:positionV relativeFrom="paragraph">
              <wp:posOffset>-29210</wp:posOffset>
            </wp:positionV>
            <wp:extent cx="33655" cy="4254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3655" cy="4254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33655" cy="42545"/>
                    </a:xfrm>
                    <a:prstGeom prst="rect">
                      <a:avLst/>
                    </a:prstGeom>
                    <a:noFill/>
                  </pic:spPr>
                </pic:pic>
              </a:graphicData>
            </a:graphic>
          </wp:anchor>
        </w:drawing>
      </w:r>
    </w:p>
    <w:p>
      <w:pPr>
        <w:sectPr>
          <w:pgSz w:w="11900" w:h="16838" w:orient="portrait"/>
          <w:cols w:equalWidth="0" w:num="1">
            <w:col w:w="11440"/>
          </w:cols>
          <w:pgMar w:left="240" w:top="659" w:right="219" w:bottom="1440" w:gutter="0" w:footer="0" w:header="0"/>
        </w:sectPr>
      </w:pPr>
    </w:p>
    <w:bookmarkStart w:id="14" w:name="page15"/>
    <w:bookmarkEnd w:id="14"/>
    <w:p>
      <w:pPr>
        <w:spacing w:after="0"/>
        <w:rPr>
          <w:sz w:val="20"/>
          <w:szCs w:val="20"/>
          <w:color w:val="auto"/>
        </w:rPr>
      </w:pPr>
      <w:r>
        <w:rPr>
          <w:rFonts w:ascii="Arial" w:cs="Arial" w:eastAsia="Arial" w:hAnsi="Arial"/>
          <w:sz w:val="18"/>
          <w:szCs w:val="18"/>
          <w:b w:val="1"/>
          <w:bCs w:val="1"/>
          <w:color w:val="auto"/>
        </w:rPr>
        <w:t>Pursuit</w:t>
      </w: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(in thousands)</w:t>
      </w:r>
    </w:p>
    <w:p>
      <w:pPr>
        <w:spacing w:after="0" w:line="3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Services: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16510</wp:posOffset>
            </wp:positionV>
            <wp:extent cx="7247255" cy="14541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247255" cy="145415"/>
                    </a:xfrm>
                    <a:prstGeom prst="rect">
                      <a:avLst/>
                    </a:prstGeom>
                    <a:noFill/>
                  </pic:spPr>
                </pic:pic>
              </a:graphicData>
            </a:graphic>
          </wp:anchor>
        </w:drawing>
      </w:r>
    </w:p>
    <w:p>
      <w:pPr>
        <w:spacing w:after="0" w:line="7" w:lineRule="exact"/>
        <w:rPr>
          <w:sz w:val="20"/>
          <w:szCs w:val="20"/>
          <w:color w:val="auto"/>
        </w:rPr>
      </w:pPr>
    </w:p>
    <w:p>
      <w:pPr>
        <w:ind w:left="140"/>
        <w:spacing w:after="0"/>
        <w:rPr>
          <w:sz w:val="20"/>
          <w:szCs w:val="20"/>
          <w:color w:val="auto"/>
        </w:rPr>
      </w:pPr>
      <w:r>
        <w:rPr>
          <w:rFonts w:ascii="Arial" w:cs="Arial" w:eastAsia="Arial" w:hAnsi="Arial"/>
          <w:sz w:val="18"/>
          <w:szCs w:val="18"/>
          <w:color w:val="auto"/>
        </w:rPr>
        <w:t>Accommodations</w:t>
      </w:r>
    </w:p>
    <w:p>
      <w:pPr>
        <w:spacing w:after="0" w:line="22" w:lineRule="exact"/>
        <w:rPr>
          <w:sz w:val="20"/>
          <w:szCs w:val="20"/>
          <w:color w:val="auto"/>
        </w:rPr>
      </w:pPr>
    </w:p>
    <w:p>
      <w:pPr>
        <w:ind w:left="140"/>
        <w:spacing w:after="0"/>
        <w:rPr>
          <w:sz w:val="20"/>
          <w:szCs w:val="20"/>
          <w:color w:val="auto"/>
        </w:rPr>
      </w:pPr>
      <w:r>
        <w:rPr>
          <w:rFonts w:ascii="Arial" w:cs="Arial" w:eastAsia="Arial" w:hAnsi="Arial"/>
          <w:sz w:val="18"/>
          <w:szCs w:val="18"/>
          <w:color w:val="auto"/>
        </w:rPr>
        <w:t>Admissions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13335</wp:posOffset>
            </wp:positionV>
            <wp:extent cx="7247255" cy="14541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247255" cy="145415"/>
                    </a:xfrm>
                    <a:prstGeom prst="rect">
                      <a:avLst/>
                    </a:prstGeom>
                    <a:noFill/>
                  </pic:spPr>
                </pic:pic>
              </a:graphicData>
            </a:graphic>
          </wp:anchor>
        </w:drawing>
      </w:r>
    </w:p>
    <w:p>
      <w:pPr>
        <w:spacing w:after="0" w:line="2" w:lineRule="exact"/>
        <w:rPr>
          <w:sz w:val="20"/>
          <w:szCs w:val="20"/>
          <w:color w:val="auto"/>
        </w:rPr>
      </w:pPr>
    </w:p>
    <w:p>
      <w:pPr>
        <w:ind w:left="140"/>
        <w:spacing w:after="0"/>
        <w:rPr>
          <w:sz w:val="20"/>
          <w:szCs w:val="20"/>
          <w:color w:val="auto"/>
        </w:rPr>
      </w:pPr>
      <w:r>
        <w:rPr>
          <w:rFonts w:ascii="Arial" w:cs="Arial" w:eastAsia="Arial" w:hAnsi="Arial"/>
          <w:sz w:val="18"/>
          <w:szCs w:val="18"/>
          <w:color w:val="auto"/>
        </w:rPr>
        <w:t>Transportation</w:t>
      </w:r>
    </w:p>
    <w:p>
      <w:pPr>
        <w:spacing w:after="0" w:line="22" w:lineRule="exact"/>
        <w:rPr>
          <w:sz w:val="20"/>
          <w:szCs w:val="20"/>
          <w:color w:val="auto"/>
        </w:rPr>
      </w:pPr>
    </w:p>
    <w:p>
      <w:pPr>
        <w:ind w:left="140"/>
        <w:spacing w:after="0"/>
        <w:rPr>
          <w:sz w:val="20"/>
          <w:szCs w:val="20"/>
          <w:color w:val="auto"/>
        </w:rPr>
      </w:pPr>
      <w:r>
        <w:rPr>
          <w:rFonts w:ascii="Arial" w:cs="Arial" w:eastAsia="Arial" w:hAnsi="Arial"/>
          <w:sz w:val="18"/>
          <w:szCs w:val="18"/>
          <w:color w:val="auto"/>
        </w:rPr>
        <w:t>Travel planning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13335</wp:posOffset>
            </wp:positionV>
            <wp:extent cx="7247255" cy="14541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247255" cy="145415"/>
                    </a:xfrm>
                    <a:prstGeom prst="rect">
                      <a:avLst/>
                    </a:prstGeom>
                    <a:noFill/>
                  </pic:spPr>
                </pic:pic>
              </a:graphicData>
            </a:graphic>
          </wp:anchor>
        </w:drawing>
      </w:r>
    </w:p>
    <w:p>
      <w:pPr>
        <w:spacing w:after="0" w:line="2" w:lineRule="exact"/>
        <w:rPr>
          <w:sz w:val="20"/>
          <w:szCs w:val="20"/>
          <w:color w:val="auto"/>
        </w:rPr>
      </w:pPr>
    </w:p>
    <w:p>
      <w:pPr>
        <w:ind w:left="140"/>
        <w:spacing w:after="0"/>
        <w:rPr>
          <w:sz w:val="20"/>
          <w:szCs w:val="20"/>
          <w:color w:val="auto"/>
        </w:rPr>
      </w:pPr>
      <w:r>
        <w:rPr>
          <w:rFonts w:ascii="Arial" w:cs="Arial" w:eastAsia="Arial" w:hAnsi="Arial"/>
          <w:sz w:val="18"/>
          <w:szCs w:val="18"/>
          <w:color w:val="auto"/>
        </w:rPr>
        <w:t>Intersegment eliminations</w:t>
      </w:r>
    </w:p>
    <w:p>
      <w:pPr>
        <w:spacing w:after="0" w:line="34" w:lineRule="exact"/>
        <w:rPr>
          <w:sz w:val="20"/>
          <w:szCs w:val="20"/>
          <w:color w:val="auto"/>
        </w:rPr>
      </w:pPr>
    </w:p>
    <w:p>
      <w:pPr>
        <w:spacing w:after="0"/>
        <w:rPr>
          <w:sz w:val="20"/>
          <w:szCs w:val="20"/>
          <w:color w:val="auto"/>
        </w:rPr>
      </w:pPr>
      <w:r>
        <w:rPr>
          <w:rFonts w:ascii="Arial" w:cs="Arial" w:eastAsia="Arial" w:hAnsi="Arial"/>
          <w:sz w:val="18"/>
          <w:szCs w:val="18"/>
          <w:color w:val="auto"/>
        </w:rPr>
        <w:t>Total services revenue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13970</wp:posOffset>
            </wp:positionV>
            <wp:extent cx="7247255" cy="15367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247255" cy="153670"/>
                    </a:xfrm>
                    <a:prstGeom prst="rect">
                      <a:avLst/>
                    </a:prstGeom>
                    <a:noFill/>
                  </pic:spPr>
                </pic:pic>
              </a:graphicData>
            </a:graphic>
          </wp:anchor>
        </w:drawing>
      </w:r>
    </w:p>
    <w:p>
      <w:pPr>
        <w:spacing w:after="0" w:line="1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Products:</w:t>
      </w:r>
    </w:p>
    <w:p>
      <w:pPr>
        <w:spacing w:after="0" w:line="27" w:lineRule="exact"/>
        <w:rPr>
          <w:sz w:val="20"/>
          <w:szCs w:val="20"/>
          <w:color w:val="auto"/>
        </w:rPr>
      </w:pPr>
    </w:p>
    <w:p>
      <w:pPr>
        <w:ind w:left="140"/>
        <w:spacing w:after="0"/>
        <w:rPr>
          <w:sz w:val="20"/>
          <w:szCs w:val="20"/>
          <w:color w:val="auto"/>
        </w:rPr>
      </w:pPr>
      <w:r>
        <w:rPr>
          <w:rFonts w:ascii="Arial" w:cs="Arial" w:eastAsia="Arial" w:hAnsi="Arial"/>
          <w:sz w:val="18"/>
          <w:szCs w:val="18"/>
          <w:color w:val="auto"/>
        </w:rPr>
        <w:t>Food and beverage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13335</wp:posOffset>
            </wp:positionV>
            <wp:extent cx="7247255" cy="14541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247255" cy="145415"/>
                    </a:xfrm>
                    <a:prstGeom prst="rect">
                      <a:avLst/>
                    </a:prstGeom>
                    <a:noFill/>
                  </pic:spPr>
                </pic:pic>
              </a:graphicData>
            </a:graphic>
          </wp:anchor>
        </w:drawing>
      </w:r>
    </w:p>
    <w:p>
      <w:pPr>
        <w:spacing w:after="0" w:line="2" w:lineRule="exact"/>
        <w:rPr>
          <w:sz w:val="20"/>
          <w:szCs w:val="20"/>
          <w:color w:val="auto"/>
        </w:rPr>
      </w:pPr>
    </w:p>
    <w:p>
      <w:pPr>
        <w:ind w:left="140"/>
        <w:spacing w:after="0"/>
        <w:rPr>
          <w:sz w:val="20"/>
          <w:szCs w:val="20"/>
          <w:color w:val="auto"/>
        </w:rPr>
      </w:pPr>
      <w:r>
        <w:rPr>
          <w:rFonts w:ascii="Arial" w:cs="Arial" w:eastAsia="Arial" w:hAnsi="Arial"/>
          <w:sz w:val="18"/>
          <w:szCs w:val="18"/>
          <w:color w:val="auto"/>
        </w:rPr>
        <w:t>Retail operations</w:t>
      </w:r>
    </w:p>
    <w:p>
      <w:pPr>
        <w:spacing w:after="0" w:line="34" w:lineRule="exact"/>
        <w:rPr>
          <w:sz w:val="20"/>
          <w:szCs w:val="20"/>
          <w:color w:val="auto"/>
        </w:rPr>
      </w:pPr>
    </w:p>
    <w:p>
      <w:pPr>
        <w:spacing w:after="0"/>
        <w:rPr>
          <w:sz w:val="20"/>
          <w:szCs w:val="20"/>
          <w:color w:val="auto"/>
        </w:rPr>
      </w:pPr>
      <w:r>
        <w:rPr>
          <w:rFonts w:ascii="Arial" w:cs="Arial" w:eastAsia="Arial" w:hAnsi="Arial"/>
          <w:sz w:val="18"/>
          <w:szCs w:val="18"/>
          <w:color w:val="auto"/>
        </w:rPr>
        <w:t>Total products revenue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13970</wp:posOffset>
            </wp:positionV>
            <wp:extent cx="7247255" cy="16192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247255" cy="161925"/>
                    </a:xfrm>
                    <a:prstGeom prst="rect">
                      <a:avLst/>
                    </a:prstGeom>
                    <a:noFill/>
                  </pic:spPr>
                </pic:pic>
              </a:graphicData>
            </a:graphic>
          </wp:anchor>
        </w:drawing>
      </w:r>
    </w:p>
    <w:p>
      <w:pPr>
        <w:spacing w:after="0" w:line="1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Total revenue</w:t>
      </w:r>
    </w:p>
    <w:p>
      <w:pPr>
        <w:spacing w:after="0" w:line="29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Timing of revenue recognition: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-127635</wp:posOffset>
            </wp:positionV>
            <wp:extent cx="7247255" cy="14541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247255" cy="145415"/>
                    </a:xfrm>
                    <a:prstGeom prst="rect">
                      <a:avLst/>
                    </a:prstGeom>
                    <a:noFill/>
                  </pic:spPr>
                </pic:pic>
              </a:graphicData>
            </a:graphic>
          </wp:anchor>
        </w:drawing>
      </w:r>
    </w:p>
    <w:p>
      <w:pPr>
        <w:spacing w:after="0" w:line="7" w:lineRule="exact"/>
        <w:rPr>
          <w:sz w:val="20"/>
          <w:szCs w:val="20"/>
          <w:color w:val="auto"/>
        </w:rPr>
      </w:pPr>
    </w:p>
    <w:p>
      <w:pPr>
        <w:ind w:left="140"/>
        <w:spacing w:after="0"/>
        <w:rPr>
          <w:sz w:val="20"/>
          <w:szCs w:val="20"/>
          <w:color w:val="auto"/>
        </w:rPr>
      </w:pPr>
      <w:r>
        <w:rPr>
          <w:rFonts w:ascii="Arial" w:cs="Arial" w:eastAsia="Arial" w:hAnsi="Arial"/>
          <w:sz w:val="18"/>
          <w:szCs w:val="18"/>
          <w:color w:val="auto"/>
        </w:rPr>
        <w:t>Services transferred over time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13335</wp:posOffset>
            </wp:positionV>
            <wp:extent cx="7247255" cy="14541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247255" cy="145415"/>
                    </a:xfrm>
                    <a:prstGeom prst="rect">
                      <a:avLst/>
                    </a:prstGeom>
                    <a:noFill/>
                  </pic:spPr>
                </pic:pic>
              </a:graphicData>
            </a:graphic>
          </wp:anchor>
        </w:drawing>
      </w:r>
    </w:p>
    <w:p>
      <w:pPr>
        <w:spacing w:after="0" w:line="2" w:lineRule="exact"/>
        <w:rPr>
          <w:sz w:val="20"/>
          <w:szCs w:val="20"/>
          <w:color w:val="auto"/>
        </w:rPr>
      </w:pPr>
    </w:p>
    <w:p>
      <w:pPr>
        <w:ind w:left="140"/>
        <w:spacing w:after="0"/>
        <w:rPr>
          <w:sz w:val="20"/>
          <w:szCs w:val="20"/>
          <w:color w:val="auto"/>
        </w:rPr>
      </w:pPr>
      <w:r>
        <w:rPr>
          <w:rFonts w:ascii="Arial" w:cs="Arial" w:eastAsia="Arial" w:hAnsi="Arial"/>
          <w:sz w:val="18"/>
          <w:szCs w:val="18"/>
          <w:color w:val="auto"/>
        </w:rPr>
        <w:t>Products transferred at a point in time</w:t>
      </w:r>
    </w:p>
    <w:p>
      <w:pPr>
        <w:spacing w:after="0" w:line="3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Total revenue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25400</wp:posOffset>
            </wp:positionV>
            <wp:extent cx="7247255" cy="16192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247255" cy="161925"/>
                    </a:xfrm>
                    <a:prstGeom prst="rect">
                      <a:avLst/>
                    </a:prstGeom>
                    <a:noFill/>
                  </pic:spPr>
                </pic:pic>
              </a:graphicData>
            </a:graphic>
          </wp:anchor>
        </w:drawing>
      </w:r>
    </w:p>
    <w:p>
      <w:pPr>
        <w:spacing w:after="0" w:line="27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Markets: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16510</wp:posOffset>
            </wp:positionV>
            <wp:extent cx="7247255" cy="14541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247255" cy="145415"/>
                    </a:xfrm>
                    <a:prstGeom prst="rect">
                      <a:avLst/>
                    </a:prstGeom>
                    <a:noFill/>
                  </pic:spPr>
                </pic:pic>
              </a:graphicData>
            </a:graphic>
          </wp:anchor>
        </w:drawing>
      </w:r>
    </w:p>
    <w:p>
      <w:pPr>
        <w:spacing w:after="0" w:line="7" w:lineRule="exact"/>
        <w:rPr>
          <w:sz w:val="20"/>
          <w:szCs w:val="20"/>
          <w:color w:val="auto"/>
        </w:rPr>
      </w:pPr>
    </w:p>
    <w:p>
      <w:pPr>
        <w:ind w:left="140"/>
        <w:spacing w:after="0"/>
        <w:rPr>
          <w:sz w:val="20"/>
          <w:szCs w:val="20"/>
          <w:color w:val="auto"/>
        </w:rPr>
      </w:pPr>
      <w:r>
        <w:rPr>
          <w:rFonts w:ascii="Arial" w:cs="Arial" w:eastAsia="Arial" w:hAnsi="Arial"/>
          <w:sz w:val="18"/>
          <w:szCs w:val="18"/>
          <w:color w:val="auto"/>
        </w:rPr>
        <w:t>Banff Jasper Collection</w:t>
      </w:r>
    </w:p>
    <w:p>
      <w:pPr>
        <w:spacing w:after="0" w:line="22" w:lineRule="exact"/>
        <w:rPr>
          <w:sz w:val="20"/>
          <w:szCs w:val="20"/>
          <w:color w:val="auto"/>
        </w:rPr>
      </w:pPr>
    </w:p>
    <w:p>
      <w:pPr>
        <w:ind w:left="140"/>
        <w:spacing w:after="0"/>
        <w:rPr>
          <w:sz w:val="20"/>
          <w:szCs w:val="20"/>
          <w:color w:val="auto"/>
        </w:rPr>
      </w:pPr>
      <w:r>
        <w:rPr>
          <w:rFonts w:ascii="Arial" w:cs="Arial" w:eastAsia="Arial" w:hAnsi="Arial"/>
          <w:sz w:val="18"/>
          <w:szCs w:val="18"/>
          <w:color w:val="auto"/>
        </w:rPr>
        <w:t>Alaska Collection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13335</wp:posOffset>
            </wp:positionV>
            <wp:extent cx="7247255" cy="14541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247255" cy="145415"/>
                    </a:xfrm>
                    <a:prstGeom prst="rect">
                      <a:avLst/>
                    </a:prstGeom>
                    <a:noFill/>
                  </pic:spPr>
                </pic:pic>
              </a:graphicData>
            </a:graphic>
          </wp:anchor>
        </w:drawing>
      </w:r>
    </w:p>
    <w:p>
      <w:pPr>
        <w:spacing w:after="0" w:line="2" w:lineRule="exact"/>
        <w:rPr>
          <w:sz w:val="20"/>
          <w:szCs w:val="20"/>
          <w:color w:val="auto"/>
        </w:rPr>
      </w:pPr>
    </w:p>
    <w:p>
      <w:pPr>
        <w:ind w:left="140"/>
        <w:spacing w:after="0"/>
        <w:rPr>
          <w:sz w:val="20"/>
          <w:szCs w:val="20"/>
          <w:color w:val="auto"/>
        </w:rPr>
      </w:pPr>
      <w:r>
        <w:rPr>
          <w:rFonts w:ascii="Arial" w:cs="Arial" w:eastAsia="Arial" w:hAnsi="Arial"/>
          <w:sz w:val="18"/>
          <w:szCs w:val="18"/>
          <w:color w:val="auto"/>
        </w:rPr>
        <w:t>Glacier Park Collection</w:t>
      </w:r>
    </w:p>
    <w:p>
      <w:pPr>
        <w:spacing w:after="0" w:line="22" w:lineRule="exact"/>
        <w:rPr>
          <w:sz w:val="20"/>
          <w:szCs w:val="20"/>
          <w:color w:val="auto"/>
        </w:rPr>
      </w:pPr>
    </w:p>
    <w:p>
      <w:pPr>
        <w:ind w:left="140"/>
        <w:spacing w:after="0"/>
        <w:rPr>
          <w:sz w:val="20"/>
          <w:szCs w:val="20"/>
          <w:color w:val="auto"/>
        </w:rPr>
      </w:pPr>
      <w:r>
        <w:rPr>
          <w:rFonts w:ascii="Arial" w:cs="Arial" w:eastAsia="Arial" w:hAnsi="Arial"/>
          <w:sz w:val="18"/>
          <w:szCs w:val="18"/>
          <w:color w:val="auto"/>
        </w:rPr>
        <w:t>FlyOver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13335</wp:posOffset>
            </wp:positionV>
            <wp:extent cx="7247255" cy="16192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247255" cy="161925"/>
                    </a:xfrm>
                    <a:prstGeom prst="rect">
                      <a:avLst/>
                    </a:prstGeom>
                    <a:noFill/>
                  </pic:spPr>
                </pic:pic>
              </a:graphicData>
            </a:graphic>
          </wp:anchor>
        </w:drawing>
      </w:r>
    </w:p>
    <w:p>
      <w:pPr>
        <w:spacing w:after="0" w:line="1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Total revenue</w:t>
      </w:r>
    </w:p>
    <w:p>
      <w:pPr>
        <w:spacing w:after="0" w:line="200" w:lineRule="exact"/>
        <w:rPr>
          <w:sz w:val="20"/>
          <w:szCs w:val="20"/>
          <w:color w:val="auto"/>
        </w:rPr>
      </w:pPr>
    </w:p>
    <w:p>
      <w:pPr>
        <w:spacing w:after="0" w:line="283" w:lineRule="exact"/>
        <w:rPr>
          <w:sz w:val="20"/>
          <w:szCs w:val="20"/>
          <w:color w:val="auto"/>
        </w:rPr>
      </w:pPr>
    </w:p>
    <w:p>
      <w:pPr>
        <w:jc w:val="right"/>
        <w:ind w:right="2880"/>
        <w:spacing w:after="0"/>
        <w:rPr>
          <w:sz w:val="20"/>
          <w:szCs w:val="20"/>
          <w:color w:val="auto"/>
        </w:rPr>
      </w:pPr>
      <w:r>
        <w:rPr>
          <w:rFonts w:ascii="Arial" w:cs="Arial" w:eastAsia="Arial" w:hAnsi="Arial"/>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69850</wp:posOffset>
            </wp:positionV>
            <wp:extent cx="7289800" cy="4254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21"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86"/>
        </w:trPr>
        <w:tc>
          <w:tcPr>
            <w:tcW w:w="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760" w:type="dxa"/>
            <w:vAlign w:val="bottom"/>
            <w:gridSpan w:val="2"/>
          </w:tcPr>
          <w:p>
            <w:pPr>
              <w:jc w:val="right"/>
              <w:ind w:right="360"/>
              <w:spacing w:after="0"/>
              <w:rPr>
                <w:sz w:val="20"/>
                <w:szCs w:val="20"/>
                <w:color w:val="auto"/>
              </w:rPr>
            </w:pPr>
            <w:r>
              <w:rPr>
                <w:rFonts w:ascii="Arial" w:cs="Arial" w:eastAsia="Arial" w:hAnsi="Arial"/>
                <w:sz w:val="14"/>
                <w:szCs w:val="14"/>
                <w:b w:val="1"/>
                <w:bCs w:val="1"/>
                <w:color w:val="auto"/>
                <w:w w:val="99"/>
              </w:rPr>
              <w:t>Three Months Ended</w:t>
            </w:r>
          </w:p>
        </w:tc>
      </w:tr>
      <w:tr>
        <w:trPr>
          <w:trHeight w:val="227"/>
        </w:trPr>
        <w:tc>
          <w:tcPr>
            <w:tcW w:w="20" w:type="dxa"/>
            <w:vAlign w:val="bottom"/>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1700" w:type="dxa"/>
            <w:vAlign w:val="bottom"/>
            <w:tcBorders>
              <w:bottom w:val="single" w:sz="8" w:color="auto"/>
            </w:tcBorders>
          </w:tcPr>
          <w:p>
            <w:pPr>
              <w:jc w:val="right"/>
              <w:ind w:right="392"/>
              <w:spacing w:after="0"/>
              <w:rPr>
                <w:sz w:val="20"/>
                <w:szCs w:val="20"/>
                <w:color w:val="auto"/>
              </w:rPr>
            </w:pPr>
            <w:r>
              <w:rPr>
                <w:rFonts w:ascii="Arial" w:cs="Arial" w:eastAsia="Arial" w:hAnsi="Arial"/>
                <w:sz w:val="14"/>
                <w:szCs w:val="14"/>
                <w:b w:val="1"/>
                <w:bCs w:val="1"/>
                <w:color w:val="auto"/>
              </w:rPr>
              <w:t>March 31, 2018</w:t>
            </w:r>
          </w:p>
        </w:tc>
        <w:tc>
          <w:tcPr>
            <w:tcW w:w="60" w:type="dxa"/>
            <w:vAlign w:val="bottom"/>
          </w:tcPr>
          <w:p>
            <w:pPr>
              <w:spacing w:after="0"/>
              <w:rPr>
                <w:sz w:val="19"/>
                <w:szCs w:val="19"/>
                <w:color w:val="auto"/>
              </w:rPr>
            </w:pPr>
          </w:p>
        </w:tc>
      </w:tr>
      <w:tr>
        <w:trPr>
          <w:trHeight w:val="450"/>
        </w:trPr>
        <w:tc>
          <w:tcPr>
            <w:tcW w:w="200" w:type="dxa"/>
            <w:vAlign w:val="bottom"/>
            <w:gridSpan w:val="2"/>
          </w:tcPr>
          <w:p>
            <w:pPr>
              <w:jc w:val="right"/>
              <w:ind w:right="27"/>
              <w:spacing w:after="0"/>
              <w:rPr>
                <w:sz w:val="20"/>
                <w:szCs w:val="20"/>
                <w:color w:val="auto"/>
              </w:rPr>
            </w:pPr>
            <w:r>
              <w:rPr>
                <w:rFonts w:ascii="Arial" w:cs="Arial" w:eastAsia="Arial" w:hAnsi="Arial"/>
                <w:sz w:val="18"/>
                <w:szCs w:val="18"/>
                <w:color w:val="auto"/>
                <w:w w:val="79"/>
              </w:rPr>
              <w:t>$</w:t>
            </w:r>
          </w:p>
        </w:tc>
        <w:tc>
          <w:tcPr>
            <w:tcW w:w="1700" w:type="dxa"/>
            <w:vAlign w:val="bottom"/>
          </w:tcPr>
          <w:p>
            <w:pPr>
              <w:jc w:val="right"/>
              <w:spacing w:after="0"/>
              <w:rPr>
                <w:sz w:val="20"/>
                <w:szCs w:val="20"/>
                <w:color w:val="auto"/>
              </w:rPr>
            </w:pPr>
            <w:r>
              <w:rPr>
                <w:rFonts w:ascii="Arial" w:cs="Arial" w:eastAsia="Arial" w:hAnsi="Arial"/>
                <w:sz w:val="18"/>
                <w:szCs w:val="18"/>
                <w:color w:val="auto"/>
              </w:rPr>
              <w:t>1,705</w:t>
            </w:r>
          </w:p>
        </w:tc>
        <w:tc>
          <w:tcPr>
            <w:tcW w:w="60" w:type="dxa"/>
            <w:vAlign w:val="bottom"/>
          </w:tcPr>
          <w:p>
            <w:pPr>
              <w:spacing w:after="0"/>
              <w:rPr>
                <w:sz w:val="24"/>
                <w:szCs w:val="24"/>
                <w:color w:val="auto"/>
              </w:rPr>
            </w:pPr>
          </w:p>
        </w:tc>
      </w:tr>
      <w:tr>
        <w:trPr>
          <w:trHeight w:val="229"/>
        </w:trPr>
        <w:tc>
          <w:tcPr>
            <w:tcW w:w="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700" w:type="dxa"/>
            <w:vAlign w:val="bottom"/>
          </w:tcPr>
          <w:p>
            <w:pPr>
              <w:jc w:val="right"/>
              <w:spacing w:after="0"/>
              <w:rPr>
                <w:sz w:val="20"/>
                <w:szCs w:val="20"/>
                <w:color w:val="auto"/>
              </w:rPr>
            </w:pPr>
            <w:r>
              <w:rPr>
                <w:rFonts w:ascii="Arial" w:cs="Arial" w:eastAsia="Arial" w:hAnsi="Arial"/>
                <w:sz w:val="18"/>
                <w:szCs w:val="18"/>
                <w:color w:val="auto"/>
              </w:rPr>
              <w:t>3,579</w:t>
            </w:r>
          </w:p>
        </w:tc>
        <w:tc>
          <w:tcPr>
            <w:tcW w:w="60" w:type="dxa"/>
            <w:vAlign w:val="bottom"/>
          </w:tcPr>
          <w:p>
            <w:pPr>
              <w:spacing w:after="0"/>
              <w:rPr>
                <w:sz w:val="19"/>
                <w:szCs w:val="19"/>
                <w:color w:val="auto"/>
              </w:rPr>
            </w:pPr>
          </w:p>
        </w:tc>
      </w:tr>
      <w:tr>
        <w:trPr>
          <w:trHeight w:val="229"/>
        </w:trPr>
        <w:tc>
          <w:tcPr>
            <w:tcW w:w="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700" w:type="dxa"/>
            <w:vAlign w:val="bottom"/>
          </w:tcPr>
          <w:p>
            <w:pPr>
              <w:jc w:val="right"/>
              <w:spacing w:after="0"/>
              <w:rPr>
                <w:sz w:val="20"/>
                <w:szCs w:val="20"/>
                <w:color w:val="auto"/>
              </w:rPr>
            </w:pPr>
            <w:r>
              <w:rPr>
                <w:rFonts w:ascii="Arial" w:cs="Arial" w:eastAsia="Arial" w:hAnsi="Arial"/>
                <w:sz w:val="18"/>
                <w:szCs w:val="18"/>
                <w:color w:val="auto"/>
              </w:rPr>
              <w:t>2,369</w:t>
            </w:r>
          </w:p>
        </w:tc>
        <w:tc>
          <w:tcPr>
            <w:tcW w:w="60" w:type="dxa"/>
            <w:vAlign w:val="bottom"/>
          </w:tcPr>
          <w:p>
            <w:pPr>
              <w:spacing w:after="0"/>
              <w:rPr>
                <w:sz w:val="19"/>
                <w:szCs w:val="19"/>
                <w:color w:val="auto"/>
              </w:rPr>
            </w:pPr>
          </w:p>
        </w:tc>
      </w:tr>
      <w:tr>
        <w:trPr>
          <w:trHeight w:val="229"/>
        </w:trPr>
        <w:tc>
          <w:tcPr>
            <w:tcW w:w="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700" w:type="dxa"/>
            <w:vAlign w:val="bottom"/>
          </w:tcPr>
          <w:p>
            <w:pPr>
              <w:jc w:val="right"/>
              <w:spacing w:after="0"/>
              <w:rPr>
                <w:sz w:val="20"/>
                <w:szCs w:val="20"/>
                <w:color w:val="auto"/>
              </w:rPr>
            </w:pPr>
            <w:r>
              <w:rPr>
                <w:rFonts w:ascii="Arial" w:cs="Arial" w:eastAsia="Arial" w:hAnsi="Arial"/>
                <w:sz w:val="18"/>
                <w:szCs w:val="18"/>
                <w:color w:val="auto"/>
              </w:rPr>
              <w:t>308</w:t>
            </w:r>
          </w:p>
        </w:tc>
        <w:tc>
          <w:tcPr>
            <w:tcW w:w="60" w:type="dxa"/>
            <w:vAlign w:val="bottom"/>
          </w:tcPr>
          <w:p>
            <w:pPr>
              <w:spacing w:after="0"/>
              <w:rPr>
                <w:sz w:val="19"/>
                <w:szCs w:val="19"/>
                <w:color w:val="auto"/>
              </w:rPr>
            </w:pPr>
          </w:p>
        </w:tc>
      </w:tr>
      <w:tr>
        <w:trPr>
          <w:trHeight w:val="229"/>
        </w:trPr>
        <w:tc>
          <w:tcPr>
            <w:tcW w:w="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760" w:type="dxa"/>
            <w:vAlign w:val="bottom"/>
            <w:gridSpan w:val="2"/>
          </w:tcPr>
          <w:p>
            <w:pPr>
              <w:jc w:val="right"/>
              <w:spacing w:after="0"/>
              <w:rPr>
                <w:sz w:val="20"/>
                <w:szCs w:val="20"/>
                <w:color w:val="auto"/>
              </w:rPr>
            </w:pPr>
            <w:r>
              <w:rPr>
                <w:rFonts w:ascii="Arial" w:cs="Arial" w:eastAsia="Arial" w:hAnsi="Arial"/>
                <w:sz w:val="18"/>
                <w:szCs w:val="18"/>
                <w:color w:val="auto"/>
              </w:rPr>
              <w:t>(206)</w:t>
            </w:r>
          </w:p>
        </w:tc>
      </w:tr>
      <w:tr>
        <w:trPr>
          <w:trHeight w:val="222"/>
        </w:trPr>
        <w:tc>
          <w:tcPr>
            <w:tcW w:w="20" w:type="dxa"/>
            <w:vAlign w:val="bottom"/>
          </w:tcPr>
          <w:p>
            <w:pPr>
              <w:spacing w:after="0"/>
              <w:rPr>
                <w:sz w:val="19"/>
                <w:szCs w:val="19"/>
                <w:color w:val="auto"/>
              </w:rPr>
            </w:pPr>
          </w:p>
        </w:tc>
        <w:tc>
          <w:tcPr>
            <w:tcW w:w="180" w:type="dxa"/>
            <w:vAlign w:val="bottom"/>
            <w:tcBorders>
              <w:top w:val="single" w:sz="8" w:color="auto"/>
              <w:bottom w:val="single" w:sz="8" w:color="auto"/>
            </w:tcBorders>
          </w:tcPr>
          <w:p>
            <w:pPr>
              <w:spacing w:after="0"/>
              <w:rPr>
                <w:sz w:val="19"/>
                <w:szCs w:val="19"/>
                <w:color w:val="auto"/>
              </w:rPr>
            </w:pPr>
          </w:p>
        </w:tc>
        <w:tc>
          <w:tcPr>
            <w:tcW w:w="1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7,755</w:t>
            </w:r>
          </w:p>
        </w:tc>
        <w:tc>
          <w:tcPr>
            <w:tcW w:w="60" w:type="dxa"/>
            <w:vAlign w:val="bottom"/>
          </w:tcPr>
          <w:p>
            <w:pPr>
              <w:spacing w:after="0"/>
              <w:rPr>
                <w:sz w:val="19"/>
                <w:szCs w:val="19"/>
                <w:color w:val="auto"/>
              </w:rPr>
            </w:pPr>
          </w:p>
        </w:tc>
      </w:tr>
      <w:tr>
        <w:trPr>
          <w:trHeight w:val="450"/>
        </w:trPr>
        <w:tc>
          <w:tcPr>
            <w:tcW w:w="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700" w:type="dxa"/>
            <w:vAlign w:val="bottom"/>
          </w:tcPr>
          <w:p>
            <w:pPr>
              <w:jc w:val="right"/>
              <w:spacing w:after="0"/>
              <w:rPr>
                <w:sz w:val="20"/>
                <w:szCs w:val="20"/>
                <w:color w:val="auto"/>
              </w:rPr>
            </w:pPr>
            <w:r>
              <w:rPr>
                <w:rFonts w:ascii="Arial" w:cs="Arial" w:eastAsia="Arial" w:hAnsi="Arial"/>
                <w:sz w:val="18"/>
                <w:szCs w:val="18"/>
                <w:color w:val="auto"/>
              </w:rPr>
              <w:t>1,219</w:t>
            </w:r>
          </w:p>
        </w:tc>
        <w:tc>
          <w:tcPr>
            <w:tcW w:w="60" w:type="dxa"/>
            <w:vAlign w:val="bottom"/>
          </w:tcPr>
          <w:p>
            <w:pPr>
              <w:spacing w:after="0"/>
              <w:rPr>
                <w:sz w:val="24"/>
                <w:szCs w:val="24"/>
                <w:color w:val="auto"/>
              </w:rPr>
            </w:pPr>
          </w:p>
        </w:tc>
      </w:tr>
      <w:tr>
        <w:trPr>
          <w:trHeight w:val="229"/>
        </w:trPr>
        <w:tc>
          <w:tcPr>
            <w:tcW w:w="20" w:type="dxa"/>
            <w:vAlign w:val="bottom"/>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1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748</w:t>
            </w:r>
          </w:p>
        </w:tc>
        <w:tc>
          <w:tcPr>
            <w:tcW w:w="60" w:type="dxa"/>
            <w:vAlign w:val="bottom"/>
          </w:tcPr>
          <w:p>
            <w:pPr>
              <w:spacing w:after="0"/>
              <w:rPr>
                <w:sz w:val="19"/>
                <w:szCs w:val="19"/>
                <w:color w:val="auto"/>
              </w:rPr>
            </w:pPr>
          </w:p>
        </w:tc>
      </w:tr>
      <w:tr>
        <w:trPr>
          <w:trHeight w:val="222"/>
        </w:trPr>
        <w:tc>
          <w:tcPr>
            <w:tcW w:w="20" w:type="dxa"/>
            <w:vAlign w:val="bottom"/>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1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1,967</w:t>
            </w:r>
          </w:p>
        </w:tc>
        <w:tc>
          <w:tcPr>
            <w:tcW w:w="60" w:type="dxa"/>
            <w:vAlign w:val="bottom"/>
          </w:tcPr>
          <w:p>
            <w:pPr>
              <w:spacing w:after="0"/>
              <w:rPr>
                <w:sz w:val="19"/>
                <w:szCs w:val="19"/>
                <w:color w:val="auto"/>
              </w:rPr>
            </w:pPr>
          </w:p>
        </w:tc>
      </w:tr>
      <w:tr>
        <w:trPr>
          <w:trHeight w:val="222"/>
        </w:trPr>
        <w:tc>
          <w:tcPr>
            <w:tcW w:w="20" w:type="dxa"/>
            <w:vAlign w:val="bottom"/>
            <w:tcBorders>
              <w:bottom w:val="single" w:sz="8" w:color="auto"/>
            </w:tcBorders>
          </w:tcPr>
          <w:p>
            <w:pPr>
              <w:spacing w:after="0"/>
              <w:rPr>
                <w:sz w:val="19"/>
                <w:szCs w:val="19"/>
                <w:color w:val="auto"/>
              </w:rPr>
            </w:pPr>
          </w:p>
        </w:tc>
        <w:tc>
          <w:tcPr>
            <w:tcW w:w="180" w:type="dxa"/>
            <w:vAlign w:val="bottom"/>
            <w:tcBorders>
              <w:bottom w:val="single" w:sz="8" w:color="auto"/>
            </w:tcBorders>
          </w:tcPr>
          <w:p>
            <w:pPr>
              <w:jc w:val="right"/>
              <w:ind w:right="27"/>
              <w:spacing w:after="0"/>
              <w:rPr>
                <w:sz w:val="20"/>
                <w:szCs w:val="20"/>
                <w:color w:val="auto"/>
              </w:rPr>
            </w:pPr>
            <w:r>
              <w:rPr>
                <w:rFonts w:ascii="Arial" w:cs="Arial" w:eastAsia="Arial" w:hAnsi="Arial"/>
                <w:sz w:val="15"/>
                <w:szCs w:val="15"/>
                <w:color w:val="auto"/>
                <w:w w:val="71"/>
              </w:rPr>
              <w:t>$</w:t>
            </w:r>
          </w:p>
        </w:tc>
        <w:tc>
          <w:tcPr>
            <w:tcW w:w="1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9,722</w:t>
            </w:r>
          </w:p>
        </w:tc>
        <w:tc>
          <w:tcPr>
            <w:tcW w:w="60" w:type="dxa"/>
            <w:vAlign w:val="bottom"/>
          </w:tcPr>
          <w:p>
            <w:pPr>
              <w:spacing w:after="0"/>
              <w:rPr>
                <w:sz w:val="19"/>
                <w:szCs w:val="19"/>
                <w:color w:val="auto"/>
              </w:rPr>
            </w:pPr>
          </w:p>
        </w:tc>
      </w:tr>
      <w:tr>
        <w:trPr>
          <w:trHeight w:val="20"/>
        </w:trPr>
        <w:tc>
          <w:tcPr>
            <w:tcW w:w="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70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r>
        <w:trPr>
          <w:trHeight w:val="665"/>
        </w:trPr>
        <w:tc>
          <w:tcPr>
            <w:tcW w:w="200" w:type="dxa"/>
            <w:vAlign w:val="bottom"/>
            <w:gridSpan w:val="2"/>
          </w:tcPr>
          <w:p>
            <w:pPr>
              <w:jc w:val="right"/>
              <w:ind w:right="27"/>
              <w:spacing w:after="0"/>
              <w:rPr>
                <w:sz w:val="20"/>
                <w:szCs w:val="20"/>
                <w:color w:val="auto"/>
              </w:rPr>
            </w:pPr>
            <w:r>
              <w:rPr>
                <w:rFonts w:ascii="Arial" w:cs="Arial" w:eastAsia="Arial" w:hAnsi="Arial"/>
                <w:sz w:val="18"/>
                <w:szCs w:val="18"/>
                <w:color w:val="auto"/>
                <w:w w:val="79"/>
              </w:rPr>
              <w:t>$</w:t>
            </w:r>
          </w:p>
        </w:tc>
        <w:tc>
          <w:tcPr>
            <w:tcW w:w="1700" w:type="dxa"/>
            <w:vAlign w:val="bottom"/>
          </w:tcPr>
          <w:p>
            <w:pPr>
              <w:jc w:val="right"/>
              <w:spacing w:after="0"/>
              <w:rPr>
                <w:sz w:val="20"/>
                <w:szCs w:val="20"/>
                <w:color w:val="auto"/>
              </w:rPr>
            </w:pPr>
            <w:r>
              <w:rPr>
                <w:rFonts w:ascii="Arial" w:cs="Arial" w:eastAsia="Arial" w:hAnsi="Arial"/>
                <w:sz w:val="18"/>
                <w:szCs w:val="18"/>
                <w:color w:val="auto"/>
              </w:rPr>
              <w:t>7,755</w:t>
            </w:r>
          </w:p>
        </w:tc>
        <w:tc>
          <w:tcPr>
            <w:tcW w:w="60" w:type="dxa"/>
            <w:vAlign w:val="bottom"/>
          </w:tcPr>
          <w:p>
            <w:pPr>
              <w:spacing w:after="0"/>
              <w:rPr>
                <w:sz w:val="24"/>
                <w:szCs w:val="24"/>
                <w:color w:val="auto"/>
              </w:rPr>
            </w:pPr>
          </w:p>
        </w:tc>
      </w:tr>
      <w:tr>
        <w:trPr>
          <w:trHeight w:val="229"/>
        </w:trPr>
        <w:tc>
          <w:tcPr>
            <w:tcW w:w="20" w:type="dxa"/>
            <w:vAlign w:val="bottom"/>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1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1,967</w:t>
            </w:r>
          </w:p>
        </w:tc>
        <w:tc>
          <w:tcPr>
            <w:tcW w:w="60" w:type="dxa"/>
            <w:vAlign w:val="bottom"/>
          </w:tcPr>
          <w:p>
            <w:pPr>
              <w:spacing w:after="0"/>
              <w:rPr>
                <w:sz w:val="19"/>
                <w:szCs w:val="19"/>
                <w:color w:val="auto"/>
              </w:rPr>
            </w:pPr>
          </w:p>
        </w:tc>
      </w:tr>
      <w:tr>
        <w:trPr>
          <w:trHeight w:val="222"/>
        </w:trPr>
        <w:tc>
          <w:tcPr>
            <w:tcW w:w="20" w:type="dxa"/>
            <w:vAlign w:val="bottom"/>
            <w:tcBorders>
              <w:bottom w:val="single" w:sz="8" w:color="auto"/>
            </w:tcBorders>
          </w:tcPr>
          <w:p>
            <w:pPr>
              <w:spacing w:after="0"/>
              <w:rPr>
                <w:sz w:val="19"/>
                <w:szCs w:val="19"/>
                <w:color w:val="auto"/>
              </w:rPr>
            </w:pPr>
          </w:p>
        </w:tc>
        <w:tc>
          <w:tcPr>
            <w:tcW w:w="180" w:type="dxa"/>
            <w:vAlign w:val="bottom"/>
            <w:tcBorders>
              <w:bottom w:val="single" w:sz="8" w:color="auto"/>
            </w:tcBorders>
          </w:tcPr>
          <w:p>
            <w:pPr>
              <w:jc w:val="right"/>
              <w:ind w:right="27"/>
              <w:spacing w:after="0"/>
              <w:rPr>
                <w:sz w:val="20"/>
                <w:szCs w:val="20"/>
                <w:color w:val="auto"/>
              </w:rPr>
            </w:pPr>
            <w:r>
              <w:rPr>
                <w:rFonts w:ascii="Arial" w:cs="Arial" w:eastAsia="Arial" w:hAnsi="Arial"/>
                <w:sz w:val="15"/>
                <w:szCs w:val="15"/>
                <w:color w:val="auto"/>
                <w:w w:val="71"/>
              </w:rPr>
              <w:t>$</w:t>
            </w:r>
          </w:p>
        </w:tc>
        <w:tc>
          <w:tcPr>
            <w:tcW w:w="1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9,722</w:t>
            </w:r>
          </w:p>
        </w:tc>
        <w:tc>
          <w:tcPr>
            <w:tcW w:w="60" w:type="dxa"/>
            <w:vAlign w:val="bottom"/>
          </w:tcPr>
          <w:p>
            <w:pPr>
              <w:spacing w:after="0"/>
              <w:rPr>
                <w:sz w:val="19"/>
                <w:szCs w:val="19"/>
                <w:color w:val="auto"/>
              </w:rPr>
            </w:pPr>
          </w:p>
        </w:tc>
      </w:tr>
      <w:tr>
        <w:trPr>
          <w:trHeight w:val="20"/>
        </w:trPr>
        <w:tc>
          <w:tcPr>
            <w:tcW w:w="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70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r>
        <w:trPr>
          <w:trHeight w:val="665"/>
        </w:trPr>
        <w:tc>
          <w:tcPr>
            <w:tcW w:w="200" w:type="dxa"/>
            <w:vAlign w:val="bottom"/>
            <w:gridSpan w:val="2"/>
          </w:tcPr>
          <w:p>
            <w:pPr>
              <w:jc w:val="right"/>
              <w:ind w:right="27"/>
              <w:spacing w:after="0"/>
              <w:rPr>
                <w:sz w:val="20"/>
                <w:szCs w:val="20"/>
                <w:color w:val="auto"/>
              </w:rPr>
            </w:pPr>
            <w:r>
              <w:rPr>
                <w:rFonts w:ascii="Arial" w:cs="Arial" w:eastAsia="Arial" w:hAnsi="Arial"/>
                <w:sz w:val="18"/>
                <w:szCs w:val="18"/>
                <w:color w:val="auto"/>
                <w:w w:val="79"/>
              </w:rPr>
              <w:t>$</w:t>
            </w:r>
          </w:p>
        </w:tc>
        <w:tc>
          <w:tcPr>
            <w:tcW w:w="1700" w:type="dxa"/>
            <w:vAlign w:val="bottom"/>
          </w:tcPr>
          <w:p>
            <w:pPr>
              <w:jc w:val="right"/>
              <w:spacing w:after="0"/>
              <w:rPr>
                <w:sz w:val="20"/>
                <w:szCs w:val="20"/>
                <w:color w:val="auto"/>
              </w:rPr>
            </w:pPr>
            <w:r>
              <w:rPr>
                <w:rFonts w:ascii="Arial" w:cs="Arial" w:eastAsia="Arial" w:hAnsi="Arial"/>
                <w:sz w:val="18"/>
                <w:szCs w:val="18"/>
                <w:color w:val="auto"/>
              </w:rPr>
              <w:t>7,089</w:t>
            </w:r>
          </w:p>
        </w:tc>
        <w:tc>
          <w:tcPr>
            <w:tcW w:w="60" w:type="dxa"/>
            <w:vAlign w:val="bottom"/>
          </w:tcPr>
          <w:p>
            <w:pPr>
              <w:spacing w:after="0"/>
              <w:rPr>
                <w:sz w:val="24"/>
                <w:szCs w:val="24"/>
                <w:color w:val="auto"/>
              </w:rPr>
            </w:pPr>
          </w:p>
        </w:tc>
      </w:tr>
      <w:tr>
        <w:trPr>
          <w:trHeight w:val="229"/>
        </w:trPr>
        <w:tc>
          <w:tcPr>
            <w:tcW w:w="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700" w:type="dxa"/>
            <w:vAlign w:val="bottom"/>
          </w:tcPr>
          <w:p>
            <w:pPr>
              <w:jc w:val="right"/>
              <w:spacing w:after="0"/>
              <w:rPr>
                <w:sz w:val="20"/>
                <w:szCs w:val="20"/>
                <w:color w:val="auto"/>
              </w:rPr>
            </w:pPr>
            <w:r>
              <w:rPr>
                <w:rFonts w:ascii="Arial" w:cs="Arial" w:eastAsia="Arial" w:hAnsi="Arial"/>
                <w:sz w:val="18"/>
                <w:szCs w:val="18"/>
                <w:color w:val="auto"/>
              </w:rPr>
              <w:t>213</w:t>
            </w:r>
          </w:p>
        </w:tc>
        <w:tc>
          <w:tcPr>
            <w:tcW w:w="60" w:type="dxa"/>
            <w:vAlign w:val="bottom"/>
          </w:tcPr>
          <w:p>
            <w:pPr>
              <w:spacing w:after="0"/>
              <w:rPr>
                <w:sz w:val="19"/>
                <w:szCs w:val="19"/>
                <w:color w:val="auto"/>
              </w:rPr>
            </w:pPr>
          </w:p>
        </w:tc>
      </w:tr>
      <w:tr>
        <w:trPr>
          <w:trHeight w:val="229"/>
        </w:trPr>
        <w:tc>
          <w:tcPr>
            <w:tcW w:w="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700" w:type="dxa"/>
            <w:vAlign w:val="bottom"/>
          </w:tcPr>
          <w:p>
            <w:pPr>
              <w:jc w:val="right"/>
              <w:spacing w:after="0"/>
              <w:rPr>
                <w:sz w:val="20"/>
                <w:szCs w:val="20"/>
                <w:color w:val="auto"/>
              </w:rPr>
            </w:pPr>
            <w:r>
              <w:rPr>
                <w:rFonts w:ascii="Arial" w:cs="Arial" w:eastAsia="Arial" w:hAnsi="Arial"/>
                <w:sz w:val="18"/>
                <w:szCs w:val="18"/>
                <w:color w:val="auto"/>
              </w:rPr>
              <w:t>626</w:t>
            </w:r>
          </w:p>
        </w:tc>
        <w:tc>
          <w:tcPr>
            <w:tcW w:w="60" w:type="dxa"/>
            <w:vAlign w:val="bottom"/>
          </w:tcPr>
          <w:p>
            <w:pPr>
              <w:spacing w:after="0"/>
              <w:rPr>
                <w:sz w:val="19"/>
                <w:szCs w:val="19"/>
                <w:color w:val="auto"/>
              </w:rPr>
            </w:pPr>
          </w:p>
        </w:tc>
      </w:tr>
      <w:tr>
        <w:trPr>
          <w:trHeight w:val="229"/>
        </w:trPr>
        <w:tc>
          <w:tcPr>
            <w:tcW w:w="20" w:type="dxa"/>
            <w:vAlign w:val="bottom"/>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1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1,794</w:t>
            </w:r>
          </w:p>
        </w:tc>
        <w:tc>
          <w:tcPr>
            <w:tcW w:w="60" w:type="dxa"/>
            <w:vAlign w:val="bottom"/>
          </w:tcPr>
          <w:p>
            <w:pPr>
              <w:spacing w:after="0"/>
              <w:rPr>
                <w:sz w:val="19"/>
                <w:szCs w:val="19"/>
                <w:color w:val="auto"/>
              </w:rPr>
            </w:pPr>
          </w:p>
        </w:tc>
      </w:tr>
      <w:tr>
        <w:trPr>
          <w:trHeight w:val="222"/>
        </w:trPr>
        <w:tc>
          <w:tcPr>
            <w:tcW w:w="20" w:type="dxa"/>
            <w:vAlign w:val="bottom"/>
            <w:tcBorders>
              <w:bottom w:val="single" w:sz="8" w:color="auto"/>
            </w:tcBorders>
          </w:tcPr>
          <w:p>
            <w:pPr>
              <w:spacing w:after="0"/>
              <w:rPr>
                <w:sz w:val="19"/>
                <w:szCs w:val="19"/>
                <w:color w:val="auto"/>
              </w:rPr>
            </w:pPr>
          </w:p>
        </w:tc>
        <w:tc>
          <w:tcPr>
            <w:tcW w:w="180" w:type="dxa"/>
            <w:vAlign w:val="bottom"/>
            <w:tcBorders>
              <w:bottom w:val="single" w:sz="8" w:color="auto"/>
            </w:tcBorders>
          </w:tcPr>
          <w:p>
            <w:pPr>
              <w:jc w:val="right"/>
              <w:ind w:right="27"/>
              <w:spacing w:after="0"/>
              <w:rPr>
                <w:sz w:val="20"/>
                <w:szCs w:val="20"/>
                <w:color w:val="auto"/>
              </w:rPr>
            </w:pPr>
            <w:r>
              <w:rPr>
                <w:rFonts w:ascii="Arial" w:cs="Arial" w:eastAsia="Arial" w:hAnsi="Arial"/>
                <w:sz w:val="15"/>
                <w:szCs w:val="15"/>
                <w:color w:val="auto"/>
                <w:w w:val="71"/>
              </w:rPr>
              <w:t>$</w:t>
            </w:r>
          </w:p>
        </w:tc>
        <w:tc>
          <w:tcPr>
            <w:tcW w:w="1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9,722</w:t>
            </w:r>
          </w:p>
        </w:tc>
        <w:tc>
          <w:tcPr>
            <w:tcW w:w="60" w:type="dxa"/>
            <w:vAlign w:val="bottom"/>
          </w:tcPr>
          <w:p>
            <w:pPr>
              <w:spacing w:after="0"/>
              <w:rPr>
                <w:sz w:val="19"/>
                <w:szCs w:val="19"/>
                <w:color w:val="auto"/>
              </w:rPr>
            </w:pPr>
          </w:p>
        </w:tc>
      </w:tr>
      <w:tr>
        <w:trPr>
          <w:trHeight w:val="20"/>
        </w:trPr>
        <w:tc>
          <w:tcPr>
            <w:tcW w:w="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70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bl>
    <w:p>
      <w:pPr>
        <w:sectPr>
          <w:pgSz w:w="11900" w:h="16838" w:orient="portrait"/>
          <w:cols w:equalWidth="0" w:num="2">
            <w:col w:w="8680" w:space="720"/>
            <w:col w:w="1960"/>
          </w:cols>
          <w:pgMar w:left="240" w:top="484" w:right="299" w:bottom="1440" w:gutter="0" w:footer="0" w:header="0"/>
        </w:sectPr>
      </w:pPr>
    </w:p>
    <w:bookmarkStart w:id="15" w:name="page16"/>
    <w:bookmarkEnd w:id="15"/>
    <w:p>
      <w:pPr>
        <w:spacing w:after="0"/>
        <w:rPr>
          <w:sz w:val="20"/>
          <w:szCs w:val="20"/>
          <w:color w:val="auto"/>
        </w:rPr>
      </w:pPr>
      <w:r>
        <w:rPr>
          <w:rFonts w:ascii="Arial" w:cs="Arial" w:eastAsia="Arial" w:hAnsi="Arial"/>
          <w:sz w:val="18"/>
          <w:szCs w:val="18"/>
          <w:b w:val="1"/>
          <w:bCs w:val="1"/>
          <w:color w:val="auto"/>
        </w:rPr>
        <w:t>Balance Sheet Reclassifications</w:t>
      </w:r>
    </w:p>
    <w:p>
      <w:pPr>
        <w:spacing w:after="0" w:line="120" w:lineRule="exact"/>
        <w:rPr>
          <w:sz w:val="20"/>
          <w:szCs w:val="20"/>
          <w:color w:val="auto"/>
        </w:rPr>
      </w:pPr>
    </w:p>
    <w:p>
      <w:pPr>
        <w:spacing w:after="0"/>
        <w:rPr>
          <w:sz w:val="20"/>
          <w:szCs w:val="20"/>
          <w:color w:val="auto"/>
        </w:rPr>
      </w:pPr>
      <w:r>
        <w:rPr>
          <w:rFonts w:ascii="Arial" w:cs="Arial" w:eastAsia="Arial" w:hAnsi="Arial"/>
          <w:sz w:val="17"/>
          <w:szCs w:val="17"/>
          <w:color w:val="auto"/>
        </w:rPr>
        <w:t>In connection with the adoption of Topic 606, we made the following reclassifications to separately present contract costs and contract liabilities on the</w:t>
      </w:r>
    </w:p>
    <w:p>
      <w:pPr>
        <w:spacing w:after="0" w:line="34" w:lineRule="exact"/>
        <w:rPr>
          <w:sz w:val="20"/>
          <w:szCs w:val="20"/>
          <w:color w:val="auto"/>
        </w:rPr>
      </w:pPr>
    </w:p>
    <w:p>
      <w:pPr>
        <w:spacing w:after="0"/>
        <w:rPr>
          <w:sz w:val="20"/>
          <w:szCs w:val="20"/>
          <w:color w:val="auto"/>
        </w:rPr>
      </w:pPr>
      <w:r>
        <w:rPr>
          <w:rFonts w:ascii="Arial" w:cs="Arial" w:eastAsia="Arial" w:hAnsi="Arial"/>
          <w:sz w:val="18"/>
          <w:szCs w:val="18"/>
          <w:color w:val="auto"/>
        </w:rPr>
        <w:t>Condensed Consolidated Balance Sheet as of December 31, 2017:</w:t>
      </w:r>
    </w:p>
    <w:p>
      <w:pPr>
        <w:spacing w:after="0" w:line="294"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542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1160" w:type="dxa"/>
            <w:vAlign w:val="bottom"/>
            <w:tcBorders>
              <w:bottom w:val="single" w:sz="8" w:color="auto"/>
            </w:tcBorders>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1600" w:type="dxa"/>
            <w:vAlign w:val="bottom"/>
            <w:tcBorders>
              <w:bottom w:val="single" w:sz="8" w:color="auto"/>
            </w:tcBorders>
            <w:gridSpan w:val="2"/>
          </w:tcPr>
          <w:p>
            <w:pPr>
              <w:jc w:val="right"/>
              <w:ind w:right="360"/>
              <w:spacing w:after="0"/>
              <w:rPr>
                <w:sz w:val="20"/>
                <w:szCs w:val="20"/>
                <w:color w:val="auto"/>
              </w:rPr>
            </w:pPr>
            <w:r>
              <w:rPr>
                <w:rFonts w:ascii="Arial" w:cs="Arial" w:eastAsia="Arial" w:hAnsi="Arial"/>
                <w:sz w:val="14"/>
                <w:szCs w:val="14"/>
                <w:b w:val="1"/>
                <w:bCs w:val="1"/>
                <w:color w:val="auto"/>
                <w:w w:val="96"/>
              </w:rPr>
              <w:t>December 31, 2017</w:t>
            </w:r>
          </w:p>
        </w:tc>
        <w:tc>
          <w:tcPr>
            <w:tcW w:w="180" w:type="dxa"/>
            <w:vAlign w:val="bottom"/>
            <w:tcBorders>
              <w:bottom w:val="single" w:sz="8" w:color="auto"/>
            </w:tcBorders>
          </w:tcPr>
          <w:p>
            <w:pPr>
              <w:spacing w:after="0"/>
              <w:rPr>
                <w:sz w:val="14"/>
                <w:szCs w:val="14"/>
                <w:color w:val="auto"/>
              </w:rPr>
            </w:pPr>
          </w:p>
        </w:tc>
        <w:tc>
          <w:tcPr>
            <w:tcW w:w="1160" w:type="dxa"/>
            <w:vAlign w:val="bottom"/>
            <w:tcBorders>
              <w:bottom w:val="single" w:sz="8" w:color="auto"/>
            </w:tcBorders>
          </w:tcPr>
          <w:p>
            <w:pPr>
              <w:spacing w:after="0"/>
              <w:rPr>
                <w:sz w:val="14"/>
                <w:szCs w:val="14"/>
                <w:color w:val="auto"/>
              </w:rPr>
            </w:pP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2"/>
        </w:trPr>
        <w:tc>
          <w:tcPr>
            <w:tcW w:w="5420" w:type="dxa"/>
            <w:vAlign w:val="bottom"/>
            <w:vMerge w:val="restart"/>
          </w:tcPr>
          <w:p>
            <w:pPr>
              <w:spacing w:after="0"/>
              <w:rPr>
                <w:sz w:val="20"/>
                <w:szCs w:val="20"/>
                <w:color w:val="auto"/>
              </w:rPr>
            </w:pPr>
            <w:r>
              <w:rPr>
                <w:rFonts w:ascii="Arial" w:cs="Arial" w:eastAsia="Arial" w:hAnsi="Arial"/>
                <w:sz w:val="18"/>
                <w:szCs w:val="18"/>
                <w:i w:val="1"/>
                <w:iCs w:val="1"/>
                <w:color w:val="auto"/>
              </w:rPr>
              <w:t>(in thousands)</w:t>
            </w:r>
          </w:p>
        </w:tc>
        <w:tc>
          <w:tcPr>
            <w:tcW w:w="13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160" w:type="dxa"/>
            <w:vAlign w:val="bottom"/>
          </w:tcPr>
          <w:p>
            <w:pPr>
              <w:jc w:val="right"/>
              <w:ind w:right="172"/>
              <w:spacing w:after="0" w:line="132" w:lineRule="exact"/>
              <w:rPr>
                <w:sz w:val="20"/>
                <w:szCs w:val="20"/>
                <w:color w:val="auto"/>
              </w:rPr>
            </w:pPr>
            <w:r>
              <w:rPr>
                <w:rFonts w:ascii="Arial" w:cs="Arial" w:eastAsia="Arial" w:hAnsi="Arial"/>
                <w:sz w:val="14"/>
                <w:szCs w:val="14"/>
                <w:b w:val="1"/>
                <w:bCs w:val="1"/>
                <w:color w:val="auto"/>
                <w:w w:val="94"/>
              </w:rPr>
              <w:t>As Previously</w:t>
            </w:r>
          </w:p>
        </w:tc>
        <w:tc>
          <w:tcPr>
            <w:tcW w:w="260" w:type="dxa"/>
            <w:vAlign w:val="bottom"/>
          </w:tcPr>
          <w:p>
            <w:pPr>
              <w:spacing w:after="0"/>
              <w:rPr>
                <w:sz w:val="11"/>
                <w:szCs w:val="11"/>
                <w:color w:val="auto"/>
              </w:rPr>
            </w:pPr>
          </w:p>
        </w:tc>
        <w:tc>
          <w:tcPr>
            <w:tcW w:w="1600" w:type="dxa"/>
            <w:vAlign w:val="bottom"/>
            <w:gridSpan w:val="2"/>
            <w:vMerge w:val="restart"/>
          </w:tcPr>
          <w:p>
            <w:pPr>
              <w:jc w:val="right"/>
              <w:ind w:right="440"/>
              <w:spacing w:after="0"/>
              <w:rPr>
                <w:sz w:val="20"/>
                <w:szCs w:val="20"/>
                <w:color w:val="auto"/>
              </w:rPr>
            </w:pPr>
            <w:r>
              <w:rPr>
                <w:rFonts w:ascii="Arial" w:cs="Arial" w:eastAsia="Arial" w:hAnsi="Arial"/>
                <w:sz w:val="14"/>
                <w:szCs w:val="14"/>
                <w:b w:val="1"/>
                <w:bCs w:val="1"/>
                <w:color w:val="auto"/>
                <w:w w:val="99"/>
              </w:rPr>
              <w:t>Reclassifications</w:t>
            </w:r>
          </w:p>
        </w:tc>
        <w:tc>
          <w:tcPr>
            <w:tcW w:w="180" w:type="dxa"/>
            <w:vAlign w:val="bottom"/>
          </w:tcPr>
          <w:p>
            <w:pPr>
              <w:spacing w:after="0"/>
              <w:rPr>
                <w:sz w:val="11"/>
                <w:szCs w:val="11"/>
                <w:color w:val="auto"/>
              </w:rPr>
            </w:pPr>
          </w:p>
        </w:tc>
        <w:tc>
          <w:tcPr>
            <w:tcW w:w="1280" w:type="dxa"/>
            <w:vAlign w:val="bottom"/>
            <w:gridSpan w:val="2"/>
            <w:vMerge w:val="restart"/>
          </w:tcPr>
          <w:p>
            <w:pPr>
              <w:ind w:left="100"/>
              <w:spacing w:after="0"/>
              <w:rPr>
                <w:sz w:val="20"/>
                <w:szCs w:val="20"/>
                <w:color w:val="auto"/>
              </w:rPr>
            </w:pPr>
            <w:r>
              <w:rPr>
                <w:rFonts w:ascii="Arial" w:cs="Arial" w:eastAsia="Arial" w:hAnsi="Arial"/>
                <w:sz w:val="14"/>
                <w:szCs w:val="14"/>
                <w:b w:val="1"/>
                <w:bCs w:val="1"/>
                <w:color w:val="auto"/>
              </w:rPr>
              <w:t>As Adjusted</w:t>
            </w:r>
          </w:p>
        </w:tc>
        <w:tc>
          <w:tcPr>
            <w:tcW w:w="0" w:type="dxa"/>
            <w:vAlign w:val="bottom"/>
          </w:tcPr>
          <w:p>
            <w:pPr>
              <w:spacing w:after="0"/>
              <w:rPr>
                <w:sz w:val="1"/>
                <w:szCs w:val="1"/>
                <w:color w:val="auto"/>
              </w:rPr>
            </w:pPr>
          </w:p>
        </w:tc>
      </w:tr>
      <w:tr>
        <w:trPr>
          <w:trHeight w:val="171"/>
        </w:trPr>
        <w:tc>
          <w:tcPr>
            <w:tcW w:w="5420" w:type="dxa"/>
            <w:vAlign w:val="bottom"/>
            <w:vMerge w:val="continue"/>
          </w:tcPr>
          <w:p>
            <w:pPr>
              <w:spacing w:after="0"/>
              <w:rPr>
                <w:sz w:val="14"/>
                <w:szCs w:val="14"/>
                <w:color w:val="auto"/>
              </w:rPr>
            </w:pPr>
          </w:p>
        </w:tc>
        <w:tc>
          <w:tcPr>
            <w:tcW w:w="13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160" w:type="dxa"/>
            <w:vAlign w:val="bottom"/>
          </w:tcPr>
          <w:p>
            <w:pPr>
              <w:jc w:val="right"/>
              <w:ind w:right="292"/>
              <w:spacing w:after="0"/>
              <w:rPr>
                <w:sz w:val="20"/>
                <w:szCs w:val="20"/>
                <w:color w:val="auto"/>
              </w:rPr>
            </w:pPr>
            <w:r>
              <w:rPr>
                <w:rFonts w:ascii="Arial" w:cs="Arial" w:eastAsia="Arial" w:hAnsi="Arial"/>
                <w:sz w:val="14"/>
                <w:szCs w:val="14"/>
                <w:b w:val="1"/>
                <w:bCs w:val="1"/>
                <w:color w:val="auto"/>
              </w:rPr>
              <w:t>Reported</w:t>
            </w:r>
          </w:p>
        </w:tc>
        <w:tc>
          <w:tcPr>
            <w:tcW w:w="260" w:type="dxa"/>
            <w:vAlign w:val="bottom"/>
          </w:tcPr>
          <w:p>
            <w:pPr>
              <w:spacing w:after="0"/>
              <w:rPr>
                <w:sz w:val="14"/>
                <w:szCs w:val="14"/>
                <w:color w:val="auto"/>
              </w:rPr>
            </w:pPr>
          </w:p>
        </w:tc>
        <w:tc>
          <w:tcPr>
            <w:tcW w:w="1600" w:type="dxa"/>
            <w:vAlign w:val="bottom"/>
            <w:gridSpan w:val="2"/>
            <w:vMerge w:val="continue"/>
          </w:tcPr>
          <w:p>
            <w:pPr>
              <w:spacing w:after="0"/>
              <w:rPr>
                <w:sz w:val="14"/>
                <w:szCs w:val="14"/>
                <w:color w:val="auto"/>
              </w:rPr>
            </w:pPr>
          </w:p>
        </w:tc>
        <w:tc>
          <w:tcPr>
            <w:tcW w:w="180" w:type="dxa"/>
            <w:vAlign w:val="bottom"/>
          </w:tcPr>
          <w:p>
            <w:pPr>
              <w:spacing w:after="0"/>
              <w:rPr>
                <w:sz w:val="14"/>
                <w:szCs w:val="14"/>
                <w:color w:val="auto"/>
              </w:rPr>
            </w:pPr>
          </w:p>
        </w:tc>
        <w:tc>
          <w:tcPr>
            <w:tcW w:w="1280" w:type="dxa"/>
            <w:vAlign w:val="bottom"/>
            <w:gridSpan w:val="2"/>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22"/>
        </w:trPr>
        <w:tc>
          <w:tcPr>
            <w:tcW w:w="542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8"/>
                <w:szCs w:val="18"/>
                <w:color w:val="auto"/>
              </w:rPr>
              <w:t>Cash and cash equivalents</w:t>
            </w:r>
          </w:p>
        </w:tc>
        <w:tc>
          <w:tcPr>
            <w:tcW w:w="1340" w:type="dxa"/>
            <w:vAlign w:val="bottom"/>
            <w:tcBorders>
              <w:top w:val="single" w:sz="8" w:color="CFF0FC"/>
            </w:tcBorders>
            <w:shd w:val="clear" w:color="auto" w:fill="CFF0FC"/>
          </w:tcPr>
          <w:p>
            <w:pPr>
              <w:spacing w:after="0"/>
              <w:rPr>
                <w:sz w:val="19"/>
                <w:szCs w:val="19"/>
                <w:color w:val="auto"/>
              </w:rPr>
            </w:pPr>
          </w:p>
        </w:tc>
        <w:tc>
          <w:tcPr>
            <w:tcW w:w="18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116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53,723</w:t>
            </w:r>
          </w:p>
        </w:tc>
        <w:tc>
          <w:tcPr>
            <w:tcW w:w="260" w:type="dxa"/>
            <w:vAlign w:val="bottom"/>
            <w:tcBorders>
              <w:top w:val="single" w:sz="8" w:color="CFF0FC"/>
            </w:tcBorders>
            <w:shd w:val="clear" w:color="auto" w:fill="CFF0FC"/>
          </w:tcPr>
          <w:p>
            <w:pPr>
              <w:spacing w:after="0"/>
              <w:rPr>
                <w:sz w:val="19"/>
                <w:szCs w:val="19"/>
                <w:color w:val="auto"/>
              </w:rPr>
            </w:pPr>
          </w:p>
        </w:tc>
        <w:tc>
          <w:tcPr>
            <w:tcW w:w="134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260" w:type="dxa"/>
            <w:vAlign w:val="bottom"/>
            <w:tcBorders>
              <w:top w:val="single" w:sz="8" w:color="CFF0FC"/>
            </w:tcBorders>
            <w:shd w:val="clear" w:color="auto" w:fill="CFF0FC"/>
          </w:tcPr>
          <w:p>
            <w:pPr>
              <w:spacing w:after="0"/>
              <w:rPr>
                <w:sz w:val="19"/>
                <w:szCs w:val="19"/>
                <w:color w:val="auto"/>
              </w:rPr>
            </w:pPr>
          </w:p>
        </w:tc>
        <w:tc>
          <w:tcPr>
            <w:tcW w:w="180" w:type="dxa"/>
            <w:vAlign w:val="bottom"/>
            <w:tcBorders>
              <w:top w:val="single" w:sz="8" w:color="auto"/>
            </w:tcBorders>
            <w:shd w:val="clear" w:color="auto" w:fill="CFF0FC"/>
          </w:tcPr>
          <w:p>
            <w:pPr>
              <w:jc w:val="right"/>
              <w:ind w:right="27"/>
              <w:spacing w:after="0"/>
              <w:rPr>
                <w:sz w:val="20"/>
                <w:szCs w:val="20"/>
                <w:color w:val="auto"/>
              </w:rPr>
            </w:pPr>
            <w:r>
              <w:rPr>
                <w:rFonts w:ascii="Arial" w:cs="Arial" w:eastAsia="Arial" w:hAnsi="Arial"/>
                <w:sz w:val="15"/>
                <w:szCs w:val="15"/>
                <w:color w:val="auto"/>
                <w:w w:val="71"/>
              </w:rPr>
              <w:t>$</w:t>
            </w:r>
          </w:p>
        </w:tc>
        <w:tc>
          <w:tcPr>
            <w:tcW w:w="116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53,723</w:t>
            </w:r>
          </w:p>
        </w:tc>
        <w:tc>
          <w:tcPr>
            <w:tcW w:w="120" w:type="dxa"/>
            <w:vAlign w:val="bottom"/>
            <w:tcBorders>
              <w:top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5420" w:type="dxa"/>
            <w:vAlign w:val="bottom"/>
          </w:tcPr>
          <w:p>
            <w:pPr>
              <w:spacing w:after="0"/>
              <w:rPr>
                <w:sz w:val="20"/>
                <w:szCs w:val="20"/>
                <w:color w:val="auto"/>
              </w:rPr>
            </w:pPr>
            <w:r>
              <w:rPr>
                <w:rFonts w:ascii="Arial" w:cs="Arial" w:eastAsia="Arial" w:hAnsi="Arial"/>
                <w:sz w:val="18"/>
                <w:szCs w:val="18"/>
                <w:color w:val="auto"/>
              </w:rPr>
              <w:t>Accounts receivable, net</w:t>
            </w:r>
          </w:p>
        </w:tc>
        <w:tc>
          <w:tcPr>
            <w:tcW w:w="13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104,811</w:t>
            </w:r>
          </w:p>
        </w:tc>
        <w:tc>
          <w:tcPr>
            <w:tcW w:w="260" w:type="dxa"/>
            <w:vAlign w:val="bottom"/>
          </w:tcPr>
          <w:p>
            <w:pPr>
              <w:spacing w:after="0"/>
              <w:rPr>
                <w:sz w:val="19"/>
                <w:szCs w:val="19"/>
                <w:color w:val="auto"/>
              </w:rPr>
            </w:pPr>
          </w:p>
        </w:tc>
        <w:tc>
          <w:tcPr>
            <w:tcW w:w="160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104,811</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5420" w:type="dxa"/>
            <w:vAlign w:val="bottom"/>
            <w:shd w:val="clear" w:color="auto" w:fill="CFF0FC"/>
          </w:tcPr>
          <w:p>
            <w:pPr>
              <w:spacing w:after="0"/>
              <w:rPr>
                <w:sz w:val="20"/>
                <w:szCs w:val="20"/>
                <w:color w:val="auto"/>
              </w:rPr>
            </w:pPr>
            <w:r>
              <w:rPr>
                <w:rFonts w:ascii="Arial" w:cs="Arial" w:eastAsia="Arial" w:hAnsi="Arial"/>
                <w:sz w:val="18"/>
                <w:szCs w:val="18"/>
                <w:color w:val="auto"/>
              </w:rPr>
              <w:t xml:space="preserve">Inventories </w:t>
            </w:r>
            <w:r>
              <w:rPr>
                <w:rFonts w:ascii="Arial" w:cs="Arial" w:eastAsia="Arial" w:hAnsi="Arial"/>
                <w:sz w:val="15"/>
                <w:szCs w:val="15"/>
                <w:color w:val="auto"/>
              </w:rPr>
              <w:t>(1)</w:t>
            </w:r>
          </w:p>
        </w:tc>
        <w:tc>
          <w:tcPr>
            <w:tcW w:w="134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1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30,372</w:t>
            </w:r>
          </w:p>
        </w:tc>
        <w:tc>
          <w:tcPr>
            <w:tcW w:w="1860" w:type="dxa"/>
            <w:vAlign w:val="bottom"/>
            <w:gridSpan w:val="3"/>
            <w:shd w:val="clear" w:color="auto" w:fill="CFF0FC"/>
          </w:tcPr>
          <w:p>
            <w:pPr>
              <w:jc w:val="right"/>
              <w:ind w:right="200"/>
              <w:spacing w:after="0"/>
              <w:rPr>
                <w:sz w:val="20"/>
                <w:szCs w:val="20"/>
                <w:color w:val="auto"/>
              </w:rPr>
            </w:pPr>
            <w:r>
              <w:rPr>
                <w:rFonts w:ascii="Arial" w:cs="Arial" w:eastAsia="Arial" w:hAnsi="Arial"/>
                <w:sz w:val="18"/>
                <w:szCs w:val="18"/>
                <w:color w:val="auto"/>
              </w:rPr>
              <w:t>(12,822)</w:t>
            </w:r>
          </w:p>
        </w:tc>
        <w:tc>
          <w:tcPr>
            <w:tcW w:w="180" w:type="dxa"/>
            <w:vAlign w:val="bottom"/>
            <w:shd w:val="clear" w:color="auto" w:fill="CFF0FC"/>
          </w:tcPr>
          <w:p>
            <w:pPr>
              <w:spacing w:after="0"/>
              <w:rPr>
                <w:sz w:val="19"/>
                <w:szCs w:val="19"/>
                <w:color w:val="auto"/>
              </w:rPr>
            </w:pPr>
          </w:p>
        </w:tc>
        <w:tc>
          <w:tcPr>
            <w:tcW w:w="11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17,550</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5420" w:type="dxa"/>
            <w:vAlign w:val="bottom"/>
          </w:tcPr>
          <w:p>
            <w:pPr>
              <w:spacing w:after="0"/>
              <w:rPr>
                <w:sz w:val="20"/>
                <w:szCs w:val="20"/>
                <w:color w:val="auto"/>
              </w:rPr>
            </w:pPr>
            <w:r>
              <w:rPr>
                <w:rFonts w:ascii="Arial" w:cs="Arial" w:eastAsia="Arial" w:hAnsi="Arial"/>
                <w:sz w:val="18"/>
                <w:szCs w:val="18"/>
                <w:color w:val="auto"/>
              </w:rPr>
              <w:t xml:space="preserve">Current contract costs </w:t>
            </w:r>
            <w:r>
              <w:rPr>
                <w:rFonts w:ascii="Arial" w:cs="Arial" w:eastAsia="Arial" w:hAnsi="Arial"/>
                <w:sz w:val="15"/>
                <w:szCs w:val="15"/>
                <w:color w:val="auto"/>
              </w:rPr>
              <w:t>(1)</w:t>
            </w:r>
          </w:p>
        </w:tc>
        <w:tc>
          <w:tcPr>
            <w:tcW w:w="13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w:t>
            </w:r>
          </w:p>
        </w:tc>
        <w:tc>
          <w:tcPr>
            <w:tcW w:w="1600" w:type="dxa"/>
            <w:vAlign w:val="bottom"/>
            <w:gridSpan w:val="2"/>
          </w:tcPr>
          <w:p>
            <w:pPr>
              <w:jc w:val="right"/>
              <w:spacing w:after="0"/>
              <w:rPr>
                <w:sz w:val="20"/>
                <w:szCs w:val="20"/>
                <w:color w:val="auto"/>
              </w:rPr>
            </w:pPr>
            <w:r>
              <w:rPr>
                <w:rFonts w:ascii="Arial" w:cs="Arial" w:eastAsia="Arial" w:hAnsi="Arial"/>
                <w:sz w:val="18"/>
                <w:szCs w:val="18"/>
                <w:color w:val="auto"/>
              </w:rPr>
              <w:t>13,436</w:t>
            </w:r>
          </w:p>
        </w:tc>
        <w:tc>
          <w:tcPr>
            <w:tcW w:w="2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13,436</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5420" w:type="dxa"/>
            <w:vAlign w:val="bottom"/>
            <w:shd w:val="clear" w:color="auto" w:fill="CFF0FC"/>
          </w:tcPr>
          <w:p>
            <w:pPr>
              <w:spacing w:after="0"/>
              <w:rPr>
                <w:sz w:val="20"/>
                <w:szCs w:val="20"/>
                <w:color w:val="auto"/>
              </w:rPr>
            </w:pPr>
            <w:r>
              <w:rPr>
                <w:rFonts w:ascii="Arial" w:cs="Arial" w:eastAsia="Arial" w:hAnsi="Arial"/>
                <w:sz w:val="18"/>
                <w:szCs w:val="18"/>
                <w:color w:val="auto"/>
              </w:rPr>
              <w:t xml:space="preserve">Other current assets </w:t>
            </w:r>
            <w:r>
              <w:rPr>
                <w:rFonts w:ascii="Arial" w:cs="Arial" w:eastAsia="Arial" w:hAnsi="Arial"/>
                <w:sz w:val="15"/>
                <w:szCs w:val="15"/>
                <w:color w:val="auto"/>
              </w:rPr>
              <w:t>(1)</w:t>
            </w:r>
          </w:p>
        </w:tc>
        <w:tc>
          <w:tcPr>
            <w:tcW w:w="134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1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21,030</w:t>
            </w:r>
          </w:p>
        </w:tc>
        <w:tc>
          <w:tcPr>
            <w:tcW w:w="1860" w:type="dxa"/>
            <w:vAlign w:val="bottom"/>
            <w:gridSpan w:val="3"/>
            <w:shd w:val="clear" w:color="auto" w:fill="CFF0FC"/>
          </w:tcPr>
          <w:p>
            <w:pPr>
              <w:jc w:val="right"/>
              <w:ind w:right="200"/>
              <w:spacing w:after="0"/>
              <w:rPr>
                <w:sz w:val="20"/>
                <w:szCs w:val="20"/>
                <w:color w:val="auto"/>
              </w:rPr>
            </w:pPr>
            <w:r>
              <w:rPr>
                <w:rFonts w:ascii="Arial" w:cs="Arial" w:eastAsia="Arial" w:hAnsi="Arial"/>
                <w:sz w:val="18"/>
                <w:szCs w:val="18"/>
                <w:color w:val="auto"/>
              </w:rPr>
              <w:t>(1,289)</w:t>
            </w:r>
          </w:p>
        </w:tc>
        <w:tc>
          <w:tcPr>
            <w:tcW w:w="180" w:type="dxa"/>
            <w:vAlign w:val="bottom"/>
            <w:shd w:val="clear" w:color="auto" w:fill="CFF0FC"/>
          </w:tcPr>
          <w:p>
            <w:pPr>
              <w:spacing w:after="0"/>
              <w:rPr>
                <w:sz w:val="19"/>
                <w:szCs w:val="19"/>
                <w:color w:val="auto"/>
              </w:rPr>
            </w:pPr>
          </w:p>
        </w:tc>
        <w:tc>
          <w:tcPr>
            <w:tcW w:w="11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19,741</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5420" w:type="dxa"/>
            <w:vAlign w:val="bottom"/>
          </w:tcPr>
          <w:p>
            <w:pPr>
              <w:spacing w:after="0"/>
              <w:rPr>
                <w:sz w:val="20"/>
                <w:szCs w:val="20"/>
                <w:color w:val="auto"/>
              </w:rPr>
            </w:pPr>
            <w:r>
              <w:rPr>
                <w:rFonts w:ascii="Arial" w:cs="Arial" w:eastAsia="Arial" w:hAnsi="Arial"/>
                <w:sz w:val="18"/>
                <w:szCs w:val="18"/>
                <w:color w:val="auto"/>
              </w:rPr>
              <w:t>Property and equipment, net</w:t>
            </w:r>
          </w:p>
        </w:tc>
        <w:tc>
          <w:tcPr>
            <w:tcW w:w="13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305,571</w:t>
            </w:r>
          </w:p>
        </w:tc>
        <w:tc>
          <w:tcPr>
            <w:tcW w:w="260" w:type="dxa"/>
            <w:vAlign w:val="bottom"/>
          </w:tcPr>
          <w:p>
            <w:pPr>
              <w:spacing w:after="0"/>
              <w:rPr>
                <w:sz w:val="19"/>
                <w:szCs w:val="19"/>
                <w:color w:val="auto"/>
              </w:rPr>
            </w:pPr>
          </w:p>
        </w:tc>
        <w:tc>
          <w:tcPr>
            <w:tcW w:w="160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305,571</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5420" w:type="dxa"/>
            <w:vAlign w:val="bottom"/>
            <w:shd w:val="clear" w:color="auto" w:fill="CFF0FC"/>
          </w:tcPr>
          <w:p>
            <w:pPr>
              <w:spacing w:after="0"/>
              <w:rPr>
                <w:sz w:val="20"/>
                <w:szCs w:val="20"/>
                <w:color w:val="auto"/>
              </w:rPr>
            </w:pPr>
            <w:r>
              <w:rPr>
                <w:rFonts w:ascii="Arial" w:cs="Arial" w:eastAsia="Arial" w:hAnsi="Arial"/>
                <w:sz w:val="18"/>
                <w:szCs w:val="18"/>
                <w:color w:val="auto"/>
              </w:rPr>
              <w:t xml:space="preserve">Other investments and assets </w:t>
            </w:r>
            <w:r>
              <w:rPr>
                <w:rFonts w:ascii="Arial" w:cs="Arial" w:eastAsia="Arial" w:hAnsi="Arial"/>
                <w:sz w:val="15"/>
                <w:szCs w:val="15"/>
                <w:color w:val="auto"/>
              </w:rPr>
              <w:t>(1)</w:t>
            </w:r>
          </w:p>
        </w:tc>
        <w:tc>
          <w:tcPr>
            <w:tcW w:w="134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1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47,512</w:t>
            </w:r>
          </w:p>
        </w:tc>
        <w:tc>
          <w:tcPr>
            <w:tcW w:w="160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675</w:t>
            </w:r>
          </w:p>
        </w:tc>
        <w:tc>
          <w:tcPr>
            <w:tcW w:w="26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1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48,187</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5420" w:type="dxa"/>
            <w:vAlign w:val="bottom"/>
          </w:tcPr>
          <w:p>
            <w:pPr>
              <w:spacing w:after="0"/>
              <w:rPr>
                <w:sz w:val="20"/>
                <w:szCs w:val="20"/>
                <w:color w:val="auto"/>
              </w:rPr>
            </w:pPr>
            <w:r>
              <w:rPr>
                <w:rFonts w:ascii="Arial" w:cs="Arial" w:eastAsia="Arial" w:hAnsi="Arial"/>
                <w:sz w:val="18"/>
                <w:szCs w:val="18"/>
                <w:color w:val="auto"/>
              </w:rPr>
              <w:t>Deferred income taxes</w:t>
            </w:r>
          </w:p>
        </w:tc>
        <w:tc>
          <w:tcPr>
            <w:tcW w:w="13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23,548</w:t>
            </w:r>
          </w:p>
        </w:tc>
        <w:tc>
          <w:tcPr>
            <w:tcW w:w="260" w:type="dxa"/>
            <w:vAlign w:val="bottom"/>
          </w:tcPr>
          <w:p>
            <w:pPr>
              <w:spacing w:after="0"/>
              <w:rPr>
                <w:sz w:val="19"/>
                <w:szCs w:val="19"/>
                <w:color w:val="auto"/>
              </w:rPr>
            </w:pPr>
          </w:p>
        </w:tc>
        <w:tc>
          <w:tcPr>
            <w:tcW w:w="160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23,548</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5420" w:type="dxa"/>
            <w:vAlign w:val="bottom"/>
            <w:shd w:val="clear" w:color="auto" w:fill="CFF0FC"/>
          </w:tcPr>
          <w:p>
            <w:pPr>
              <w:spacing w:after="0"/>
              <w:rPr>
                <w:sz w:val="20"/>
                <w:szCs w:val="20"/>
                <w:color w:val="auto"/>
              </w:rPr>
            </w:pPr>
            <w:r>
              <w:rPr>
                <w:rFonts w:ascii="Arial" w:cs="Arial" w:eastAsia="Arial" w:hAnsi="Arial"/>
                <w:sz w:val="18"/>
                <w:szCs w:val="18"/>
                <w:color w:val="auto"/>
              </w:rPr>
              <w:t>Goodwill</w:t>
            </w:r>
          </w:p>
        </w:tc>
        <w:tc>
          <w:tcPr>
            <w:tcW w:w="134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1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270,551</w:t>
            </w:r>
          </w:p>
        </w:tc>
        <w:tc>
          <w:tcPr>
            <w:tcW w:w="260" w:type="dxa"/>
            <w:vAlign w:val="bottom"/>
            <w:shd w:val="clear" w:color="auto" w:fill="CFF0FC"/>
          </w:tcPr>
          <w:p>
            <w:pPr>
              <w:spacing w:after="0"/>
              <w:rPr>
                <w:sz w:val="19"/>
                <w:szCs w:val="19"/>
                <w:color w:val="auto"/>
              </w:rPr>
            </w:pPr>
          </w:p>
        </w:tc>
        <w:tc>
          <w:tcPr>
            <w:tcW w:w="1600" w:type="dxa"/>
            <w:vAlign w:val="bottom"/>
            <w:gridSpan w:val="2"/>
            <w:shd w:val="clear" w:color="auto" w:fill="CFF0FC"/>
          </w:tcPr>
          <w:p>
            <w:pPr>
              <w:jc w:val="right"/>
              <w:ind w:right="280"/>
              <w:spacing w:after="0"/>
              <w:rPr>
                <w:sz w:val="20"/>
                <w:szCs w:val="20"/>
                <w:color w:val="auto"/>
              </w:rPr>
            </w:pPr>
            <w:r>
              <w:rPr>
                <w:rFonts w:ascii="Arial" w:cs="Arial" w:eastAsia="Arial" w:hAnsi="Arial"/>
                <w:sz w:val="18"/>
                <w:szCs w:val="18"/>
                <w:color w:val="auto"/>
              </w:rPr>
              <w:t>—</w:t>
            </w:r>
          </w:p>
        </w:tc>
        <w:tc>
          <w:tcPr>
            <w:tcW w:w="180" w:type="dxa"/>
            <w:vAlign w:val="bottom"/>
            <w:shd w:val="clear" w:color="auto" w:fill="CFF0FC"/>
          </w:tcPr>
          <w:p>
            <w:pPr>
              <w:spacing w:after="0"/>
              <w:rPr>
                <w:sz w:val="19"/>
                <w:szCs w:val="19"/>
                <w:color w:val="auto"/>
              </w:rPr>
            </w:pPr>
          </w:p>
        </w:tc>
        <w:tc>
          <w:tcPr>
            <w:tcW w:w="11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270,551</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5420" w:type="dxa"/>
            <w:vAlign w:val="bottom"/>
            <w:tcBorders>
              <w:bottom w:val="single" w:sz="8" w:color="CFF0FC"/>
            </w:tcBorders>
          </w:tcPr>
          <w:p>
            <w:pPr>
              <w:spacing w:after="0"/>
              <w:rPr>
                <w:sz w:val="20"/>
                <w:szCs w:val="20"/>
                <w:color w:val="auto"/>
              </w:rPr>
            </w:pPr>
            <w:r>
              <w:rPr>
                <w:rFonts w:ascii="Arial" w:cs="Arial" w:eastAsia="Arial" w:hAnsi="Arial"/>
                <w:sz w:val="18"/>
                <w:szCs w:val="18"/>
                <w:color w:val="auto"/>
              </w:rPr>
              <w:t>Other intangible assets, net</w:t>
            </w:r>
          </w:p>
        </w:tc>
        <w:tc>
          <w:tcPr>
            <w:tcW w:w="1340" w:type="dxa"/>
            <w:vAlign w:val="bottom"/>
            <w:tcBorders>
              <w:bottom w:val="single" w:sz="8" w:color="CFF0FC"/>
            </w:tcBorders>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11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62,781</w:t>
            </w:r>
          </w:p>
        </w:tc>
        <w:tc>
          <w:tcPr>
            <w:tcW w:w="260" w:type="dxa"/>
            <w:vAlign w:val="bottom"/>
            <w:tcBorders>
              <w:bottom w:val="single" w:sz="8" w:color="CFF0FC"/>
            </w:tcBorders>
          </w:tcPr>
          <w:p>
            <w:pPr>
              <w:spacing w:after="0"/>
              <w:rPr>
                <w:sz w:val="19"/>
                <w:szCs w:val="19"/>
                <w:color w:val="auto"/>
              </w:rPr>
            </w:pPr>
          </w:p>
        </w:tc>
        <w:tc>
          <w:tcPr>
            <w:tcW w:w="1600" w:type="dxa"/>
            <w:vAlign w:val="bottom"/>
            <w:tcBorders>
              <w:bottom w:val="single" w:sz="8" w:color="CFF0FC"/>
            </w:tcBorders>
            <w:gridSpan w:val="2"/>
          </w:tcPr>
          <w:p>
            <w:pPr>
              <w:jc w:val="right"/>
              <w:ind w:right="28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auto"/>
            </w:tcBorders>
          </w:tcPr>
          <w:p>
            <w:pPr>
              <w:spacing w:after="0"/>
              <w:rPr>
                <w:sz w:val="19"/>
                <w:szCs w:val="19"/>
                <w:color w:val="auto"/>
              </w:rPr>
            </w:pPr>
          </w:p>
        </w:tc>
        <w:tc>
          <w:tcPr>
            <w:tcW w:w="11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62,781</w:t>
            </w:r>
          </w:p>
        </w:tc>
        <w:tc>
          <w:tcPr>
            <w:tcW w:w="120" w:type="dxa"/>
            <w:vAlign w:val="bottom"/>
            <w:tcBorders>
              <w:bottom w:val="single" w:sz="8" w:color="CFF0FC"/>
            </w:tcBorders>
          </w:tcPr>
          <w:p>
            <w:pPr>
              <w:spacing w:after="0"/>
              <w:rPr>
                <w:sz w:val="19"/>
                <w:szCs w:val="19"/>
                <w:color w:val="auto"/>
              </w:rPr>
            </w:pPr>
          </w:p>
        </w:tc>
        <w:tc>
          <w:tcPr>
            <w:tcW w:w="0" w:type="dxa"/>
            <w:vAlign w:val="bottom"/>
          </w:tcPr>
          <w:p>
            <w:pPr>
              <w:spacing w:after="0"/>
              <w:rPr>
                <w:sz w:val="1"/>
                <w:szCs w:val="1"/>
                <w:color w:val="auto"/>
              </w:rPr>
            </w:pPr>
          </w:p>
        </w:tc>
      </w:tr>
      <w:tr>
        <w:trPr>
          <w:trHeight w:val="222"/>
        </w:trPr>
        <w:tc>
          <w:tcPr>
            <w:tcW w:w="5420" w:type="dxa"/>
            <w:vAlign w:val="bottom"/>
            <w:tcBorders>
              <w:bottom w:val="single" w:sz="8" w:color="CFF0FC"/>
            </w:tcBorders>
            <w:shd w:val="clear" w:color="auto" w:fill="CFF0FC"/>
          </w:tcPr>
          <w:p>
            <w:pPr>
              <w:ind w:left="140"/>
              <w:spacing w:after="0"/>
              <w:rPr>
                <w:sz w:val="20"/>
                <w:szCs w:val="20"/>
                <w:color w:val="auto"/>
              </w:rPr>
            </w:pPr>
            <w:r>
              <w:rPr>
                <w:rFonts w:ascii="Arial" w:cs="Arial" w:eastAsia="Arial" w:hAnsi="Arial"/>
                <w:sz w:val="18"/>
                <w:szCs w:val="18"/>
                <w:color w:val="auto"/>
              </w:rPr>
              <w:t>Total assets</w:t>
            </w:r>
          </w:p>
        </w:tc>
        <w:tc>
          <w:tcPr>
            <w:tcW w:w="1340" w:type="dxa"/>
            <w:vAlign w:val="bottom"/>
            <w:tcBorders>
              <w:bottom w:val="single" w:sz="8" w:color="CFF0FC"/>
            </w:tcBorders>
            <w:shd w:val="clear" w:color="auto" w:fill="CFF0FC"/>
          </w:tcPr>
          <w:p>
            <w:pPr>
              <w:spacing w:after="0"/>
              <w:rPr>
                <w:sz w:val="19"/>
                <w:szCs w:val="19"/>
                <w:color w:val="auto"/>
              </w:rPr>
            </w:pPr>
          </w:p>
        </w:tc>
        <w:tc>
          <w:tcPr>
            <w:tcW w:w="1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11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919,899</w:t>
            </w:r>
          </w:p>
        </w:tc>
        <w:tc>
          <w:tcPr>
            <w:tcW w:w="260" w:type="dxa"/>
            <w:vAlign w:val="bottom"/>
            <w:tcBorders>
              <w:bottom w:val="single" w:sz="8" w:color="CFF0FC"/>
            </w:tcBorders>
            <w:shd w:val="clear" w:color="auto" w:fill="CFF0FC"/>
          </w:tcPr>
          <w:p>
            <w:pPr>
              <w:spacing w:after="0"/>
              <w:rPr>
                <w:sz w:val="19"/>
                <w:szCs w:val="19"/>
                <w:color w:val="auto"/>
              </w:rPr>
            </w:pPr>
          </w:p>
        </w:tc>
        <w:tc>
          <w:tcPr>
            <w:tcW w:w="1600" w:type="dxa"/>
            <w:vAlign w:val="bottom"/>
            <w:tcBorders>
              <w:bottom w:val="single" w:sz="8" w:color="CFF0FC"/>
            </w:tcBorders>
            <w:gridSpan w:val="2"/>
            <w:shd w:val="clear" w:color="auto" w:fill="CFF0FC"/>
          </w:tcPr>
          <w:p>
            <w:pPr>
              <w:jc w:val="right"/>
              <w:ind w:right="28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auto"/>
            </w:tcBorders>
            <w:shd w:val="clear" w:color="auto" w:fill="CFF0FC"/>
          </w:tcPr>
          <w:p>
            <w:pPr>
              <w:jc w:val="right"/>
              <w:ind w:right="27"/>
              <w:spacing w:after="0"/>
              <w:rPr>
                <w:sz w:val="20"/>
                <w:szCs w:val="20"/>
                <w:color w:val="auto"/>
              </w:rPr>
            </w:pPr>
            <w:r>
              <w:rPr>
                <w:rFonts w:ascii="Arial" w:cs="Arial" w:eastAsia="Arial" w:hAnsi="Arial"/>
                <w:sz w:val="15"/>
                <w:szCs w:val="15"/>
                <w:color w:val="auto"/>
                <w:w w:val="71"/>
              </w:rPr>
              <w:t>$</w:t>
            </w:r>
          </w:p>
        </w:tc>
        <w:tc>
          <w:tcPr>
            <w:tcW w:w="11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919,899</w:t>
            </w:r>
          </w:p>
        </w:tc>
        <w:tc>
          <w:tcPr>
            <w:tcW w:w="120" w:type="dxa"/>
            <w:vAlign w:val="bottom"/>
            <w:tcBorders>
              <w:bottom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5420" w:type="dxa"/>
            <w:vAlign w:val="bottom"/>
            <w:vMerge w:val="restart"/>
          </w:tcPr>
          <w:p>
            <w:pPr>
              <w:spacing w:after="0"/>
              <w:rPr>
                <w:sz w:val="20"/>
                <w:szCs w:val="20"/>
                <w:color w:val="auto"/>
              </w:rPr>
            </w:pPr>
            <w:r>
              <w:rPr>
                <w:rFonts w:ascii="Arial" w:cs="Arial" w:eastAsia="Arial" w:hAnsi="Arial"/>
                <w:sz w:val="18"/>
                <w:szCs w:val="18"/>
                <w:color w:val="auto"/>
              </w:rPr>
              <w:t>Accounts payable</w:t>
            </w:r>
          </w:p>
        </w:tc>
        <w:tc>
          <w:tcPr>
            <w:tcW w:w="1520" w:type="dxa"/>
            <w:vAlign w:val="bottom"/>
            <w:gridSpan w:val="2"/>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600" w:type="dxa"/>
            <w:vAlign w:val="bottom"/>
            <w:gridSpan w:val="2"/>
            <w:vMerge w:val="restart"/>
          </w:tcPr>
          <w:p>
            <w:pPr>
              <w:jc w:val="right"/>
              <w:ind w:right="280"/>
              <w:spacing w:after="0"/>
              <w:rPr>
                <w:sz w:val="20"/>
                <w:szCs w:val="20"/>
                <w:color w:val="auto"/>
              </w:rPr>
            </w:pPr>
            <w:r>
              <w:rPr>
                <w:rFonts w:ascii="Arial" w:cs="Arial" w:eastAsia="Arial" w:hAnsi="Arial"/>
                <w:sz w:val="18"/>
                <w:szCs w:val="18"/>
                <w:color w:val="auto"/>
              </w:rPr>
              <w:t>—</w:t>
            </w:r>
          </w:p>
        </w:tc>
        <w:tc>
          <w:tcPr>
            <w:tcW w:w="18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5420" w:type="dxa"/>
            <w:vAlign w:val="bottom"/>
            <w:vMerge w:val="continue"/>
          </w:tcPr>
          <w:p>
            <w:pPr>
              <w:spacing w:after="0"/>
              <w:rPr>
                <w:sz w:val="18"/>
                <w:szCs w:val="18"/>
                <w:color w:val="auto"/>
              </w:rPr>
            </w:pPr>
          </w:p>
        </w:tc>
        <w:tc>
          <w:tcPr>
            <w:tcW w:w="1340" w:type="dxa"/>
            <w:vAlign w:val="bottom"/>
          </w:tcPr>
          <w:p>
            <w:pPr>
              <w:spacing w:after="0"/>
              <w:rPr>
                <w:sz w:val="18"/>
                <w:szCs w:val="18"/>
                <w:color w:val="auto"/>
              </w:rPr>
            </w:pPr>
          </w:p>
        </w:tc>
        <w:tc>
          <w:tcPr>
            <w:tcW w:w="1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1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77,380</w:t>
            </w:r>
          </w:p>
        </w:tc>
        <w:tc>
          <w:tcPr>
            <w:tcW w:w="260" w:type="dxa"/>
            <w:vAlign w:val="bottom"/>
          </w:tcPr>
          <w:p>
            <w:pPr>
              <w:spacing w:after="0"/>
              <w:rPr>
                <w:sz w:val="18"/>
                <w:szCs w:val="18"/>
                <w:color w:val="auto"/>
              </w:rPr>
            </w:pPr>
          </w:p>
        </w:tc>
        <w:tc>
          <w:tcPr>
            <w:tcW w:w="1600" w:type="dxa"/>
            <w:vAlign w:val="bottom"/>
            <w:gridSpan w:val="2"/>
            <w:vMerge w:val="continue"/>
          </w:tcPr>
          <w:p>
            <w:pPr>
              <w:spacing w:after="0"/>
              <w:rPr>
                <w:sz w:val="18"/>
                <w:szCs w:val="18"/>
                <w:color w:val="auto"/>
              </w:rPr>
            </w:pPr>
          </w:p>
        </w:tc>
        <w:tc>
          <w:tcPr>
            <w:tcW w:w="180" w:type="dxa"/>
            <w:vAlign w:val="bottom"/>
            <w:tcBorders>
              <w:top w:val="single" w:sz="8" w:color="auto"/>
            </w:tcBorders>
          </w:tcPr>
          <w:p>
            <w:pPr>
              <w:jc w:val="right"/>
              <w:ind w:right="27"/>
              <w:spacing w:after="0"/>
              <w:rPr>
                <w:sz w:val="20"/>
                <w:szCs w:val="20"/>
                <w:color w:val="auto"/>
              </w:rPr>
            </w:pPr>
            <w:r>
              <w:rPr>
                <w:rFonts w:ascii="Arial" w:cs="Arial" w:eastAsia="Arial" w:hAnsi="Arial"/>
                <w:sz w:val="15"/>
                <w:szCs w:val="15"/>
                <w:color w:val="auto"/>
                <w:w w:val="71"/>
              </w:rPr>
              <w:t>$</w:t>
            </w:r>
          </w:p>
        </w:tc>
        <w:tc>
          <w:tcPr>
            <w:tcW w:w="11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77,380</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9"/>
        </w:trPr>
        <w:tc>
          <w:tcPr>
            <w:tcW w:w="5420" w:type="dxa"/>
            <w:vAlign w:val="bottom"/>
            <w:shd w:val="clear" w:color="auto" w:fill="CFF0FC"/>
          </w:tcPr>
          <w:p>
            <w:pPr>
              <w:spacing w:after="0"/>
              <w:rPr>
                <w:sz w:val="20"/>
                <w:szCs w:val="20"/>
                <w:color w:val="auto"/>
              </w:rPr>
            </w:pPr>
            <w:r>
              <w:rPr>
                <w:rFonts w:ascii="Arial" w:cs="Arial" w:eastAsia="Arial" w:hAnsi="Arial"/>
                <w:sz w:val="18"/>
                <w:szCs w:val="18"/>
                <w:color w:val="auto"/>
              </w:rPr>
              <w:t xml:space="preserve">Customer deposits </w:t>
            </w:r>
            <w:r>
              <w:rPr>
                <w:rFonts w:ascii="Arial" w:cs="Arial" w:eastAsia="Arial" w:hAnsi="Arial"/>
                <w:sz w:val="15"/>
                <w:szCs w:val="15"/>
                <w:color w:val="auto"/>
              </w:rPr>
              <w:t>(2)</w:t>
            </w:r>
          </w:p>
        </w:tc>
        <w:tc>
          <w:tcPr>
            <w:tcW w:w="134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1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33,415</w:t>
            </w:r>
          </w:p>
        </w:tc>
        <w:tc>
          <w:tcPr>
            <w:tcW w:w="1860" w:type="dxa"/>
            <w:vAlign w:val="bottom"/>
            <w:gridSpan w:val="3"/>
            <w:shd w:val="clear" w:color="auto" w:fill="CFF0FC"/>
          </w:tcPr>
          <w:p>
            <w:pPr>
              <w:jc w:val="right"/>
              <w:ind w:right="200"/>
              <w:spacing w:after="0"/>
              <w:rPr>
                <w:sz w:val="20"/>
                <w:szCs w:val="20"/>
                <w:color w:val="auto"/>
              </w:rPr>
            </w:pPr>
            <w:r>
              <w:rPr>
                <w:rFonts w:ascii="Arial" w:cs="Arial" w:eastAsia="Arial" w:hAnsi="Arial"/>
                <w:sz w:val="18"/>
                <w:szCs w:val="18"/>
                <w:color w:val="auto"/>
              </w:rPr>
              <w:t>(33,415)</w:t>
            </w:r>
          </w:p>
        </w:tc>
        <w:tc>
          <w:tcPr>
            <w:tcW w:w="180" w:type="dxa"/>
            <w:vAlign w:val="bottom"/>
            <w:shd w:val="clear" w:color="auto" w:fill="CFF0FC"/>
          </w:tcPr>
          <w:p>
            <w:pPr>
              <w:spacing w:after="0"/>
              <w:rPr>
                <w:sz w:val="19"/>
                <w:szCs w:val="19"/>
                <w:color w:val="auto"/>
              </w:rPr>
            </w:pPr>
          </w:p>
        </w:tc>
        <w:tc>
          <w:tcPr>
            <w:tcW w:w="1280" w:type="dxa"/>
            <w:vAlign w:val="bottom"/>
            <w:gridSpan w:val="2"/>
            <w:shd w:val="clear" w:color="auto" w:fill="CFF0FC"/>
          </w:tcPr>
          <w:p>
            <w:pPr>
              <w:jc w:val="right"/>
              <w:ind w:right="14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9"/>
        </w:trPr>
        <w:tc>
          <w:tcPr>
            <w:tcW w:w="5420" w:type="dxa"/>
            <w:vAlign w:val="bottom"/>
          </w:tcPr>
          <w:p>
            <w:pPr>
              <w:spacing w:after="0"/>
              <w:rPr>
                <w:sz w:val="20"/>
                <w:szCs w:val="20"/>
                <w:color w:val="auto"/>
              </w:rPr>
            </w:pPr>
            <w:r>
              <w:rPr>
                <w:rFonts w:ascii="Arial" w:cs="Arial" w:eastAsia="Arial" w:hAnsi="Arial"/>
                <w:sz w:val="18"/>
                <w:szCs w:val="18"/>
                <w:color w:val="auto"/>
              </w:rPr>
              <w:t xml:space="preserve">Contract liabilities </w:t>
            </w:r>
            <w:r>
              <w:rPr>
                <w:rFonts w:ascii="Arial" w:cs="Arial" w:eastAsia="Arial" w:hAnsi="Arial"/>
                <w:sz w:val="15"/>
                <w:szCs w:val="15"/>
                <w:color w:val="auto"/>
              </w:rPr>
              <w:t>(2)</w:t>
            </w:r>
          </w:p>
        </w:tc>
        <w:tc>
          <w:tcPr>
            <w:tcW w:w="13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w:t>
            </w:r>
          </w:p>
        </w:tc>
        <w:tc>
          <w:tcPr>
            <w:tcW w:w="1600" w:type="dxa"/>
            <w:vAlign w:val="bottom"/>
            <w:gridSpan w:val="2"/>
          </w:tcPr>
          <w:p>
            <w:pPr>
              <w:jc w:val="right"/>
              <w:spacing w:after="0"/>
              <w:rPr>
                <w:sz w:val="20"/>
                <w:szCs w:val="20"/>
                <w:color w:val="auto"/>
              </w:rPr>
            </w:pPr>
            <w:r>
              <w:rPr>
                <w:rFonts w:ascii="Arial" w:cs="Arial" w:eastAsia="Arial" w:hAnsi="Arial"/>
                <w:sz w:val="18"/>
                <w:szCs w:val="18"/>
                <w:color w:val="auto"/>
              </w:rPr>
              <w:t>31,981</w:t>
            </w:r>
          </w:p>
        </w:tc>
        <w:tc>
          <w:tcPr>
            <w:tcW w:w="2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31,981</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5420" w:type="dxa"/>
            <w:vAlign w:val="bottom"/>
            <w:shd w:val="clear" w:color="auto" w:fill="CFF0FC"/>
          </w:tcPr>
          <w:p>
            <w:pPr>
              <w:spacing w:after="0"/>
              <w:rPr>
                <w:sz w:val="20"/>
                <w:szCs w:val="20"/>
                <w:color w:val="auto"/>
              </w:rPr>
            </w:pPr>
            <w:r>
              <w:rPr>
                <w:rFonts w:ascii="Arial" w:cs="Arial" w:eastAsia="Arial" w:hAnsi="Arial"/>
                <w:sz w:val="18"/>
                <w:szCs w:val="18"/>
                <w:color w:val="auto"/>
              </w:rPr>
              <w:t>Accrued compensation</w:t>
            </w:r>
          </w:p>
        </w:tc>
        <w:tc>
          <w:tcPr>
            <w:tcW w:w="134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1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30,614</w:t>
            </w:r>
          </w:p>
        </w:tc>
        <w:tc>
          <w:tcPr>
            <w:tcW w:w="260" w:type="dxa"/>
            <w:vAlign w:val="bottom"/>
            <w:shd w:val="clear" w:color="auto" w:fill="CFF0FC"/>
          </w:tcPr>
          <w:p>
            <w:pPr>
              <w:spacing w:after="0"/>
              <w:rPr>
                <w:sz w:val="19"/>
                <w:szCs w:val="19"/>
                <w:color w:val="auto"/>
              </w:rPr>
            </w:pPr>
          </w:p>
        </w:tc>
        <w:tc>
          <w:tcPr>
            <w:tcW w:w="1600" w:type="dxa"/>
            <w:vAlign w:val="bottom"/>
            <w:gridSpan w:val="2"/>
            <w:shd w:val="clear" w:color="auto" w:fill="CFF0FC"/>
          </w:tcPr>
          <w:p>
            <w:pPr>
              <w:jc w:val="right"/>
              <w:ind w:right="280"/>
              <w:spacing w:after="0"/>
              <w:rPr>
                <w:sz w:val="20"/>
                <w:szCs w:val="20"/>
                <w:color w:val="auto"/>
              </w:rPr>
            </w:pPr>
            <w:r>
              <w:rPr>
                <w:rFonts w:ascii="Arial" w:cs="Arial" w:eastAsia="Arial" w:hAnsi="Arial"/>
                <w:sz w:val="18"/>
                <w:szCs w:val="18"/>
                <w:color w:val="auto"/>
              </w:rPr>
              <w:t>—</w:t>
            </w:r>
          </w:p>
        </w:tc>
        <w:tc>
          <w:tcPr>
            <w:tcW w:w="180" w:type="dxa"/>
            <w:vAlign w:val="bottom"/>
            <w:shd w:val="clear" w:color="auto" w:fill="CFF0FC"/>
          </w:tcPr>
          <w:p>
            <w:pPr>
              <w:spacing w:after="0"/>
              <w:rPr>
                <w:sz w:val="19"/>
                <w:szCs w:val="19"/>
                <w:color w:val="auto"/>
              </w:rPr>
            </w:pPr>
          </w:p>
        </w:tc>
        <w:tc>
          <w:tcPr>
            <w:tcW w:w="11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30,614</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5420" w:type="dxa"/>
            <w:vAlign w:val="bottom"/>
          </w:tcPr>
          <w:p>
            <w:pPr>
              <w:spacing w:after="0"/>
              <w:rPr>
                <w:sz w:val="20"/>
                <w:szCs w:val="20"/>
                <w:color w:val="auto"/>
              </w:rPr>
            </w:pPr>
            <w:r>
              <w:rPr>
                <w:rFonts w:ascii="Arial" w:cs="Arial" w:eastAsia="Arial" w:hAnsi="Arial"/>
                <w:sz w:val="18"/>
                <w:szCs w:val="18"/>
                <w:color w:val="auto"/>
              </w:rPr>
              <w:t xml:space="preserve">Other current liabilities </w:t>
            </w:r>
            <w:r>
              <w:rPr>
                <w:rFonts w:ascii="Arial" w:cs="Arial" w:eastAsia="Arial" w:hAnsi="Arial"/>
                <w:sz w:val="15"/>
                <w:szCs w:val="15"/>
                <w:color w:val="auto"/>
              </w:rPr>
              <w:t>(2)</w:t>
            </w:r>
          </w:p>
        </w:tc>
        <w:tc>
          <w:tcPr>
            <w:tcW w:w="13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38,720</w:t>
            </w:r>
          </w:p>
        </w:tc>
        <w:tc>
          <w:tcPr>
            <w:tcW w:w="1600" w:type="dxa"/>
            <w:vAlign w:val="bottom"/>
            <w:gridSpan w:val="2"/>
          </w:tcPr>
          <w:p>
            <w:pPr>
              <w:jc w:val="right"/>
              <w:spacing w:after="0"/>
              <w:rPr>
                <w:sz w:val="20"/>
                <w:szCs w:val="20"/>
                <w:color w:val="auto"/>
              </w:rPr>
            </w:pPr>
            <w:r>
              <w:rPr>
                <w:rFonts w:ascii="Arial" w:cs="Arial" w:eastAsia="Arial" w:hAnsi="Arial"/>
                <w:sz w:val="18"/>
                <w:szCs w:val="18"/>
                <w:color w:val="auto"/>
              </w:rPr>
              <w:t>1,434</w:t>
            </w:r>
          </w:p>
        </w:tc>
        <w:tc>
          <w:tcPr>
            <w:tcW w:w="2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40,154</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5420" w:type="dxa"/>
            <w:vAlign w:val="bottom"/>
            <w:shd w:val="clear" w:color="auto" w:fill="CFF0FC"/>
          </w:tcPr>
          <w:p>
            <w:pPr>
              <w:spacing w:after="0"/>
              <w:rPr>
                <w:sz w:val="20"/>
                <w:szCs w:val="20"/>
                <w:color w:val="auto"/>
              </w:rPr>
            </w:pPr>
            <w:r>
              <w:rPr>
                <w:rFonts w:ascii="Arial" w:cs="Arial" w:eastAsia="Arial" w:hAnsi="Arial"/>
                <w:sz w:val="18"/>
                <w:szCs w:val="18"/>
                <w:color w:val="auto"/>
              </w:rPr>
              <w:t>Debt and capital lease obligations, current and long-term</w:t>
            </w:r>
          </w:p>
        </w:tc>
        <w:tc>
          <w:tcPr>
            <w:tcW w:w="134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1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209,192</w:t>
            </w:r>
          </w:p>
        </w:tc>
        <w:tc>
          <w:tcPr>
            <w:tcW w:w="260" w:type="dxa"/>
            <w:vAlign w:val="bottom"/>
            <w:shd w:val="clear" w:color="auto" w:fill="CFF0FC"/>
          </w:tcPr>
          <w:p>
            <w:pPr>
              <w:spacing w:after="0"/>
              <w:rPr>
                <w:sz w:val="19"/>
                <w:szCs w:val="19"/>
                <w:color w:val="auto"/>
              </w:rPr>
            </w:pPr>
          </w:p>
        </w:tc>
        <w:tc>
          <w:tcPr>
            <w:tcW w:w="1600" w:type="dxa"/>
            <w:vAlign w:val="bottom"/>
            <w:gridSpan w:val="2"/>
            <w:shd w:val="clear" w:color="auto" w:fill="CFF0FC"/>
          </w:tcPr>
          <w:p>
            <w:pPr>
              <w:jc w:val="right"/>
              <w:ind w:right="280"/>
              <w:spacing w:after="0"/>
              <w:rPr>
                <w:sz w:val="20"/>
                <w:szCs w:val="20"/>
                <w:color w:val="auto"/>
              </w:rPr>
            </w:pPr>
            <w:r>
              <w:rPr>
                <w:rFonts w:ascii="Arial" w:cs="Arial" w:eastAsia="Arial" w:hAnsi="Arial"/>
                <w:sz w:val="18"/>
                <w:szCs w:val="18"/>
                <w:color w:val="auto"/>
              </w:rPr>
              <w:t>—</w:t>
            </w:r>
          </w:p>
        </w:tc>
        <w:tc>
          <w:tcPr>
            <w:tcW w:w="180" w:type="dxa"/>
            <w:vAlign w:val="bottom"/>
            <w:shd w:val="clear" w:color="auto" w:fill="CFF0FC"/>
          </w:tcPr>
          <w:p>
            <w:pPr>
              <w:spacing w:after="0"/>
              <w:rPr>
                <w:sz w:val="19"/>
                <w:szCs w:val="19"/>
                <w:color w:val="auto"/>
              </w:rPr>
            </w:pPr>
          </w:p>
        </w:tc>
        <w:tc>
          <w:tcPr>
            <w:tcW w:w="11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209,192</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5420" w:type="dxa"/>
            <w:vAlign w:val="bottom"/>
          </w:tcPr>
          <w:p>
            <w:pPr>
              <w:spacing w:after="0"/>
              <w:rPr>
                <w:sz w:val="20"/>
                <w:szCs w:val="20"/>
                <w:color w:val="auto"/>
              </w:rPr>
            </w:pPr>
            <w:r>
              <w:rPr>
                <w:rFonts w:ascii="Arial" w:cs="Arial" w:eastAsia="Arial" w:hAnsi="Arial"/>
                <w:sz w:val="18"/>
                <w:szCs w:val="18"/>
                <w:color w:val="auto"/>
              </w:rPr>
              <w:t>Pension and postretirement benefits</w:t>
            </w:r>
          </w:p>
        </w:tc>
        <w:tc>
          <w:tcPr>
            <w:tcW w:w="13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28,135</w:t>
            </w:r>
          </w:p>
        </w:tc>
        <w:tc>
          <w:tcPr>
            <w:tcW w:w="260" w:type="dxa"/>
            <w:vAlign w:val="bottom"/>
          </w:tcPr>
          <w:p>
            <w:pPr>
              <w:spacing w:after="0"/>
              <w:rPr>
                <w:sz w:val="19"/>
                <w:szCs w:val="19"/>
                <w:color w:val="auto"/>
              </w:rPr>
            </w:pPr>
          </w:p>
        </w:tc>
        <w:tc>
          <w:tcPr>
            <w:tcW w:w="160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28,135</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5420" w:type="dxa"/>
            <w:vAlign w:val="bottom"/>
            <w:shd w:val="clear" w:color="auto" w:fill="CFF0FC"/>
          </w:tcPr>
          <w:p>
            <w:pPr>
              <w:spacing w:after="0"/>
              <w:rPr>
                <w:sz w:val="20"/>
                <w:szCs w:val="20"/>
                <w:color w:val="auto"/>
              </w:rPr>
            </w:pPr>
            <w:r>
              <w:rPr>
                <w:rFonts w:ascii="Arial" w:cs="Arial" w:eastAsia="Arial" w:hAnsi="Arial"/>
                <w:sz w:val="18"/>
                <w:szCs w:val="18"/>
                <w:color w:val="auto"/>
              </w:rPr>
              <w:t>Other deferred items and liabilities</w:t>
            </w:r>
          </w:p>
        </w:tc>
        <w:tc>
          <w:tcPr>
            <w:tcW w:w="1340" w:type="dxa"/>
            <w:vAlign w:val="bottom"/>
            <w:shd w:val="clear" w:color="auto" w:fill="CFF0FC"/>
          </w:tcPr>
          <w:p>
            <w:pPr>
              <w:spacing w:after="0"/>
              <w:rPr>
                <w:sz w:val="19"/>
                <w:szCs w:val="19"/>
                <w:color w:val="auto"/>
              </w:rPr>
            </w:pPr>
          </w:p>
        </w:tc>
        <w:tc>
          <w:tcPr>
            <w:tcW w:w="180" w:type="dxa"/>
            <w:vAlign w:val="bottom"/>
            <w:tcBorders>
              <w:bottom w:val="single" w:sz="8" w:color="auto"/>
            </w:tcBorders>
            <w:shd w:val="clear" w:color="auto" w:fill="CFF0FC"/>
          </w:tcPr>
          <w:p>
            <w:pPr>
              <w:spacing w:after="0"/>
              <w:rPr>
                <w:sz w:val="19"/>
                <w:szCs w:val="19"/>
                <w:color w:val="auto"/>
              </w:rPr>
            </w:pPr>
          </w:p>
        </w:tc>
        <w:tc>
          <w:tcPr>
            <w:tcW w:w="11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52,858</w:t>
            </w:r>
          </w:p>
        </w:tc>
        <w:tc>
          <w:tcPr>
            <w:tcW w:w="260" w:type="dxa"/>
            <w:vAlign w:val="bottom"/>
            <w:shd w:val="clear" w:color="auto" w:fill="CFF0FC"/>
          </w:tcPr>
          <w:p>
            <w:pPr>
              <w:spacing w:after="0"/>
              <w:rPr>
                <w:sz w:val="19"/>
                <w:szCs w:val="19"/>
                <w:color w:val="auto"/>
              </w:rPr>
            </w:pPr>
          </w:p>
        </w:tc>
        <w:tc>
          <w:tcPr>
            <w:tcW w:w="1600" w:type="dxa"/>
            <w:vAlign w:val="bottom"/>
            <w:gridSpan w:val="2"/>
            <w:shd w:val="clear" w:color="auto" w:fill="CFF0FC"/>
          </w:tcPr>
          <w:p>
            <w:pPr>
              <w:jc w:val="right"/>
              <w:ind w:right="28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auto"/>
            </w:tcBorders>
            <w:shd w:val="clear" w:color="auto" w:fill="CFF0FC"/>
          </w:tcPr>
          <w:p>
            <w:pPr>
              <w:spacing w:after="0"/>
              <w:rPr>
                <w:sz w:val="19"/>
                <w:szCs w:val="19"/>
                <w:color w:val="auto"/>
              </w:rPr>
            </w:pPr>
          </w:p>
        </w:tc>
        <w:tc>
          <w:tcPr>
            <w:tcW w:w="11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52,858</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2"/>
        </w:trPr>
        <w:tc>
          <w:tcPr>
            <w:tcW w:w="5420" w:type="dxa"/>
            <w:vAlign w:val="bottom"/>
          </w:tcPr>
          <w:p>
            <w:pPr>
              <w:ind w:left="140"/>
              <w:spacing w:after="0"/>
              <w:rPr>
                <w:sz w:val="20"/>
                <w:szCs w:val="20"/>
                <w:color w:val="auto"/>
              </w:rPr>
            </w:pPr>
            <w:r>
              <w:rPr>
                <w:rFonts w:ascii="Arial" w:cs="Arial" w:eastAsia="Arial" w:hAnsi="Arial"/>
                <w:sz w:val="18"/>
                <w:szCs w:val="18"/>
                <w:color w:val="auto"/>
              </w:rPr>
              <w:t>Total liabilities</w:t>
            </w:r>
          </w:p>
        </w:tc>
        <w:tc>
          <w:tcPr>
            <w:tcW w:w="13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470,314</w:t>
            </w:r>
          </w:p>
        </w:tc>
        <w:tc>
          <w:tcPr>
            <w:tcW w:w="260" w:type="dxa"/>
            <w:vAlign w:val="bottom"/>
          </w:tcPr>
          <w:p>
            <w:pPr>
              <w:spacing w:after="0"/>
              <w:rPr>
                <w:sz w:val="19"/>
                <w:szCs w:val="19"/>
                <w:color w:val="auto"/>
              </w:rPr>
            </w:pPr>
          </w:p>
        </w:tc>
        <w:tc>
          <w:tcPr>
            <w:tcW w:w="160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470,314</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5420" w:type="dxa"/>
            <w:vAlign w:val="bottom"/>
            <w:shd w:val="clear" w:color="auto" w:fill="CFF0FC"/>
          </w:tcPr>
          <w:p>
            <w:pPr>
              <w:spacing w:after="0"/>
              <w:rPr>
                <w:sz w:val="20"/>
                <w:szCs w:val="20"/>
                <w:color w:val="auto"/>
              </w:rPr>
            </w:pPr>
            <w:r>
              <w:rPr>
                <w:rFonts w:ascii="Arial" w:cs="Arial" w:eastAsia="Arial" w:hAnsi="Arial"/>
                <w:sz w:val="18"/>
                <w:szCs w:val="18"/>
                <w:color w:val="auto"/>
              </w:rPr>
              <w:t>Redeemable noncontrolling interest</w:t>
            </w:r>
          </w:p>
        </w:tc>
        <w:tc>
          <w:tcPr>
            <w:tcW w:w="1340" w:type="dxa"/>
            <w:vAlign w:val="bottom"/>
            <w:shd w:val="clear" w:color="auto" w:fill="CFF0FC"/>
          </w:tcPr>
          <w:p>
            <w:pPr>
              <w:spacing w:after="0"/>
              <w:rPr>
                <w:sz w:val="19"/>
                <w:szCs w:val="19"/>
                <w:color w:val="auto"/>
              </w:rPr>
            </w:pPr>
          </w:p>
        </w:tc>
        <w:tc>
          <w:tcPr>
            <w:tcW w:w="180" w:type="dxa"/>
            <w:vAlign w:val="bottom"/>
            <w:tcBorders>
              <w:bottom w:val="single" w:sz="8" w:color="auto"/>
            </w:tcBorders>
            <w:shd w:val="clear" w:color="auto" w:fill="CFF0FC"/>
          </w:tcPr>
          <w:p>
            <w:pPr>
              <w:spacing w:after="0"/>
              <w:rPr>
                <w:sz w:val="19"/>
                <w:szCs w:val="19"/>
                <w:color w:val="auto"/>
              </w:rPr>
            </w:pPr>
          </w:p>
        </w:tc>
        <w:tc>
          <w:tcPr>
            <w:tcW w:w="11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6,648</w:t>
            </w:r>
          </w:p>
        </w:tc>
        <w:tc>
          <w:tcPr>
            <w:tcW w:w="260" w:type="dxa"/>
            <w:vAlign w:val="bottom"/>
            <w:shd w:val="clear" w:color="auto" w:fill="CFF0FC"/>
          </w:tcPr>
          <w:p>
            <w:pPr>
              <w:spacing w:after="0"/>
              <w:rPr>
                <w:sz w:val="19"/>
                <w:szCs w:val="19"/>
                <w:color w:val="auto"/>
              </w:rPr>
            </w:pPr>
          </w:p>
        </w:tc>
        <w:tc>
          <w:tcPr>
            <w:tcW w:w="1600" w:type="dxa"/>
            <w:vAlign w:val="bottom"/>
            <w:gridSpan w:val="2"/>
            <w:shd w:val="clear" w:color="auto" w:fill="CFF0FC"/>
          </w:tcPr>
          <w:p>
            <w:pPr>
              <w:jc w:val="right"/>
              <w:ind w:right="28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auto"/>
            </w:tcBorders>
            <w:shd w:val="clear" w:color="auto" w:fill="CFF0FC"/>
          </w:tcPr>
          <w:p>
            <w:pPr>
              <w:spacing w:after="0"/>
              <w:rPr>
                <w:sz w:val="19"/>
                <w:szCs w:val="19"/>
                <w:color w:val="auto"/>
              </w:rPr>
            </w:pPr>
          </w:p>
        </w:tc>
        <w:tc>
          <w:tcPr>
            <w:tcW w:w="11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6,648</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2"/>
        </w:trPr>
        <w:tc>
          <w:tcPr>
            <w:tcW w:w="5420" w:type="dxa"/>
            <w:vAlign w:val="bottom"/>
            <w:tcBorders>
              <w:bottom w:val="single" w:sz="8" w:color="CFF0FC"/>
            </w:tcBorders>
          </w:tcPr>
          <w:p>
            <w:pPr>
              <w:spacing w:after="0"/>
              <w:rPr>
                <w:sz w:val="20"/>
                <w:szCs w:val="20"/>
                <w:color w:val="auto"/>
              </w:rPr>
            </w:pPr>
            <w:r>
              <w:rPr>
                <w:rFonts w:ascii="Arial" w:cs="Arial" w:eastAsia="Arial" w:hAnsi="Arial"/>
                <w:sz w:val="18"/>
                <w:szCs w:val="18"/>
                <w:color w:val="auto"/>
              </w:rPr>
              <w:t xml:space="preserve">Total stockholders' equity </w:t>
            </w:r>
            <w:r>
              <w:rPr>
                <w:rFonts w:ascii="Arial" w:cs="Arial" w:eastAsia="Arial" w:hAnsi="Arial"/>
                <w:sz w:val="15"/>
                <w:szCs w:val="15"/>
                <w:color w:val="auto"/>
              </w:rPr>
              <w:t>(3)</w:t>
            </w:r>
          </w:p>
        </w:tc>
        <w:tc>
          <w:tcPr>
            <w:tcW w:w="1340" w:type="dxa"/>
            <w:vAlign w:val="bottom"/>
            <w:tcBorders>
              <w:bottom w:val="single" w:sz="8" w:color="CFF0FC"/>
            </w:tcBorders>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11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442,937</w:t>
            </w:r>
          </w:p>
        </w:tc>
        <w:tc>
          <w:tcPr>
            <w:tcW w:w="260" w:type="dxa"/>
            <w:vAlign w:val="bottom"/>
            <w:tcBorders>
              <w:bottom w:val="single" w:sz="8" w:color="CFF0FC"/>
            </w:tcBorders>
          </w:tcPr>
          <w:p>
            <w:pPr>
              <w:spacing w:after="0"/>
              <w:rPr>
                <w:sz w:val="19"/>
                <w:szCs w:val="19"/>
                <w:color w:val="auto"/>
              </w:rPr>
            </w:pPr>
          </w:p>
        </w:tc>
        <w:tc>
          <w:tcPr>
            <w:tcW w:w="1600" w:type="dxa"/>
            <w:vAlign w:val="bottom"/>
            <w:tcBorders>
              <w:bottom w:val="single" w:sz="8" w:color="CFF0FC"/>
            </w:tcBorders>
            <w:gridSpan w:val="2"/>
          </w:tcPr>
          <w:p>
            <w:pPr>
              <w:jc w:val="right"/>
              <w:ind w:right="28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auto"/>
            </w:tcBorders>
          </w:tcPr>
          <w:p>
            <w:pPr>
              <w:spacing w:after="0"/>
              <w:rPr>
                <w:sz w:val="19"/>
                <w:szCs w:val="19"/>
                <w:color w:val="auto"/>
              </w:rPr>
            </w:pPr>
          </w:p>
        </w:tc>
        <w:tc>
          <w:tcPr>
            <w:tcW w:w="11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442,937</w:t>
            </w:r>
          </w:p>
        </w:tc>
        <w:tc>
          <w:tcPr>
            <w:tcW w:w="120" w:type="dxa"/>
            <w:vAlign w:val="bottom"/>
            <w:tcBorders>
              <w:bottom w:val="single" w:sz="8" w:color="CFF0FC"/>
            </w:tcBorders>
          </w:tcPr>
          <w:p>
            <w:pPr>
              <w:spacing w:after="0"/>
              <w:rPr>
                <w:sz w:val="19"/>
                <w:szCs w:val="19"/>
                <w:color w:val="auto"/>
              </w:rPr>
            </w:pPr>
          </w:p>
        </w:tc>
        <w:tc>
          <w:tcPr>
            <w:tcW w:w="0" w:type="dxa"/>
            <w:vAlign w:val="bottom"/>
          </w:tcPr>
          <w:p>
            <w:pPr>
              <w:spacing w:after="0"/>
              <w:rPr>
                <w:sz w:val="1"/>
                <w:szCs w:val="1"/>
                <w:color w:val="auto"/>
              </w:rPr>
            </w:pPr>
          </w:p>
        </w:tc>
      </w:tr>
      <w:tr>
        <w:trPr>
          <w:trHeight w:val="222"/>
        </w:trPr>
        <w:tc>
          <w:tcPr>
            <w:tcW w:w="5420" w:type="dxa"/>
            <w:vAlign w:val="bottom"/>
            <w:tcBorders>
              <w:bottom w:val="single" w:sz="8" w:color="CFF0FC"/>
            </w:tcBorders>
            <w:shd w:val="clear" w:color="auto" w:fill="CFF0FC"/>
          </w:tcPr>
          <w:p>
            <w:pPr>
              <w:ind w:left="140"/>
              <w:spacing w:after="0"/>
              <w:rPr>
                <w:sz w:val="20"/>
                <w:szCs w:val="20"/>
                <w:color w:val="auto"/>
              </w:rPr>
            </w:pPr>
            <w:r>
              <w:rPr>
                <w:rFonts w:ascii="Arial" w:cs="Arial" w:eastAsia="Arial" w:hAnsi="Arial"/>
                <w:sz w:val="18"/>
                <w:szCs w:val="18"/>
                <w:color w:val="auto"/>
              </w:rPr>
              <w:t>Total liabilities and stockholders' equity</w:t>
            </w:r>
          </w:p>
        </w:tc>
        <w:tc>
          <w:tcPr>
            <w:tcW w:w="1340" w:type="dxa"/>
            <w:vAlign w:val="bottom"/>
            <w:tcBorders>
              <w:bottom w:val="single" w:sz="8" w:color="CFF0FC"/>
            </w:tcBorders>
            <w:shd w:val="clear" w:color="auto" w:fill="CFF0FC"/>
          </w:tcPr>
          <w:p>
            <w:pPr>
              <w:spacing w:after="0"/>
              <w:rPr>
                <w:sz w:val="19"/>
                <w:szCs w:val="19"/>
                <w:color w:val="auto"/>
              </w:rPr>
            </w:pPr>
          </w:p>
        </w:tc>
        <w:tc>
          <w:tcPr>
            <w:tcW w:w="1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11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919,899</w:t>
            </w:r>
          </w:p>
        </w:tc>
        <w:tc>
          <w:tcPr>
            <w:tcW w:w="260" w:type="dxa"/>
            <w:vAlign w:val="bottom"/>
            <w:tcBorders>
              <w:bottom w:val="single" w:sz="8" w:color="CFF0FC"/>
            </w:tcBorders>
            <w:shd w:val="clear" w:color="auto" w:fill="CFF0FC"/>
          </w:tcPr>
          <w:p>
            <w:pPr>
              <w:spacing w:after="0"/>
              <w:rPr>
                <w:sz w:val="19"/>
                <w:szCs w:val="19"/>
                <w:color w:val="auto"/>
              </w:rPr>
            </w:pPr>
          </w:p>
        </w:tc>
        <w:tc>
          <w:tcPr>
            <w:tcW w:w="1600" w:type="dxa"/>
            <w:vAlign w:val="bottom"/>
            <w:tcBorders>
              <w:bottom w:val="single" w:sz="8" w:color="CFF0FC"/>
            </w:tcBorders>
            <w:gridSpan w:val="2"/>
            <w:shd w:val="clear" w:color="auto" w:fill="CFF0FC"/>
          </w:tcPr>
          <w:p>
            <w:pPr>
              <w:jc w:val="right"/>
              <w:ind w:right="28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auto"/>
            </w:tcBorders>
            <w:shd w:val="clear" w:color="auto" w:fill="CFF0FC"/>
          </w:tcPr>
          <w:p>
            <w:pPr>
              <w:jc w:val="right"/>
              <w:ind w:right="27"/>
              <w:spacing w:after="0"/>
              <w:rPr>
                <w:sz w:val="20"/>
                <w:szCs w:val="20"/>
                <w:color w:val="auto"/>
              </w:rPr>
            </w:pPr>
            <w:r>
              <w:rPr>
                <w:rFonts w:ascii="Arial" w:cs="Arial" w:eastAsia="Arial" w:hAnsi="Arial"/>
                <w:sz w:val="15"/>
                <w:szCs w:val="15"/>
                <w:color w:val="auto"/>
                <w:w w:val="71"/>
              </w:rPr>
              <w:t>$</w:t>
            </w:r>
          </w:p>
        </w:tc>
        <w:tc>
          <w:tcPr>
            <w:tcW w:w="11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919,899</w:t>
            </w:r>
          </w:p>
        </w:tc>
        <w:tc>
          <w:tcPr>
            <w:tcW w:w="120" w:type="dxa"/>
            <w:vAlign w:val="bottom"/>
            <w:tcBorders>
              <w:bottom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5420" w:type="dxa"/>
            <w:vAlign w:val="bottom"/>
          </w:tcPr>
          <w:p>
            <w:pPr>
              <w:spacing w:after="0" w:line="20" w:lineRule="exact"/>
              <w:rPr>
                <w:sz w:val="1"/>
                <w:szCs w:val="1"/>
                <w:color w:val="auto"/>
              </w:rPr>
            </w:pPr>
          </w:p>
        </w:tc>
        <w:tc>
          <w:tcPr>
            <w:tcW w:w="134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3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08" w:lineRule="exact"/>
        <w:rPr>
          <w:sz w:val="20"/>
          <w:szCs w:val="20"/>
          <w:color w:val="auto"/>
        </w:rPr>
      </w:pPr>
    </w:p>
    <w:p>
      <w:pPr>
        <w:jc w:val="both"/>
        <w:ind w:left="380" w:right="20" w:hanging="372"/>
        <w:spacing w:after="0" w:line="284" w:lineRule="auto"/>
        <w:tabs>
          <w:tab w:leader="none" w:pos="380" w:val="left"/>
        </w:tabs>
        <w:numPr>
          <w:ilvl w:val="0"/>
          <w:numId w:val="7"/>
        </w:numPr>
        <w:rPr>
          <w:rFonts w:ascii="Arial" w:cs="Arial" w:eastAsia="Arial" w:hAnsi="Arial"/>
          <w:sz w:val="13"/>
          <w:szCs w:val="13"/>
          <w:color w:val="auto"/>
        </w:rPr>
      </w:pPr>
      <w:r>
        <w:rPr>
          <w:rFonts w:ascii="Arial" w:cs="Arial" w:eastAsia="Arial" w:hAnsi="Arial"/>
          <w:sz w:val="16"/>
          <w:szCs w:val="16"/>
          <w:color w:val="auto"/>
        </w:rPr>
        <w:t>Contract costs primarily consist of deferred core services costs (including labor and vendor purchases) required to service future exhibitions, conferences and other events, and commission expenses incurred to obtain contracts. All such costs were previously included in “Inventories” and in other certain assets. As a result of the changes noted above, deferred core services costs related to exhibitions and events that are scheduled to occur longer than one year in the future are currently included in “Other investments and assets”. The impact of this change reduced total current assets at December 31, 2017 by $0.7 million. The amount of deferred core services costs included in “Other investments and assets” at March 31, 2018 was $4.6 million.</w:t>
      </w:r>
    </w:p>
    <w:p>
      <w:pPr>
        <w:spacing w:after="0" w:line="1" w:lineRule="exact"/>
        <w:rPr>
          <w:rFonts w:ascii="Arial" w:cs="Arial" w:eastAsia="Arial" w:hAnsi="Arial"/>
          <w:sz w:val="13"/>
          <w:szCs w:val="13"/>
          <w:color w:val="auto"/>
        </w:rPr>
      </w:pPr>
    </w:p>
    <w:p>
      <w:pPr>
        <w:jc w:val="both"/>
        <w:ind w:left="380" w:right="20" w:hanging="372"/>
        <w:spacing w:after="0" w:line="249" w:lineRule="auto"/>
        <w:tabs>
          <w:tab w:leader="none" w:pos="380" w:val="left"/>
        </w:tabs>
        <w:numPr>
          <w:ilvl w:val="0"/>
          <w:numId w:val="7"/>
        </w:numPr>
        <w:rPr>
          <w:rFonts w:ascii="Arial" w:cs="Arial" w:eastAsia="Arial" w:hAnsi="Arial"/>
          <w:sz w:val="15"/>
          <w:szCs w:val="15"/>
          <w:color w:val="auto"/>
        </w:rPr>
      </w:pPr>
      <w:r>
        <w:rPr>
          <w:rFonts w:ascii="Arial" w:cs="Arial" w:eastAsia="Arial" w:hAnsi="Arial"/>
          <w:sz w:val="18"/>
          <w:szCs w:val="18"/>
          <w:color w:val="auto"/>
        </w:rPr>
        <w:t>In connection with the adoption of Topic 606, we elected to more prominently present contract liabilities on the Consolidated Balance Sheets. Consequently, customer deposits of $33.4 million as of December 31, 2017, have been reclassified to “Contract liabilities” and to other certain current liabilities to conform to the current period presentation.</w:t>
      </w:r>
    </w:p>
    <w:p>
      <w:pPr>
        <w:spacing w:after="0" w:line="1" w:lineRule="exact"/>
        <w:rPr>
          <w:rFonts w:ascii="Arial" w:cs="Arial" w:eastAsia="Arial" w:hAnsi="Arial"/>
          <w:sz w:val="15"/>
          <w:szCs w:val="15"/>
          <w:color w:val="auto"/>
        </w:rPr>
      </w:pPr>
    </w:p>
    <w:p>
      <w:pPr>
        <w:ind w:left="380" w:right="20" w:hanging="372"/>
        <w:spacing w:after="0" w:line="258" w:lineRule="auto"/>
        <w:tabs>
          <w:tab w:leader="none" w:pos="380" w:val="left"/>
        </w:tabs>
        <w:numPr>
          <w:ilvl w:val="0"/>
          <w:numId w:val="7"/>
        </w:numPr>
        <w:rPr>
          <w:rFonts w:ascii="Arial" w:cs="Arial" w:eastAsia="Arial" w:hAnsi="Arial"/>
          <w:sz w:val="15"/>
          <w:szCs w:val="15"/>
          <w:color w:val="auto"/>
        </w:rPr>
      </w:pPr>
      <w:r>
        <w:rPr>
          <w:rFonts w:ascii="Arial" w:cs="Arial" w:eastAsia="Arial" w:hAnsi="Arial"/>
          <w:sz w:val="18"/>
          <w:szCs w:val="18"/>
          <w:color w:val="auto"/>
        </w:rPr>
        <w:t>The cumulative effect of initially applying Topic 606 as an adjustment to the opening balance of retained earnings was determined to be immaterial and therefore no adjustment was made.</w:t>
      </w:r>
    </w:p>
    <w:p>
      <w:pPr>
        <w:spacing w:after="0" w:line="28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Note 3. </w:t>
      </w:r>
      <w:r>
        <w:rPr>
          <w:rFonts w:ascii="Arial" w:cs="Arial" w:eastAsia="Arial" w:hAnsi="Arial"/>
          <w:sz w:val="18"/>
          <w:szCs w:val="18"/>
          <w:b w:val="1"/>
          <w:bCs w:val="1"/>
          <w:u w:val="single" w:color="auto"/>
          <w:color w:val="auto"/>
        </w:rPr>
        <w:t>Share-Based Compensation</w:t>
      </w:r>
    </w:p>
    <w:p>
      <w:pPr>
        <w:spacing w:after="0" w:line="120" w:lineRule="exact"/>
        <w:rPr>
          <w:sz w:val="20"/>
          <w:szCs w:val="20"/>
          <w:color w:val="auto"/>
        </w:rPr>
      </w:pPr>
    </w:p>
    <w:p>
      <w:pPr>
        <w:spacing w:after="0"/>
        <w:rPr>
          <w:sz w:val="20"/>
          <w:szCs w:val="20"/>
          <w:color w:val="auto"/>
        </w:rPr>
      </w:pPr>
      <w:r>
        <w:rPr>
          <w:rFonts w:ascii="Arial" w:cs="Arial" w:eastAsia="Arial" w:hAnsi="Arial"/>
          <w:sz w:val="18"/>
          <w:szCs w:val="18"/>
          <w:color w:val="auto"/>
        </w:rPr>
        <w:t>The following table summarizes share-based compensation expense:</w:t>
      </w:r>
    </w:p>
    <w:p>
      <w:pPr>
        <w:spacing w:after="0" w:line="295"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820" w:type="dxa"/>
            <w:vAlign w:val="bottom"/>
          </w:tcPr>
          <w:p>
            <w:pPr>
              <w:spacing w:after="0"/>
              <w:rPr>
                <w:sz w:val="14"/>
                <w:szCs w:val="14"/>
                <w:color w:val="auto"/>
              </w:rPr>
            </w:pPr>
          </w:p>
        </w:tc>
        <w:tc>
          <w:tcPr>
            <w:tcW w:w="304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2060" w:type="dxa"/>
            <w:vAlign w:val="bottom"/>
            <w:gridSpan w:val="4"/>
          </w:tcPr>
          <w:p>
            <w:pPr>
              <w:jc w:val="right"/>
              <w:spacing w:after="0"/>
              <w:rPr>
                <w:sz w:val="20"/>
                <w:szCs w:val="20"/>
                <w:color w:val="auto"/>
              </w:rPr>
            </w:pPr>
            <w:r>
              <w:rPr>
                <w:rFonts w:ascii="Arial" w:cs="Arial" w:eastAsia="Arial" w:hAnsi="Arial"/>
                <w:sz w:val="14"/>
                <w:szCs w:val="14"/>
                <w:b w:val="1"/>
                <w:bCs w:val="1"/>
                <w:color w:val="auto"/>
              </w:rPr>
              <w:t>Three Months Ended</w:t>
            </w:r>
          </w:p>
        </w:tc>
        <w:tc>
          <w:tcPr>
            <w:tcW w:w="10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1"/>
        </w:trPr>
        <w:tc>
          <w:tcPr>
            <w:tcW w:w="4820" w:type="dxa"/>
            <w:vAlign w:val="bottom"/>
            <w:vMerge w:val="restart"/>
          </w:tcPr>
          <w:p>
            <w:pPr>
              <w:spacing w:after="0"/>
              <w:rPr>
                <w:sz w:val="20"/>
                <w:szCs w:val="20"/>
                <w:color w:val="auto"/>
              </w:rPr>
            </w:pPr>
            <w:r>
              <w:rPr>
                <w:rFonts w:ascii="Arial" w:cs="Arial" w:eastAsia="Arial" w:hAnsi="Arial"/>
                <w:sz w:val="14"/>
                <w:szCs w:val="14"/>
                <w:i w:val="1"/>
                <w:iCs w:val="1"/>
                <w:color w:val="auto"/>
              </w:rPr>
              <w:t>(in thousands)</w:t>
            </w:r>
          </w:p>
        </w:tc>
        <w:tc>
          <w:tcPr>
            <w:tcW w:w="3040" w:type="dxa"/>
            <w:vAlign w:val="bottom"/>
          </w:tcPr>
          <w:p>
            <w:pPr>
              <w:spacing w:after="0"/>
              <w:rPr>
                <w:sz w:val="14"/>
                <w:szCs w:val="14"/>
                <w:color w:val="auto"/>
              </w:rPr>
            </w:pPr>
          </w:p>
        </w:tc>
        <w:tc>
          <w:tcPr>
            <w:tcW w:w="360" w:type="dxa"/>
            <w:vAlign w:val="bottom"/>
            <w:tcBorders>
              <w:bottom w:val="single" w:sz="8" w:color="auto"/>
            </w:tcBorders>
          </w:tcPr>
          <w:p>
            <w:pPr>
              <w:spacing w:after="0"/>
              <w:rPr>
                <w:sz w:val="14"/>
                <w:szCs w:val="14"/>
                <w:color w:val="auto"/>
              </w:rPr>
            </w:pPr>
          </w:p>
        </w:tc>
        <w:tc>
          <w:tcPr>
            <w:tcW w:w="2060" w:type="dxa"/>
            <w:vAlign w:val="bottom"/>
            <w:tcBorders>
              <w:bottom w:val="single" w:sz="8" w:color="auto"/>
            </w:tcBorders>
            <w:gridSpan w:val="4"/>
          </w:tcPr>
          <w:p>
            <w:pPr>
              <w:jc w:val="right"/>
              <w:ind w:right="327"/>
              <w:spacing w:after="0"/>
              <w:rPr>
                <w:sz w:val="20"/>
                <w:szCs w:val="20"/>
                <w:color w:val="auto"/>
              </w:rPr>
            </w:pPr>
            <w:r>
              <w:rPr>
                <w:rFonts w:ascii="Arial" w:cs="Arial" w:eastAsia="Arial" w:hAnsi="Arial"/>
                <w:sz w:val="14"/>
                <w:szCs w:val="14"/>
                <w:b w:val="1"/>
                <w:bCs w:val="1"/>
                <w:color w:val="auto"/>
              </w:rPr>
              <w:t>March 31,</w:t>
            </w:r>
          </w:p>
        </w:tc>
        <w:tc>
          <w:tcPr>
            <w:tcW w:w="1020" w:type="dxa"/>
            <w:vAlign w:val="bottom"/>
            <w:tcBorders>
              <w:bottom w:val="single" w:sz="8" w:color="auto"/>
            </w:tcBorders>
          </w:tcPr>
          <w:p>
            <w:pPr>
              <w:spacing w:after="0"/>
              <w:rPr>
                <w:sz w:val="14"/>
                <w:szCs w:val="14"/>
                <w:color w:val="auto"/>
              </w:rPr>
            </w:pPr>
          </w:p>
        </w:tc>
        <w:tc>
          <w:tcPr>
            <w:tcW w:w="1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5"/>
        </w:trPr>
        <w:tc>
          <w:tcPr>
            <w:tcW w:w="4820" w:type="dxa"/>
            <w:vAlign w:val="bottom"/>
            <w:tcBorders>
              <w:bottom w:val="single" w:sz="8" w:color="CFF0FC"/>
            </w:tcBorders>
            <w:vMerge w:val="continue"/>
          </w:tcPr>
          <w:p>
            <w:pPr>
              <w:spacing w:after="0"/>
              <w:rPr>
                <w:sz w:val="13"/>
                <w:szCs w:val="13"/>
                <w:color w:val="auto"/>
              </w:rPr>
            </w:pPr>
          </w:p>
        </w:tc>
        <w:tc>
          <w:tcPr>
            <w:tcW w:w="3040" w:type="dxa"/>
            <w:vAlign w:val="bottom"/>
            <w:tcBorders>
              <w:bottom w:val="single" w:sz="8" w:color="CFF0FC"/>
            </w:tcBorders>
          </w:tcPr>
          <w:p>
            <w:pPr>
              <w:spacing w:after="0"/>
              <w:rPr>
                <w:sz w:val="13"/>
                <w:szCs w:val="13"/>
                <w:color w:val="auto"/>
              </w:rPr>
            </w:pPr>
          </w:p>
        </w:tc>
        <w:tc>
          <w:tcPr>
            <w:tcW w:w="360" w:type="dxa"/>
            <w:vAlign w:val="bottom"/>
            <w:tcBorders>
              <w:bottom w:val="single" w:sz="8" w:color="auto"/>
            </w:tcBorders>
          </w:tcPr>
          <w:p>
            <w:pPr>
              <w:spacing w:after="0"/>
              <w:rPr>
                <w:sz w:val="13"/>
                <w:szCs w:val="13"/>
                <w:color w:val="auto"/>
              </w:rPr>
            </w:pPr>
          </w:p>
        </w:tc>
        <w:tc>
          <w:tcPr>
            <w:tcW w:w="1220" w:type="dxa"/>
            <w:vAlign w:val="bottom"/>
            <w:tcBorders>
              <w:bottom w:val="single" w:sz="8" w:color="auto"/>
            </w:tcBorders>
          </w:tcPr>
          <w:p>
            <w:pPr>
              <w:jc w:val="right"/>
              <w:ind w:right="576"/>
              <w:spacing w:after="0" w:line="155" w:lineRule="exact"/>
              <w:rPr>
                <w:sz w:val="20"/>
                <w:szCs w:val="20"/>
                <w:color w:val="auto"/>
              </w:rPr>
            </w:pPr>
            <w:r>
              <w:rPr>
                <w:rFonts w:ascii="Arial" w:cs="Arial" w:eastAsia="Arial" w:hAnsi="Arial"/>
                <w:sz w:val="14"/>
                <w:szCs w:val="14"/>
                <w:b w:val="1"/>
                <w:bCs w:val="1"/>
                <w:color w:val="auto"/>
              </w:rPr>
              <w:t>2018</w:t>
            </w:r>
          </w:p>
        </w:tc>
        <w:tc>
          <w:tcPr>
            <w:tcW w:w="160" w:type="dxa"/>
            <w:vAlign w:val="bottom"/>
            <w:tcBorders>
              <w:bottom w:val="single" w:sz="8" w:color="CFF0FC"/>
            </w:tcBorders>
          </w:tcPr>
          <w:p>
            <w:pPr>
              <w:spacing w:after="0"/>
              <w:rPr>
                <w:sz w:val="13"/>
                <w:szCs w:val="13"/>
                <w:color w:val="auto"/>
              </w:rPr>
            </w:pPr>
          </w:p>
        </w:tc>
        <w:tc>
          <w:tcPr>
            <w:tcW w:w="120" w:type="dxa"/>
            <w:vAlign w:val="bottom"/>
            <w:tcBorders>
              <w:bottom w:val="single" w:sz="8" w:color="CFF0FC"/>
            </w:tcBorders>
          </w:tcPr>
          <w:p>
            <w:pPr>
              <w:spacing w:after="0"/>
              <w:rPr>
                <w:sz w:val="13"/>
                <w:szCs w:val="13"/>
                <w:color w:val="auto"/>
              </w:rPr>
            </w:pPr>
          </w:p>
        </w:tc>
        <w:tc>
          <w:tcPr>
            <w:tcW w:w="560" w:type="dxa"/>
            <w:vAlign w:val="bottom"/>
            <w:tcBorders>
              <w:bottom w:val="single" w:sz="8" w:color="auto"/>
            </w:tcBorders>
          </w:tcPr>
          <w:p>
            <w:pPr>
              <w:spacing w:after="0"/>
              <w:rPr>
                <w:sz w:val="13"/>
                <w:szCs w:val="13"/>
                <w:color w:val="auto"/>
              </w:rPr>
            </w:pPr>
          </w:p>
        </w:tc>
        <w:tc>
          <w:tcPr>
            <w:tcW w:w="1020" w:type="dxa"/>
            <w:vAlign w:val="bottom"/>
            <w:tcBorders>
              <w:bottom w:val="single" w:sz="8" w:color="auto"/>
            </w:tcBorders>
          </w:tcPr>
          <w:p>
            <w:pPr>
              <w:jc w:val="right"/>
              <w:ind w:right="573"/>
              <w:spacing w:after="0" w:line="155" w:lineRule="exact"/>
              <w:rPr>
                <w:sz w:val="20"/>
                <w:szCs w:val="20"/>
                <w:color w:val="auto"/>
              </w:rPr>
            </w:pPr>
            <w:r>
              <w:rPr>
                <w:rFonts w:ascii="Arial" w:cs="Arial" w:eastAsia="Arial" w:hAnsi="Arial"/>
                <w:sz w:val="14"/>
                <w:szCs w:val="14"/>
                <w:b w:val="1"/>
                <w:bCs w:val="1"/>
                <w:color w:val="auto"/>
              </w:rPr>
              <w:t>2017</w:t>
            </w:r>
          </w:p>
        </w:tc>
        <w:tc>
          <w:tcPr>
            <w:tcW w:w="120" w:type="dxa"/>
            <w:vAlign w:val="bottom"/>
            <w:tcBorders>
              <w:bottom w:val="single" w:sz="8" w:color="CFF0FC"/>
            </w:tcBorders>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22"/>
        </w:trPr>
        <w:tc>
          <w:tcPr>
            <w:tcW w:w="4820" w:type="dxa"/>
            <w:vAlign w:val="bottom"/>
            <w:shd w:val="clear" w:color="auto" w:fill="CFF0FC"/>
          </w:tcPr>
          <w:p>
            <w:pPr>
              <w:spacing w:after="0"/>
              <w:rPr>
                <w:sz w:val="20"/>
                <w:szCs w:val="20"/>
                <w:color w:val="auto"/>
              </w:rPr>
            </w:pPr>
            <w:r>
              <w:rPr>
                <w:rFonts w:ascii="Arial" w:cs="Arial" w:eastAsia="Arial" w:hAnsi="Arial"/>
                <w:sz w:val="18"/>
                <w:szCs w:val="18"/>
                <w:color w:val="auto"/>
              </w:rPr>
              <w:t>Performance unit incentive plan (“PUP”)</w:t>
            </w:r>
          </w:p>
        </w:tc>
        <w:tc>
          <w:tcPr>
            <w:tcW w:w="3040" w:type="dxa"/>
            <w:vAlign w:val="bottom"/>
            <w:shd w:val="clear" w:color="auto" w:fill="CFF0FC"/>
          </w:tcPr>
          <w:p>
            <w:pPr>
              <w:spacing w:after="0"/>
              <w:rPr>
                <w:sz w:val="19"/>
                <w:szCs w:val="19"/>
                <w:color w:val="auto"/>
              </w:rPr>
            </w:pPr>
          </w:p>
        </w:tc>
        <w:tc>
          <w:tcPr>
            <w:tcW w:w="360" w:type="dxa"/>
            <w:vAlign w:val="bottom"/>
            <w:shd w:val="clear" w:color="auto" w:fill="CFF0FC"/>
          </w:tcPr>
          <w:p>
            <w:pPr>
              <w:jc w:val="right"/>
              <w:ind w:right="207"/>
              <w:spacing w:after="0"/>
              <w:rPr>
                <w:sz w:val="20"/>
                <w:szCs w:val="20"/>
                <w:color w:val="auto"/>
              </w:rPr>
            </w:pPr>
            <w:r>
              <w:rPr>
                <w:rFonts w:ascii="Arial" w:cs="Arial" w:eastAsia="Arial" w:hAnsi="Arial"/>
                <w:sz w:val="15"/>
                <w:szCs w:val="15"/>
                <w:color w:val="auto"/>
                <w:w w:val="71"/>
              </w:rPr>
              <w:t>$</w:t>
            </w:r>
          </w:p>
        </w:tc>
        <w:tc>
          <w:tcPr>
            <w:tcW w:w="12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194</w:t>
            </w:r>
          </w:p>
        </w:tc>
        <w:tc>
          <w:tcPr>
            <w:tcW w:w="16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560" w:type="dxa"/>
            <w:vAlign w:val="bottom"/>
            <w:shd w:val="clear" w:color="auto" w:fill="CFF0FC"/>
          </w:tcPr>
          <w:p>
            <w:pPr>
              <w:jc w:val="right"/>
              <w:ind w:right="407"/>
              <w:spacing w:after="0"/>
              <w:rPr>
                <w:sz w:val="20"/>
                <w:szCs w:val="20"/>
                <w:color w:val="auto"/>
              </w:rPr>
            </w:pPr>
            <w:r>
              <w:rPr>
                <w:rFonts w:ascii="Arial" w:cs="Arial" w:eastAsia="Arial" w:hAnsi="Arial"/>
                <w:sz w:val="15"/>
                <w:szCs w:val="15"/>
                <w:color w:val="auto"/>
                <w:w w:val="71"/>
              </w:rPr>
              <w:t>$</w:t>
            </w:r>
          </w:p>
        </w:tc>
        <w:tc>
          <w:tcPr>
            <w:tcW w:w="10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1,316</w:t>
            </w:r>
          </w:p>
        </w:tc>
        <w:tc>
          <w:tcPr>
            <w:tcW w:w="120" w:type="dxa"/>
            <w:vAlign w:val="bottom"/>
            <w:shd w:val="clear" w:color="auto" w:fill="CFF0FC"/>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4820" w:type="dxa"/>
            <w:vAlign w:val="bottom"/>
          </w:tcPr>
          <w:p>
            <w:pPr>
              <w:spacing w:after="0"/>
              <w:rPr>
                <w:sz w:val="20"/>
                <w:szCs w:val="20"/>
                <w:color w:val="auto"/>
              </w:rPr>
            </w:pPr>
            <w:r>
              <w:rPr>
                <w:rFonts w:ascii="Arial" w:cs="Arial" w:eastAsia="Arial" w:hAnsi="Arial"/>
                <w:sz w:val="18"/>
                <w:szCs w:val="18"/>
                <w:color w:val="auto"/>
              </w:rPr>
              <w:t>Restricted stock</w:t>
            </w:r>
          </w:p>
        </w:tc>
        <w:tc>
          <w:tcPr>
            <w:tcW w:w="304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503</w:t>
            </w:r>
          </w:p>
        </w:tc>
        <w:tc>
          <w:tcPr>
            <w:tcW w:w="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623</w:t>
            </w:r>
          </w:p>
        </w:tc>
        <w:tc>
          <w:tcPr>
            <w:tcW w:w="1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4820" w:type="dxa"/>
            <w:vAlign w:val="bottom"/>
            <w:shd w:val="clear" w:color="auto" w:fill="CFF0FC"/>
          </w:tcPr>
          <w:p>
            <w:pPr>
              <w:spacing w:after="0"/>
              <w:rPr>
                <w:sz w:val="20"/>
                <w:szCs w:val="20"/>
                <w:color w:val="auto"/>
              </w:rPr>
            </w:pPr>
            <w:r>
              <w:rPr>
                <w:rFonts w:ascii="Arial" w:cs="Arial" w:eastAsia="Arial" w:hAnsi="Arial"/>
                <w:sz w:val="18"/>
                <w:szCs w:val="18"/>
                <w:color w:val="auto"/>
              </w:rPr>
              <w:t>Restricted stock units</w:t>
            </w:r>
          </w:p>
        </w:tc>
        <w:tc>
          <w:tcPr>
            <w:tcW w:w="3040" w:type="dxa"/>
            <w:vAlign w:val="bottom"/>
            <w:shd w:val="clear" w:color="auto" w:fill="CFF0FC"/>
          </w:tcPr>
          <w:p>
            <w:pPr>
              <w:spacing w:after="0"/>
              <w:rPr>
                <w:sz w:val="19"/>
                <w:szCs w:val="19"/>
                <w:color w:val="auto"/>
              </w:rPr>
            </w:pPr>
          </w:p>
        </w:tc>
        <w:tc>
          <w:tcPr>
            <w:tcW w:w="360" w:type="dxa"/>
            <w:vAlign w:val="bottom"/>
            <w:tcBorders>
              <w:bottom w:val="single" w:sz="8" w:color="auto"/>
            </w:tcBorders>
            <w:shd w:val="clear" w:color="auto" w:fill="CFF0FC"/>
          </w:tcPr>
          <w:p>
            <w:pPr>
              <w:spacing w:after="0"/>
              <w:rPr>
                <w:sz w:val="19"/>
                <w:szCs w:val="19"/>
                <w:color w:val="auto"/>
              </w:rPr>
            </w:pPr>
          </w:p>
        </w:tc>
        <w:tc>
          <w:tcPr>
            <w:tcW w:w="12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20</w:t>
            </w:r>
          </w:p>
        </w:tc>
        <w:tc>
          <w:tcPr>
            <w:tcW w:w="16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560" w:type="dxa"/>
            <w:vAlign w:val="bottom"/>
            <w:tcBorders>
              <w:bottom w:val="single" w:sz="8" w:color="auto"/>
            </w:tcBorders>
            <w:shd w:val="clear" w:color="auto" w:fill="CFF0FC"/>
          </w:tcPr>
          <w:p>
            <w:pPr>
              <w:spacing w:after="0"/>
              <w:rPr>
                <w:sz w:val="19"/>
                <w:szCs w:val="19"/>
                <w:color w:val="auto"/>
              </w:rPr>
            </w:pPr>
          </w:p>
        </w:tc>
        <w:tc>
          <w:tcPr>
            <w:tcW w:w="10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60</w:t>
            </w:r>
          </w:p>
        </w:tc>
        <w:tc>
          <w:tcPr>
            <w:tcW w:w="120" w:type="dxa"/>
            <w:vAlign w:val="bottom"/>
            <w:shd w:val="clear" w:color="auto" w:fill="CFF0FC"/>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2"/>
        </w:trPr>
        <w:tc>
          <w:tcPr>
            <w:tcW w:w="4820" w:type="dxa"/>
            <w:vAlign w:val="bottom"/>
          </w:tcPr>
          <w:p>
            <w:pPr>
              <w:spacing w:after="0"/>
              <w:rPr>
                <w:sz w:val="20"/>
                <w:szCs w:val="20"/>
                <w:color w:val="auto"/>
              </w:rPr>
            </w:pPr>
            <w:r>
              <w:rPr>
                <w:rFonts w:ascii="Arial" w:cs="Arial" w:eastAsia="Arial" w:hAnsi="Arial"/>
                <w:sz w:val="18"/>
                <w:szCs w:val="18"/>
                <w:b w:val="1"/>
                <w:bCs w:val="1"/>
                <w:color w:val="auto"/>
              </w:rPr>
              <w:t>Share-based compensation before income tax benefit</w:t>
            </w:r>
          </w:p>
        </w:tc>
        <w:tc>
          <w:tcPr>
            <w:tcW w:w="304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717</w:t>
            </w:r>
          </w:p>
        </w:tc>
        <w:tc>
          <w:tcPr>
            <w:tcW w:w="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1,999</w:t>
            </w:r>
          </w:p>
        </w:tc>
        <w:tc>
          <w:tcPr>
            <w:tcW w:w="1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4820" w:type="dxa"/>
            <w:vAlign w:val="bottom"/>
            <w:shd w:val="clear" w:color="auto" w:fill="CFF0FC"/>
          </w:tcPr>
          <w:p>
            <w:pPr>
              <w:spacing w:after="0"/>
              <w:rPr>
                <w:sz w:val="20"/>
                <w:szCs w:val="20"/>
                <w:color w:val="auto"/>
              </w:rPr>
            </w:pPr>
            <w:r>
              <w:rPr>
                <w:rFonts w:ascii="Arial" w:cs="Arial" w:eastAsia="Arial" w:hAnsi="Arial"/>
                <w:sz w:val="18"/>
                <w:szCs w:val="18"/>
                <w:color w:val="auto"/>
              </w:rPr>
              <w:t>Income tax benefit</w:t>
            </w:r>
          </w:p>
        </w:tc>
        <w:tc>
          <w:tcPr>
            <w:tcW w:w="3040" w:type="dxa"/>
            <w:vAlign w:val="bottom"/>
            <w:shd w:val="clear" w:color="auto" w:fill="CFF0FC"/>
          </w:tcPr>
          <w:p>
            <w:pPr>
              <w:spacing w:after="0"/>
              <w:rPr>
                <w:sz w:val="19"/>
                <w:szCs w:val="19"/>
                <w:color w:val="auto"/>
              </w:rPr>
            </w:pPr>
          </w:p>
        </w:tc>
        <w:tc>
          <w:tcPr>
            <w:tcW w:w="360" w:type="dxa"/>
            <w:vAlign w:val="bottom"/>
            <w:shd w:val="clear" w:color="auto" w:fill="CFF0FC"/>
          </w:tcPr>
          <w:p>
            <w:pPr>
              <w:spacing w:after="0"/>
              <w:rPr>
                <w:sz w:val="19"/>
                <w:szCs w:val="19"/>
                <w:color w:val="auto"/>
              </w:rPr>
            </w:pPr>
          </w:p>
        </w:tc>
        <w:tc>
          <w:tcPr>
            <w:tcW w:w="1380" w:type="dxa"/>
            <w:vAlign w:val="bottom"/>
            <w:gridSpan w:val="2"/>
            <w:shd w:val="clear" w:color="auto" w:fill="CFF0FC"/>
          </w:tcPr>
          <w:p>
            <w:pPr>
              <w:jc w:val="right"/>
              <w:ind w:right="100"/>
              <w:spacing w:after="0"/>
              <w:rPr>
                <w:sz w:val="20"/>
                <w:szCs w:val="20"/>
                <w:color w:val="auto"/>
              </w:rPr>
            </w:pPr>
            <w:r>
              <w:rPr>
                <w:rFonts w:ascii="Arial" w:cs="Arial" w:eastAsia="Arial" w:hAnsi="Arial"/>
                <w:sz w:val="18"/>
                <w:szCs w:val="18"/>
                <w:color w:val="auto"/>
              </w:rPr>
              <w:t>(181)</w:t>
            </w:r>
          </w:p>
        </w:tc>
        <w:tc>
          <w:tcPr>
            <w:tcW w:w="120" w:type="dxa"/>
            <w:vAlign w:val="bottom"/>
            <w:shd w:val="clear" w:color="auto" w:fill="CFF0FC"/>
          </w:tcPr>
          <w:p>
            <w:pPr>
              <w:spacing w:after="0"/>
              <w:rPr>
                <w:sz w:val="19"/>
                <w:szCs w:val="19"/>
                <w:color w:val="auto"/>
              </w:rPr>
            </w:pPr>
          </w:p>
        </w:tc>
        <w:tc>
          <w:tcPr>
            <w:tcW w:w="560" w:type="dxa"/>
            <w:vAlign w:val="bottom"/>
            <w:shd w:val="clear" w:color="auto" w:fill="CFF0FC"/>
          </w:tcPr>
          <w:p>
            <w:pPr>
              <w:spacing w:after="0"/>
              <w:rPr>
                <w:sz w:val="19"/>
                <w:szCs w:val="19"/>
                <w:color w:val="auto"/>
              </w:rPr>
            </w:pPr>
          </w:p>
        </w:tc>
        <w:tc>
          <w:tcPr>
            <w:tcW w:w="1140" w:type="dxa"/>
            <w:vAlign w:val="bottom"/>
            <w:gridSpan w:val="2"/>
            <w:shd w:val="clear" w:color="auto" w:fill="CFF0FC"/>
          </w:tcPr>
          <w:p>
            <w:pPr>
              <w:jc w:val="right"/>
              <w:ind w:right="60"/>
              <w:spacing w:after="0"/>
              <w:rPr>
                <w:sz w:val="20"/>
                <w:szCs w:val="20"/>
                <w:color w:val="auto"/>
              </w:rPr>
            </w:pPr>
            <w:r>
              <w:rPr>
                <w:rFonts w:ascii="Arial" w:cs="Arial" w:eastAsia="Arial" w:hAnsi="Arial"/>
                <w:sz w:val="18"/>
                <w:szCs w:val="18"/>
                <w:color w:val="auto"/>
              </w:rPr>
              <w:t>(744)</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2"/>
        </w:trPr>
        <w:tc>
          <w:tcPr>
            <w:tcW w:w="4820" w:type="dxa"/>
            <w:vAlign w:val="bottom"/>
          </w:tcPr>
          <w:p>
            <w:pPr>
              <w:spacing w:after="0"/>
              <w:rPr>
                <w:sz w:val="20"/>
                <w:szCs w:val="20"/>
                <w:color w:val="auto"/>
              </w:rPr>
            </w:pPr>
            <w:r>
              <w:rPr>
                <w:rFonts w:ascii="Arial" w:cs="Arial" w:eastAsia="Arial" w:hAnsi="Arial"/>
                <w:sz w:val="18"/>
                <w:szCs w:val="18"/>
                <w:b w:val="1"/>
                <w:bCs w:val="1"/>
                <w:color w:val="auto"/>
              </w:rPr>
              <w:t>Share-based compensation, net of income tax benefit</w:t>
            </w:r>
          </w:p>
        </w:tc>
        <w:tc>
          <w:tcPr>
            <w:tcW w:w="3040" w:type="dxa"/>
            <w:vAlign w:val="bottom"/>
          </w:tcPr>
          <w:p>
            <w:pPr>
              <w:spacing w:after="0"/>
              <w:rPr>
                <w:sz w:val="19"/>
                <w:szCs w:val="19"/>
                <w:color w:val="auto"/>
              </w:rPr>
            </w:pPr>
          </w:p>
        </w:tc>
        <w:tc>
          <w:tcPr>
            <w:tcW w:w="360" w:type="dxa"/>
            <w:vAlign w:val="bottom"/>
            <w:tcBorders>
              <w:top w:val="single" w:sz="8" w:color="auto"/>
              <w:bottom w:val="single" w:sz="8" w:color="auto"/>
            </w:tcBorders>
          </w:tcPr>
          <w:p>
            <w:pPr>
              <w:jc w:val="right"/>
              <w:ind w:right="207"/>
              <w:spacing w:after="0"/>
              <w:rPr>
                <w:sz w:val="20"/>
                <w:szCs w:val="20"/>
                <w:color w:val="auto"/>
              </w:rPr>
            </w:pPr>
            <w:r>
              <w:rPr>
                <w:rFonts w:ascii="Arial" w:cs="Arial" w:eastAsia="Arial" w:hAnsi="Arial"/>
                <w:sz w:val="15"/>
                <w:szCs w:val="15"/>
                <w:color w:val="auto"/>
                <w:w w:val="71"/>
              </w:rPr>
              <w:t>$</w:t>
            </w:r>
          </w:p>
        </w:tc>
        <w:tc>
          <w:tcPr>
            <w:tcW w:w="12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536</w:t>
            </w:r>
          </w:p>
        </w:tc>
        <w:tc>
          <w:tcPr>
            <w:tcW w:w="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560" w:type="dxa"/>
            <w:vAlign w:val="bottom"/>
            <w:tcBorders>
              <w:top w:val="single" w:sz="8" w:color="auto"/>
              <w:bottom w:val="single" w:sz="8" w:color="auto"/>
            </w:tcBorders>
          </w:tcPr>
          <w:p>
            <w:pPr>
              <w:jc w:val="right"/>
              <w:ind w:right="407"/>
              <w:spacing w:after="0"/>
              <w:rPr>
                <w:sz w:val="20"/>
                <w:szCs w:val="20"/>
                <w:color w:val="auto"/>
              </w:rPr>
            </w:pPr>
            <w:r>
              <w:rPr>
                <w:rFonts w:ascii="Arial" w:cs="Arial" w:eastAsia="Arial" w:hAnsi="Arial"/>
                <w:sz w:val="15"/>
                <w:szCs w:val="15"/>
                <w:color w:val="auto"/>
                <w:w w:val="71"/>
              </w:rPr>
              <w:t>$</w:t>
            </w:r>
          </w:p>
        </w:tc>
        <w:tc>
          <w:tcPr>
            <w:tcW w:w="10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1,255</w:t>
            </w:r>
          </w:p>
        </w:tc>
        <w:tc>
          <w:tcPr>
            <w:tcW w:w="1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4820" w:type="dxa"/>
            <w:vAlign w:val="bottom"/>
          </w:tcPr>
          <w:p>
            <w:pPr>
              <w:spacing w:after="0" w:line="20" w:lineRule="exact"/>
              <w:rPr>
                <w:sz w:val="1"/>
                <w:szCs w:val="1"/>
                <w:color w:val="auto"/>
              </w:rPr>
            </w:pPr>
          </w:p>
        </w:tc>
        <w:tc>
          <w:tcPr>
            <w:tcW w:w="3040" w:type="dxa"/>
            <w:vAlign w:val="bottom"/>
            <w:vMerge w:val="restart"/>
          </w:tcPr>
          <w:p>
            <w:pPr>
              <w:jc w:val="right"/>
              <w:ind w:right="1970"/>
              <w:spacing w:after="0"/>
              <w:rPr>
                <w:sz w:val="20"/>
                <w:szCs w:val="20"/>
                <w:color w:val="auto"/>
              </w:rPr>
            </w:pPr>
            <w:r>
              <w:rPr>
                <w:rFonts w:ascii="Arial" w:cs="Arial" w:eastAsia="Arial" w:hAnsi="Arial"/>
                <w:sz w:val="18"/>
                <w:szCs w:val="18"/>
                <w:color w:val="auto"/>
              </w:rPr>
              <w:t>14</w:t>
            </w:r>
          </w:p>
        </w:tc>
        <w:tc>
          <w:tcPr>
            <w:tcW w:w="36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1"/>
        </w:trPr>
        <w:tc>
          <w:tcPr>
            <w:tcW w:w="4820" w:type="dxa"/>
            <w:vAlign w:val="bottom"/>
          </w:tcPr>
          <w:p>
            <w:pPr>
              <w:spacing w:after="0"/>
              <w:rPr>
                <w:sz w:val="24"/>
                <w:szCs w:val="24"/>
                <w:color w:val="auto"/>
              </w:rPr>
            </w:pPr>
          </w:p>
        </w:tc>
        <w:tc>
          <w:tcPr>
            <w:tcW w:w="3040" w:type="dxa"/>
            <w:vAlign w:val="bottom"/>
            <w:vMerge w:val="continue"/>
          </w:tcPr>
          <w:p>
            <w:pPr>
              <w:spacing w:after="0"/>
              <w:rPr>
                <w:sz w:val="24"/>
                <w:szCs w:val="24"/>
                <w:color w:val="auto"/>
              </w:rPr>
            </w:pPr>
          </w:p>
        </w:tc>
        <w:tc>
          <w:tcPr>
            <w:tcW w:w="36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4"/>
        </w:trPr>
        <w:tc>
          <w:tcPr>
            <w:tcW w:w="4820" w:type="dxa"/>
            <w:vAlign w:val="bottom"/>
            <w:tcBorders>
              <w:bottom w:val="single" w:sz="8" w:color="9A9A9A"/>
            </w:tcBorders>
          </w:tcPr>
          <w:p>
            <w:pPr>
              <w:spacing w:after="0"/>
              <w:rPr>
                <w:sz w:val="9"/>
                <w:szCs w:val="9"/>
                <w:color w:val="auto"/>
              </w:rPr>
            </w:pPr>
          </w:p>
        </w:tc>
        <w:tc>
          <w:tcPr>
            <w:tcW w:w="3040" w:type="dxa"/>
            <w:vAlign w:val="bottom"/>
            <w:tcBorders>
              <w:bottom w:val="single" w:sz="8" w:color="9A9A9A"/>
            </w:tcBorders>
          </w:tcPr>
          <w:p>
            <w:pPr>
              <w:spacing w:after="0"/>
              <w:rPr>
                <w:sz w:val="9"/>
                <w:szCs w:val="9"/>
                <w:color w:val="auto"/>
              </w:rPr>
            </w:pPr>
          </w:p>
        </w:tc>
        <w:tc>
          <w:tcPr>
            <w:tcW w:w="360" w:type="dxa"/>
            <w:vAlign w:val="bottom"/>
            <w:tcBorders>
              <w:bottom w:val="single" w:sz="8" w:color="9A9A9A"/>
            </w:tcBorders>
          </w:tcPr>
          <w:p>
            <w:pPr>
              <w:spacing w:after="0"/>
              <w:rPr>
                <w:sz w:val="9"/>
                <w:szCs w:val="9"/>
                <w:color w:val="auto"/>
              </w:rPr>
            </w:pPr>
          </w:p>
        </w:tc>
        <w:tc>
          <w:tcPr>
            <w:tcW w:w="1220" w:type="dxa"/>
            <w:vAlign w:val="bottom"/>
            <w:tcBorders>
              <w:bottom w:val="single" w:sz="8" w:color="9A9A9A"/>
            </w:tcBorders>
          </w:tcPr>
          <w:p>
            <w:pPr>
              <w:spacing w:after="0"/>
              <w:rPr>
                <w:sz w:val="9"/>
                <w:szCs w:val="9"/>
                <w:color w:val="auto"/>
              </w:rPr>
            </w:pPr>
          </w:p>
        </w:tc>
        <w:tc>
          <w:tcPr>
            <w:tcW w:w="160" w:type="dxa"/>
            <w:vAlign w:val="bottom"/>
            <w:tcBorders>
              <w:bottom w:val="single" w:sz="8" w:color="9A9A9A"/>
            </w:tcBorders>
          </w:tcPr>
          <w:p>
            <w:pPr>
              <w:spacing w:after="0"/>
              <w:rPr>
                <w:sz w:val="9"/>
                <w:szCs w:val="9"/>
                <w:color w:val="auto"/>
              </w:rPr>
            </w:pPr>
          </w:p>
        </w:tc>
        <w:tc>
          <w:tcPr>
            <w:tcW w:w="120" w:type="dxa"/>
            <w:vAlign w:val="bottom"/>
            <w:tcBorders>
              <w:bottom w:val="single" w:sz="8" w:color="9A9A9A"/>
            </w:tcBorders>
          </w:tcPr>
          <w:p>
            <w:pPr>
              <w:spacing w:after="0"/>
              <w:rPr>
                <w:sz w:val="9"/>
                <w:szCs w:val="9"/>
                <w:color w:val="auto"/>
              </w:rPr>
            </w:pPr>
          </w:p>
        </w:tc>
        <w:tc>
          <w:tcPr>
            <w:tcW w:w="560" w:type="dxa"/>
            <w:vAlign w:val="bottom"/>
            <w:tcBorders>
              <w:bottom w:val="single" w:sz="8" w:color="9A9A9A"/>
            </w:tcBorders>
          </w:tcPr>
          <w:p>
            <w:pPr>
              <w:spacing w:after="0"/>
              <w:rPr>
                <w:sz w:val="9"/>
                <w:szCs w:val="9"/>
                <w:color w:val="auto"/>
              </w:rPr>
            </w:pPr>
          </w:p>
        </w:tc>
        <w:tc>
          <w:tcPr>
            <w:tcW w:w="1020" w:type="dxa"/>
            <w:vAlign w:val="bottom"/>
            <w:tcBorders>
              <w:bottom w:val="single" w:sz="8" w:color="9A9A9A"/>
            </w:tcBorders>
          </w:tcPr>
          <w:p>
            <w:pPr>
              <w:spacing w:after="0"/>
              <w:rPr>
                <w:sz w:val="9"/>
                <w:szCs w:val="9"/>
                <w:color w:val="auto"/>
              </w:rPr>
            </w:pPr>
          </w:p>
        </w:tc>
        <w:tc>
          <w:tcPr>
            <w:tcW w:w="120" w:type="dxa"/>
            <w:vAlign w:val="bottom"/>
            <w:tcBorders>
              <w:bottom w:val="single" w:sz="8" w:color="9A9A9A"/>
            </w:tcBorders>
          </w:tcPr>
          <w:p>
            <w:pPr>
              <w:spacing w:after="0"/>
              <w:rPr>
                <w:sz w:val="9"/>
                <w:szCs w:val="9"/>
                <w:color w:val="auto"/>
              </w:rPr>
            </w:pPr>
          </w:p>
        </w:tc>
        <w:tc>
          <w:tcPr>
            <w:tcW w:w="20" w:type="dxa"/>
            <w:vAlign w:val="bottom"/>
            <w:tcBorders>
              <w:bottom w:val="single" w:sz="8" w:color="9A9A9A"/>
            </w:tcBorders>
          </w:tcPr>
          <w:p>
            <w:pPr>
              <w:spacing w:after="0"/>
              <w:rPr>
                <w:sz w:val="9"/>
                <w:szCs w:val="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7247890</wp:posOffset>
            </wp:positionH>
            <wp:positionV relativeFrom="paragraph">
              <wp:posOffset>-29210</wp:posOffset>
            </wp:positionV>
            <wp:extent cx="33655" cy="4254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3655" cy="425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33655" cy="42545"/>
                    </a:xfrm>
                    <a:prstGeom prst="rect">
                      <a:avLst/>
                    </a:prstGeom>
                    <a:noFill/>
                  </pic:spPr>
                </pic:pic>
              </a:graphicData>
            </a:graphic>
          </wp:anchor>
        </w:drawing>
      </w:r>
    </w:p>
    <w:p>
      <w:pPr>
        <w:sectPr>
          <w:pgSz w:w="11900" w:h="16838" w:orient="portrait"/>
          <w:cols w:equalWidth="0" w:num="1">
            <w:col w:w="11440"/>
          </w:cols>
          <w:pgMar w:left="240" w:top="484" w:right="219" w:bottom="1440" w:gutter="0" w:footer="0" w:header="0"/>
        </w:sectPr>
      </w:pPr>
    </w:p>
    <w:bookmarkStart w:id="16" w:name="page17"/>
    <w:bookmarkEnd w:id="16"/>
    <w:p>
      <w:pPr>
        <w:spacing w:after="0"/>
        <w:rPr>
          <w:sz w:val="20"/>
          <w:szCs w:val="20"/>
          <w:color w:val="auto"/>
        </w:rPr>
      </w:pPr>
      <w:r>
        <w:rPr>
          <w:rFonts w:ascii="Arial" w:cs="Arial" w:eastAsia="Arial" w:hAnsi="Arial"/>
          <w:sz w:val="17"/>
          <w:szCs w:val="17"/>
          <w:color w:val="auto"/>
        </w:rPr>
        <w:t>We did not record any share-based compensation expense through restructuring expense during the three months ended March 31, 2018 or 2017.</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The following table summarizes the activity of the outstanding share-based compensation awards:</w:t>
      </w:r>
    </w:p>
    <w:p>
      <w:pPr>
        <w:spacing w:after="0" w:line="295"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4760" w:type="dxa"/>
            <w:vAlign w:val="bottom"/>
          </w:tcPr>
          <w:p>
            <w:pPr>
              <w:spacing w:after="0"/>
              <w:rPr>
                <w:sz w:val="14"/>
                <w:szCs w:val="14"/>
                <w:color w:val="auto"/>
              </w:rPr>
            </w:pPr>
          </w:p>
        </w:tc>
        <w:tc>
          <w:tcPr>
            <w:tcW w:w="2240" w:type="dxa"/>
            <w:vAlign w:val="bottom"/>
            <w:gridSpan w:val="6"/>
          </w:tcPr>
          <w:p>
            <w:pPr>
              <w:ind w:left="620"/>
              <w:spacing w:after="0"/>
              <w:rPr>
                <w:sz w:val="20"/>
                <w:szCs w:val="20"/>
                <w:color w:val="auto"/>
              </w:rPr>
            </w:pPr>
            <w:r>
              <w:rPr>
                <w:rFonts w:ascii="Arial" w:cs="Arial" w:eastAsia="Arial" w:hAnsi="Arial"/>
                <w:sz w:val="14"/>
                <w:szCs w:val="14"/>
                <w:b w:val="1"/>
                <w:bCs w:val="1"/>
                <w:color w:val="auto"/>
              </w:rPr>
              <w:t>PUP Awards</w:t>
            </w:r>
          </w:p>
        </w:tc>
        <w:tc>
          <w:tcPr>
            <w:tcW w:w="2260" w:type="dxa"/>
            <w:vAlign w:val="bottom"/>
            <w:gridSpan w:val="5"/>
          </w:tcPr>
          <w:p>
            <w:pPr>
              <w:ind w:left="500"/>
              <w:spacing w:after="0"/>
              <w:rPr>
                <w:sz w:val="20"/>
                <w:szCs w:val="20"/>
                <w:color w:val="auto"/>
              </w:rPr>
            </w:pPr>
            <w:r>
              <w:rPr>
                <w:rFonts w:ascii="Arial" w:cs="Arial" w:eastAsia="Arial" w:hAnsi="Arial"/>
                <w:sz w:val="14"/>
                <w:szCs w:val="14"/>
                <w:b w:val="1"/>
                <w:bCs w:val="1"/>
                <w:color w:val="auto"/>
              </w:rPr>
              <w:t>Restricted Stock</w:t>
            </w:r>
          </w:p>
        </w:tc>
        <w:tc>
          <w:tcPr>
            <w:tcW w:w="2160" w:type="dxa"/>
            <w:vAlign w:val="bottom"/>
            <w:gridSpan w:val="5"/>
          </w:tcPr>
          <w:p>
            <w:pPr>
              <w:ind w:left="340"/>
              <w:spacing w:after="0"/>
              <w:rPr>
                <w:sz w:val="20"/>
                <w:szCs w:val="20"/>
                <w:color w:val="auto"/>
              </w:rPr>
            </w:pPr>
            <w:r>
              <w:rPr>
                <w:rFonts w:ascii="Arial" w:cs="Arial" w:eastAsia="Arial" w:hAnsi="Arial"/>
                <w:sz w:val="14"/>
                <w:szCs w:val="14"/>
                <w:b w:val="1"/>
                <w:bCs w:val="1"/>
                <w:color w:val="auto"/>
              </w:rPr>
              <w:t>Restricted Stock Units</w:t>
            </w:r>
          </w:p>
        </w:tc>
        <w:tc>
          <w:tcPr>
            <w:tcW w:w="0" w:type="dxa"/>
            <w:vAlign w:val="bottom"/>
          </w:tcPr>
          <w:p>
            <w:pPr>
              <w:spacing w:after="0"/>
              <w:rPr>
                <w:sz w:val="1"/>
                <w:szCs w:val="1"/>
                <w:color w:val="auto"/>
              </w:rPr>
            </w:pPr>
          </w:p>
        </w:tc>
      </w:tr>
      <w:tr>
        <w:trPr>
          <w:trHeight w:val="132"/>
        </w:trPr>
        <w:tc>
          <w:tcPr>
            <w:tcW w:w="4760" w:type="dxa"/>
            <w:vAlign w:val="bottom"/>
          </w:tcPr>
          <w:p>
            <w:pPr>
              <w:spacing w:after="0"/>
              <w:rPr>
                <w:sz w:val="11"/>
                <w:szCs w:val="11"/>
                <w:color w:val="auto"/>
              </w:rPr>
            </w:pPr>
          </w:p>
        </w:tc>
        <w:tc>
          <w:tcPr>
            <w:tcW w:w="900" w:type="dxa"/>
            <w:vAlign w:val="bottom"/>
            <w:tcBorders>
              <w:top w:val="single" w:sz="8" w:color="auto"/>
            </w:tcBorders>
          </w:tcPr>
          <w:p>
            <w:pPr>
              <w:spacing w:after="0"/>
              <w:rPr>
                <w:sz w:val="11"/>
                <w:szCs w:val="11"/>
                <w:color w:val="auto"/>
              </w:rPr>
            </w:pPr>
          </w:p>
        </w:tc>
        <w:tc>
          <w:tcPr>
            <w:tcW w:w="140" w:type="dxa"/>
            <w:vAlign w:val="bottom"/>
            <w:tcBorders>
              <w:top w:val="single" w:sz="8" w:color="auto"/>
            </w:tcBorders>
          </w:tcPr>
          <w:p>
            <w:pPr>
              <w:spacing w:after="0"/>
              <w:rPr>
                <w:sz w:val="11"/>
                <w:szCs w:val="11"/>
                <w:color w:val="auto"/>
              </w:rPr>
            </w:pPr>
          </w:p>
        </w:tc>
        <w:tc>
          <w:tcPr>
            <w:tcW w:w="80" w:type="dxa"/>
            <w:vAlign w:val="bottom"/>
            <w:tcBorders>
              <w:top w:val="single" w:sz="8" w:color="auto"/>
            </w:tcBorders>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800" w:type="dxa"/>
            <w:vAlign w:val="bottom"/>
            <w:tcBorders>
              <w:top w:val="single" w:sz="8" w:color="auto"/>
            </w:tcBorders>
          </w:tcPr>
          <w:p>
            <w:pPr>
              <w:jc w:val="center"/>
              <w:ind w:right="18"/>
              <w:spacing w:after="0" w:line="132" w:lineRule="exact"/>
              <w:rPr>
                <w:sz w:val="20"/>
                <w:szCs w:val="20"/>
                <w:color w:val="auto"/>
              </w:rPr>
            </w:pPr>
            <w:r>
              <w:rPr>
                <w:rFonts w:ascii="Arial" w:cs="Arial" w:eastAsia="Arial" w:hAnsi="Arial"/>
                <w:sz w:val="14"/>
                <w:szCs w:val="14"/>
                <w:b w:val="1"/>
                <w:bCs w:val="1"/>
                <w:color w:val="auto"/>
                <w:w w:val="91"/>
              </w:rPr>
              <w:t>Weighted-</w:t>
            </w:r>
          </w:p>
        </w:tc>
        <w:tc>
          <w:tcPr>
            <w:tcW w:w="220" w:type="dxa"/>
            <w:vAlign w:val="bottom"/>
          </w:tcPr>
          <w:p>
            <w:pPr>
              <w:spacing w:after="0"/>
              <w:rPr>
                <w:sz w:val="11"/>
                <w:szCs w:val="11"/>
                <w:color w:val="auto"/>
              </w:rPr>
            </w:pPr>
          </w:p>
        </w:tc>
        <w:tc>
          <w:tcPr>
            <w:tcW w:w="920" w:type="dxa"/>
            <w:vAlign w:val="bottom"/>
            <w:tcBorders>
              <w:top w:val="single" w:sz="8" w:color="auto"/>
            </w:tcBorders>
          </w:tcPr>
          <w:p>
            <w:pPr>
              <w:spacing w:after="0"/>
              <w:rPr>
                <w:sz w:val="11"/>
                <w:szCs w:val="11"/>
                <w:color w:val="auto"/>
              </w:rPr>
            </w:pPr>
          </w:p>
        </w:tc>
        <w:tc>
          <w:tcPr>
            <w:tcW w:w="200" w:type="dxa"/>
            <w:vAlign w:val="bottom"/>
            <w:tcBorders>
              <w:top w:val="single" w:sz="8" w:color="auto"/>
            </w:tcBorders>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820" w:type="dxa"/>
            <w:vAlign w:val="bottom"/>
            <w:tcBorders>
              <w:top w:val="single" w:sz="8" w:color="auto"/>
            </w:tcBorders>
          </w:tcPr>
          <w:p>
            <w:pPr>
              <w:jc w:val="center"/>
              <w:ind w:right="18"/>
              <w:spacing w:after="0" w:line="132" w:lineRule="exact"/>
              <w:rPr>
                <w:sz w:val="20"/>
                <w:szCs w:val="20"/>
                <w:color w:val="auto"/>
              </w:rPr>
            </w:pPr>
            <w:r>
              <w:rPr>
                <w:rFonts w:ascii="Arial" w:cs="Arial" w:eastAsia="Arial" w:hAnsi="Arial"/>
                <w:sz w:val="14"/>
                <w:szCs w:val="14"/>
                <w:b w:val="1"/>
                <w:bCs w:val="1"/>
                <w:color w:val="auto"/>
                <w:w w:val="94"/>
              </w:rPr>
              <w:t>Weighted-</w:t>
            </w:r>
          </w:p>
        </w:tc>
        <w:tc>
          <w:tcPr>
            <w:tcW w:w="220" w:type="dxa"/>
            <w:vAlign w:val="bottom"/>
          </w:tcPr>
          <w:p>
            <w:pPr>
              <w:spacing w:after="0"/>
              <w:rPr>
                <w:sz w:val="11"/>
                <w:szCs w:val="11"/>
                <w:color w:val="auto"/>
              </w:rPr>
            </w:pPr>
          </w:p>
        </w:tc>
        <w:tc>
          <w:tcPr>
            <w:tcW w:w="920" w:type="dxa"/>
            <w:vAlign w:val="bottom"/>
            <w:tcBorders>
              <w:top w:val="single" w:sz="8" w:color="auto"/>
            </w:tcBorders>
          </w:tcPr>
          <w:p>
            <w:pPr>
              <w:spacing w:after="0"/>
              <w:rPr>
                <w:sz w:val="11"/>
                <w:szCs w:val="11"/>
                <w:color w:val="auto"/>
              </w:rPr>
            </w:pPr>
          </w:p>
        </w:tc>
        <w:tc>
          <w:tcPr>
            <w:tcW w:w="200" w:type="dxa"/>
            <w:vAlign w:val="bottom"/>
            <w:tcBorders>
              <w:top w:val="single" w:sz="8" w:color="auto"/>
            </w:tcBorders>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840" w:type="dxa"/>
            <w:vAlign w:val="bottom"/>
            <w:tcBorders>
              <w:top w:val="single" w:sz="8" w:color="auto"/>
            </w:tcBorders>
          </w:tcPr>
          <w:p>
            <w:pPr>
              <w:jc w:val="center"/>
              <w:ind w:right="38"/>
              <w:spacing w:after="0" w:line="132" w:lineRule="exact"/>
              <w:rPr>
                <w:sz w:val="20"/>
                <w:szCs w:val="20"/>
                <w:color w:val="auto"/>
              </w:rPr>
            </w:pPr>
            <w:r>
              <w:rPr>
                <w:rFonts w:ascii="Arial" w:cs="Arial" w:eastAsia="Arial" w:hAnsi="Arial"/>
                <w:sz w:val="14"/>
                <w:szCs w:val="14"/>
                <w:b w:val="1"/>
                <w:bCs w:val="1"/>
                <w:color w:val="auto"/>
                <w:w w:val="94"/>
              </w:rPr>
              <w:t>Weighted-</w:t>
            </w: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8"/>
        </w:trPr>
        <w:tc>
          <w:tcPr>
            <w:tcW w:w="476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20" w:type="dxa"/>
            <w:vAlign w:val="bottom"/>
            <w:gridSpan w:val="2"/>
          </w:tcPr>
          <w:p>
            <w:pPr>
              <w:jc w:val="center"/>
              <w:ind w:right="320"/>
              <w:spacing w:after="0" w:line="148" w:lineRule="exact"/>
              <w:rPr>
                <w:sz w:val="20"/>
                <w:szCs w:val="20"/>
                <w:color w:val="auto"/>
              </w:rPr>
            </w:pPr>
            <w:r>
              <w:rPr>
                <w:rFonts w:ascii="Arial" w:cs="Arial" w:eastAsia="Arial" w:hAnsi="Arial"/>
                <w:sz w:val="14"/>
                <w:szCs w:val="14"/>
                <w:b w:val="1"/>
                <w:bCs w:val="1"/>
                <w:color w:val="auto"/>
                <w:w w:val="90"/>
              </w:rPr>
              <w:t>Average</w:t>
            </w:r>
          </w:p>
        </w:tc>
        <w:tc>
          <w:tcPr>
            <w:tcW w:w="9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40" w:type="dxa"/>
            <w:vAlign w:val="bottom"/>
            <w:gridSpan w:val="2"/>
          </w:tcPr>
          <w:p>
            <w:pPr>
              <w:jc w:val="center"/>
              <w:ind w:right="340"/>
              <w:spacing w:after="0" w:line="148" w:lineRule="exact"/>
              <w:rPr>
                <w:sz w:val="20"/>
                <w:szCs w:val="20"/>
                <w:color w:val="auto"/>
              </w:rPr>
            </w:pPr>
            <w:r>
              <w:rPr>
                <w:rFonts w:ascii="Arial" w:cs="Arial" w:eastAsia="Arial" w:hAnsi="Arial"/>
                <w:sz w:val="14"/>
                <w:szCs w:val="14"/>
                <w:b w:val="1"/>
                <w:bCs w:val="1"/>
                <w:color w:val="auto"/>
                <w:w w:val="90"/>
              </w:rPr>
              <w:t>Average</w:t>
            </w:r>
          </w:p>
        </w:tc>
        <w:tc>
          <w:tcPr>
            <w:tcW w:w="9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40" w:type="dxa"/>
            <w:vAlign w:val="bottom"/>
            <w:gridSpan w:val="2"/>
          </w:tcPr>
          <w:p>
            <w:pPr>
              <w:jc w:val="center"/>
              <w:ind w:right="200"/>
              <w:spacing w:after="0" w:line="148" w:lineRule="exact"/>
              <w:rPr>
                <w:sz w:val="20"/>
                <w:szCs w:val="20"/>
                <w:color w:val="auto"/>
              </w:rPr>
            </w:pPr>
            <w:r>
              <w:rPr>
                <w:rFonts w:ascii="Arial" w:cs="Arial" w:eastAsia="Arial" w:hAnsi="Arial"/>
                <w:sz w:val="14"/>
                <w:szCs w:val="14"/>
                <w:b w:val="1"/>
                <w:bCs w:val="1"/>
                <w:color w:val="auto"/>
                <w:w w:val="90"/>
              </w:rPr>
              <w:t>Average</w:t>
            </w:r>
          </w:p>
        </w:tc>
        <w:tc>
          <w:tcPr>
            <w:tcW w:w="0" w:type="dxa"/>
            <w:vAlign w:val="bottom"/>
          </w:tcPr>
          <w:p>
            <w:pPr>
              <w:spacing w:after="0"/>
              <w:rPr>
                <w:sz w:val="1"/>
                <w:szCs w:val="1"/>
                <w:color w:val="auto"/>
              </w:rPr>
            </w:pPr>
          </w:p>
        </w:tc>
      </w:tr>
      <w:tr>
        <w:trPr>
          <w:trHeight w:val="148"/>
        </w:trPr>
        <w:tc>
          <w:tcPr>
            <w:tcW w:w="4760" w:type="dxa"/>
            <w:vAlign w:val="bottom"/>
          </w:tcPr>
          <w:p>
            <w:pPr>
              <w:spacing w:after="0"/>
              <w:rPr>
                <w:sz w:val="12"/>
                <w:szCs w:val="12"/>
                <w:color w:val="auto"/>
              </w:rPr>
            </w:pPr>
          </w:p>
        </w:tc>
        <w:tc>
          <w:tcPr>
            <w:tcW w:w="1040" w:type="dxa"/>
            <w:vAlign w:val="bottom"/>
            <w:gridSpan w:val="2"/>
            <w:vMerge w:val="restart"/>
          </w:tcPr>
          <w:p>
            <w:pPr>
              <w:jc w:val="right"/>
              <w:ind w:right="380"/>
              <w:spacing w:after="0"/>
              <w:rPr>
                <w:sz w:val="20"/>
                <w:szCs w:val="20"/>
                <w:color w:val="auto"/>
              </w:rPr>
            </w:pPr>
            <w:r>
              <w:rPr>
                <w:rFonts w:ascii="Arial" w:cs="Arial" w:eastAsia="Arial" w:hAnsi="Arial"/>
                <w:sz w:val="14"/>
                <w:szCs w:val="14"/>
                <w:b w:val="1"/>
                <w:bCs w:val="1"/>
                <w:color w:val="auto"/>
              </w:rPr>
              <w:t>Shares</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20" w:type="dxa"/>
            <w:vAlign w:val="bottom"/>
            <w:gridSpan w:val="2"/>
          </w:tcPr>
          <w:p>
            <w:pPr>
              <w:jc w:val="center"/>
              <w:ind w:right="320"/>
              <w:spacing w:after="0" w:line="148" w:lineRule="exact"/>
              <w:rPr>
                <w:sz w:val="20"/>
                <w:szCs w:val="20"/>
                <w:color w:val="auto"/>
              </w:rPr>
            </w:pPr>
            <w:r>
              <w:rPr>
                <w:rFonts w:ascii="Arial" w:cs="Arial" w:eastAsia="Arial" w:hAnsi="Arial"/>
                <w:sz w:val="14"/>
                <w:szCs w:val="14"/>
                <w:b w:val="1"/>
                <w:bCs w:val="1"/>
                <w:color w:val="auto"/>
                <w:w w:val="97"/>
              </w:rPr>
              <w:t>Grant Date</w:t>
            </w:r>
          </w:p>
        </w:tc>
        <w:tc>
          <w:tcPr>
            <w:tcW w:w="1120" w:type="dxa"/>
            <w:vAlign w:val="bottom"/>
            <w:gridSpan w:val="2"/>
            <w:vMerge w:val="restart"/>
          </w:tcPr>
          <w:p>
            <w:pPr>
              <w:jc w:val="right"/>
              <w:ind w:right="460"/>
              <w:spacing w:after="0"/>
              <w:rPr>
                <w:sz w:val="20"/>
                <w:szCs w:val="20"/>
                <w:color w:val="auto"/>
              </w:rPr>
            </w:pPr>
            <w:r>
              <w:rPr>
                <w:rFonts w:ascii="Arial" w:cs="Arial" w:eastAsia="Arial" w:hAnsi="Arial"/>
                <w:sz w:val="14"/>
                <w:szCs w:val="14"/>
                <w:b w:val="1"/>
                <w:bCs w:val="1"/>
                <w:color w:val="auto"/>
              </w:rPr>
              <w:t>Shares</w:t>
            </w:r>
          </w:p>
        </w:tc>
        <w:tc>
          <w:tcPr>
            <w:tcW w:w="100" w:type="dxa"/>
            <w:vAlign w:val="bottom"/>
          </w:tcPr>
          <w:p>
            <w:pPr>
              <w:spacing w:after="0"/>
              <w:rPr>
                <w:sz w:val="12"/>
                <w:szCs w:val="12"/>
                <w:color w:val="auto"/>
              </w:rPr>
            </w:pPr>
          </w:p>
        </w:tc>
        <w:tc>
          <w:tcPr>
            <w:tcW w:w="1040" w:type="dxa"/>
            <w:vAlign w:val="bottom"/>
            <w:gridSpan w:val="2"/>
          </w:tcPr>
          <w:p>
            <w:pPr>
              <w:jc w:val="center"/>
              <w:ind w:right="340"/>
              <w:spacing w:after="0" w:line="148" w:lineRule="exact"/>
              <w:rPr>
                <w:sz w:val="20"/>
                <w:szCs w:val="20"/>
                <w:color w:val="auto"/>
              </w:rPr>
            </w:pPr>
            <w:r>
              <w:rPr>
                <w:rFonts w:ascii="Arial" w:cs="Arial" w:eastAsia="Arial" w:hAnsi="Arial"/>
                <w:sz w:val="14"/>
                <w:szCs w:val="14"/>
                <w:b w:val="1"/>
                <w:bCs w:val="1"/>
                <w:color w:val="auto"/>
                <w:w w:val="97"/>
              </w:rPr>
              <w:t>Grant Date</w:t>
            </w:r>
          </w:p>
        </w:tc>
        <w:tc>
          <w:tcPr>
            <w:tcW w:w="1120" w:type="dxa"/>
            <w:vAlign w:val="bottom"/>
            <w:gridSpan w:val="2"/>
            <w:vMerge w:val="restart"/>
          </w:tcPr>
          <w:p>
            <w:pPr>
              <w:jc w:val="right"/>
              <w:ind w:right="460"/>
              <w:spacing w:after="0"/>
              <w:rPr>
                <w:sz w:val="20"/>
                <w:szCs w:val="20"/>
                <w:color w:val="auto"/>
              </w:rPr>
            </w:pPr>
            <w:r>
              <w:rPr>
                <w:rFonts w:ascii="Arial" w:cs="Arial" w:eastAsia="Arial" w:hAnsi="Arial"/>
                <w:sz w:val="14"/>
                <w:szCs w:val="14"/>
                <w:b w:val="1"/>
                <w:bCs w:val="1"/>
                <w:color w:val="auto"/>
              </w:rPr>
              <w:t>Shares</w:t>
            </w:r>
          </w:p>
        </w:tc>
        <w:tc>
          <w:tcPr>
            <w:tcW w:w="100" w:type="dxa"/>
            <w:vAlign w:val="bottom"/>
          </w:tcPr>
          <w:p>
            <w:pPr>
              <w:spacing w:after="0"/>
              <w:rPr>
                <w:sz w:val="12"/>
                <w:szCs w:val="12"/>
                <w:color w:val="auto"/>
              </w:rPr>
            </w:pPr>
          </w:p>
        </w:tc>
        <w:tc>
          <w:tcPr>
            <w:tcW w:w="940" w:type="dxa"/>
            <w:vAlign w:val="bottom"/>
            <w:gridSpan w:val="2"/>
          </w:tcPr>
          <w:p>
            <w:pPr>
              <w:jc w:val="center"/>
              <w:ind w:right="200"/>
              <w:spacing w:after="0" w:line="148" w:lineRule="exact"/>
              <w:rPr>
                <w:sz w:val="20"/>
                <w:szCs w:val="20"/>
                <w:color w:val="auto"/>
              </w:rPr>
            </w:pPr>
            <w:r>
              <w:rPr>
                <w:rFonts w:ascii="Arial" w:cs="Arial" w:eastAsia="Arial" w:hAnsi="Arial"/>
                <w:sz w:val="14"/>
                <w:szCs w:val="14"/>
                <w:b w:val="1"/>
                <w:bCs w:val="1"/>
                <w:color w:val="auto"/>
                <w:w w:val="97"/>
              </w:rPr>
              <w:t>Grant Date</w:t>
            </w:r>
          </w:p>
        </w:tc>
        <w:tc>
          <w:tcPr>
            <w:tcW w:w="0" w:type="dxa"/>
            <w:vAlign w:val="bottom"/>
          </w:tcPr>
          <w:p>
            <w:pPr>
              <w:spacing w:after="0"/>
              <w:rPr>
                <w:sz w:val="1"/>
                <w:szCs w:val="1"/>
                <w:color w:val="auto"/>
              </w:rPr>
            </w:pPr>
          </w:p>
        </w:tc>
      </w:tr>
      <w:tr>
        <w:trPr>
          <w:trHeight w:val="171"/>
        </w:trPr>
        <w:tc>
          <w:tcPr>
            <w:tcW w:w="4760" w:type="dxa"/>
            <w:vAlign w:val="bottom"/>
          </w:tcPr>
          <w:p>
            <w:pPr>
              <w:spacing w:after="0"/>
              <w:rPr>
                <w:sz w:val="14"/>
                <w:szCs w:val="14"/>
                <w:color w:val="auto"/>
              </w:rPr>
            </w:pPr>
          </w:p>
        </w:tc>
        <w:tc>
          <w:tcPr>
            <w:tcW w:w="1040" w:type="dxa"/>
            <w:vAlign w:val="bottom"/>
            <w:gridSpan w:val="2"/>
            <w:vMerge w:val="continue"/>
          </w:tcPr>
          <w:p>
            <w:pPr>
              <w:spacing w:after="0"/>
              <w:rPr>
                <w:sz w:val="14"/>
                <w:szCs w:val="14"/>
                <w:color w:val="auto"/>
              </w:rPr>
            </w:pP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20" w:type="dxa"/>
            <w:vAlign w:val="bottom"/>
            <w:gridSpan w:val="2"/>
          </w:tcPr>
          <w:p>
            <w:pPr>
              <w:jc w:val="center"/>
              <w:ind w:right="340"/>
              <w:spacing w:after="0"/>
              <w:rPr>
                <w:sz w:val="20"/>
                <w:szCs w:val="20"/>
                <w:color w:val="auto"/>
              </w:rPr>
            </w:pPr>
            <w:r>
              <w:rPr>
                <w:rFonts w:ascii="Arial" w:cs="Arial" w:eastAsia="Arial" w:hAnsi="Arial"/>
                <w:sz w:val="14"/>
                <w:szCs w:val="14"/>
                <w:b w:val="1"/>
                <w:bCs w:val="1"/>
                <w:color w:val="auto"/>
                <w:w w:val="95"/>
              </w:rPr>
              <w:t>Fair Value</w:t>
            </w:r>
          </w:p>
        </w:tc>
        <w:tc>
          <w:tcPr>
            <w:tcW w:w="1120" w:type="dxa"/>
            <w:vAlign w:val="bottom"/>
            <w:gridSpan w:val="2"/>
            <w:vMerge w:val="continue"/>
          </w:tcPr>
          <w:p>
            <w:pPr>
              <w:spacing w:after="0"/>
              <w:rPr>
                <w:sz w:val="14"/>
                <w:szCs w:val="14"/>
                <w:color w:val="auto"/>
              </w:rPr>
            </w:pPr>
          </w:p>
        </w:tc>
        <w:tc>
          <w:tcPr>
            <w:tcW w:w="100" w:type="dxa"/>
            <w:vAlign w:val="bottom"/>
          </w:tcPr>
          <w:p>
            <w:pPr>
              <w:spacing w:after="0"/>
              <w:rPr>
                <w:sz w:val="14"/>
                <w:szCs w:val="14"/>
                <w:color w:val="auto"/>
              </w:rPr>
            </w:pPr>
          </w:p>
        </w:tc>
        <w:tc>
          <w:tcPr>
            <w:tcW w:w="1040" w:type="dxa"/>
            <w:vAlign w:val="bottom"/>
            <w:gridSpan w:val="2"/>
          </w:tcPr>
          <w:p>
            <w:pPr>
              <w:jc w:val="center"/>
              <w:ind w:right="320"/>
              <w:spacing w:after="0"/>
              <w:rPr>
                <w:sz w:val="20"/>
                <w:szCs w:val="20"/>
                <w:color w:val="auto"/>
              </w:rPr>
            </w:pPr>
            <w:r>
              <w:rPr>
                <w:rFonts w:ascii="Arial" w:cs="Arial" w:eastAsia="Arial" w:hAnsi="Arial"/>
                <w:sz w:val="14"/>
                <w:szCs w:val="14"/>
                <w:b w:val="1"/>
                <w:bCs w:val="1"/>
                <w:color w:val="auto"/>
                <w:w w:val="95"/>
              </w:rPr>
              <w:t>Fair Value</w:t>
            </w:r>
          </w:p>
        </w:tc>
        <w:tc>
          <w:tcPr>
            <w:tcW w:w="1120" w:type="dxa"/>
            <w:vAlign w:val="bottom"/>
            <w:gridSpan w:val="2"/>
            <w:vMerge w:val="continue"/>
          </w:tcPr>
          <w:p>
            <w:pPr>
              <w:spacing w:after="0"/>
              <w:rPr>
                <w:sz w:val="14"/>
                <w:szCs w:val="14"/>
                <w:color w:val="auto"/>
              </w:rPr>
            </w:pPr>
          </w:p>
        </w:tc>
        <w:tc>
          <w:tcPr>
            <w:tcW w:w="100" w:type="dxa"/>
            <w:vAlign w:val="bottom"/>
          </w:tcPr>
          <w:p>
            <w:pPr>
              <w:spacing w:after="0"/>
              <w:rPr>
                <w:sz w:val="14"/>
                <w:szCs w:val="14"/>
                <w:color w:val="auto"/>
              </w:rPr>
            </w:pPr>
          </w:p>
        </w:tc>
        <w:tc>
          <w:tcPr>
            <w:tcW w:w="94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95"/>
              </w:rPr>
              <w:t>Fair Value</w:t>
            </w:r>
          </w:p>
        </w:tc>
        <w:tc>
          <w:tcPr>
            <w:tcW w:w="0" w:type="dxa"/>
            <w:vAlign w:val="bottom"/>
          </w:tcPr>
          <w:p>
            <w:pPr>
              <w:spacing w:after="0"/>
              <w:rPr>
                <w:sz w:val="1"/>
                <w:szCs w:val="1"/>
                <w:color w:val="auto"/>
              </w:rPr>
            </w:pPr>
          </w:p>
        </w:tc>
      </w:tr>
      <w:tr>
        <w:trPr>
          <w:trHeight w:val="222"/>
        </w:trPr>
        <w:tc>
          <w:tcPr>
            <w:tcW w:w="476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8"/>
                <w:szCs w:val="18"/>
                <w:b w:val="1"/>
                <w:bCs w:val="1"/>
                <w:color w:val="auto"/>
              </w:rPr>
              <w:t>Balance at December 31, 2017</w:t>
            </w:r>
          </w:p>
        </w:tc>
        <w:tc>
          <w:tcPr>
            <w:tcW w:w="90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239,338</w:t>
            </w:r>
          </w:p>
        </w:tc>
        <w:tc>
          <w:tcPr>
            <w:tcW w:w="140" w:type="dxa"/>
            <w:vAlign w:val="bottom"/>
            <w:tcBorders>
              <w:top w:val="single" w:sz="8" w:color="CFF0FC"/>
            </w:tcBorders>
            <w:shd w:val="clear" w:color="auto" w:fill="CFF0FC"/>
          </w:tcPr>
          <w:p>
            <w:pPr>
              <w:spacing w:after="0"/>
              <w:rPr>
                <w:sz w:val="19"/>
                <w:szCs w:val="19"/>
                <w:color w:val="auto"/>
              </w:rPr>
            </w:pPr>
          </w:p>
        </w:tc>
        <w:tc>
          <w:tcPr>
            <w:tcW w:w="80" w:type="dxa"/>
            <w:vAlign w:val="bottom"/>
            <w:tcBorders>
              <w:top w:val="single" w:sz="8" w:color="CFF0FC"/>
            </w:tcBorders>
            <w:shd w:val="clear" w:color="auto" w:fill="CFF0FC"/>
          </w:tcPr>
          <w:p>
            <w:pPr>
              <w:spacing w:after="0"/>
              <w:rPr>
                <w:sz w:val="19"/>
                <w:szCs w:val="19"/>
                <w:color w:val="auto"/>
              </w:rPr>
            </w:pPr>
          </w:p>
        </w:tc>
        <w:tc>
          <w:tcPr>
            <w:tcW w:w="10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80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32.80</w:t>
            </w:r>
          </w:p>
        </w:tc>
        <w:tc>
          <w:tcPr>
            <w:tcW w:w="220" w:type="dxa"/>
            <w:vAlign w:val="bottom"/>
            <w:tcBorders>
              <w:top w:val="single" w:sz="8" w:color="CFF0FC"/>
            </w:tcBorders>
            <w:shd w:val="clear" w:color="auto" w:fill="CFF0FC"/>
          </w:tcPr>
          <w:p>
            <w:pPr>
              <w:spacing w:after="0"/>
              <w:rPr>
                <w:sz w:val="19"/>
                <w:szCs w:val="19"/>
                <w:color w:val="auto"/>
              </w:rPr>
            </w:pPr>
          </w:p>
        </w:tc>
        <w:tc>
          <w:tcPr>
            <w:tcW w:w="92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206,899</w:t>
            </w:r>
          </w:p>
        </w:tc>
        <w:tc>
          <w:tcPr>
            <w:tcW w:w="200" w:type="dxa"/>
            <w:vAlign w:val="bottom"/>
            <w:tcBorders>
              <w:top w:val="single" w:sz="8" w:color="CFF0FC"/>
            </w:tcBorders>
            <w:shd w:val="clear" w:color="auto" w:fill="CFF0FC"/>
          </w:tcPr>
          <w:p>
            <w:pPr>
              <w:spacing w:after="0"/>
              <w:rPr>
                <w:sz w:val="19"/>
                <w:szCs w:val="19"/>
                <w:color w:val="auto"/>
              </w:rPr>
            </w:pPr>
          </w:p>
        </w:tc>
        <w:tc>
          <w:tcPr>
            <w:tcW w:w="10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82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33.16</w:t>
            </w:r>
          </w:p>
        </w:tc>
        <w:tc>
          <w:tcPr>
            <w:tcW w:w="220" w:type="dxa"/>
            <w:vAlign w:val="bottom"/>
            <w:tcBorders>
              <w:top w:val="single" w:sz="8" w:color="CFF0FC"/>
            </w:tcBorders>
            <w:shd w:val="clear" w:color="auto" w:fill="CFF0FC"/>
          </w:tcPr>
          <w:p>
            <w:pPr>
              <w:spacing w:after="0"/>
              <w:rPr>
                <w:sz w:val="19"/>
                <w:szCs w:val="19"/>
                <w:color w:val="auto"/>
              </w:rPr>
            </w:pPr>
          </w:p>
        </w:tc>
        <w:tc>
          <w:tcPr>
            <w:tcW w:w="92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12,750</w:t>
            </w:r>
          </w:p>
        </w:tc>
        <w:tc>
          <w:tcPr>
            <w:tcW w:w="200" w:type="dxa"/>
            <w:vAlign w:val="bottom"/>
            <w:tcBorders>
              <w:top w:val="single" w:sz="8" w:color="CFF0FC"/>
            </w:tcBorders>
            <w:shd w:val="clear" w:color="auto" w:fill="CFF0FC"/>
          </w:tcPr>
          <w:p>
            <w:pPr>
              <w:spacing w:after="0"/>
              <w:rPr>
                <w:sz w:val="19"/>
                <w:szCs w:val="19"/>
                <w:color w:val="auto"/>
              </w:rPr>
            </w:pPr>
          </w:p>
        </w:tc>
        <w:tc>
          <w:tcPr>
            <w:tcW w:w="10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84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30.94</w:t>
            </w:r>
          </w:p>
        </w:tc>
        <w:tc>
          <w:tcPr>
            <w:tcW w:w="100" w:type="dxa"/>
            <w:vAlign w:val="bottom"/>
            <w:tcBorders>
              <w:top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4760" w:type="dxa"/>
            <w:vAlign w:val="bottom"/>
          </w:tcPr>
          <w:p>
            <w:pPr>
              <w:spacing w:after="0"/>
              <w:rPr>
                <w:sz w:val="20"/>
                <w:szCs w:val="20"/>
                <w:color w:val="auto"/>
              </w:rPr>
            </w:pPr>
            <w:r>
              <w:rPr>
                <w:rFonts w:ascii="Arial" w:cs="Arial" w:eastAsia="Arial" w:hAnsi="Arial"/>
                <w:sz w:val="18"/>
                <w:szCs w:val="18"/>
                <w:color w:val="auto"/>
              </w:rPr>
              <w:t>Granted</w:t>
            </w:r>
          </w:p>
        </w:tc>
        <w:tc>
          <w:tcPr>
            <w:tcW w:w="900" w:type="dxa"/>
            <w:vAlign w:val="bottom"/>
          </w:tcPr>
          <w:p>
            <w:pPr>
              <w:jc w:val="right"/>
              <w:spacing w:after="0"/>
              <w:rPr>
                <w:sz w:val="20"/>
                <w:szCs w:val="20"/>
                <w:color w:val="auto"/>
              </w:rPr>
            </w:pPr>
            <w:r>
              <w:rPr>
                <w:rFonts w:ascii="Arial" w:cs="Arial" w:eastAsia="Arial" w:hAnsi="Arial"/>
                <w:sz w:val="18"/>
                <w:szCs w:val="18"/>
                <w:color w:val="auto"/>
              </w:rPr>
              <w:t>71,625</w:t>
            </w:r>
          </w:p>
        </w:tc>
        <w:tc>
          <w:tcPr>
            <w:tcW w:w="140" w:type="dxa"/>
            <w:vAlign w:val="bottom"/>
          </w:tcPr>
          <w:p>
            <w:pPr>
              <w:spacing w:after="0"/>
              <w:rPr>
                <w:sz w:val="19"/>
                <w:szCs w:val="19"/>
                <w:color w:val="auto"/>
              </w:rPr>
            </w:pPr>
          </w:p>
        </w:tc>
        <w:tc>
          <w:tcPr>
            <w:tcW w:w="1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00" w:type="dxa"/>
            <w:vAlign w:val="bottom"/>
          </w:tcPr>
          <w:p>
            <w:pPr>
              <w:jc w:val="right"/>
              <w:spacing w:after="0"/>
              <w:rPr>
                <w:sz w:val="20"/>
                <w:szCs w:val="20"/>
                <w:color w:val="auto"/>
              </w:rPr>
            </w:pPr>
            <w:r>
              <w:rPr>
                <w:rFonts w:ascii="Arial" w:cs="Arial" w:eastAsia="Arial" w:hAnsi="Arial"/>
                <w:sz w:val="18"/>
                <w:szCs w:val="18"/>
                <w:color w:val="auto"/>
              </w:rPr>
              <w:t>52.15</w:t>
            </w:r>
          </w:p>
        </w:tc>
        <w:tc>
          <w:tcPr>
            <w:tcW w:w="22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41,457</w:t>
            </w:r>
          </w:p>
        </w:tc>
        <w:tc>
          <w:tcPr>
            <w:tcW w:w="200" w:type="dxa"/>
            <w:vAlign w:val="bottom"/>
          </w:tcPr>
          <w:p>
            <w:pPr>
              <w:spacing w:after="0"/>
              <w:rPr>
                <w:sz w:val="19"/>
                <w:szCs w:val="19"/>
                <w:color w:val="auto"/>
              </w:rPr>
            </w:pP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820" w:type="dxa"/>
            <w:vAlign w:val="bottom"/>
          </w:tcPr>
          <w:p>
            <w:pPr>
              <w:jc w:val="right"/>
              <w:spacing w:after="0"/>
              <w:rPr>
                <w:sz w:val="20"/>
                <w:szCs w:val="20"/>
                <w:color w:val="auto"/>
              </w:rPr>
            </w:pPr>
            <w:r>
              <w:rPr>
                <w:rFonts w:ascii="Arial" w:cs="Arial" w:eastAsia="Arial" w:hAnsi="Arial"/>
                <w:sz w:val="18"/>
                <w:szCs w:val="18"/>
                <w:color w:val="auto"/>
              </w:rPr>
              <w:t>52.15</w:t>
            </w:r>
          </w:p>
        </w:tc>
        <w:tc>
          <w:tcPr>
            <w:tcW w:w="22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3,669</w:t>
            </w:r>
          </w:p>
        </w:tc>
        <w:tc>
          <w:tcPr>
            <w:tcW w:w="200" w:type="dxa"/>
            <w:vAlign w:val="bottom"/>
          </w:tcPr>
          <w:p>
            <w:pPr>
              <w:spacing w:after="0"/>
              <w:rPr>
                <w:sz w:val="19"/>
                <w:szCs w:val="19"/>
                <w:color w:val="auto"/>
              </w:rPr>
            </w:pP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840" w:type="dxa"/>
            <w:vAlign w:val="bottom"/>
          </w:tcPr>
          <w:p>
            <w:pPr>
              <w:jc w:val="right"/>
              <w:spacing w:after="0"/>
              <w:rPr>
                <w:sz w:val="20"/>
                <w:szCs w:val="20"/>
                <w:color w:val="auto"/>
              </w:rPr>
            </w:pPr>
            <w:r>
              <w:rPr>
                <w:rFonts w:ascii="Arial" w:cs="Arial" w:eastAsia="Arial" w:hAnsi="Arial"/>
                <w:sz w:val="18"/>
                <w:szCs w:val="18"/>
                <w:color w:val="auto"/>
              </w:rPr>
              <w:t>52.28</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4760" w:type="dxa"/>
            <w:vAlign w:val="bottom"/>
            <w:shd w:val="clear" w:color="auto" w:fill="CFF0FC"/>
          </w:tcPr>
          <w:p>
            <w:pPr>
              <w:spacing w:after="0"/>
              <w:rPr>
                <w:sz w:val="20"/>
                <w:szCs w:val="20"/>
                <w:color w:val="auto"/>
              </w:rPr>
            </w:pPr>
            <w:r>
              <w:rPr>
                <w:rFonts w:ascii="Arial" w:cs="Arial" w:eastAsia="Arial" w:hAnsi="Arial"/>
                <w:sz w:val="18"/>
                <w:szCs w:val="18"/>
                <w:color w:val="auto"/>
              </w:rPr>
              <w:t>Vested</w:t>
            </w:r>
          </w:p>
        </w:tc>
        <w:tc>
          <w:tcPr>
            <w:tcW w:w="1040" w:type="dxa"/>
            <w:vAlign w:val="bottom"/>
            <w:gridSpan w:val="2"/>
            <w:shd w:val="clear" w:color="auto" w:fill="CFF0FC"/>
          </w:tcPr>
          <w:p>
            <w:pPr>
              <w:jc w:val="right"/>
              <w:ind w:right="80"/>
              <w:spacing w:after="0"/>
              <w:rPr>
                <w:sz w:val="20"/>
                <w:szCs w:val="20"/>
                <w:color w:val="auto"/>
              </w:rPr>
            </w:pPr>
            <w:r>
              <w:rPr>
                <w:rFonts w:ascii="Arial" w:cs="Arial" w:eastAsia="Arial" w:hAnsi="Arial"/>
                <w:sz w:val="18"/>
                <w:szCs w:val="18"/>
                <w:color w:val="auto"/>
              </w:rPr>
              <w:t>(75,761)</w:t>
            </w:r>
          </w:p>
        </w:tc>
        <w:tc>
          <w:tcPr>
            <w:tcW w:w="18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8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27.29</w:t>
            </w:r>
          </w:p>
        </w:tc>
        <w:tc>
          <w:tcPr>
            <w:tcW w:w="220" w:type="dxa"/>
            <w:vAlign w:val="bottom"/>
            <w:shd w:val="clear" w:color="auto" w:fill="CFF0FC"/>
          </w:tcPr>
          <w:p>
            <w:pPr>
              <w:spacing w:after="0"/>
              <w:rPr>
                <w:sz w:val="19"/>
                <w:szCs w:val="19"/>
                <w:color w:val="auto"/>
              </w:rPr>
            </w:pPr>
          </w:p>
        </w:tc>
        <w:tc>
          <w:tcPr>
            <w:tcW w:w="1120" w:type="dxa"/>
            <w:vAlign w:val="bottom"/>
            <w:gridSpan w:val="2"/>
            <w:shd w:val="clear" w:color="auto" w:fill="CFF0FC"/>
          </w:tcPr>
          <w:p>
            <w:pPr>
              <w:jc w:val="right"/>
              <w:ind w:right="140"/>
              <w:spacing w:after="0"/>
              <w:rPr>
                <w:sz w:val="20"/>
                <w:szCs w:val="20"/>
                <w:color w:val="auto"/>
              </w:rPr>
            </w:pPr>
            <w:r>
              <w:rPr>
                <w:rFonts w:ascii="Arial" w:cs="Arial" w:eastAsia="Arial" w:hAnsi="Arial"/>
                <w:sz w:val="18"/>
                <w:szCs w:val="18"/>
                <w:color w:val="auto"/>
              </w:rPr>
              <w:t>(54,458)</w:t>
            </w:r>
          </w:p>
        </w:tc>
        <w:tc>
          <w:tcPr>
            <w:tcW w:w="100" w:type="dxa"/>
            <w:vAlign w:val="bottom"/>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8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27.35</w:t>
            </w:r>
          </w:p>
        </w:tc>
        <w:tc>
          <w:tcPr>
            <w:tcW w:w="220" w:type="dxa"/>
            <w:vAlign w:val="bottom"/>
            <w:shd w:val="clear" w:color="auto" w:fill="CFF0FC"/>
          </w:tcPr>
          <w:p>
            <w:pPr>
              <w:spacing w:after="0"/>
              <w:rPr>
                <w:sz w:val="19"/>
                <w:szCs w:val="19"/>
                <w:color w:val="auto"/>
              </w:rPr>
            </w:pPr>
          </w:p>
        </w:tc>
        <w:tc>
          <w:tcPr>
            <w:tcW w:w="1120" w:type="dxa"/>
            <w:vAlign w:val="bottom"/>
            <w:gridSpan w:val="2"/>
            <w:shd w:val="clear" w:color="auto" w:fill="CFF0FC"/>
          </w:tcPr>
          <w:p>
            <w:pPr>
              <w:jc w:val="right"/>
              <w:ind w:right="140"/>
              <w:spacing w:after="0"/>
              <w:rPr>
                <w:sz w:val="20"/>
                <w:szCs w:val="20"/>
                <w:color w:val="auto"/>
              </w:rPr>
            </w:pPr>
            <w:r>
              <w:rPr>
                <w:rFonts w:ascii="Arial" w:cs="Arial" w:eastAsia="Arial" w:hAnsi="Arial"/>
                <w:sz w:val="18"/>
                <w:szCs w:val="18"/>
                <w:color w:val="auto"/>
              </w:rPr>
              <w:t>(4,300)</w:t>
            </w:r>
          </w:p>
        </w:tc>
        <w:tc>
          <w:tcPr>
            <w:tcW w:w="100" w:type="dxa"/>
            <w:vAlign w:val="bottom"/>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8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27.35</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4760" w:type="dxa"/>
            <w:vAlign w:val="bottom"/>
          </w:tcPr>
          <w:p>
            <w:pPr>
              <w:spacing w:after="0"/>
              <w:rPr>
                <w:sz w:val="20"/>
                <w:szCs w:val="20"/>
                <w:color w:val="auto"/>
              </w:rPr>
            </w:pPr>
            <w:r>
              <w:rPr>
                <w:rFonts w:ascii="Arial" w:cs="Arial" w:eastAsia="Arial" w:hAnsi="Arial"/>
                <w:sz w:val="18"/>
                <w:szCs w:val="18"/>
                <w:color w:val="auto"/>
              </w:rPr>
              <w:t>Forfeited</w:t>
            </w: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1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02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1120" w:type="dxa"/>
            <w:vAlign w:val="bottom"/>
            <w:gridSpan w:val="2"/>
          </w:tcPr>
          <w:p>
            <w:pPr>
              <w:jc w:val="right"/>
              <w:ind w:right="140"/>
              <w:spacing w:after="0"/>
              <w:rPr>
                <w:sz w:val="20"/>
                <w:szCs w:val="20"/>
                <w:color w:val="auto"/>
              </w:rPr>
            </w:pPr>
            <w:r>
              <w:rPr>
                <w:rFonts w:ascii="Arial" w:cs="Arial" w:eastAsia="Arial" w:hAnsi="Arial"/>
                <w:sz w:val="18"/>
                <w:szCs w:val="18"/>
                <w:color w:val="auto"/>
              </w:rPr>
              <w:t>(1,156)</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820" w:type="dxa"/>
            <w:vAlign w:val="bottom"/>
          </w:tcPr>
          <w:p>
            <w:pPr>
              <w:jc w:val="right"/>
              <w:spacing w:after="0"/>
              <w:rPr>
                <w:sz w:val="20"/>
                <w:szCs w:val="20"/>
                <w:color w:val="auto"/>
              </w:rPr>
            </w:pPr>
            <w:r>
              <w:rPr>
                <w:rFonts w:ascii="Arial" w:cs="Arial" w:eastAsia="Arial" w:hAnsi="Arial"/>
                <w:sz w:val="18"/>
                <w:szCs w:val="18"/>
                <w:color w:val="auto"/>
              </w:rPr>
              <w:t>36.37</w:t>
            </w:r>
          </w:p>
        </w:tc>
        <w:tc>
          <w:tcPr>
            <w:tcW w:w="220" w:type="dxa"/>
            <w:vAlign w:val="bottom"/>
          </w:tcPr>
          <w:p>
            <w:pPr>
              <w:spacing w:after="0"/>
              <w:rPr>
                <w:sz w:val="19"/>
                <w:szCs w:val="19"/>
                <w:color w:val="auto"/>
              </w:rPr>
            </w:pPr>
          </w:p>
        </w:tc>
        <w:tc>
          <w:tcPr>
            <w:tcW w:w="1120" w:type="dxa"/>
            <w:vAlign w:val="bottom"/>
            <w:gridSpan w:val="2"/>
          </w:tcPr>
          <w:p>
            <w:pPr>
              <w:jc w:val="right"/>
              <w:ind w:right="140"/>
              <w:spacing w:after="0"/>
              <w:rPr>
                <w:sz w:val="20"/>
                <w:szCs w:val="20"/>
                <w:color w:val="auto"/>
              </w:rPr>
            </w:pPr>
            <w:r>
              <w:rPr>
                <w:rFonts w:ascii="Arial" w:cs="Arial" w:eastAsia="Arial" w:hAnsi="Arial"/>
                <w:sz w:val="18"/>
                <w:szCs w:val="18"/>
                <w:color w:val="auto"/>
              </w:rPr>
              <w:t>(258)</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840" w:type="dxa"/>
            <w:vAlign w:val="bottom"/>
          </w:tcPr>
          <w:p>
            <w:pPr>
              <w:jc w:val="right"/>
              <w:spacing w:after="0"/>
              <w:rPr>
                <w:sz w:val="20"/>
                <w:szCs w:val="20"/>
                <w:color w:val="auto"/>
              </w:rPr>
            </w:pPr>
            <w:r>
              <w:rPr>
                <w:rFonts w:ascii="Arial" w:cs="Arial" w:eastAsia="Arial" w:hAnsi="Arial"/>
                <w:sz w:val="18"/>
                <w:szCs w:val="18"/>
                <w:color w:val="auto"/>
              </w:rPr>
              <w:t>37.69</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2"/>
        </w:trPr>
        <w:tc>
          <w:tcPr>
            <w:tcW w:w="4760" w:type="dxa"/>
            <w:vAlign w:val="bottom"/>
            <w:tcBorders>
              <w:top w:val="single" w:sz="8" w:color="CFF0FC"/>
              <w:bottom w:val="single" w:sz="8" w:color="CFF0FC"/>
            </w:tcBorders>
            <w:shd w:val="clear" w:color="auto" w:fill="CFF0FC"/>
          </w:tcPr>
          <w:p>
            <w:pPr>
              <w:spacing w:after="0"/>
              <w:rPr>
                <w:sz w:val="20"/>
                <w:szCs w:val="20"/>
                <w:color w:val="auto"/>
              </w:rPr>
            </w:pPr>
            <w:r>
              <w:rPr>
                <w:rFonts w:ascii="Arial" w:cs="Arial" w:eastAsia="Arial" w:hAnsi="Arial"/>
                <w:sz w:val="18"/>
                <w:szCs w:val="18"/>
                <w:b w:val="1"/>
                <w:bCs w:val="1"/>
                <w:color w:val="auto"/>
              </w:rPr>
              <w:t>Balance at March 31, 2018</w:t>
            </w:r>
          </w:p>
        </w:tc>
        <w:tc>
          <w:tcPr>
            <w:tcW w:w="90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235,202</w:t>
            </w:r>
          </w:p>
        </w:tc>
        <w:tc>
          <w:tcPr>
            <w:tcW w:w="140" w:type="dxa"/>
            <w:vAlign w:val="bottom"/>
            <w:tcBorders>
              <w:top w:val="single" w:sz="8" w:color="CFF0FC"/>
              <w:bottom w:val="single" w:sz="8" w:color="CFF0FC"/>
            </w:tcBorders>
            <w:shd w:val="clear" w:color="auto" w:fill="CFF0FC"/>
          </w:tcPr>
          <w:p>
            <w:pPr>
              <w:spacing w:after="0"/>
              <w:rPr>
                <w:sz w:val="19"/>
                <w:szCs w:val="19"/>
                <w:color w:val="auto"/>
              </w:rPr>
            </w:pPr>
          </w:p>
        </w:tc>
        <w:tc>
          <w:tcPr>
            <w:tcW w:w="180" w:type="dxa"/>
            <w:vAlign w:val="bottom"/>
            <w:tcBorders>
              <w:top w:val="single" w:sz="8" w:color="CFF0FC"/>
              <w:bottom w:val="single" w:sz="8" w:color="CFF0FC"/>
            </w:tcBorders>
            <w:gridSpan w:val="2"/>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800" w:type="dxa"/>
            <w:vAlign w:val="bottom"/>
            <w:tcBorders>
              <w:top w:val="single" w:sz="8" w:color="CFF0FC"/>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40.46</w:t>
            </w:r>
          </w:p>
        </w:tc>
        <w:tc>
          <w:tcPr>
            <w:tcW w:w="220" w:type="dxa"/>
            <w:vAlign w:val="bottom"/>
            <w:tcBorders>
              <w:top w:val="single" w:sz="8" w:color="CFF0FC"/>
              <w:bottom w:val="single" w:sz="8" w:color="CFF0FC"/>
            </w:tcBorders>
            <w:shd w:val="clear" w:color="auto" w:fill="CFF0FC"/>
          </w:tcPr>
          <w:p>
            <w:pPr>
              <w:spacing w:after="0"/>
              <w:rPr>
                <w:sz w:val="19"/>
                <w:szCs w:val="19"/>
                <w:color w:val="auto"/>
              </w:rPr>
            </w:pPr>
          </w:p>
        </w:tc>
        <w:tc>
          <w:tcPr>
            <w:tcW w:w="92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192,742</w:t>
            </w:r>
          </w:p>
        </w:tc>
        <w:tc>
          <w:tcPr>
            <w:tcW w:w="200" w:type="dxa"/>
            <w:vAlign w:val="bottom"/>
            <w:tcBorders>
              <w:top w:val="single" w:sz="8" w:color="CFF0FC"/>
              <w:bottom w:val="single" w:sz="8" w:color="CFF0FC"/>
            </w:tcBorders>
            <w:shd w:val="clear" w:color="auto" w:fill="CFF0FC"/>
          </w:tcPr>
          <w:p>
            <w:pPr>
              <w:spacing w:after="0"/>
              <w:rPr>
                <w:sz w:val="19"/>
                <w:szCs w:val="19"/>
                <w:color w:val="auto"/>
              </w:rPr>
            </w:pPr>
          </w:p>
        </w:tc>
        <w:tc>
          <w:tcPr>
            <w:tcW w:w="100" w:type="dxa"/>
            <w:vAlign w:val="bottom"/>
            <w:tcBorders>
              <w:top w:val="single" w:sz="8" w:color="CFF0FC"/>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820" w:type="dxa"/>
            <w:vAlign w:val="bottom"/>
            <w:tcBorders>
              <w:top w:val="single" w:sz="8" w:color="CFF0FC"/>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38.87</w:t>
            </w:r>
          </w:p>
        </w:tc>
        <w:tc>
          <w:tcPr>
            <w:tcW w:w="220" w:type="dxa"/>
            <w:vAlign w:val="bottom"/>
            <w:tcBorders>
              <w:top w:val="single" w:sz="8" w:color="CFF0FC"/>
              <w:bottom w:val="single" w:sz="8" w:color="CFF0FC"/>
            </w:tcBorders>
            <w:shd w:val="clear" w:color="auto" w:fill="CFF0FC"/>
          </w:tcPr>
          <w:p>
            <w:pPr>
              <w:spacing w:after="0"/>
              <w:rPr>
                <w:sz w:val="19"/>
                <w:szCs w:val="19"/>
                <w:color w:val="auto"/>
              </w:rPr>
            </w:pPr>
          </w:p>
        </w:tc>
        <w:tc>
          <w:tcPr>
            <w:tcW w:w="92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11,861</w:t>
            </w:r>
          </w:p>
        </w:tc>
        <w:tc>
          <w:tcPr>
            <w:tcW w:w="200" w:type="dxa"/>
            <w:vAlign w:val="bottom"/>
            <w:tcBorders>
              <w:top w:val="single" w:sz="8" w:color="CFF0FC"/>
              <w:bottom w:val="single" w:sz="8" w:color="CFF0FC"/>
            </w:tcBorders>
            <w:shd w:val="clear" w:color="auto" w:fill="CFF0FC"/>
          </w:tcPr>
          <w:p>
            <w:pPr>
              <w:spacing w:after="0"/>
              <w:rPr>
                <w:sz w:val="19"/>
                <w:szCs w:val="19"/>
                <w:color w:val="auto"/>
              </w:rPr>
            </w:pPr>
          </w:p>
        </w:tc>
        <w:tc>
          <w:tcPr>
            <w:tcW w:w="100" w:type="dxa"/>
            <w:vAlign w:val="bottom"/>
            <w:tcBorders>
              <w:top w:val="single" w:sz="8" w:color="CFF0FC"/>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840" w:type="dxa"/>
            <w:vAlign w:val="bottom"/>
            <w:tcBorders>
              <w:top w:val="single" w:sz="8" w:color="CFF0FC"/>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38.70</w:t>
            </w:r>
          </w:p>
        </w:tc>
        <w:tc>
          <w:tcPr>
            <w:tcW w:w="100" w:type="dxa"/>
            <w:vAlign w:val="bottom"/>
            <w:tcBorders>
              <w:top w:val="single" w:sz="8" w:color="CFF0FC"/>
              <w:bottom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4760" w:type="dxa"/>
            <w:vAlign w:val="bottom"/>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0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Viad Corp Omnibus Incentive Plan</w:t>
      </w:r>
    </w:p>
    <w:p>
      <w:pPr>
        <w:spacing w:after="0" w:line="120" w:lineRule="exact"/>
        <w:rPr>
          <w:sz w:val="20"/>
          <w:szCs w:val="20"/>
          <w:color w:val="auto"/>
        </w:rPr>
      </w:pPr>
    </w:p>
    <w:p>
      <w:pPr>
        <w:jc w:val="both"/>
        <w:ind w:right="20"/>
        <w:spacing w:after="0" w:line="255" w:lineRule="auto"/>
        <w:rPr>
          <w:sz w:val="20"/>
          <w:szCs w:val="20"/>
          <w:color w:val="auto"/>
        </w:rPr>
      </w:pPr>
      <w:r>
        <w:rPr>
          <w:rFonts w:ascii="Arial" w:cs="Arial" w:eastAsia="Arial" w:hAnsi="Arial"/>
          <w:sz w:val="18"/>
          <w:szCs w:val="18"/>
          <w:color w:val="auto"/>
        </w:rPr>
        <w:t>We grant share-based compensation awards to our officers, directors, and certain key employees pursuant to the 2017 Viad Corp Omnibus Incentive Plan (the “2017 Plan”). The 2017 Plan has a 10-year life and provides for the following types of awards: (a) incentive and non-qualified stock options; (b) restricted stock and restricted stock units; (c) performance units or performance shares; (d) stock appreciation rights; (e) cash-based awards; and (f) certain other stock-based awards. In June 2017, we registered 1,750,000 shares of common stock issuable under the 2017 Plan. As of March 31, 2018, there were 1,672,566 shares available for future grant under the 2017 Plan.</w:t>
      </w:r>
    </w:p>
    <w:p>
      <w:pPr>
        <w:spacing w:after="0" w:line="29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PUP Awards</w:t>
      </w:r>
    </w:p>
    <w:p>
      <w:pPr>
        <w:spacing w:after="0" w:line="116" w:lineRule="exact"/>
        <w:rPr>
          <w:sz w:val="20"/>
          <w:szCs w:val="20"/>
          <w:color w:val="auto"/>
        </w:rPr>
      </w:pPr>
    </w:p>
    <w:p>
      <w:pPr>
        <w:spacing w:after="0"/>
        <w:rPr>
          <w:sz w:val="20"/>
          <w:szCs w:val="20"/>
          <w:color w:val="auto"/>
        </w:rPr>
      </w:pPr>
      <w:r>
        <w:rPr>
          <w:rFonts w:ascii="Arial" w:cs="Arial" w:eastAsia="Arial" w:hAnsi="Arial"/>
          <w:sz w:val="16"/>
          <w:szCs w:val="16"/>
          <w:color w:val="auto"/>
        </w:rPr>
        <w:t>The vesting of PUP award shares is based upon achievement of certain performance-based criteria. The performance period of the shares is three years.</w:t>
      </w:r>
    </w:p>
    <w:p>
      <w:pPr>
        <w:spacing w:after="0" w:line="192" w:lineRule="exact"/>
        <w:rPr>
          <w:sz w:val="20"/>
          <w:szCs w:val="20"/>
          <w:color w:val="auto"/>
        </w:rPr>
      </w:pPr>
    </w:p>
    <w:p>
      <w:pPr>
        <w:jc w:val="both"/>
        <w:ind w:right="20"/>
        <w:spacing w:after="0" w:line="285" w:lineRule="auto"/>
        <w:rPr>
          <w:sz w:val="20"/>
          <w:szCs w:val="20"/>
          <w:color w:val="auto"/>
        </w:rPr>
      </w:pPr>
      <w:r>
        <w:rPr>
          <w:rFonts w:ascii="Arial" w:cs="Arial" w:eastAsia="Arial" w:hAnsi="Arial"/>
          <w:sz w:val="17"/>
          <w:szCs w:val="17"/>
          <w:color w:val="auto"/>
        </w:rPr>
        <w:t>During the three months ended March 31, 2018, we granted $3.7 million PUP awards of which $1.6 million are payable in shares. Liabilities related to PUP awards were $5.1 million as of March 31, 2018 and $11.0 million as of December 31, 2017. In March 2018, PUP awards granted in 2015 vested and we distributed cash payouts of $5.9 million. In March 2017, PUP awards granted in 2014 vested and we distributed cash payouts of $3.7 million.</w:t>
      </w:r>
    </w:p>
    <w:p>
      <w:pPr>
        <w:spacing w:after="0" w:line="27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Restricted Stock</w:t>
      </w:r>
    </w:p>
    <w:p>
      <w:pPr>
        <w:spacing w:after="0" w:line="116" w:lineRule="exact"/>
        <w:rPr>
          <w:sz w:val="20"/>
          <w:szCs w:val="20"/>
          <w:color w:val="auto"/>
        </w:rPr>
      </w:pPr>
    </w:p>
    <w:p>
      <w:pPr>
        <w:jc w:val="both"/>
        <w:ind w:right="20"/>
        <w:spacing w:after="0" w:line="285" w:lineRule="auto"/>
        <w:rPr>
          <w:sz w:val="20"/>
          <w:szCs w:val="20"/>
          <w:color w:val="auto"/>
        </w:rPr>
      </w:pPr>
      <w:r>
        <w:rPr>
          <w:rFonts w:ascii="Arial" w:cs="Arial" w:eastAsia="Arial" w:hAnsi="Arial"/>
          <w:sz w:val="17"/>
          <w:szCs w:val="17"/>
          <w:color w:val="auto"/>
        </w:rPr>
        <w:t>As of March 31, 2018, the unamortized cost of outstanding restricted stock awards was $4.1 million, which we expect to recognize over a weighted-average period of approximately 1.5 years. We repurchased 16,362 shares for $0.9 million during the three months ended March 31, 2018 and 25,642 shares for $1.2 million during the three months ended March 31, 2017 related to tax withholding requirements on vested share-based awards.</w:t>
      </w:r>
    </w:p>
    <w:p>
      <w:pPr>
        <w:spacing w:after="0" w:line="27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Restricted Stock Units</w:t>
      </w:r>
    </w:p>
    <w:p>
      <w:pPr>
        <w:spacing w:after="0" w:line="116" w:lineRule="exact"/>
        <w:rPr>
          <w:sz w:val="20"/>
          <w:szCs w:val="20"/>
          <w:color w:val="auto"/>
        </w:rPr>
      </w:pPr>
    </w:p>
    <w:p>
      <w:pPr>
        <w:jc w:val="both"/>
        <w:ind w:right="20"/>
        <w:spacing w:after="0" w:line="262" w:lineRule="auto"/>
        <w:rPr>
          <w:sz w:val="20"/>
          <w:szCs w:val="20"/>
          <w:color w:val="auto"/>
        </w:rPr>
      </w:pPr>
      <w:r>
        <w:rPr>
          <w:rFonts w:ascii="Arial" w:cs="Arial" w:eastAsia="Arial" w:hAnsi="Arial"/>
          <w:sz w:val="18"/>
          <w:szCs w:val="18"/>
          <w:color w:val="auto"/>
        </w:rPr>
        <w:t>Aggregate liabilities related to restricted stock units were $0.3 million as of March 31, 2018 and $0.5 million as of December 31, 2017. In February 2018, the 2015 restricted stock units vested and we distributed cash payouts of $0.2 million. In February 2017, portions of the 2012 and 2014 restricted stock units vested and we distributed cash payouts of $0.3 million.</w:t>
      </w:r>
    </w:p>
    <w:p>
      <w:pPr>
        <w:spacing w:after="0" w:line="29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Stock Options</w:t>
      </w:r>
    </w:p>
    <w:p>
      <w:pPr>
        <w:spacing w:after="0" w:line="116" w:lineRule="exact"/>
        <w:rPr>
          <w:sz w:val="20"/>
          <w:szCs w:val="20"/>
          <w:color w:val="auto"/>
        </w:rPr>
      </w:pPr>
    </w:p>
    <w:p>
      <w:pPr>
        <w:spacing w:after="0"/>
        <w:rPr>
          <w:sz w:val="20"/>
          <w:szCs w:val="20"/>
          <w:color w:val="auto"/>
        </w:rPr>
      </w:pPr>
      <w:r>
        <w:rPr>
          <w:rFonts w:ascii="Arial" w:cs="Arial" w:eastAsia="Arial" w:hAnsi="Arial"/>
          <w:sz w:val="18"/>
          <w:szCs w:val="18"/>
          <w:color w:val="auto"/>
        </w:rPr>
        <w:t>The following table summarizes stock option activity:</w:t>
      </w:r>
    </w:p>
    <w:p>
      <w:pPr>
        <w:spacing w:after="0" w:line="215"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7860" w:type="dxa"/>
            <w:vAlign w:val="bottom"/>
          </w:tcPr>
          <w:p>
            <w:pPr>
              <w:spacing w:after="0"/>
              <w:rPr>
                <w:sz w:val="14"/>
                <w:szCs w:val="14"/>
                <w:color w:val="auto"/>
              </w:rPr>
            </w:pPr>
          </w:p>
        </w:tc>
        <w:tc>
          <w:tcPr>
            <w:tcW w:w="1020" w:type="dxa"/>
            <w:vAlign w:val="bottom"/>
            <w:vMerge w:val="restart"/>
          </w:tcPr>
          <w:p>
            <w:pPr>
              <w:ind w:left="580"/>
              <w:spacing w:after="0"/>
              <w:rPr>
                <w:sz w:val="20"/>
                <w:szCs w:val="20"/>
                <w:color w:val="auto"/>
              </w:rPr>
            </w:pPr>
            <w:r>
              <w:rPr>
                <w:rFonts w:ascii="Arial" w:cs="Arial" w:eastAsia="Arial" w:hAnsi="Arial"/>
                <w:sz w:val="14"/>
                <w:szCs w:val="14"/>
                <w:b w:val="1"/>
                <w:bCs w:val="1"/>
                <w:color w:val="auto"/>
                <w:w w:val="89"/>
              </w:rPr>
              <w:t>Shares</w:t>
            </w:r>
          </w:p>
        </w:tc>
        <w:tc>
          <w:tcPr>
            <w:tcW w:w="5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56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1"/>
              </w:rPr>
              <w:t>Weighted-Average</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1"/>
        </w:trPr>
        <w:tc>
          <w:tcPr>
            <w:tcW w:w="7860" w:type="dxa"/>
            <w:vAlign w:val="bottom"/>
          </w:tcPr>
          <w:p>
            <w:pPr>
              <w:spacing w:after="0"/>
              <w:rPr>
                <w:sz w:val="14"/>
                <w:szCs w:val="14"/>
                <w:color w:val="auto"/>
              </w:rPr>
            </w:pPr>
          </w:p>
        </w:tc>
        <w:tc>
          <w:tcPr>
            <w:tcW w:w="1020" w:type="dxa"/>
            <w:vAlign w:val="bottom"/>
            <w:vMerge w:val="continue"/>
          </w:tcPr>
          <w:p>
            <w:pPr>
              <w:spacing w:after="0"/>
              <w:rPr>
                <w:sz w:val="14"/>
                <w:szCs w:val="14"/>
                <w:color w:val="auto"/>
              </w:rPr>
            </w:pPr>
          </w:p>
        </w:tc>
        <w:tc>
          <w:tcPr>
            <w:tcW w:w="5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56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1"/>
              </w:rPr>
              <w:t>Exercise Price</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22"/>
        </w:trPr>
        <w:tc>
          <w:tcPr>
            <w:tcW w:w="786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8"/>
                <w:szCs w:val="18"/>
                <w:b w:val="1"/>
                <w:bCs w:val="1"/>
                <w:color w:val="auto"/>
              </w:rPr>
              <w:t>Options outstanding and exercisable at December 31, 2017</w:t>
            </w:r>
          </w:p>
        </w:tc>
        <w:tc>
          <w:tcPr>
            <w:tcW w:w="1020" w:type="dxa"/>
            <w:vAlign w:val="bottom"/>
            <w:tcBorders>
              <w:top w:val="single" w:sz="8" w:color="auto"/>
            </w:tcBorders>
            <w:shd w:val="clear" w:color="auto" w:fill="CFF0FC"/>
          </w:tcPr>
          <w:p>
            <w:pPr>
              <w:spacing w:after="0"/>
              <w:rPr>
                <w:sz w:val="19"/>
                <w:szCs w:val="19"/>
                <w:color w:val="auto"/>
              </w:rPr>
            </w:pPr>
          </w:p>
        </w:tc>
        <w:tc>
          <w:tcPr>
            <w:tcW w:w="56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94"/>
              </w:rPr>
              <w:t>63,773</w:t>
            </w:r>
          </w:p>
        </w:tc>
        <w:tc>
          <w:tcPr>
            <w:tcW w:w="160" w:type="dxa"/>
            <w:vAlign w:val="bottom"/>
            <w:tcBorders>
              <w:top w:val="single" w:sz="8" w:color="CFF0FC"/>
            </w:tcBorders>
            <w:shd w:val="clear" w:color="auto" w:fill="CFF0FC"/>
          </w:tcPr>
          <w:p>
            <w:pPr>
              <w:spacing w:after="0"/>
              <w:rPr>
                <w:sz w:val="19"/>
                <w:szCs w:val="19"/>
                <w:color w:val="auto"/>
              </w:rPr>
            </w:pPr>
          </w:p>
        </w:tc>
        <w:tc>
          <w:tcPr>
            <w:tcW w:w="120" w:type="dxa"/>
            <w:vAlign w:val="bottom"/>
            <w:tcBorders>
              <w:top w:val="single" w:sz="8" w:color="CFF0FC"/>
            </w:tcBorders>
            <w:shd w:val="clear" w:color="auto" w:fill="CFF0FC"/>
          </w:tcPr>
          <w:p>
            <w:pPr>
              <w:spacing w:after="0"/>
              <w:rPr>
                <w:sz w:val="19"/>
                <w:szCs w:val="19"/>
                <w:color w:val="auto"/>
              </w:rPr>
            </w:pPr>
          </w:p>
        </w:tc>
        <w:tc>
          <w:tcPr>
            <w:tcW w:w="14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144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16.62</w:t>
            </w:r>
          </w:p>
        </w:tc>
        <w:tc>
          <w:tcPr>
            <w:tcW w:w="120" w:type="dxa"/>
            <w:vAlign w:val="bottom"/>
            <w:tcBorders>
              <w:top w:val="single" w:sz="8" w:color="CFF0FC"/>
            </w:tcBorders>
            <w:shd w:val="clear" w:color="auto" w:fill="CFF0FC"/>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8880" w:type="dxa"/>
            <w:vAlign w:val="bottom"/>
            <w:gridSpan w:val="2"/>
          </w:tcPr>
          <w:p>
            <w:pPr>
              <w:spacing w:after="0"/>
              <w:rPr>
                <w:sz w:val="20"/>
                <w:szCs w:val="20"/>
                <w:color w:val="auto"/>
              </w:rPr>
            </w:pPr>
            <w:r>
              <w:rPr>
                <w:rFonts w:ascii="Arial" w:cs="Arial" w:eastAsia="Arial" w:hAnsi="Arial"/>
                <w:sz w:val="18"/>
                <w:szCs w:val="18"/>
                <w:color w:val="auto"/>
              </w:rPr>
              <w:t>Exercised</w:t>
            </w:r>
          </w:p>
        </w:tc>
        <w:tc>
          <w:tcPr>
            <w:tcW w:w="720" w:type="dxa"/>
            <w:vAlign w:val="bottom"/>
            <w:gridSpan w:val="2"/>
          </w:tcPr>
          <w:p>
            <w:pPr>
              <w:jc w:val="right"/>
              <w:ind w:right="100"/>
              <w:spacing w:after="0"/>
              <w:rPr>
                <w:sz w:val="20"/>
                <w:szCs w:val="20"/>
                <w:color w:val="auto"/>
              </w:rPr>
            </w:pPr>
            <w:r>
              <w:rPr>
                <w:rFonts w:ascii="Arial" w:cs="Arial" w:eastAsia="Arial" w:hAnsi="Arial"/>
                <w:sz w:val="18"/>
                <w:szCs w:val="18"/>
                <w:color w:val="auto"/>
              </w:rPr>
              <w:t>(5,084)</w:t>
            </w:r>
          </w:p>
        </w:tc>
        <w:tc>
          <w:tcPr>
            <w:tcW w:w="2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440" w:type="dxa"/>
            <w:vAlign w:val="bottom"/>
          </w:tcPr>
          <w:p>
            <w:pPr>
              <w:jc w:val="right"/>
              <w:spacing w:after="0"/>
              <w:rPr>
                <w:sz w:val="20"/>
                <w:szCs w:val="20"/>
                <w:color w:val="auto"/>
              </w:rPr>
            </w:pPr>
            <w:r>
              <w:rPr>
                <w:rFonts w:ascii="Arial" w:cs="Arial" w:eastAsia="Arial" w:hAnsi="Arial"/>
                <w:sz w:val="18"/>
                <w:szCs w:val="18"/>
                <w:color w:val="auto"/>
              </w:rPr>
              <w:t>16.62</w:t>
            </w:r>
          </w:p>
        </w:tc>
        <w:tc>
          <w:tcPr>
            <w:tcW w:w="1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2"/>
        </w:trPr>
        <w:tc>
          <w:tcPr>
            <w:tcW w:w="7860" w:type="dxa"/>
            <w:vAlign w:val="bottom"/>
            <w:tcBorders>
              <w:top w:val="single" w:sz="8" w:color="CFF0FC"/>
              <w:bottom w:val="single" w:sz="8" w:color="CFF0FC"/>
            </w:tcBorders>
            <w:shd w:val="clear" w:color="auto" w:fill="CFF0FC"/>
          </w:tcPr>
          <w:p>
            <w:pPr>
              <w:spacing w:after="0"/>
              <w:rPr>
                <w:sz w:val="20"/>
                <w:szCs w:val="20"/>
                <w:color w:val="auto"/>
              </w:rPr>
            </w:pPr>
            <w:r>
              <w:rPr>
                <w:rFonts w:ascii="Arial" w:cs="Arial" w:eastAsia="Arial" w:hAnsi="Arial"/>
                <w:sz w:val="18"/>
                <w:szCs w:val="18"/>
                <w:b w:val="1"/>
                <w:bCs w:val="1"/>
                <w:color w:val="auto"/>
              </w:rPr>
              <w:t>Options outstanding and exercisable at March 31, 2018</w:t>
            </w:r>
          </w:p>
        </w:tc>
        <w:tc>
          <w:tcPr>
            <w:tcW w:w="1020" w:type="dxa"/>
            <w:vAlign w:val="bottom"/>
            <w:tcBorders>
              <w:top w:val="single" w:sz="8" w:color="auto"/>
              <w:bottom w:val="single" w:sz="8" w:color="auto"/>
            </w:tcBorders>
            <w:shd w:val="clear" w:color="auto" w:fill="CFF0FC"/>
          </w:tcPr>
          <w:p>
            <w:pPr>
              <w:spacing w:after="0"/>
              <w:rPr>
                <w:sz w:val="19"/>
                <w:szCs w:val="19"/>
                <w:color w:val="auto"/>
              </w:rPr>
            </w:pPr>
          </w:p>
        </w:tc>
        <w:tc>
          <w:tcPr>
            <w:tcW w:w="56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94"/>
              </w:rPr>
              <w:t>58,689</w:t>
            </w:r>
          </w:p>
        </w:tc>
        <w:tc>
          <w:tcPr>
            <w:tcW w:w="160" w:type="dxa"/>
            <w:vAlign w:val="bottom"/>
            <w:tcBorders>
              <w:top w:val="single" w:sz="8" w:color="CFF0FC"/>
              <w:bottom w:val="single" w:sz="8" w:color="CFF0FC"/>
            </w:tcBorders>
            <w:shd w:val="clear" w:color="auto" w:fill="CFF0FC"/>
          </w:tcPr>
          <w:p>
            <w:pPr>
              <w:spacing w:after="0"/>
              <w:rPr>
                <w:sz w:val="19"/>
                <w:szCs w:val="19"/>
                <w:color w:val="auto"/>
              </w:rPr>
            </w:pPr>
          </w:p>
        </w:tc>
        <w:tc>
          <w:tcPr>
            <w:tcW w:w="260" w:type="dxa"/>
            <w:vAlign w:val="bottom"/>
            <w:tcBorders>
              <w:top w:val="single" w:sz="8" w:color="CFF0FC"/>
              <w:bottom w:val="single" w:sz="8" w:color="CFF0FC"/>
            </w:tcBorders>
            <w:gridSpan w:val="2"/>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440" w:type="dxa"/>
            <w:vAlign w:val="bottom"/>
            <w:tcBorders>
              <w:top w:val="single" w:sz="8" w:color="CFF0FC"/>
              <w:bottom w:val="single" w:sz="8" w:color="CFF0FC"/>
            </w:tcBorders>
            <w:shd w:val="clear" w:color="auto" w:fill="CFF0FC"/>
          </w:tcPr>
          <w:p>
            <w:pPr>
              <w:jc w:val="right"/>
              <w:spacing w:after="0"/>
              <w:rPr>
                <w:sz w:val="20"/>
                <w:szCs w:val="20"/>
                <w:color w:val="auto"/>
              </w:rPr>
            </w:pPr>
            <w:r>
              <w:rPr>
                <w:rFonts w:ascii="Arial" w:cs="Arial" w:eastAsia="Arial" w:hAnsi="Arial"/>
                <w:sz w:val="18"/>
                <w:szCs w:val="18"/>
                <w:color w:val="auto"/>
              </w:rPr>
              <w:t>16.62</w:t>
            </w:r>
          </w:p>
        </w:tc>
        <w:tc>
          <w:tcPr>
            <w:tcW w:w="120" w:type="dxa"/>
            <w:vAlign w:val="bottom"/>
            <w:tcBorders>
              <w:top w:val="single" w:sz="8" w:color="CFF0FC"/>
              <w:bottom w:val="single" w:sz="8" w:color="CFF0FC"/>
            </w:tcBorders>
            <w:shd w:val="clear" w:color="auto" w:fill="CFF0FC"/>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7860" w:type="dxa"/>
            <w:vAlign w:val="bottom"/>
            <w:vMerge w:val="restart"/>
          </w:tcPr>
          <w:p>
            <w:pPr>
              <w:jc w:val="right"/>
              <w:ind w:right="1970"/>
              <w:spacing w:after="0"/>
              <w:rPr>
                <w:sz w:val="20"/>
                <w:szCs w:val="20"/>
                <w:color w:val="auto"/>
              </w:rPr>
            </w:pPr>
            <w:r>
              <w:rPr>
                <w:rFonts w:ascii="Arial" w:cs="Arial" w:eastAsia="Arial" w:hAnsi="Arial"/>
                <w:sz w:val="18"/>
                <w:szCs w:val="18"/>
                <w:color w:val="auto"/>
              </w:rPr>
              <w:t>15</w:t>
            </w:r>
          </w:p>
        </w:tc>
        <w:tc>
          <w:tcPr>
            <w:tcW w:w="102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1"/>
        </w:trPr>
        <w:tc>
          <w:tcPr>
            <w:tcW w:w="7860" w:type="dxa"/>
            <w:vAlign w:val="bottom"/>
            <w:vMerge w:val="continue"/>
          </w:tcPr>
          <w:p>
            <w:pPr>
              <w:spacing w:after="0"/>
              <w:rPr>
                <w:sz w:val="24"/>
                <w:szCs w:val="24"/>
                <w:color w:val="auto"/>
              </w:rPr>
            </w:pPr>
          </w:p>
        </w:tc>
        <w:tc>
          <w:tcPr>
            <w:tcW w:w="10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4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4"/>
        </w:trPr>
        <w:tc>
          <w:tcPr>
            <w:tcW w:w="7860" w:type="dxa"/>
            <w:vAlign w:val="bottom"/>
            <w:tcBorders>
              <w:bottom w:val="single" w:sz="8" w:color="9A9A9A"/>
            </w:tcBorders>
          </w:tcPr>
          <w:p>
            <w:pPr>
              <w:spacing w:after="0"/>
              <w:rPr>
                <w:sz w:val="9"/>
                <w:szCs w:val="9"/>
                <w:color w:val="auto"/>
              </w:rPr>
            </w:pPr>
          </w:p>
        </w:tc>
        <w:tc>
          <w:tcPr>
            <w:tcW w:w="1020" w:type="dxa"/>
            <w:vAlign w:val="bottom"/>
            <w:tcBorders>
              <w:bottom w:val="single" w:sz="8" w:color="9A9A9A"/>
            </w:tcBorders>
          </w:tcPr>
          <w:p>
            <w:pPr>
              <w:spacing w:after="0"/>
              <w:rPr>
                <w:sz w:val="9"/>
                <w:szCs w:val="9"/>
                <w:color w:val="auto"/>
              </w:rPr>
            </w:pPr>
          </w:p>
        </w:tc>
        <w:tc>
          <w:tcPr>
            <w:tcW w:w="560" w:type="dxa"/>
            <w:vAlign w:val="bottom"/>
            <w:tcBorders>
              <w:bottom w:val="single" w:sz="8" w:color="9A9A9A"/>
            </w:tcBorders>
          </w:tcPr>
          <w:p>
            <w:pPr>
              <w:spacing w:after="0"/>
              <w:rPr>
                <w:sz w:val="9"/>
                <w:szCs w:val="9"/>
                <w:color w:val="auto"/>
              </w:rPr>
            </w:pPr>
          </w:p>
        </w:tc>
        <w:tc>
          <w:tcPr>
            <w:tcW w:w="160" w:type="dxa"/>
            <w:vAlign w:val="bottom"/>
            <w:tcBorders>
              <w:bottom w:val="single" w:sz="8" w:color="9A9A9A"/>
            </w:tcBorders>
          </w:tcPr>
          <w:p>
            <w:pPr>
              <w:spacing w:after="0"/>
              <w:rPr>
                <w:sz w:val="9"/>
                <w:szCs w:val="9"/>
                <w:color w:val="auto"/>
              </w:rPr>
            </w:pPr>
          </w:p>
        </w:tc>
        <w:tc>
          <w:tcPr>
            <w:tcW w:w="120" w:type="dxa"/>
            <w:vAlign w:val="bottom"/>
            <w:tcBorders>
              <w:bottom w:val="single" w:sz="8" w:color="9A9A9A"/>
            </w:tcBorders>
          </w:tcPr>
          <w:p>
            <w:pPr>
              <w:spacing w:after="0"/>
              <w:rPr>
                <w:sz w:val="9"/>
                <w:szCs w:val="9"/>
                <w:color w:val="auto"/>
              </w:rPr>
            </w:pPr>
          </w:p>
        </w:tc>
        <w:tc>
          <w:tcPr>
            <w:tcW w:w="140" w:type="dxa"/>
            <w:vAlign w:val="bottom"/>
            <w:tcBorders>
              <w:bottom w:val="single" w:sz="8" w:color="9A9A9A"/>
            </w:tcBorders>
          </w:tcPr>
          <w:p>
            <w:pPr>
              <w:spacing w:after="0"/>
              <w:rPr>
                <w:sz w:val="9"/>
                <w:szCs w:val="9"/>
                <w:color w:val="auto"/>
              </w:rPr>
            </w:pPr>
          </w:p>
        </w:tc>
        <w:tc>
          <w:tcPr>
            <w:tcW w:w="1440" w:type="dxa"/>
            <w:vAlign w:val="bottom"/>
            <w:tcBorders>
              <w:bottom w:val="single" w:sz="8" w:color="9A9A9A"/>
            </w:tcBorders>
          </w:tcPr>
          <w:p>
            <w:pPr>
              <w:spacing w:after="0"/>
              <w:rPr>
                <w:sz w:val="9"/>
                <w:szCs w:val="9"/>
                <w:color w:val="auto"/>
              </w:rPr>
            </w:pPr>
          </w:p>
        </w:tc>
        <w:tc>
          <w:tcPr>
            <w:tcW w:w="120" w:type="dxa"/>
            <w:vAlign w:val="bottom"/>
            <w:tcBorders>
              <w:bottom w:val="single" w:sz="8" w:color="9A9A9A"/>
            </w:tcBorders>
          </w:tcPr>
          <w:p>
            <w:pPr>
              <w:spacing w:after="0"/>
              <w:rPr>
                <w:sz w:val="9"/>
                <w:szCs w:val="9"/>
                <w:color w:val="auto"/>
              </w:rPr>
            </w:pPr>
          </w:p>
        </w:tc>
        <w:tc>
          <w:tcPr>
            <w:tcW w:w="20" w:type="dxa"/>
            <w:vAlign w:val="bottom"/>
            <w:tcBorders>
              <w:bottom w:val="single" w:sz="8" w:color="9A9A9A"/>
            </w:tcBorders>
          </w:tcPr>
          <w:p>
            <w:pPr>
              <w:spacing w:after="0"/>
              <w:rPr>
                <w:sz w:val="9"/>
                <w:szCs w:val="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7247890</wp:posOffset>
            </wp:positionH>
            <wp:positionV relativeFrom="paragraph">
              <wp:posOffset>-29210</wp:posOffset>
            </wp:positionV>
            <wp:extent cx="33655" cy="4254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3655" cy="4254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33655" cy="42545"/>
                    </a:xfrm>
                    <a:prstGeom prst="rect">
                      <a:avLst/>
                    </a:prstGeom>
                    <a:noFill/>
                  </pic:spPr>
                </pic:pic>
              </a:graphicData>
            </a:graphic>
          </wp:anchor>
        </w:drawing>
      </w:r>
    </w:p>
    <w:p>
      <w:pPr>
        <w:sectPr>
          <w:pgSz w:w="11900" w:h="16838" w:orient="portrait"/>
          <w:cols w:equalWidth="0" w:num="1">
            <w:col w:w="11440"/>
          </w:cols>
          <w:pgMar w:left="240" w:top="448" w:right="219" w:bottom="1440" w:gutter="0" w:footer="0" w:header="0"/>
        </w:sectPr>
      </w:pPr>
    </w:p>
    <w:bookmarkStart w:id="17" w:name="page18"/>
    <w:bookmarkEnd w:id="17"/>
    <w:p>
      <w:pPr>
        <w:spacing w:after="0"/>
        <w:rPr>
          <w:sz w:val="20"/>
          <w:szCs w:val="20"/>
          <w:color w:val="auto"/>
        </w:rPr>
      </w:pPr>
      <w:r>
        <w:rPr>
          <w:rFonts w:ascii="Arial" w:cs="Arial" w:eastAsia="Arial" w:hAnsi="Arial"/>
          <w:sz w:val="18"/>
          <w:szCs w:val="18"/>
          <w:b w:val="1"/>
          <w:bCs w:val="1"/>
          <w:color w:val="auto"/>
        </w:rPr>
        <w:t xml:space="preserve">Note 4. </w:t>
      </w:r>
      <w:r>
        <w:rPr>
          <w:rFonts w:ascii="Arial" w:cs="Arial" w:eastAsia="Arial" w:hAnsi="Arial"/>
          <w:sz w:val="18"/>
          <w:szCs w:val="18"/>
          <w:b w:val="1"/>
          <w:bCs w:val="1"/>
          <w:u w:val="single" w:color="auto"/>
          <w:color w:val="auto"/>
        </w:rPr>
        <w:t>Acquisition of Business</w:t>
      </w:r>
    </w:p>
    <w:p>
      <w:pPr>
        <w:spacing w:after="0" w:line="12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Esja</w:t>
      </w:r>
    </w:p>
    <w:p>
      <w:pPr>
        <w:spacing w:after="0" w:line="116" w:lineRule="exact"/>
        <w:rPr>
          <w:sz w:val="20"/>
          <w:szCs w:val="20"/>
          <w:color w:val="auto"/>
        </w:rPr>
      </w:pPr>
    </w:p>
    <w:p>
      <w:pPr>
        <w:jc w:val="both"/>
        <w:ind w:right="20"/>
        <w:spacing w:after="0" w:line="271" w:lineRule="auto"/>
        <w:rPr>
          <w:sz w:val="20"/>
          <w:szCs w:val="20"/>
          <w:color w:val="auto"/>
        </w:rPr>
      </w:pPr>
      <w:r>
        <w:rPr>
          <w:rFonts w:ascii="Arial" w:cs="Arial" w:eastAsia="Arial" w:hAnsi="Arial"/>
          <w:sz w:val="17"/>
          <w:szCs w:val="17"/>
          <w:color w:val="auto"/>
        </w:rPr>
        <w:t>On November 3, 2017, we acquired the controlling interest (54.5% of the common stock) in Esja, a private corporation in Reykjavik, Iceland. Esja is developing and will operate a new FlyOver Iceland attraction, which is expected to open in 2019. The purchase price was €8.2 million (approximately $9.5 million) in cash, which included a put option that gives the minority Esja shareholders the right to sell (or “put”) their Esja shares to us based on a calculated formula within a predefined term. The noncontrolling interest’s carrying value is determined by the fair value of the noncontrolling interest as of the acquisition date, the noncontrolling interest’s share of the subsequent net income or loss, and the accretion of the redemption value of the put option. As of the transaction date, the fair value of the noncontrolling interest was estimated to be $6.7 million. The fair value of the noncontrolling interest was finalized as of March 31, 2018 with no adjustments. Refer to Note 20 – Redeemable Noncontrolling Interest for additional information.</w:t>
      </w:r>
    </w:p>
    <w:p>
      <w:pPr>
        <w:spacing w:after="0" w:line="122" w:lineRule="exact"/>
        <w:rPr>
          <w:sz w:val="20"/>
          <w:szCs w:val="20"/>
          <w:color w:val="auto"/>
        </w:rPr>
      </w:pPr>
    </w:p>
    <w:p>
      <w:pPr>
        <w:jc w:val="both"/>
        <w:ind w:right="20"/>
        <w:spacing w:after="0" w:line="255" w:lineRule="auto"/>
        <w:rPr>
          <w:sz w:val="20"/>
          <w:szCs w:val="20"/>
          <w:color w:val="auto"/>
        </w:rPr>
      </w:pPr>
      <w:r>
        <w:rPr>
          <w:rFonts w:ascii="Arial" w:cs="Arial" w:eastAsia="Arial" w:hAnsi="Arial"/>
          <w:sz w:val="18"/>
          <w:szCs w:val="18"/>
          <w:color w:val="auto"/>
        </w:rPr>
        <w:t>Under the acquisition method of accounting, the purchase price is allocated to the assets acquired and liabilities assumed based on their estimated fair values. The excess purchase price over fair value of net assets acquired is recorded as goodwill. Goodwill is included in the Pursuit business group and the primary factor that contributed to the purchase price resulting in the recognition of goodwill relates to future income from operations after opening in 2019. Goodwill is deductible for tax purposes. Transaction costs associated with the acquisition of Esja were $0.1 million in 2018 and 2017, which are included in corporate activities in the Condensed Consolidated Statements of Operations.</w:t>
      </w:r>
    </w:p>
    <w:p>
      <w:pPr>
        <w:spacing w:after="0" w:line="137" w:lineRule="exact"/>
        <w:rPr>
          <w:sz w:val="20"/>
          <w:szCs w:val="20"/>
          <w:color w:val="auto"/>
        </w:rPr>
      </w:pPr>
    </w:p>
    <w:p>
      <w:pPr>
        <w:jc w:val="both"/>
        <w:ind w:right="20"/>
        <w:spacing w:after="0" w:line="275" w:lineRule="auto"/>
        <w:rPr>
          <w:sz w:val="20"/>
          <w:szCs w:val="20"/>
          <w:color w:val="auto"/>
        </w:rPr>
      </w:pPr>
      <w:r>
        <w:rPr>
          <w:rFonts w:ascii="Arial" w:cs="Arial" w:eastAsia="Arial" w:hAnsi="Arial"/>
          <w:sz w:val="18"/>
          <w:szCs w:val="18"/>
          <w:color w:val="auto"/>
        </w:rPr>
        <w:t>The Esja results of operations have been included in the condensed consolidated financial statements from the date of acquisition. During the three months ended March 31, 2018, Esja had an operating loss of $0.2 million, representing start-up costs.</w:t>
      </w:r>
    </w:p>
    <w:p>
      <w:pPr>
        <w:spacing w:after="0" w:line="31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Note 5. </w:t>
      </w:r>
      <w:r>
        <w:rPr>
          <w:rFonts w:ascii="Arial" w:cs="Arial" w:eastAsia="Arial" w:hAnsi="Arial"/>
          <w:sz w:val="18"/>
          <w:szCs w:val="18"/>
          <w:b w:val="1"/>
          <w:bCs w:val="1"/>
          <w:u w:val="single" w:color="auto"/>
          <w:color w:val="auto"/>
        </w:rPr>
        <w:t>Inventories</w:t>
      </w:r>
    </w:p>
    <w:p>
      <w:pPr>
        <w:spacing w:after="0" w:line="120" w:lineRule="exact"/>
        <w:rPr>
          <w:sz w:val="20"/>
          <w:szCs w:val="20"/>
          <w:color w:val="auto"/>
        </w:rPr>
      </w:pPr>
    </w:p>
    <w:p>
      <w:pPr>
        <w:spacing w:after="0"/>
        <w:rPr>
          <w:sz w:val="20"/>
          <w:szCs w:val="20"/>
          <w:color w:val="auto"/>
        </w:rPr>
      </w:pPr>
      <w:r>
        <w:rPr>
          <w:rFonts w:ascii="Arial" w:cs="Arial" w:eastAsia="Arial" w:hAnsi="Arial"/>
          <w:sz w:val="18"/>
          <w:szCs w:val="18"/>
          <w:color w:val="auto"/>
        </w:rPr>
        <w:t>The components of inventories consisted of the following:</w:t>
      </w:r>
    </w:p>
    <w:p>
      <w:pPr>
        <w:spacing w:after="0" w:line="295"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784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320" w:type="dxa"/>
            <w:vAlign w:val="bottom"/>
          </w:tcPr>
          <w:p>
            <w:pPr>
              <w:jc w:val="right"/>
              <w:ind w:right="398"/>
              <w:spacing w:after="0"/>
              <w:rPr>
                <w:sz w:val="20"/>
                <w:szCs w:val="20"/>
                <w:color w:val="auto"/>
              </w:rPr>
            </w:pPr>
            <w:r>
              <w:rPr>
                <w:rFonts w:ascii="Arial" w:cs="Arial" w:eastAsia="Arial" w:hAnsi="Arial"/>
                <w:sz w:val="14"/>
                <w:szCs w:val="14"/>
                <w:b w:val="1"/>
                <w:bCs w:val="1"/>
                <w:color w:val="auto"/>
              </w:rPr>
              <w:t>March 31,</w:t>
            </w:r>
          </w:p>
        </w:tc>
        <w:tc>
          <w:tcPr>
            <w:tcW w:w="28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460" w:type="dxa"/>
            <w:vAlign w:val="bottom"/>
            <w:gridSpan w:val="2"/>
          </w:tcPr>
          <w:p>
            <w:pPr>
              <w:ind w:left="140"/>
              <w:spacing w:after="0"/>
              <w:rPr>
                <w:sz w:val="20"/>
                <w:szCs w:val="20"/>
                <w:color w:val="auto"/>
              </w:rPr>
            </w:pPr>
            <w:r>
              <w:rPr>
                <w:rFonts w:ascii="Arial" w:cs="Arial" w:eastAsia="Arial" w:hAnsi="Arial"/>
                <w:sz w:val="14"/>
                <w:szCs w:val="14"/>
                <w:b w:val="1"/>
                <w:bCs w:val="1"/>
                <w:color w:val="auto"/>
              </w:rPr>
              <w:t>December 31,</w:t>
            </w:r>
          </w:p>
        </w:tc>
      </w:tr>
      <w:tr>
        <w:trPr>
          <w:trHeight w:val="171"/>
        </w:trPr>
        <w:tc>
          <w:tcPr>
            <w:tcW w:w="7840" w:type="dxa"/>
            <w:vAlign w:val="bottom"/>
            <w:tcBorders>
              <w:bottom w:val="single" w:sz="8" w:color="CFF0FC"/>
            </w:tcBorders>
          </w:tcPr>
          <w:p>
            <w:pPr>
              <w:spacing w:after="0"/>
              <w:rPr>
                <w:sz w:val="20"/>
                <w:szCs w:val="20"/>
                <w:color w:val="auto"/>
              </w:rPr>
            </w:pPr>
            <w:r>
              <w:rPr>
                <w:rFonts w:ascii="Arial" w:cs="Arial" w:eastAsia="Arial" w:hAnsi="Arial"/>
                <w:sz w:val="14"/>
                <w:szCs w:val="14"/>
                <w:i w:val="1"/>
                <w:iCs w:val="1"/>
                <w:color w:val="auto"/>
              </w:rPr>
              <w:t>(in thousands)</w:t>
            </w:r>
          </w:p>
        </w:tc>
        <w:tc>
          <w:tcPr>
            <w:tcW w:w="280" w:type="dxa"/>
            <w:vAlign w:val="bottom"/>
            <w:tcBorders>
              <w:bottom w:val="single" w:sz="8" w:color="auto"/>
            </w:tcBorders>
          </w:tcPr>
          <w:p>
            <w:pPr>
              <w:spacing w:after="0"/>
              <w:rPr>
                <w:sz w:val="14"/>
                <w:szCs w:val="14"/>
                <w:color w:val="auto"/>
              </w:rPr>
            </w:pPr>
          </w:p>
        </w:tc>
        <w:tc>
          <w:tcPr>
            <w:tcW w:w="1320" w:type="dxa"/>
            <w:vAlign w:val="bottom"/>
            <w:tcBorders>
              <w:bottom w:val="single" w:sz="8" w:color="auto"/>
            </w:tcBorders>
          </w:tcPr>
          <w:p>
            <w:pPr>
              <w:jc w:val="right"/>
              <w:ind w:right="578"/>
              <w:spacing w:after="0"/>
              <w:rPr>
                <w:sz w:val="20"/>
                <w:szCs w:val="20"/>
                <w:color w:val="auto"/>
              </w:rPr>
            </w:pPr>
            <w:r>
              <w:rPr>
                <w:rFonts w:ascii="Arial" w:cs="Arial" w:eastAsia="Arial" w:hAnsi="Arial"/>
                <w:sz w:val="14"/>
                <w:szCs w:val="14"/>
                <w:b w:val="1"/>
                <w:bCs w:val="1"/>
                <w:color w:val="auto"/>
              </w:rPr>
              <w:t>2018</w:t>
            </w:r>
          </w:p>
        </w:tc>
        <w:tc>
          <w:tcPr>
            <w:tcW w:w="280" w:type="dxa"/>
            <w:vAlign w:val="bottom"/>
            <w:tcBorders>
              <w:bottom w:val="single" w:sz="8" w:color="CFF0FC"/>
            </w:tcBorders>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1360" w:type="dxa"/>
            <w:vAlign w:val="bottom"/>
            <w:tcBorders>
              <w:bottom w:val="single" w:sz="8" w:color="auto"/>
            </w:tcBorders>
          </w:tcPr>
          <w:p>
            <w:pPr>
              <w:jc w:val="right"/>
              <w:ind w:right="578"/>
              <w:spacing w:after="0"/>
              <w:rPr>
                <w:sz w:val="20"/>
                <w:szCs w:val="20"/>
                <w:color w:val="auto"/>
              </w:rPr>
            </w:pPr>
            <w:r>
              <w:rPr>
                <w:rFonts w:ascii="Arial" w:cs="Arial" w:eastAsia="Arial" w:hAnsi="Arial"/>
                <w:sz w:val="14"/>
                <w:szCs w:val="14"/>
                <w:b w:val="1"/>
                <w:bCs w:val="1"/>
                <w:color w:val="auto"/>
              </w:rPr>
              <w:t>2017</w:t>
            </w:r>
          </w:p>
        </w:tc>
        <w:tc>
          <w:tcPr>
            <w:tcW w:w="100" w:type="dxa"/>
            <w:vAlign w:val="bottom"/>
            <w:tcBorders>
              <w:bottom w:val="single" w:sz="8" w:color="CFF0FC"/>
            </w:tcBorders>
          </w:tcPr>
          <w:p>
            <w:pPr>
              <w:spacing w:after="0"/>
              <w:rPr>
                <w:sz w:val="14"/>
                <w:szCs w:val="14"/>
                <w:color w:val="auto"/>
              </w:rPr>
            </w:pPr>
          </w:p>
        </w:tc>
      </w:tr>
      <w:tr>
        <w:trPr>
          <w:trHeight w:val="222"/>
        </w:trPr>
        <w:tc>
          <w:tcPr>
            <w:tcW w:w="7840" w:type="dxa"/>
            <w:vAlign w:val="bottom"/>
            <w:shd w:val="clear" w:color="auto" w:fill="CFF0FC"/>
          </w:tcPr>
          <w:p>
            <w:pPr>
              <w:spacing w:after="0"/>
              <w:rPr>
                <w:sz w:val="20"/>
                <w:szCs w:val="20"/>
                <w:color w:val="auto"/>
              </w:rPr>
            </w:pPr>
            <w:r>
              <w:rPr>
                <w:rFonts w:ascii="Arial" w:cs="Arial" w:eastAsia="Arial" w:hAnsi="Arial"/>
                <w:sz w:val="18"/>
                <w:szCs w:val="18"/>
                <w:color w:val="auto"/>
              </w:rPr>
              <w:t>Raw materials</w:t>
            </w:r>
          </w:p>
        </w:tc>
        <w:tc>
          <w:tcPr>
            <w:tcW w:w="280" w:type="dxa"/>
            <w:vAlign w:val="bottom"/>
            <w:shd w:val="clear" w:color="auto" w:fill="CFF0FC"/>
          </w:tcPr>
          <w:p>
            <w:pPr>
              <w:jc w:val="right"/>
              <w:ind w:right="90"/>
              <w:spacing w:after="0"/>
              <w:rPr>
                <w:sz w:val="20"/>
                <w:szCs w:val="20"/>
                <w:color w:val="auto"/>
              </w:rPr>
            </w:pPr>
            <w:r>
              <w:rPr>
                <w:rFonts w:ascii="Arial" w:cs="Arial" w:eastAsia="Arial" w:hAnsi="Arial"/>
                <w:sz w:val="18"/>
                <w:szCs w:val="18"/>
                <w:color w:val="auto"/>
                <w:w w:val="79"/>
              </w:rPr>
              <w:t>$</w:t>
            </w:r>
          </w:p>
        </w:tc>
        <w:tc>
          <w:tcPr>
            <w:tcW w:w="13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17,514</w:t>
            </w:r>
          </w:p>
        </w:tc>
        <w:tc>
          <w:tcPr>
            <w:tcW w:w="280" w:type="dxa"/>
            <w:vAlign w:val="bottom"/>
            <w:shd w:val="clear" w:color="auto" w:fill="CFF0FC"/>
          </w:tcPr>
          <w:p>
            <w:pPr>
              <w:spacing w:after="0"/>
              <w:rPr>
                <w:sz w:val="19"/>
                <w:szCs w:val="19"/>
                <w:color w:val="auto"/>
              </w:rPr>
            </w:pPr>
          </w:p>
        </w:tc>
        <w:tc>
          <w:tcPr>
            <w:tcW w:w="240" w:type="dxa"/>
            <w:vAlign w:val="bottom"/>
            <w:shd w:val="clear" w:color="auto" w:fill="CFF0FC"/>
          </w:tcPr>
          <w:p>
            <w:pPr>
              <w:jc w:val="right"/>
              <w:ind w:right="50"/>
              <w:spacing w:after="0"/>
              <w:rPr>
                <w:sz w:val="20"/>
                <w:szCs w:val="20"/>
                <w:color w:val="auto"/>
              </w:rPr>
            </w:pPr>
            <w:r>
              <w:rPr>
                <w:rFonts w:ascii="Arial" w:cs="Arial" w:eastAsia="Arial" w:hAnsi="Arial"/>
                <w:sz w:val="18"/>
                <w:szCs w:val="18"/>
                <w:color w:val="auto"/>
                <w:w w:val="79"/>
              </w:rPr>
              <w:t>$</w:t>
            </w:r>
          </w:p>
        </w:tc>
        <w:tc>
          <w:tcPr>
            <w:tcW w:w="13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17,550</w:t>
            </w:r>
          </w:p>
        </w:tc>
        <w:tc>
          <w:tcPr>
            <w:tcW w:w="100" w:type="dxa"/>
            <w:vAlign w:val="bottom"/>
            <w:shd w:val="clear" w:color="auto" w:fill="CFF0FC"/>
          </w:tcPr>
          <w:p>
            <w:pPr>
              <w:spacing w:after="0"/>
              <w:rPr>
                <w:sz w:val="19"/>
                <w:szCs w:val="19"/>
                <w:color w:val="auto"/>
              </w:rPr>
            </w:pPr>
          </w:p>
        </w:tc>
      </w:tr>
      <w:tr>
        <w:trPr>
          <w:trHeight w:val="229"/>
        </w:trPr>
        <w:tc>
          <w:tcPr>
            <w:tcW w:w="7840" w:type="dxa"/>
            <w:vAlign w:val="bottom"/>
          </w:tcPr>
          <w:p>
            <w:pPr>
              <w:spacing w:after="0"/>
              <w:rPr>
                <w:sz w:val="20"/>
                <w:szCs w:val="20"/>
                <w:color w:val="auto"/>
              </w:rPr>
            </w:pPr>
            <w:r>
              <w:rPr>
                <w:rFonts w:ascii="Arial" w:cs="Arial" w:eastAsia="Arial" w:hAnsi="Arial"/>
                <w:sz w:val="18"/>
                <w:szCs w:val="18"/>
                <w:color w:val="auto"/>
              </w:rPr>
              <w:t xml:space="preserve">Work in process </w:t>
            </w:r>
            <w:r>
              <w:rPr>
                <w:rFonts w:ascii="Arial" w:cs="Arial" w:eastAsia="Arial" w:hAnsi="Arial"/>
                <w:sz w:val="15"/>
                <w:szCs w:val="15"/>
                <w:color w:val="auto"/>
              </w:rPr>
              <w:t>(1)</w:t>
            </w:r>
          </w:p>
        </w:tc>
        <w:tc>
          <w:tcPr>
            <w:tcW w:w="280" w:type="dxa"/>
            <w:vAlign w:val="bottom"/>
          </w:tcPr>
          <w:p>
            <w:pPr>
              <w:spacing w:after="0"/>
              <w:rPr>
                <w:sz w:val="19"/>
                <w:szCs w:val="19"/>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46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r>
      <w:tr>
        <w:trPr>
          <w:trHeight w:val="222"/>
        </w:trPr>
        <w:tc>
          <w:tcPr>
            <w:tcW w:w="7840" w:type="dxa"/>
            <w:vAlign w:val="bottom"/>
            <w:tcBorders>
              <w:top w:val="single" w:sz="8" w:color="CFF0FC"/>
              <w:bottom w:val="single" w:sz="8" w:color="CFF0FC"/>
            </w:tcBorders>
            <w:shd w:val="clear" w:color="auto" w:fill="CFF0FC"/>
          </w:tcPr>
          <w:p>
            <w:pPr>
              <w:ind w:left="260"/>
              <w:spacing w:after="0"/>
              <w:rPr>
                <w:sz w:val="20"/>
                <w:szCs w:val="20"/>
                <w:color w:val="auto"/>
              </w:rPr>
            </w:pPr>
            <w:r>
              <w:rPr>
                <w:rFonts w:ascii="Arial" w:cs="Arial" w:eastAsia="Arial" w:hAnsi="Arial"/>
                <w:sz w:val="18"/>
                <w:szCs w:val="18"/>
                <w:b w:val="1"/>
                <w:bCs w:val="1"/>
                <w:color w:val="auto"/>
              </w:rPr>
              <w:t>Inventories</w:t>
            </w:r>
          </w:p>
        </w:tc>
        <w:tc>
          <w:tcPr>
            <w:tcW w:w="280" w:type="dxa"/>
            <w:vAlign w:val="bottom"/>
            <w:tcBorders>
              <w:top w:val="single" w:sz="8" w:color="auto"/>
              <w:bottom w:val="single" w:sz="8" w:color="auto"/>
            </w:tcBorders>
            <w:shd w:val="clear" w:color="auto" w:fill="CFF0FC"/>
          </w:tcPr>
          <w:p>
            <w:pPr>
              <w:jc w:val="right"/>
              <w:ind w:right="90"/>
              <w:spacing w:after="0"/>
              <w:rPr>
                <w:sz w:val="20"/>
                <w:szCs w:val="20"/>
                <w:color w:val="auto"/>
              </w:rPr>
            </w:pPr>
            <w:r>
              <w:rPr>
                <w:rFonts w:ascii="Arial" w:cs="Arial" w:eastAsia="Arial" w:hAnsi="Arial"/>
                <w:sz w:val="18"/>
                <w:szCs w:val="18"/>
                <w:color w:val="auto"/>
                <w:w w:val="79"/>
              </w:rPr>
              <w:t>$</w:t>
            </w:r>
          </w:p>
        </w:tc>
        <w:tc>
          <w:tcPr>
            <w:tcW w:w="132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17,514</w:t>
            </w:r>
          </w:p>
        </w:tc>
        <w:tc>
          <w:tcPr>
            <w:tcW w:w="280" w:type="dxa"/>
            <w:vAlign w:val="bottom"/>
            <w:tcBorders>
              <w:top w:val="single" w:sz="8" w:color="CFF0FC"/>
              <w:bottom w:val="single" w:sz="8" w:color="CFF0FC"/>
            </w:tcBorders>
            <w:shd w:val="clear" w:color="auto" w:fill="CFF0FC"/>
          </w:tcPr>
          <w:p>
            <w:pPr>
              <w:spacing w:after="0"/>
              <w:rPr>
                <w:sz w:val="19"/>
                <w:szCs w:val="19"/>
                <w:color w:val="auto"/>
              </w:rPr>
            </w:pPr>
          </w:p>
        </w:tc>
        <w:tc>
          <w:tcPr>
            <w:tcW w:w="240" w:type="dxa"/>
            <w:vAlign w:val="bottom"/>
            <w:tcBorders>
              <w:top w:val="single" w:sz="8" w:color="auto"/>
              <w:bottom w:val="single" w:sz="8" w:color="auto"/>
            </w:tcBorders>
            <w:shd w:val="clear" w:color="auto" w:fill="CFF0FC"/>
          </w:tcPr>
          <w:p>
            <w:pPr>
              <w:jc w:val="right"/>
              <w:ind w:right="50"/>
              <w:spacing w:after="0"/>
              <w:rPr>
                <w:sz w:val="20"/>
                <w:szCs w:val="20"/>
                <w:color w:val="auto"/>
              </w:rPr>
            </w:pPr>
            <w:r>
              <w:rPr>
                <w:rFonts w:ascii="Arial" w:cs="Arial" w:eastAsia="Arial" w:hAnsi="Arial"/>
                <w:sz w:val="18"/>
                <w:szCs w:val="18"/>
                <w:color w:val="auto"/>
                <w:w w:val="79"/>
              </w:rPr>
              <w:t>$</w:t>
            </w:r>
          </w:p>
        </w:tc>
        <w:tc>
          <w:tcPr>
            <w:tcW w:w="136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17,550</w:t>
            </w:r>
          </w:p>
        </w:tc>
        <w:tc>
          <w:tcPr>
            <w:tcW w:w="100" w:type="dxa"/>
            <w:vAlign w:val="bottom"/>
            <w:tcBorders>
              <w:top w:val="single" w:sz="8" w:color="CFF0FC"/>
              <w:bottom w:val="single" w:sz="8" w:color="CFF0FC"/>
            </w:tcBorders>
            <w:shd w:val="clear" w:color="auto" w:fill="CFF0FC"/>
          </w:tcPr>
          <w:p>
            <w:pPr>
              <w:spacing w:after="0"/>
              <w:rPr>
                <w:sz w:val="19"/>
                <w:szCs w:val="19"/>
                <w:color w:val="auto"/>
              </w:rPr>
            </w:pPr>
          </w:p>
        </w:tc>
      </w:tr>
      <w:tr>
        <w:trPr>
          <w:trHeight w:val="20"/>
        </w:trPr>
        <w:tc>
          <w:tcPr>
            <w:tcW w:w="784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1" w:lineRule="exact"/>
        <w:rPr>
          <w:sz w:val="20"/>
          <w:szCs w:val="20"/>
          <w:color w:val="auto"/>
        </w:rPr>
      </w:pPr>
    </w:p>
    <w:p>
      <w:pPr>
        <w:jc w:val="both"/>
        <w:ind w:left="380" w:right="20" w:hanging="372"/>
        <w:spacing w:after="0" w:line="262" w:lineRule="auto"/>
        <w:tabs>
          <w:tab w:leader="none" w:pos="380" w:val="left"/>
        </w:tabs>
        <w:numPr>
          <w:ilvl w:val="0"/>
          <w:numId w:val="8"/>
        </w:numPr>
        <w:rPr>
          <w:rFonts w:ascii="Arial" w:cs="Arial" w:eastAsia="Arial" w:hAnsi="Arial"/>
          <w:sz w:val="15"/>
          <w:szCs w:val="15"/>
          <w:color w:val="auto"/>
        </w:rPr>
      </w:pPr>
      <w:r>
        <w:rPr>
          <w:rFonts w:ascii="Arial" w:cs="Arial" w:eastAsia="Arial" w:hAnsi="Arial"/>
          <w:sz w:val="18"/>
          <w:szCs w:val="18"/>
          <w:color w:val="auto"/>
        </w:rPr>
        <w:t xml:space="preserve">Upon the adoption of Topic 606, the deferred incremental costs of obtaining and fulfilling contracts that were previously reported in Inventories under “Work in process” are currently reported under “Current contract costs” and “Other investments and assets.” Refer to Note 2 </w:t>
      </w:r>
      <w:r>
        <w:rPr>
          <w:rFonts w:ascii="Arial" w:cs="Arial" w:eastAsia="Arial" w:hAnsi="Arial"/>
          <w:sz w:val="18"/>
          <w:szCs w:val="18"/>
          <w:b w:val="1"/>
          <w:bCs w:val="1"/>
          <w:i w:val="1"/>
          <w:iCs w:val="1"/>
          <w:color w:val="auto"/>
        </w:rPr>
        <w:t>–</w:t>
      </w:r>
      <w:r>
        <w:rPr>
          <w:rFonts w:ascii="Arial" w:cs="Arial" w:eastAsia="Arial" w:hAnsi="Arial"/>
          <w:sz w:val="18"/>
          <w:szCs w:val="18"/>
          <w:color w:val="auto"/>
        </w:rPr>
        <w:t xml:space="preserve"> Revenue and Related Contract Costs and Contract Liabilities for additional information.</w:t>
      </w:r>
    </w:p>
    <w:p>
      <w:pPr>
        <w:spacing w:after="0" w:line="29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Note 6. </w:t>
      </w:r>
      <w:r>
        <w:rPr>
          <w:rFonts w:ascii="Arial" w:cs="Arial" w:eastAsia="Arial" w:hAnsi="Arial"/>
          <w:sz w:val="18"/>
          <w:szCs w:val="18"/>
          <w:b w:val="1"/>
          <w:bCs w:val="1"/>
          <w:u w:val="single" w:color="auto"/>
          <w:color w:val="auto"/>
        </w:rPr>
        <w:t>Other Current Assets</w:t>
      </w:r>
    </w:p>
    <w:p>
      <w:pPr>
        <w:spacing w:after="0" w:line="120" w:lineRule="exact"/>
        <w:rPr>
          <w:sz w:val="20"/>
          <w:szCs w:val="20"/>
          <w:color w:val="auto"/>
        </w:rPr>
      </w:pPr>
    </w:p>
    <w:p>
      <w:pPr>
        <w:spacing w:after="0"/>
        <w:rPr>
          <w:sz w:val="20"/>
          <w:szCs w:val="20"/>
          <w:color w:val="auto"/>
        </w:rPr>
      </w:pPr>
      <w:r>
        <w:rPr>
          <w:rFonts w:ascii="Arial" w:cs="Arial" w:eastAsia="Arial" w:hAnsi="Arial"/>
          <w:sz w:val="18"/>
          <w:szCs w:val="18"/>
          <w:color w:val="auto"/>
        </w:rPr>
        <w:t>Other current assets consisted of the following:</w:t>
      </w:r>
    </w:p>
    <w:p>
      <w:pPr>
        <w:spacing w:after="0" w:line="295"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900" w:type="dxa"/>
            <w:vAlign w:val="bottom"/>
          </w:tcPr>
          <w:p>
            <w:pPr>
              <w:spacing w:after="0"/>
              <w:rPr>
                <w:sz w:val="14"/>
                <w:szCs w:val="14"/>
                <w:color w:val="auto"/>
              </w:rPr>
            </w:pPr>
          </w:p>
        </w:tc>
        <w:tc>
          <w:tcPr>
            <w:tcW w:w="39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300" w:type="dxa"/>
            <w:vAlign w:val="bottom"/>
          </w:tcPr>
          <w:p>
            <w:pPr>
              <w:jc w:val="right"/>
              <w:ind w:right="394"/>
              <w:spacing w:after="0"/>
              <w:rPr>
                <w:sz w:val="20"/>
                <w:szCs w:val="20"/>
                <w:color w:val="auto"/>
              </w:rPr>
            </w:pPr>
            <w:r>
              <w:rPr>
                <w:rFonts w:ascii="Arial" w:cs="Arial" w:eastAsia="Arial" w:hAnsi="Arial"/>
                <w:sz w:val="14"/>
                <w:szCs w:val="14"/>
                <w:b w:val="1"/>
                <w:bCs w:val="1"/>
                <w:color w:val="auto"/>
              </w:rPr>
              <w:t>March 31,</w:t>
            </w:r>
          </w:p>
        </w:tc>
        <w:tc>
          <w:tcPr>
            <w:tcW w:w="2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480" w:type="dxa"/>
            <w:vAlign w:val="bottom"/>
            <w:gridSpan w:val="2"/>
          </w:tcPr>
          <w:p>
            <w:pPr>
              <w:ind w:left="140"/>
              <w:spacing w:after="0"/>
              <w:rPr>
                <w:sz w:val="20"/>
                <w:szCs w:val="20"/>
                <w:color w:val="auto"/>
              </w:rPr>
            </w:pPr>
            <w:r>
              <w:rPr>
                <w:rFonts w:ascii="Arial" w:cs="Arial" w:eastAsia="Arial" w:hAnsi="Arial"/>
                <w:sz w:val="14"/>
                <w:szCs w:val="14"/>
                <w:b w:val="1"/>
                <w:bCs w:val="1"/>
                <w:color w:val="auto"/>
              </w:rPr>
              <w:t>December 31,</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1"/>
        </w:trPr>
        <w:tc>
          <w:tcPr>
            <w:tcW w:w="3900" w:type="dxa"/>
            <w:vAlign w:val="bottom"/>
            <w:tcBorders>
              <w:bottom w:val="single" w:sz="8" w:color="CFF0FC"/>
            </w:tcBorders>
          </w:tcPr>
          <w:p>
            <w:pPr>
              <w:spacing w:after="0"/>
              <w:rPr>
                <w:sz w:val="20"/>
                <w:szCs w:val="20"/>
                <w:color w:val="auto"/>
              </w:rPr>
            </w:pPr>
            <w:r>
              <w:rPr>
                <w:rFonts w:ascii="Arial" w:cs="Arial" w:eastAsia="Arial" w:hAnsi="Arial"/>
                <w:sz w:val="14"/>
                <w:szCs w:val="14"/>
                <w:i w:val="1"/>
                <w:iCs w:val="1"/>
                <w:color w:val="auto"/>
              </w:rPr>
              <w:t>(in thousands)</w:t>
            </w:r>
          </w:p>
        </w:tc>
        <w:tc>
          <w:tcPr>
            <w:tcW w:w="3960" w:type="dxa"/>
            <w:vAlign w:val="bottom"/>
            <w:tcBorders>
              <w:bottom w:val="single" w:sz="8" w:color="CFF0FC"/>
            </w:tcBorders>
          </w:tcPr>
          <w:p>
            <w:pPr>
              <w:spacing w:after="0"/>
              <w:rPr>
                <w:sz w:val="14"/>
                <w:szCs w:val="14"/>
                <w:color w:val="auto"/>
              </w:rPr>
            </w:pPr>
          </w:p>
        </w:tc>
        <w:tc>
          <w:tcPr>
            <w:tcW w:w="280" w:type="dxa"/>
            <w:vAlign w:val="bottom"/>
            <w:tcBorders>
              <w:bottom w:val="single" w:sz="8" w:color="auto"/>
            </w:tcBorders>
          </w:tcPr>
          <w:p>
            <w:pPr>
              <w:spacing w:after="0"/>
              <w:rPr>
                <w:sz w:val="14"/>
                <w:szCs w:val="14"/>
                <w:color w:val="auto"/>
              </w:rPr>
            </w:pPr>
          </w:p>
        </w:tc>
        <w:tc>
          <w:tcPr>
            <w:tcW w:w="1300" w:type="dxa"/>
            <w:vAlign w:val="bottom"/>
            <w:tcBorders>
              <w:bottom w:val="single" w:sz="8" w:color="auto"/>
            </w:tcBorders>
          </w:tcPr>
          <w:p>
            <w:pPr>
              <w:jc w:val="right"/>
              <w:ind w:right="574"/>
              <w:spacing w:after="0"/>
              <w:rPr>
                <w:sz w:val="20"/>
                <w:szCs w:val="20"/>
                <w:color w:val="auto"/>
              </w:rPr>
            </w:pPr>
            <w:r>
              <w:rPr>
                <w:rFonts w:ascii="Arial" w:cs="Arial" w:eastAsia="Arial" w:hAnsi="Arial"/>
                <w:sz w:val="14"/>
                <w:szCs w:val="14"/>
                <w:b w:val="1"/>
                <w:bCs w:val="1"/>
                <w:color w:val="auto"/>
              </w:rPr>
              <w:t>2018</w:t>
            </w:r>
          </w:p>
        </w:tc>
        <w:tc>
          <w:tcPr>
            <w:tcW w:w="280" w:type="dxa"/>
            <w:vAlign w:val="bottom"/>
            <w:tcBorders>
              <w:bottom w:val="single" w:sz="8" w:color="CFF0FC"/>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1360" w:type="dxa"/>
            <w:vAlign w:val="bottom"/>
            <w:tcBorders>
              <w:bottom w:val="single" w:sz="8" w:color="auto"/>
            </w:tcBorders>
          </w:tcPr>
          <w:p>
            <w:pPr>
              <w:jc w:val="right"/>
              <w:ind w:right="574"/>
              <w:spacing w:after="0"/>
              <w:rPr>
                <w:sz w:val="20"/>
                <w:szCs w:val="20"/>
                <w:color w:val="auto"/>
              </w:rPr>
            </w:pPr>
            <w:r>
              <w:rPr>
                <w:rFonts w:ascii="Arial" w:cs="Arial" w:eastAsia="Arial" w:hAnsi="Arial"/>
                <w:sz w:val="14"/>
                <w:szCs w:val="14"/>
                <w:b w:val="1"/>
                <w:bCs w:val="1"/>
                <w:color w:val="auto"/>
              </w:rPr>
              <w:t>2017</w:t>
            </w:r>
          </w:p>
        </w:tc>
        <w:tc>
          <w:tcPr>
            <w:tcW w:w="120" w:type="dxa"/>
            <w:vAlign w:val="bottom"/>
            <w:tcBorders>
              <w:bottom w:val="single" w:sz="8" w:color="CFF0FC"/>
            </w:tcBorders>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22"/>
        </w:trPr>
        <w:tc>
          <w:tcPr>
            <w:tcW w:w="3900" w:type="dxa"/>
            <w:vAlign w:val="bottom"/>
            <w:shd w:val="clear" w:color="auto" w:fill="CFF0FC"/>
          </w:tcPr>
          <w:p>
            <w:pPr>
              <w:spacing w:after="0"/>
              <w:rPr>
                <w:sz w:val="20"/>
                <w:szCs w:val="20"/>
                <w:color w:val="auto"/>
              </w:rPr>
            </w:pPr>
            <w:r>
              <w:rPr>
                <w:rFonts w:ascii="Arial" w:cs="Arial" w:eastAsia="Arial" w:hAnsi="Arial"/>
                <w:sz w:val="18"/>
                <w:szCs w:val="18"/>
                <w:color w:val="auto"/>
              </w:rPr>
              <w:t>Income tax receivable</w:t>
            </w:r>
          </w:p>
        </w:tc>
        <w:tc>
          <w:tcPr>
            <w:tcW w:w="3960" w:type="dxa"/>
            <w:vAlign w:val="bottom"/>
            <w:shd w:val="clear" w:color="auto" w:fill="CFF0FC"/>
          </w:tcPr>
          <w:p>
            <w:pPr>
              <w:spacing w:after="0"/>
              <w:rPr>
                <w:sz w:val="19"/>
                <w:szCs w:val="19"/>
                <w:color w:val="auto"/>
              </w:rPr>
            </w:pPr>
          </w:p>
        </w:tc>
        <w:tc>
          <w:tcPr>
            <w:tcW w:w="280" w:type="dxa"/>
            <w:vAlign w:val="bottom"/>
            <w:shd w:val="clear" w:color="auto" w:fill="CFF0FC"/>
          </w:tcPr>
          <w:p>
            <w:pPr>
              <w:jc w:val="right"/>
              <w:ind w:right="127"/>
              <w:spacing w:after="0"/>
              <w:rPr>
                <w:sz w:val="20"/>
                <w:szCs w:val="20"/>
                <w:color w:val="auto"/>
              </w:rPr>
            </w:pPr>
            <w:r>
              <w:rPr>
                <w:rFonts w:ascii="Arial" w:cs="Arial" w:eastAsia="Arial" w:hAnsi="Arial"/>
                <w:sz w:val="15"/>
                <w:szCs w:val="15"/>
                <w:color w:val="auto"/>
                <w:w w:val="71"/>
              </w:rPr>
              <w:t>$</w:t>
            </w:r>
          </w:p>
        </w:tc>
        <w:tc>
          <w:tcPr>
            <w:tcW w:w="13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5,882</w:t>
            </w:r>
          </w:p>
        </w:tc>
        <w:tc>
          <w:tcPr>
            <w:tcW w:w="280" w:type="dxa"/>
            <w:vAlign w:val="bottom"/>
            <w:shd w:val="clear" w:color="auto" w:fill="CFF0FC"/>
          </w:tcPr>
          <w:p>
            <w:pPr>
              <w:spacing w:after="0"/>
              <w:rPr>
                <w:sz w:val="19"/>
                <w:szCs w:val="19"/>
                <w:color w:val="auto"/>
              </w:rPr>
            </w:pPr>
          </w:p>
        </w:tc>
        <w:tc>
          <w:tcPr>
            <w:tcW w:w="220" w:type="dxa"/>
            <w:vAlign w:val="bottom"/>
            <w:shd w:val="clear" w:color="auto" w:fill="CFF0FC"/>
          </w:tcPr>
          <w:p>
            <w:pPr>
              <w:jc w:val="right"/>
              <w:ind w:right="67"/>
              <w:spacing w:after="0"/>
              <w:rPr>
                <w:sz w:val="20"/>
                <w:szCs w:val="20"/>
                <w:color w:val="auto"/>
              </w:rPr>
            </w:pPr>
            <w:r>
              <w:rPr>
                <w:rFonts w:ascii="Arial" w:cs="Arial" w:eastAsia="Arial" w:hAnsi="Arial"/>
                <w:sz w:val="15"/>
                <w:szCs w:val="15"/>
                <w:color w:val="auto"/>
                <w:w w:val="71"/>
              </w:rPr>
              <w:t>$</w:t>
            </w:r>
          </w:p>
        </w:tc>
        <w:tc>
          <w:tcPr>
            <w:tcW w:w="13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4,237</w:t>
            </w:r>
          </w:p>
        </w:tc>
        <w:tc>
          <w:tcPr>
            <w:tcW w:w="120" w:type="dxa"/>
            <w:vAlign w:val="bottom"/>
            <w:shd w:val="clear" w:color="auto" w:fill="CFF0FC"/>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3900" w:type="dxa"/>
            <w:vAlign w:val="bottom"/>
          </w:tcPr>
          <w:p>
            <w:pPr>
              <w:spacing w:after="0"/>
              <w:rPr>
                <w:sz w:val="20"/>
                <w:szCs w:val="20"/>
                <w:color w:val="auto"/>
              </w:rPr>
            </w:pPr>
            <w:r>
              <w:rPr>
                <w:rFonts w:ascii="Arial" w:cs="Arial" w:eastAsia="Arial" w:hAnsi="Arial"/>
                <w:sz w:val="18"/>
                <w:szCs w:val="18"/>
                <w:color w:val="auto"/>
              </w:rPr>
              <w:t>Prepaid vendor payments</w:t>
            </w:r>
          </w:p>
        </w:tc>
        <w:tc>
          <w:tcPr>
            <w:tcW w:w="396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5,298</w:t>
            </w:r>
          </w:p>
        </w:tc>
        <w:tc>
          <w:tcPr>
            <w:tcW w:w="2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5,048</w:t>
            </w:r>
          </w:p>
        </w:tc>
        <w:tc>
          <w:tcPr>
            <w:tcW w:w="1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3900" w:type="dxa"/>
            <w:vAlign w:val="bottom"/>
            <w:shd w:val="clear" w:color="auto" w:fill="CFF0FC"/>
          </w:tcPr>
          <w:p>
            <w:pPr>
              <w:spacing w:after="0"/>
              <w:rPr>
                <w:sz w:val="20"/>
                <w:szCs w:val="20"/>
                <w:color w:val="auto"/>
              </w:rPr>
            </w:pPr>
            <w:r>
              <w:rPr>
                <w:rFonts w:ascii="Arial" w:cs="Arial" w:eastAsia="Arial" w:hAnsi="Arial"/>
                <w:sz w:val="18"/>
                <w:szCs w:val="18"/>
                <w:color w:val="auto"/>
              </w:rPr>
              <w:t>Prepaid software maintenance</w:t>
            </w:r>
          </w:p>
        </w:tc>
        <w:tc>
          <w:tcPr>
            <w:tcW w:w="396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13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4,096</w:t>
            </w:r>
          </w:p>
        </w:tc>
        <w:tc>
          <w:tcPr>
            <w:tcW w:w="28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13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3,386</w:t>
            </w:r>
          </w:p>
        </w:tc>
        <w:tc>
          <w:tcPr>
            <w:tcW w:w="120" w:type="dxa"/>
            <w:vAlign w:val="bottom"/>
            <w:shd w:val="clear" w:color="auto" w:fill="CFF0FC"/>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3900" w:type="dxa"/>
            <w:vAlign w:val="bottom"/>
          </w:tcPr>
          <w:p>
            <w:pPr>
              <w:spacing w:after="0"/>
              <w:rPr>
                <w:sz w:val="20"/>
                <w:szCs w:val="20"/>
                <w:color w:val="auto"/>
              </w:rPr>
            </w:pPr>
            <w:r>
              <w:rPr>
                <w:rFonts w:ascii="Arial" w:cs="Arial" w:eastAsia="Arial" w:hAnsi="Arial"/>
                <w:sz w:val="18"/>
                <w:szCs w:val="18"/>
                <w:color w:val="auto"/>
              </w:rPr>
              <w:t>Prepaid insurance</w:t>
            </w:r>
          </w:p>
        </w:tc>
        <w:tc>
          <w:tcPr>
            <w:tcW w:w="396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2,260</w:t>
            </w:r>
          </w:p>
        </w:tc>
        <w:tc>
          <w:tcPr>
            <w:tcW w:w="2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2,610</w:t>
            </w:r>
          </w:p>
        </w:tc>
        <w:tc>
          <w:tcPr>
            <w:tcW w:w="1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3900" w:type="dxa"/>
            <w:vAlign w:val="bottom"/>
            <w:shd w:val="clear" w:color="auto" w:fill="CFF0FC"/>
          </w:tcPr>
          <w:p>
            <w:pPr>
              <w:spacing w:after="0"/>
              <w:rPr>
                <w:sz w:val="20"/>
                <w:szCs w:val="20"/>
                <w:color w:val="auto"/>
              </w:rPr>
            </w:pPr>
            <w:r>
              <w:rPr>
                <w:rFonts w:ascii="Arial" w:cs="Arial" w:eastAsia="Arial" w:hAnsi="Arial"/>
                <w:sz w:val="18"/>
                <w:szCs w:val="18"/>
                <w:color w:val="auto"/>
              </w:rPr>
              <w:t>Prepaid taxes</w:t>
            </w:r>
          </w:p>
        </w:tc>
        <w:tc>
          <w:tcPr>
            <w:tcW w:w="396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13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786</w:t>
            </w:r>
          </w:p>
        </w:tc>
        <w:tc>
          <w:tcPr>
            <w:tcW w:w="28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13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912</w:t>
            </w:r>
          </w:p>
        </w:tc>
        <w:tc>
          <w:tcPr>
            <w:tcW w:w="120" w:type="dxa"/>
            <w:vAlign w:val="bottom"/>
            <w:shd w:val="clear" w:color="auto" w:fill="CFF0FC"/>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3900" w:type="dxa"/>
            <w:vAlign w:val="bottom"/>
          </w:tcPr>
          <w:p>
            <w:pPr>
              <w:spacing w:after="0"/>
              <w:rPr>
                <w:sz w:val="20"/>
                <w:szCs w:val="20"/>
                <w:color w:val="auto"/>
              </w:rPr>
            </w:pPr>
            <w:r>
              <w:rPr>
                <w:rFonts w:ascii="Arial" w:cs="Arial" w:eastAsia="Arial" w:hAnsi="Arial"/>
                <w:sz w:val="18"/>
                <w:szCs w:val="18"/>
                <w:color w:val="auto"/>
              </w:rPr>
              <w:t>Prepaid rent</w:t>
            </w:r>
          </w:p>
        </w:tc>
        <w:tc>
          <w:tcPr>
            <w:tcW w:w="396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788</w:t>
            </w:r>
          </w:p>
        </w:tc>
        <w:tc>
          <w:tcPr>
            <w:tcW w:w="2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730</w:t>
            </w:r>
          </w:p>
        </w:tc>
        <w:tc>
          <w:tcPr>
            <w:tcW w:w="1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3900" w:type="dxa"/>
            <w:vAlign w:val="bottom"/>
            <w:shd w:val="clear" w:color="auto" w:fill="CFF0FC"/>
          </w:tcPr>
          <w:p>
            <w:pPr>
              <w:spacing w:after="0"/>
              <w:rPr>
                <w:sz w:val="20"/>
                <w:szCs w:val="20"/>
                <w:color w:val="auto"/>
              </w:rPr>
            </w:pPr>
            <w:r>
              <w:rPr>
                <w:rFonts w:ascii="Arial" w:cs="Arial" w:eastAsia="Arial" w:hAnsi="Arial"/>
                <w:sz w:val="18"/>
                <w:szCs w:val="18"/>
                <w:color w:val="auto"/>
              </w:rPr>
              <w:t>Prepaid other</w:t>
            </w:r>
          </w:p>
        </w:tc>
        <w:tc>
          <w:tcPr>
            <w:tcW w:w="396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13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3,919</w:t>
            </w:r>
          </w:p>
        </w:tc>
        <w:tc>
          <w:tcPr>
            <w:tcW w:w="28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13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2,172</w:t>
            </w:r>
          </w:p>
        </w:tc>
        <w:tc>
          <w:tcPr>
            <w:tcW w:w="120" w:type="dxa"/>
            <w:vAlign w:val="bottom"/>
            <w:shd w:val="clear" w:color="auto" w:fill="CFF0FC"/>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3900" w:type="dxa"/>
            <w:vAlign w:val="bottom"/>
            <w:tcBorders>
              <w:bottom w:val="single" w:sz="8" w:color="CFF0FC"/>
            </w:tcBorders>
          </w:tcPr>
          <w:p>
            <w:pPr>
              <w:spacing w:after="0"/>
              <w:rPr>
                <w:sz w:val="20"/>
                <w:szCs w:val="20"/>
                <w:color w:val="auto"/>
              </w:rPr>
            </w:pPr>
            <w:r>
              <w:rPr>
                <w:rFonts w:ascii="Arial" w:cs="Arial" w:eastAsia="Arial" w:hAnsi="Arial"/>
                <w:sz w:val="18"/>
                <w:szCs w:val="18"/>
                <w:color w:val="auto"/>
              </w:rPr>
              <w:t>Other</w:t>
            </w:r>
          </w:p>
        </w:tc>
        <w:tc>
          <w:tcPr>
            <w:tcW w:w="3960" w:type="dxa"/>
            <w:vAlign w:val="bottom"/>
            <w:tcBorders>
              <w:bottom w:val="single" w:sz="8" w:color="CFF0FC"/>
            </w:tcBorders>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13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48</w:t>
            </w:r>
          </w:p>
        </w:tc>
        <w:tc>
          <w:tcPr>
            <w:tcW w:w="280" w:type="dxa"/>
            <w:vAlign w:val="bottom"/>
            <w:tcBorders>
              <w:bottom w:val="single" w:sz="8" w:color="CFF0FC"/>
            </w:tcBorders>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13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646</w:t>
            </w:r>
          </w:p>
        </w:tc>
        <w:tc>
          <w:tcPr>
            <w:tcW w:w="120" w:type="dxa"/>
            <w:vAlign w:val="bottom"/>
            <w:tcBorders>
              <w:bottom w:val="single" w:sz="8" w:color="CFF0FC"/>
            </w:tcBorders>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2"/>
        </w:trPr>
        <w:tc>
          <w:tcPr>
            <w:tcW w:w="3900" w:type="dxa"/>
            <w:vAlign w:val="bottom"/>
            <w:tcBorders>
              <w:bottom w:val="single" w:sz="8" w:color="CFF0FC"/>
            </w:tcBorders>
            <w:shd w:val="clear" w:color="auto" w:fill="CFF0FC"/>
          </w:tcPr>
          <w:p>
            <w:pPr>
              <w:ind w:left="260"/>
              <w:spacing w:after="0"/>
              <w:rPr>
                <w:sz w:val="20"/>
                <w:szCs w:val="20"/>
                <w:color w:val="auto"/>
              </w:rPr>
            </w:pPr>
            <w:r>
              <w:rPr>
                <w:rFonts w:ascii="Arial" w:cs="Arial" w:eastAsia="Arial" w:hAnsi="Arial"/>
                <w:sz w:val="18"/>
                <w:szCs w:val="18"/>
                <w:b w:val="1"/>
                <w:bCs w:val="1"/>
                <w:color w:val="auto"/>
              </w:rPr>
              <w:t>Other current assets</w:t>
            </w:r>
          </w:p>
        </w:tc>
        <w:tc>
          <w:tcPr>
            <w:tcW w:w="3960" w:type="dxa"/>
            <w:vAlign w:val="bottom"/>
            <w:tcBorders>
              <w:bottom w:val="single" w:sz="8" w:color="CFF0FC"/>
            </w:tcBorders>
            <w:shd w:val="clear" w:color="auto" w:fill="CFF0FC"/>
          </w:tcPr>
          <w:p>
            <w:pPr>
              <w:spacing w:after="0"/>
              <w:rPr>
                <w:sz w:val="19"/>
                <w:szCs w:val="19"/>
                <w:color w:val="auto"/>
              </w:rPr>
            </w:pPr>
          </w:p>
        </w:tc>
        <w:tc>
          <w:tcPr>
            <w:tcW w:w="280" w:type="dxa"/>
            <w:vAlign w:val="bottom"/>
            <w:tcBorders>
              <w:bottom w:val="single" w:sz="8" w:color="auto"/>
            </w:tcBorders>
            <w:shd w:val="clear" w:color="auto" w:fill="CFF0FC"/>
          </w:tcPr>
          <w:p>
            <w:pPr>
              <w:jc w:val="right"/>
              <w:ind w:right="127"/>
              <w:spacing w:after="0"/>
              <w:rPr>
                <w:sz w:val="20"/>
                <w:szCs w:val="20"/>
                <w:color w:val="auto"/>
              </w:rPr>
            </w:pPr>
            <w:r>
              <w:rPr>
                <w:rFonts w:ascii="Arial" w:cs="Arial" w:eastAsia="Arial" w:hAnsi="Arial"/>
                <w:sz w:val="15"/>
                <w:szCs w:val="15"/>
                <w:color w:val="auto"/>
                <w:w w:val="71"/>
              </w:rPr>
              <w:t>$</w:t>
            </w:r>
          </w:p>
        </w:tc>
        <w:tc>
          <w:tcPr>
            <w:tcW w:w="13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23,077</w:t>
            </w:r>
          </w:p>
        </w:tc>
        <w:tc>
          <w:tcPr>
            <w:tcW w:w="280" w:type="dxa"/>
            <w:vAlign w:val="bottom"/>
            <w:tcBorders>
              <w:bottom w:val="single" w:sz="8" w:color="CFF0FC"/>
            </w:tcBorders>
            <w:shd w:val="clear" w:color="auto" w:fill="CFF0FC"/>
          </w:tcPr>
          <w:p>
            <w:pPr>
              <w:spacing w:after="0"/>
              <w:rPr>
                <w:sz w:val="19"/>
                <w:szCs w:val="19"/>
                <w:color w:val="auto"/>
              </w:rPr>
            </w:pPr>
          </w:p>
        </w:tc>
        <w:tc>
          <w:tcPr>
            <w:tcW w:w="220" w:type="dxa"/>
            <w:vAlign w:val="bottom"/>
            <w:tcBorders>
              <w:bottom w:val="single" w:sz="8" w:color="auto"/>
            </w:tcBorders>
            <w:shd w:val="clear" w:color="auto" w:fill="CFF0FC"/>
          </w:tcPr>
          <w:p>
            <w:pPr>
              <w:jc w:val="right"/>
              <w:ind w:right="67"/>
              <w:spacing w:after="0"/>
              <w:rPr>
                <w:sz w:val="20"/>
                <w:szCs w:val="20"/>
                <w:color w:val="auto"/>
              </w:rPr>
            </w:pPr>
            <w:r>
              <w:rPr>
                <w:rFonts w:ascii="Arial" w:cs="Arial" w:eastAsia="Arial" w:hAnsi="Arial"/>
                <w:sz w:val="15"/>
                <w:szCs w:val="15"/>
                <w:color w:val="auto"/>
                <w:w w:val="71"/>
              </w:rPr>
              <w:t>$</w:t>
            </w:r>
          </w:p>
        </w:tc>
        <w:tc>
          <w:tcPr>
            <w:tcW w:w="13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19,741</w:t>
            </w:r>
          </w:p>
        </w:tc>
        <w:tc>
          <w:tcPr>
            <w:tcW w:w="120" w:type="dxa"/>
            <w:vAlign w:val="bottom"/>
            <w:tcBorders>
              <w:bottom w:val="single" w:sz="8" w:color="CFF0FC"/>
            </w:tcBorders>
            <w:shd w:val="clear" w:color="auto" w:fill="CFF0FC"/>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3900" w:type="dxa"/>
            <w:vAlign w:val="bottom"/>
          </w:tcPr>
          <w:p>
            <w:pPr>
              <w:spacing w:after="0" w:line="20" w:lineRule="exact"/>
              <w:rPr>
                <w:sz w:val="1"/>
                <w:szCs w:val="1"/>
                <w:color w:val="auto"/>
              </w:rPr>
            </w:pPr>
          </w:p>
        </w:tc>
        <w:tc>
          <w:tcPr>
            <w:tcW w:w="3960" w:type="dxa"/>
            <w:vAlign w:val="bottom"/>
            <w:vMerge w:val="restart"/>
          </w:tcPr>
          <w:p>
            <w:pPr>
              <w:jc w:val="right"/>
              <w:ind w:right="1970"/>
              <w:spacing w:after="0"/>
              <w:rPr>
                <w:sz w:val="20"/>
                <w:szCs w:val="20"/>
                <w:color w:val="auto"/>
              </w:rPr>
            </w:pPr>
            <w:r>
              <w:rPr>
                <w:rFonts w:ascii="Arial" w:cs="Arial" w:eastAsia="Arial" w:hAnsi="Arial"/>
                <w:sz w:val="18"/>
                <w:szCs w:val="18"/>
                <w:color w:val="auto"/>
              </w:rPr>
              <w:t>16</w:t>
            </w:r>
          </w:p>
        </w:tc>
        <w:tc>
          <w:tcPr>
            <w:tcW w:w="28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12"/>
        </w:trPr>
        <w:tc>
          <w:tcPr>
            <w:tcW w:w="3900" w:type="dxa"/>
            <w:vAlign w:val="bottom"/>
          </w:tcPr>
          <w:p>
            <w:pPr>
              <w:spacing w:after="0"/>
              <w:rPr>
                <w:sz w:val="24"/>
                <w:szCs w:val="24"/>
                <w:color w:val="auto"/>
              </w:rPr>
            </w:pPr>
          </w:p>
        </w:tc>
        <w:tc>
          <w:tcPr>
            <w:tcW w:w="3960" w:type="dxa"/>
            <w:vAlign w:val="bottom"/>
            <w:vMerge w:val="continue"/>
          </w:tcPr>
          <w:p>
            <w:pPr>
              <w:spacing w:after="0"/>
              <w:rPr>
                <w:sz w:val="24"/>
                <w:szCs w:val="24"/>
                <w:color w:val="auto"/>
              </w:rPr>
            </w:pPr>
          </w:p>
        </w:tc>
        <w:tc>
          <w:tcPr>
            <w:tcW w:w="28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4"/>
        </w:trPr>
        <w:tc>
          <w:tcPr>
            <w:tcW w:w="3900" w:type="dxa"/>
            <w:vAlign w:val="bottom"/>
            <w:tcBorders>
              <w:bottom w:val="single" w:sz="8" w:color="9A9A9A"/>
            </w:tcBorders>
          </w:tcPr>
          <w:p>
            <w:pPr>
              <w:spacing w:after="0"/>
              <w:rPr>
                <w:sz w:val="9"/>
                <w:szCs w:val="9"/>
                <w:color w:val="auto"/>
              </w:rPr>
            </w:pPr>
          </w:p>
        </w:tc>
        <w:tc>
          <w:tcPr>
            <w:tcW w:w="3960" w:type="dxa"/>
            <w:vAlign w:val="bottom"/>
            <w:tcBorders>
              <w:bottom w:val="single" w:sz="8" w:color="9A9A9A"/>
            </w:tcBorders>
          </w:tcPr>
          <w:p>
            <w:pPr>
              <w:spacing w:after="0"/>
              <w:rPr>
                <w:sz w:val="9"/>
                <w:szCs w:val="9"/>
                <w:color w:val="auto"/>
              </w:rPr>
            </w:pPr>
          </w:p>
        </w:tc>
        <w:tc>
          <w:tcPr>
            <w:tcW w:w="280" w:type="dxa"/>
            <w:vAlign w:val="bottom"/>
            <w:tcBorders>
              <w:bottom w:val="single" w:sz="8" w:color="9A9A9A"/>
            </w:tcBorders>
          </w:tcPr>
          <w:p>
            <w:pPr>
              <w:spacing w:after="0"/>
              <w:rPr>
                <w:sz w:val="9"/>
                <w:szCs w:val="9"/>
                <w:color w:val="auto"/>
              </w:rPr>
            </w:pPr>
          </w:p>
        </w:tc>
        <w:tc>
          <w:tcPr>
            <w:tcW w:w="1300" w:type="dxa"/>
            <w:vAlign w:val="bottom"/>
            <w:tcBorders>
              <w:bottom w:val="single" w:sz="8" w:color="9A9A9A"/>
            </w:tcBorders>
          </w:tcPr>
          <w:p>
            <w:pPr>
              <w:spacing w:after="0"/>
              <w:rPr>
                <w:sz w:val="9"/>
                <w:szCs w:val="9"/>
                <w:color w:val="auto"/>
              </w:rPr>
            </w:pPr>
          </w:p>
        </w:tc>
        <w:tc>
          <w:tcPr>
            <w:tcW w:w="280" w:type="dxa"/>
            <w:vAlign w:val="bottom"/>
            <w:tcBorders>
              <w:bottom w:val="single" w:sz="8" w:color="9A9A9A"/>
            </w:tcBorders>
          </w:tcPr>
          <w:p>
            <w:pPr>
              <w:spacing w:after="0"/>
              <w:rPr>
                <w:sz w:val="9"/>
                <w:szCs w:val="9"/>
                <w:color w:val="auto"/>
              </w:rPr>
            </w:pPr>
          </w:p>
        </w:tc>
        <w:tc>
          <w:tcPr>
            <w:tcW w:w="220" w:type="dxa"/>
            <w:vAlign w:val="bottom"/>
            <w:tcBorders>
              <w:bottom w:val="single" w:sz="8" w:color="9A9A9A"/>
            </w:tcBorders>
          </w:tcPr>
          <w:p>
            <w:pPr>
              <w:spacing w:after="0"/>
              <w:rPr>
                <w:sz w:val="9"/>
                <w:szCs w:val="9"/>
                <w:color w:val="auto"/>
              </w:rPr>
            </w:pPr>
          </w:p>
        </w:tc>
        <w:tc>
          <w:tcPr>
            <w:tcW w:w="1360" w:type="dxa"/>
            <w:vAlign w:val="bottom"/>
            <w:tcBorders>
              <w:bottom w:val="single" w:sz="8" w:color="9A9A9A"/>
            </w:tcBorders>
          </w:tcPr>
          <w:p>
            <w:pPr>
              <w:spacing w:after="0"/>
              <w:rPr>
                <w:sz w:val="9"/>
                <w:szCs w:val="9"/>
                <w:color w:val="auto"/>
              </w:rPr>
            </w:pPr>
          </w:p>
        </w:tc>
        <w:tc>
          <w:tcPr>
            <w:tcW w:w="120" w:type="dxa"/>
            <w:vAlign w:val="bottom"/>
            <w:tcBorders>
              <w:bottom w:val="single" w:sz="8" w:color="9A9A9A"/>
            </w:tcBorders>
          </w:tcPr>
          <w:p>
            <w:pPr>
              <w:spacing w:after="0"/>
              <w:rPr>
                <w:sz w:val="9"/>
                <w:szCs w:val="9"/>
                <w:color w:val="auto"/>
              </w:rPr>
            </w:pPr>
          </w:p>
        </w:tc>
        <w:tc>
          <w:tcPr>
            <w:tcW w:w="20" w:type="dxa"/>
            <w:vAlign w:val="bottom"/>
            <w:tcBorders>
              <w:bottom w:val="single" w:sz="8" w:color="9A9A9A"/>
            </w:tcBorders>
          </w:tcPr>
          <w:p>
            <w:pPr>
              <w:spacing w:after="0"/>
              <w:rPr>
                <w:sz w:val="9"/>
                <w:szCs w:val="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7247890</wp:posOffset>
            </wp:positionH>
            <wp:positionV relativeFrom="paragraph">
              <wp:posOffset>-29210</wp:posOffset>
            </wp:positionV>
            <wp:extent cx="33655" cy="4254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3655" cy="4254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33655" cy="42545"/>
                    </a:xfrm>
                    <a:prstGeom prst="rect">
                      <a:avLst/>
                    </a:prstGeom>
                    <a:noFill/>
                  </pic:spPr>
                </pic:pic>
              </a:graphicData>
            </a:graphic>
          </wp:anchor>
        </w:drawing>
      </w:r>
    </w:p>
    <w:p>
      <w:pPr>
        <w:sectPr>
          <w:pgSz w:w="11900" w:h="16838" w:orient="portrait"/>
          <w:cols w:equalWidth="0" w:num="1">
            <w:col w:w="11440"/>
          </w:cols>
          <w:pgMar w:left="240" w:top="699" w:right="219" w:bottom="1440" w:gutter="0" w:footer="0" w:header="0"/>
        </w:sectPr>
      </w:pPr>
    </w:p>
    <w:bookmarkStart w:id="18" w:name="page19"/>
    <w:bookmarkEnd w:id="18"/>
    <w:p>
      <w:pPr>
        <w:spacing w:after="0"/>
        <w:rPr>
          <w:sz w:val="20"/>
          <w:szCs w:val="20"/>
          <w:color w:val="auto"/>
        </w:rPr>
      </w:pPr>
      <w:r>
        <w:rPr>
          <w:rFonts w:ascii="Arial" w:cs="Arial" w:eastAsia="Arial" w:hAnsi="Arial"/>
          <w:sz w:val="18"/>
          <w:szCs w:val="18"/>
          <w:b w:val="1"/>
          <w:bCs w:val="1"/>
          <w:color w:val="auto"/>
        </w:rPr>
        <w:t xml:space="preserve">Note 7. </w:t>
      </w:r>
      <w:r>
        <w:rPr>
          <w:rFonts w:ascii="Arial" w:cs="Arial" w:eastAsia="Arial" w:hAnsi="Arial"/>
          <w:sz w:val="18"/>
          <w:szCs w:val="18"/>
          <w:b w:val="1"/>
          <w:bCs w:val="1"/>
          <w:u w:val="single" w:color="auto"/>
          <w:color w:val="auto"/>
        </w:rPr>
        <w:t>Property and Equipment</w:t>
      </w:r>
    </w:p>
    <w:p>
      <w:pPr>
        <w:spacing w:after="0" w:line="120" w:lineRule="exact"/>
        <w:rPr>
          <w:sz w:val="20"/>
          <w:szCs w:val="20"/>
          <w:color w:val="auto"/>
        </w:rPr>
      </w:pPr>
    </w:p>
    <w:p>
      <w:pPr>
        <w:spacing w:after="0"/>
        <w:rPr>
          <w:sz w:val="20"/>
          <w:szCs w:val="20"/>
          <w:color w:val="auto"/>
        </w:rPr>
      </w:pPr>
      <w:r>
        <w:rPr>
          <w:rFonts w:ascii="Arial" w:cs="Arial" w:eastAsia="Arial" w:hAnsi="Arial"/>
          <w:sz w:val="18"/>
          <w:szCs w:val="18"/>
          <w:color w:val="auto"/>
        </w:rPr>
        <w:t>Property and equipment consisted of the following:</w:t>
      </w:r>
    </w:p>
    <w:p>
      <w:pPr>
        <w:spacing w:after="0" w:line="295"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78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580" w:type="dxa"/>
            <w:vAlign w:val="bottom"/>
            <w:gridSpan w:val="2"/>
          </w:tcPr>
          <w:p>
            <w:pPr>
              <w:jc w:val="right"/>
              <w:ind w:right="760"/>
              <w:spacing w:after="0"/>
              <w:rPr>
                <w:sz w:val="20"/>
                <w:szCs w:val="20"/>
                <w:color w:val="auto"/>
              </w:rPr>
            </w:pPr>
            <w:r>
              <w:rPr>
                <w:rFonts w:ascii="Arial" w:cs="Arial" w:eastAsia="Arial" w:hAnsi="Arial"/>
                <w:sz w:val="14"/>
                <w:szCs w:val="14"/>
                <w:b w:val="1"/>
                <w:bCs w:val="1"/>
                <w:color w:val="auto"/>
              </w:rPr>
              <w:t>March 31,</w:t>
            </w:r>
          </w:p>
        </w:tc>
        <w:tc>
          <w:tcPr>
            <w:tcW w:w="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480" w:type="dxa"/>
            <w:vAlign w:val="bottom"/>
            <w:gridSpan w:val="2"/>
          </w:tcPr>
          <w:p>
            <w:pPr>
              <w:jc w:val="right"/>
              <w:ind w:right="500"/>
              <w:spacing w:after="0"/>
              <w:rPr>
                <w:sz w:val="20"/>
                <w:szCs w:val="20"/>
                <w:color w:val="auto"/>
              </w:rPr>
            </w:pPr>
            <w:r>
              <w:rPr>
                <w:rFonts w:ascii="Arial" w:cs="Arial" w:eastAsia="Arial" w:hAnsi="Arial"/>
                <w:sz w:val="14"/>
                <w:szCs w:val="14"/>
                <w:b w:val="1"/>
                <w:bCs w:val="1"/>
                <w:color w:val="auto"/>
              </w:rPr>
              <w:t>December 31,</w:t>
            </w:r>
          </w:p>
        </w:tc>
      </w:tr>
      <w:tr>
        <w:trPr>
          <w:trHeight w:val="171"/>
        </w:trPr>
        <w:tc>
          <w:tcPr>
            <w:tcW w:w="7860" w:type="dxa"/>
            <w:vAlign w:val="bottom"/>
            <w:tcBorders>
              <w:bottom w:val="single" w:sz="8" w:color="CFF0FC"/>
            </w:tcBorders>
          </w:tcPr>
          <w:p>
            <w:pPr>
              <w:spacing w:after="0"/>
              <w:rPr>
                <w:sz w:val="20"/>
                <w:szCs w:val="20"/>
                <w:color w:val="auto"/>
              </w:rPr>
            </w:pPr>
            <w:r>
              <w:rPr>
                <w:rFonts w:ascii="Arial" w:cs="Arial" w:eastAsia="Arial" w:hAnsi="Arial"/>
                <w:sz w:val="14"/>
                <w:szCs w:val="14"/>
                <w:i w:val="1"/>
                <w:iCs w:val="1"/>
                <w:color w:val="auto"/>
              </w:rPr>
              <w:t>(in thousands)</w:t>
            </w:r>
          </w:p>
        </w:tc>
        <w:tc>
          <w:tcPr>
            <w:tcW w:w="280" w:type="dxa"/>
            <w:vAlign w:val="bottom"/>
            <w:tcBorders>
              <w:bottom w:val="single" w:sz="8" w:color="auto"/>
            </w:tcBorders>
          </w:tcPr>
          <w:p>
            <w:pPr>
              <w:spacing w:after="0"/>
              <w:rPr>
                <w:sz w:val="14"/>
                <w:szCs w:val="14"/>
                <w:color w:val="auto"/>
              </w:rPr>
            </w:pPr>
          </w:p>
        </w:tc>
        <w:tc>
          <w:tcPr>
            <w:tcW w:w="1300" w:type="dxa"/>
            <w:vAlign w:val="bottom"/>
            <w:tcBorders>
              <w:bottom w:val="single" w:sz="8" w:color="auto"/>
            </w:tcBorders>
          </w:tcPr>
          <w:p>
            <w:pPr>
              <w:jc w:val="right"/>
              <w:ind w:right="575"/>
              <w:spacing w:after="0"/>
              <w:rPr>
                <w:sz w:val="20"/>
                <w:szCs w:val="20"/>
                <w:color w:val="auto"/>
              </w:rPr>
            </w:pPr>
            <w:r>
              <w:rPr>
                <w:rFonts w:ascii="Arial" w:cs="Arial" w:eastAsia="Arial" w:hAnsi="Arial"/>
                <w:sz w:val="14"/>
                <w:szCs w:val="14"/>
                <w:b w:val="1"/>
                <w:bCs w:val="1"/>
                <w:color w:val="auto"/>
              </w:rPr>
              <w:t>2018</w:t>
            </w:r>
          </w:p>
        </w:tc>
        <w:tc>
          <w:tcPr>
            <w:tcW w:w="280" w:type="dxa"/>
            <w:vAlign w:val="bottom"/>
            <w:tcBorders>
              <w:bottom w:val="single" w:sz="8" w:color="CFF0FC"/>
            </w:tcBorders>
          </w:tcPr>
          <w:p>
            <w:pPr>
              <w:spacing w:after="0"/>
              <w:rPr>
                <w:sz w:val="14"/>
                <w:szCs w:val="14"/>
                <w:color w:val="auto"/>
              </w:rPr>
            </w:pPr>
          </w:p>
        </w:tc>
        <w:tc>
          <w:tcPr>
            <w:tcW w:w="20" w:type="dxa"/>
            <w:vAlign w:val="bottom"/>
            <w:tcBorders>
              <w:bottom w:val="single" w:sz="8" w:color="CFF0FC"/>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1360" w:type="dxa"/>
            <w:vAlign w:val="bottom"/>
            <w:tcBorders>
              <w:bottom w:val="single" w:sz="8" w:color="auto"/>
            </w:tcBorders>
          </w:tcPr>
          <w:p>
            <w:pPr>
              <w:jc w:val="right"/>
              <w:ind w:right="575"/>
              <w:spacing w:after="0"/>
              <w:rPr>
                <w:sz w:val="20"/>
                <w:szCs w:val="20"/>
                <w:color w:val="auto"/>
              </w:rPr>
            </w:pPr>
            <w:r>
              <w:rPr>
                <w:rFonts w:ascii="Arial" w:cs="Arial" w:eastAsia="Arial" w:hAnsi="Arial"/>
                <w:sz w:val="14"/>
                <w:szCs w:val="14"/>
                <w:b w:val="1"/>
                <w:bCs w:val="1"/>
                <w:color w:val="auto"/>
              </w:rPr>
              <w:t>2017</w:t>
            </w:r>
          </w:p>
        </w:tc>
        <w:tc>
          <w:tcPr>
            <w:tcW w:w="120" w:type="dxa"/>
            <w:vAlign w:val="bottom"/>
            <w:tcBorders>
              <w:bottom w:val="single" w:sz="8" w:color="CFF0FC"/>
            </w:tcBorders>
          </w:tcPr>
          <w:p>
            <w:pPr>
              <w:spacing w:after="0"/>
              <w:rPr>
                <w:sz w:val="14"/>
                <w:szCs w:val="14"/>
                <w:color w:val="auto"/>
              </w:rPr>
            </w:pPr>
          </w:p>
        </w:tc>
      </w:tr>
      <w:tr>
        <w:trPr>
          <w:trHeight w:val="222"/>
        </w:trPr>
        <w:tc>
          <w:tcPr>
            <w:tcW w:w="7860" w:type="dxa"/>
            <w:vAlign w:val="bottom"/>
            <w:shd w:val="clear" w:color="auto" w:fill="CFF0FC"/>
          </w:tcPr>
          <w:p>
            <w:pPr>
              <w:spacing w:after="0"/>
              <w:rPr>
                <w:sz w:val="20"/>
                <w:szCs w:val="20"/>
                <w:color w:val="auto"/>
              </w:rPr>
            </w:pPr>
            <w:r>
              <w:rPr>
                <w:rFonts w:ascii="Arial" w:cs="Arial" w:eastAsia="Arial" w:hAnsi="Arial"/>
                <w:sz w:val="18"/>
                <w:szCs w:val="18"/>
                <w:color w:val="auto"/>
              </w:rPr>
              <w:t>Land and land interests</w:t>
            </w:r>
          </w:p>
        </w:tc>
        <w:tc>
          <w:tcPr>
            <w:tcW w:w="280" w:type="dxa"/>
            <w:vAlign w:val="bottom"/>
            <w:shd w:val="clear" w:color="auto" w:fill="CFF0FC"/>
          </w:tcPr>
          <w:p>
            <w:pPr>
              <w:jc w:val="right"/>
              <w:ind w:right="127"/>
              <w:spacing w:after="0"/>
              <w:rPr>
                <w:sz w:val="20"/>
                <w:szCs w:val="20"/>
                <w:color w:val="auto"/>
              </w:rPr>
            </w:pPr>
            <w:r>
              <w:rPr>
                <w:rFonts w:ascii="Arial" w:cs="Arial" w:eastAsia="Arial" w:hAnsi="Arial"/>
                <w:sz w:val="15"/>
                <w:szCs w:val="15"/>
                <w:color w:val="auto"/>
                <w:w w:val="71"/>
              </w:rPr>
              <w:t>$</w:t>
            </w:r>
          </w:p>
        </w:tc>
        <w:tc>
          <w:tcPr>
            <w:tcW w:w="13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32,333</w:t>
            </w:r>
          </w:p>
        </w:tc>
        <w:tc>
          <w:tcPr>
            <w:tcW w:w="28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200" w:type="dxa"/>
            <w:vAlign w:val="bottom"/>
            <w:shd w:val="clear" w:color="auto" w:fill="CFF0FC"/>
          </w:tcPr>
          <w:p>
            <w:pPr>
              <w:jc w:val="right"/>
              <w:ind w:right="90"/>
              <w:spacing w:after="0"/>
              <w:rPr>
                <w:sz w:val="20"/>
                <w:szCs w:val="20"/>
                <w:color w:val="auto"/>
              </w:rPr>
            </w:pPr>
            <w:r>
              <w:rPr>
                <w:rFonts w:ascii="Arial" w:cs="Arial" w:eastAsia="Arial" w:hAnsi="Arial"/>
                <w:sz w:val="10"/>
                <w:szCs w:val="10"/>
                <w:color w:val="auto"/>
                <w:w w:val="71"/>
              </w:rPr>
              <w:t>$</w:t>
            </w:r>
          </w:p>
        </w:tc>
        <w:tc>
          <w:tcPr>
            <w:tcW w:w="13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32,544</w:t>
            </w:r>
          </w:p>
        </w:tc>
        <w:tc>
          <w:tcPr>
            <w:tcW w:w="120" w:type="dxa"/>
            <w:vAlign w:val="bottom"/>
            <w:shd w:val="clear" w:color="auto" w:fill="CFF0FC"/>
          </w:tcPr>
          <w:p>
            <w:pPr>
              <w:spacing w:after="0"/>
              <w:rPr>
                <w:sz w:val="19"/>
                <w:szCs w:val="19"/>
                <w:color w:val="auto"/>
              </w:rPr>
            </w:pPr>
          </w:p>
        </w:tc>
      </w:tr>
      <w:tr>
        <w:trPr>
          <w:trHeight w:val="229"/>
        </w:trPr>
        <w:tc>
          <w:tcPr>
            <w:tcW w:w="7860" w:type="dxa"/>
            <w:vAlign w:val="bottom"/>
          </w:tcPr>
          <w:p>
            <w:pPr>
              <w:spacing w:after="0"/>
              <w:rPr>
                <w:sz w:val="20"/>
                <w:szCs w:val="20"/>
                <w:color w:val="auto"/>
              </w:rPr>
            </w:pPr>
            <w:r>
              <w:rPr>
                <w:rFonts w:ascii="Arial" w:cs="Arial" w:eastAsia="Arial" w:hAnsi="Arial"/>
                <w:sz w:val="18"/>
                <w:szCs w:val="18"/>
                <w:color w:val="auto"/>
              </w:rPr>
              <w:t>Buildings and leasehold improvements</w:t>
            </w:r>
          </w:p>
        </w:tc>
        <w:tc>
          <w:tcPr>
            <w:tcW w:w="280" w:type="dxa"/>
            <w:vAlign w:val="bottom"/>
          </w:tcPr>
          <w:p>
            <w:pPr>
              <w:spacing w:after="0"/>
              <w:rPr>
                <w:sz w:val="19"/>
                <w:szCs w:val="19"/>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233,069</w:t>
            </w:r>
          </w:p>
        </w:tc>
        <w:tc>
          <w:tcPr>
            <w:tcW w:w="2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222,118</w:t>
            </w:r>
          </w:p>
        </w:tc>
        <w:tc>
          <w:tcPr>
            <w:tcW w:w="120" w:type="dxa"/>
            <w:vAlign w:val="bottom"/>
          </w:tcPr>
          <w:p>
            <w:pPr>
              <w:spacing w:after="0"/>
              <w:rPr>
                <w:sz w:val="19"/>
                <w:szCs w:val="19"/>
                <w:color w:val="auto"/>
              </w:rPr>
            </w:pPr>
          </w:p>
        </w:tc>
      </w:tr>
      <w:tr>
        <w:trPr>
          <w:trHeight w:val="229"/>
        </w:trPr>
        <w:tc>
          <w:tcPr>
            <w:tcW w:w="7860" w:type="dxa"/>
            <w:vAlign w:val="bottom"/>
            <w:shd w:val="clear" w:color="auto" w:fill="CFF0FC"/>
          </w:tcPr>
          <w:p>
            <w:pPr>
              <w:spacing w:after="0"/>
              <w:rPr>
                <w:sz w:val="20"/>
                <w:szCs w:val="20"/>
                <w:color w:val="auto"/>
              </w:rPr>
            </w:pPr>
            <w:r>
              <w:rPr>
                <w:rFonts w:ascii="Arial" w:cs="Arial" w:eastAsia="Arial" w:hAnsi="Arial"/>
                <w:sz w:val="18"/>
                <w:szCs w:val="18"/>
                <w:color w:val="auto"/>
              </w:rPr>
              <w:t>Equipment and other</w:t>
            </w:r>
          </w:p>
        </w:tc>
        <w:tc>
          <w:tcPr>
            <w:tcW w:w="280" w:type="dxa"/>
            <w:vAlign w:val="bottom"/>
            <w:tcBorders>
              <w:bottom w:val="single" w:sz="8" w:color="auto"/>
            </w:tcBorders>
            <w:shd w:val="clear" w:color="auto" w:fill="CFF0FC"/>
          </w:tcPr>
          <w:p>
            <w:pPr>
              <w:spacing w:after="0"/>
              <w:rPr>
                <w:sz w:val="19"/>
                <w:szCs w:val="19"/>
                <w:color w:val="auto"/>
              </w:rPr>
            </w:pPr>
          </w:p>
        </w:tc>
        <w:tc>
          <w:tcPr>
            <w:tcW w:w="13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359,911</w:t>
            </w:r>
          </w:p>
        </w:tc>
        <w:tc>
          <w:tcPr>
            <w:tcW w:w="28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200" w:type="dxa"/>
            <w:vAlign w:val="bottom"/>
            <w:tcBorders>
              <w:bottom w:val="single" w:sz="8" w:color="auto"/>
            </w:tcBorders>
            <w:shd w:val="clear" w:color="auto" w:fill="CFF0FC"/>
          </w:tcPr>
          <w:p>
            <w:pPr>
              <w:spacing w:after="0"/>
              <w:rPr>
                <w:sz w:val="19"/>
                <w:szCs w:val="19"/>
                <w:color w:val="auto"/>
              </w:rPr>
            </w:pPr>
          </w:p>
        </w:tc>
        <w:tc>
          <w:tcPr>
            <w:tcW w:w="13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351,676</w:t>
            </w:r>
          </w:p>
        </w:tc>
        <w:tc>
          <w:tcPr>
            <w:tcW w:w="120" w:type="dxa"/>
            <w:vAlign w:val="bottom"/>
            <w:shd w:val="clear" w:color="auto" w:fill="CFF0FC"/>
          </w:tcPr>
          <w:p>
            <w:pPr>
              <w:spacing w:after="0"/>
              <w:rPr>
                <w:sz w:val="19"/>
                <w:szCs w:val="19"/>
                <w:color w:val="auto"/>
              </w:rPr>
            </w:pPr>
          </w:p>
        </w:tc>
      </w:tr>
      <w:tr>
        <w:trPr>
          <w:trHeight w:val="222"/>
        </w:trPr>
        <w:tc>
          <w:tcPr>
            <w:tcW w:w="7860" w:type="dxa"/>
            <w:vAlign w:val="bottom"/>
          </w:tcPr>
          <w:p>
            <w:pPr>
              <w:ind w:left="260"/>
              <w:spacing w:after="0"/>
              <w:rPr>
                <w:sz w:val="20"/>
                <w:szCs w:val="20"/>
                <w:color w:val="auto"/>
              </w:rPr>
            </w:pPr>
            <w:r>
              <w:rPr>
                <w:rFonts w:ascii="Arial" w:cs="Arial" w:eastAsia="Arial" w:hAnsi="Arial"/>
                <w:sz w:val="18"/>
                <w:szCs w:val="18"/>
                <w:b w:val="1"/>
                <w:bCs w:val="1"/>
                <w:color w:val="auto"/>
              </w:rPr>
              <w:t>Gross property and equipment</w:t>
            </w:r>
          </w:p>
        </w:tc>
        <w:tc>
          <w:tcPr>
            <w:tcW w:w="280" w:type="dxa"/>
            <w:vAlign w:val="bottom"/>
          </w:tcPr>
          <w:p>
            <w:pPr>
              <w:spacing w:after="0"/>
              <w:rPr>
                <w:sz w:val="19"/>
                <w:szCs w:val="19"/>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625,313</w:t>
            </w:r>
          </w:p>
        </w:tc>
        <w:tc>
          <w:tcPr>
            <w:tcW w:w="2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606,338</w:t>
            </w:r>
          </w:p>
        </w:tc>
        <w:tc>
          <w:tcPr>
            <w:tcW w:w="120" w:type="dxa"/>
            <w:vAlign w:val="bottom"/>
          </w:tcPr>
          <w:p>
            <w:pPr>
              <w:spacing w:after="0"/>
              <w:rPr>
                <w:sz w:val="19"/>
                <w:szCs w:val="19"/>
                <w:color w:val="auto"/>
              </w:rPr>
            </w:pPr>
          </w:p>
        </w:tc>
      </w:tr>
      <w:tr>
        <w:trPr>
          <w:trHeight w:val="229"/>
        </w:trPr>
        <w:tc>
          <w:tcPr>
            <w:tcW w:w="7860" w:type="dxa"/>
            <w:vAlign w:val="bottom"/>
            <w:shd w:val="clear" w:color="auto" w:fill="CFF0FC"/>
          </w:tcPr>
          <w:p>
            <w:pPr>
              <w:ind w:left="260"/>
              <w:spacing w:after="0"/>
              <w:rPr>
                <w:sz w:val="20"/>
                <w:szCs w:val="20"/>
                <w:color w:val="auto"/>
              </w:rPr>
            </w:pPr>
            <w:r>
              <w:rPr>
                <w:rFonts w:ascii="Arial" w:cs="Arial" w:eastAsia="Arial" w:hAnsi="Arial"/>
                <w:sz w:val="18"/>
                <w:szCs w:val="18"/>
                <w:color w:val="auto"/>
              </w:rPr>
              <w:t>Accumulated depreciation</w:t>
            </w:r>
          </w:p>
        </w:tc>
        <w:tc>
          <w:tcPr>
            <w:tcW w:w="280" w:type="dxa"/>
            <w:vAlign w:val="bottom"/>
            <w:shd w:val="clear" w:color="auto" w:fill="CFF0FC"/>
          </w:tcPr>
          <w:p>
            <w:pPr>
              <w:spacing w:after="0"/>
              <w:rPr>
                <w:sz w:val="19"/>
                <w:szCs w:val="19"/>
                <w:color w:val="auto"/>
              </w:rPr>
            </w:pPr>
          </w:p>
        </w:tc>
        <w:tc>
          <w:tcPr>
            <w:tcW w:w="1580" w:type="dxa"/>
            <w:vAlign w:val="bottom"/>
            <w:gridSpan w:val="2"/>
            <w:shd w:val="clear" w:color="auto" w:fill="CFF0FC"/>
          </w:tcPr>
          <w:p>
            <w:pPr>
              <w:jc w:val="right"/>
              <w:ind w:right="220"/>
              <w:spacing w:after="0"/>
              <w:rPr>
                <w:sz w:val="20"/>
                <w:szCs w:val="20"/>
                <w:color w:val="auto"/>
              </w:rPr>
            </w:pPr>
            <w:r>
              <w:rPr>
                <w:rFonts w:ascii="Arial" w:cs="Arial" w:eastAsia="Arial" w:hAnsi="Arial"/>
                <w:sz w:val="18"/>
                <w:szCs w:val="18"/>
                <w:color w:val="auto"/>
              </w:rPr>
              <w:t>(308,434)</w:t>
            </w:r>
          </w:p>
        </w:tc>
        <w:tc>
          <w:tcPr>
            <w:tcW w:w="2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480" w:type="dxa"/>
            <w:vAlign w:val="bottom"/>
            <w:gridSpan w:val="2"/>
            <w:shd w:val="clear" w:color="auto" w:fill="CFF0FC"/>
          </w:tcPr>
          <w:p>
            <w:pPr>
              <w:jc w:val="right"/>
              <w:ind w:right="60"/>
              <w:spacing w:after="0"/>
              <w:rPr>
                <w:sz w:val="20"/>
                <w:szCs w:val="20"/>
                <w:color w:val="auto"/>
              </w:rPr>
            </w:pPr>
            <w:r>
              <w:rPr>
                <w:rFonts w:ascii="Arial" w:cs="Arial" w:eastAsia="Arial" w:hAnsi="Arial"/>
                <w:sz w:val="18"/>
                <w:szCs w:val="18"/>
                <w:color w:val="auto"/>
              </w:rPr>
              <w:t>(300,767)</w:t>
            </w:r>
          </w:p>
        </w:tc>
      </w:tr>
      <w:tr>
        <w:trPr>
          <w:trHeight w:val="222"/>
        </w:trPr>
        <w:tc>
          <w:tcPr>
            <w:tcW w:w="7860" w:type="dxa"/>
            <w:vAlign w:val="bottom"/>
          </w:tcPr>
          <w:p>
            <w:pPr>
              <w:ind w:left="260"/>
              <w:spacing w:after="0"/>
              <w:rPr>
                <w:sz w:val="20"/>
                <w:szCs w:val="20"/>
                <w:color w:val="auto"/>
              </w:rPr>
            </w:pPr>
            <w:r>
              <w:rPr>
                <w:rFonts w:ascii="Arial" w:cs="Arial" w:eastAsia="Arial" w:hAnsi="Arial"/>
                <w:sz w:val="18"/>
                <w:szCs w:val="18"/>
                <w:b w:val="1"/>
                <w:bCs w:val="1"/>
                <w:color w:val="auto"/>
              </w:rPr>
              <w:t>Property and equipment, net</w:t>
            </w:r>
          </w:p>
        </w:tc>
        <w:tc>
          <w:tcPr>
            <w:tcW w:w="280" w:type="dxa"/>
            <w:vAlign w:val="bottom"/>
            <w:tcBorders>
              <w:top w:val="single" w:sz="8" w:color="auto"/>
              <w:bottom w:val="single" w:sz="8" w:color="auto"/>
            </w:tcBorders>
          </w:tcPr>
          <w:p>
            <w:pPr>
              <w:jc w:val="right"/>
              <w:ind w:right="127"/>
              <w:spacing w:after="0"/>
              <w:rPr>
                <w:sz w:val="20"/>
                <w:szCs w:val="20"/>
                <w:color w:val="auto"/>
              </w:rPr>
            </w:pPr>
            <w:r>
              <w:rPr>
                <w:rFonts w:ascii="Arial" w:cs="Arial" w:eastAsia="Arial" w:hAnsi="Arial"/>
                <w:sz w:val="15"/>
                <w:szCs w:val="15"/>
                <w:color w:val="auto"/>
                <w:w w:val="71"/>
              </w:rPr>
              <w:t>$</w:t>
            </w:r>
          </w:p>
        </w:tc>
        <w:tc>
          <w:tcPr>
            <w:tcW w:w="13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316,879</w:t>
            </w:r>
          </w:p>
        </w:tc>
        <w:tc>
          <w:tcPr>
            <w:tcW w:w="280" w:type="dxa"/>
            <w:vAlign w:val="bottom"/>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200" w:type="dxa"/>
            <w:vAlign w:val="bottom"/>
            <w:tcBorders>
              <w:top w:val="single" w:sz="8" w:color="auto"/>
              <w:bottom w:val="single" w:sz="8" w:color="auto"/>
            </w:tcBorders>
          </w:tcPr>
          <w:p>
            <w:pPr>
              <w:jc w:val="right"/>
              <w:ind w:right="90"/>
              <w:spacing w:after="0"/>
              <w:rPr>
                <w:sz w:val="20"/>
                <w:szCs w:val="20"/>
                <w:color w:val="auto"/>
              </w:rPr>
            </w:pPr>
            <w:r>
              <w:rPr>
                <w:rFonts w:ascii="Arial" w:cs="Arial" w:eastAsia="Arial" w:hAnsi="Arial"/>
                <w:sz w:val="10"/>
                <w:szCs w:val="10"/>
                <w:color w:val="auto"/>
                <w:w w:val="71"/>
              </w:rPr>
              <w:t>$</w:t>
            </w:r>
          </w:p>
        </w:tc>
        <w:tc>
          <w:tcPr>
            <w:tcW w:w="13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305,571</w:t>
            </w:r>
          </w:p>
        </w:tc>
        <w:tc>
          <w:tcPr>
            <w:tcW w:w="120" w:type="dxa"/>
            <w:vAlign w:val="bottom"/>
          </w:tcPr>
          <w:p>
            <w:pPr>
              <w:spacing w:after="0"/>
              <w:rPr>
                <w:sz w:val="19"/>
                <w:szCs w:val="19"/>
                <w:color w:val="auto"/>
              </w:rPr>
            </w:pPr>
          </w:p>
        </w:tc>
      </w:tr>
      <w:tr>
        <w:trPr>
          <w:trHeight w:val="20"/>
        </w:trPr>
        <w:tc>
          <w:tcPr>
            <w:tcW w:w="786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r>
    </w:tbl>
    <w:p>
      <w:pPr>
        <w:spacing w:after="0" w:line="107" w:lineRule="exact"/>
        <w:rPr>
          <w:sz w:val="20"/>
          <w:szCs w:val="20"/>
          <w:color w:val="auto"/>
        </w:rPr>
      </w:pPr>
    </w:p>
    <w:p>
      <w:pPr>
        <w:spacing w:after="0"/>
        <w:rPr>
          <w:sz w:val="20"/>
          <w:szCs w:val="20"/>
          <w:color w:val="auto"/>
        </w:rPr>
      </w:pPr>
      <w:r>
        <w:rPr>
          <w:rFonts w:ascii="Arial" w:cs="Arial" w:eastAsia="Arial" w:hAnsi="Arial"/>
          <w:sz w:val="18"/>
          <w:szCs w:val="18"/>
          <w:color w:val="auto"/>
        </w:rPr>
        <w:t>Depreciation expense was $10.4 million for the three months ended March 31, 2018 and $9.1 million for three months ended March 31, 2017.</w:t>
      </w:r>
    </w:p>
    <w:p>
      <w:pPr>
        <w:spacing w:after="0" w:line="169" w:lineRule="exact"/>
        <w:rPr>
          <w:sz w:val="20"/>
          <w:szCs w:val="20"/>
          <w:color w:val="auto"/>
        </w:rPr>
      </w:pPr>
    </w:p>
    <w:p>
      <w:pPr>
        <w:jc w:val="both"/>
        <w:ind w:right="20"/>
        <w:spacing w:after="0" w:line="285" w:lineRule="auto"/>
        <w:rPr>
          <w:sz w:val="20"/>
          <w:szCs w:val="20"/>
          <w:color w:val="auto"/>
        </w:rPr>
      </w:pPr>
      <w:r>
        <w:rPr>
          <w:rFonts w:ascii="Arial" w:cs="Arial" w:eastAsia="Arial" w:hAnsi="Arial"/>
          <w:sz w:val="17"/>
          <w:szCs w:val="17"/>
          <w:color w:val="auto"/>
        </w:rPr>
        <w:t>Non-cash increases to property and equipment related to assets acquired under capital leases were $0.5 million for the three months ended March 31, 2018 and $0.4 million for the three months ended March 31, 2017. Non-cash increases to property and equipment purchases in accounts payable and accrued liabilities were $0.8 million for the three months ended March 31, 2018 and $1.5 million for the three months ended March 31, 2017.</w:t>
      </w:r>
    </w:p>
    <w:p>
      <w:pPr>
        <w:spacing w:after="0" w:line="34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Note 8. </w:t>
      </w:r>
      <w:r>
        <w:rPr>
          <w:rFonts w:ascii="Arial" w:cs="Arial" w:eastAsia="Arial" w:hAnsi="Arial"/>
          <w:sz w:val="18"/>
          <w:szCs w:val="18"/>
          <w:b w:val="1"/>
          <w:bCs w:val="1"/>
          <w:u w:val="single" w:color="auto"/>
          <w:color w:val="auto"/>
        </w:rPr>
        <w:t>Other Investments and Assets</w:t>
      </w:r>
    </w:p>
    <w:p>
      <w:pPr>
        <w:spacing w:after="0" w:line="120" w:lineRule="exact"/>
        <w:rPr>
          <w:sz w:val="20"/>
          <w:szCs w:val="20"/>
          <w:color w:val="auto"/>
        </w:rPr>
      </w:pPr>
    </w:p>
    <w:p>
      <w:pPr>
        <w:spacing w:after="0"/>
        <w:rPr>
          <w:sz w:val="20"/>
          <w:szCs w:val="20"/>
          <w:color w:val="auto"/>
        </w:rPr>
      </w:pPr>
      <w:r>
        <w:rPr>
          <w:rFonts w:ascii="Arial" w:cs="Arial" w:eastAsia="Arial" w:hAnsi="Arial"/>
          <w:sz w:val="18"/>
          <w:szCs w:val="18"/>
          <w:color w:val="auto"/>
        </w:rPr>
        <w:t>Other investments and assets consisted of the following:</w:t>
      </w:r>
    </w:p>
    <w:p>
      <w:pPr>
        <w:spacing w:after="0" w:line="295"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78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300" w:type="dxa"/>
            <w:vAlign w:val="bottom"/>
          </w:tcPr>
          <w:p>
            <w:pPr>
              <w:jc w:val="right"/>
              <w:ind w:right="394"/>
              <w:spacing w:after="0"/>
              <w:rPr>
                <w:sz w:val="20"/>
                <w:szCs w:val="20"/>
                <w:color w:val="auto"/>
              </w:rPr>
            </w:pPr>
            <w:r>
              <w:rPr>
                <w:rFonts w:ascii="Arial" w:cs="Arial" w:eastAsia="Arial" w:hAnsi="Arial"/>
                <w:sz w:val="14"/>
                <w:szCs w:val="14"/>
                <w:b w:val="1"/>
                <w:bCs w:val="1"/>
                <w:color w:val="auto"/>
              </w:rPr>
              <w:t>March 31,</w:t>
            </w:r>
          </w:p>
        </w:tc>
        <w:tc>
          <w:tcPr>
            <w:tcW w:w="2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480" w:type="dxa"/>
            <w:vAlign w:val="bottom"/>
            <w:gridSpan w:val="2"/>
          </w:tcPr>
          <w:p>
            <w:pPr>
              <w:ind w:left="140"/>
              <w:spacing w:after="0"/>
              <w:rPr>
                <w:sz w:val="20"/>
                <w:szCs w:val="20"/>
                <w:color w:val="auto"/>
              </w:rPr>
            </w:pPr>
            <w:r>
              <w:rPr>
                <w:rFonts w:ascii="Arial" w:cs="Arial" w:eastAsia="Arial" w:hAnsi="Arial"/>
                <w:sz w:val="14"/>
                <w:szCs w:val="14"/>
                <w:b w:val="1"/>
                <w:bCs w:val="1"/>
                <w:color w:val="auto"/>
              </w:rPr>
              <w:t>December 31,</w:t>
            </w:r>
          </w:p>
        </w:tc>
      </w:tr>
      <w:tr>
        <w:trPr>
          <w:trHeight w:val="171"/>
        </w:trPr>
        <w:tc>
          <w:tcPr>
            <w:tcW w:w="7860" w:type="dxa"/>
            <w:vAlign w:val="bottom"/>
            <w:tcBorders>
              <w:bottom w:val="single" w:sz="8" w:color="CFF0FC"/>
            </w:tcBorders>
          </w:tcPr>
          <w:p>
            <w:pPr>
              <w:spacing w:after="0"/>
              <w:rPr>
                <w:sz w:val="20"/>
                <w:szCs w:val="20"/>
                <w:color w:val="auto"/>
              </w:rPr>
            </w:pPr>
            <w:r>
              <w:rPr>
                <w:rFonts w:ascii="Arial" w:cs="Arial" w:eastAsia="Arial" w:hAnsi="Arial"/>
                <w:sz w:val="14"/>
                <w:szCs w:val="14"/>
                <w:i w:val="1"/>
                <w:iCs w:val="1"/>
                <w:color w:val="auto"/>
              </w:rPr>
              <w:t>(in thousands)</w:t>
            </w:r>
          </w:p>
        </w:tc>
        <w:tc>
          <w:tcPr>
            <w:tcW w:w="280" w:type="dxa"/>
            <w:vAlign w:val="bottom"/>
            <w:tcBorders>
              <w:bottom w:val="single" w:sz="8" w:color="auto"/>
            </w:tcBorders>
          </w:tcPr>
          <w:p>
            <w:pPr>
              <w:spacing w:after="0"/>
              <w:rPr>
                <w:sz w:val="14"/>
                <w:szCs w:val="14"/>
                <w:color w:val="auto"/>
              </w:rPr>
            </w:pPr>
          </w:p>
        </w:tc>
        <w:tc>
          <w:tcPr>
            <w:tcW w:w="1300" w:type="dxa"/>
            <w:vAlign w:val="bottom"/>
            <w:tcBorders>
              <w:bottom w:val="single" w:sz="8" w:color="auto"/>
            </w:tcBorders>
          </w:tcPr>
          <w:p>
            <w:pPr>
              <w:jc w:val="right"/>
              <w:ind w:right="574"/>
              <w:spacing w:after="0"/>
              <w:rPr>
                <w:sz w:val="20"/>
                <w:szCs w:val="20"/>
                <w:color w:val="auto"/>
              </w:rPr>
            </w:pPr>
            <w:r>
              <w:rPr>
                <w:rFonts w:ascii="Arial" w:cs="Arial" w:eastAsia="Arial" w:hAnsi="Arial"/>
                <w:sz w:val="14"/>
                <w:szCs w:val="14"/>
                <w:b w:val="1"/>
                <w:bCs w:val="1"/>
                <w:color w:val="auto"/>
              </w:rPr>
              <w:t>2018</w:t>
            </w:r>
          </w:p>
        </w:tc>
        <w:tc>
          <w:tcPr>
            <w:tcW w:w="280" w:type="dxa"/>
            <w:vAlign w:val="bottom"/>
            <w:tcBorders>
              <w:bottom w:val="single" w:sz="8" w:color="CFF0FC"/>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1360" w:type="dxa"/>
            <w:vAlign w:val="bottom"/>
            <w:tcBorders>
              <w:bottom w:val="single" w:sz="8" w:color="auto"/>
            </w:tcBorders>
          </w:tcPr>
          <w:p>
            <w:pPr>
              <w:jc w:val="right"/>
              <w:ind w:right="574"/>
              <w:spacing w:after="0"/>
              <w:rPr>
                <w:sz w:val="20"/>
                <w:szCs w:val="20"/>
                <w:color w:val="auto"/>
              </w:rPr>
            </w:pPr>
            <w:r>
              <w:rPr>
                <w:rFonts w:ascii="Arial" w:cs="Arial" w:eastAsia="Arial" w:hAnsi="Arial"/>
                <w:sz w:val="14"/>
                <w:szCs w:val="14"/>
                <w:b w:val="1"/>
                <w:bCs w:val="1"/>
                <w:color w:val="auto"/>
              </w:rPr>
              <w:t>2017</w:t>
            </w:r>
          </w:p>
        </w:tc>
        <w:tc>
          <w:tcPr>
            <w:tcW w:w="120" w:type="dxa"/>
            <w:vAlign w:val="bottom"/>
            <w:tcBorders>
              <w:bottom w:val="single" w:sz="8" w:color="CFF0FC"/>
            </w:tcBorders>
          </w:tcPr>
          <w:p>
            <w:pPr>
              <w:spacing w:after="0"/>
              <w:rPr>
                <w:sz w:val="14"/>
                <w:szCs w:val="14"/>
                <w:color w:val="auto"/>
              </w:rPr>
            </w:pPr>
          </w:p>
        </w:tc>
      </w:tr>
      <w:tr>
        <w:trPr>
          <w:trHeight w:val="222"/>
        </w:trPr>
        <w:tc>
          <w:tcPr>
            <w:tcW w:w="7860" w:type="dxa"/>
            <w:vAlign w:val="bottom"/>
            <w:shd w:val="clear" w:color="auto" w:fill="CFF0FC"/>
          </w:tcPr>
          <w:p>
            <w:pPr>
              <w:spacing w:after="0"/>
              <w:rPr>
                <w:sz w:val="20"/>
                <w:szCs w:val="20"/>
                <w:color w:val="auto"/>
              </w:rPr>
            </w:pPr>
            <w:r>
              <w:rPr>
                <w:rFonts w:ascii="Arial" w:cs="Arial" w:eastAsia="Arial" w:hAnsi="Arial"/>
                <w:sz w:val="18"/>
                <w:szCs w:val="18"/>
                <w:color w:val="auto"/>
              </w:rPr>
              <w:t>Cash surrender value of life insurance</w:t>
            </w:r>
          </w:p>
        </w:tc>
        <w:tc>
          <w:tcPr>
            <w:tcW w:w="280" w:type="dxa"/>
            <w:vAlign w:val="bottom"/>
            <w:shd w:val="clear" w:color="auto" w:fill="CFF0FC"/>
          </w:tcPr>
          <w:p>
            <w:pPr>
              <w:jc w:val="right"/>
              <w:ind w:right="127"/>
              <w:spacing w:after="0"/>
              <w:rPr>
                <w:sz w:val="20"/>
                <w:szCs w:val="20"/>
                <w:color w:val="auto"/>
              </w:rPr>
            </w:pPr>
            <w:r>
              <w:rPr>
                <w:rFonts w:ascii="Arial" w:cs="Arial" w:eastAsia="Arial" w:hAnsi="Arial"/>
                <w:sz w:val="15"/>
                <w:szCs w:val="15"/>
                <w:color w:val="auto"/>
                <w:w w:val="71"/>
              </w:rPr>
              <w:t>$</w:t>
            </w:r>
          </w:p>
        </w:tc>
        <w:tc>
          <w:tcPr>
            <w:tcW w:w="13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24,026</w:t>
            </w:r>
          </w:p>
        </w:tc>
        <w:tc>
          <w:tcPr>
            <w:tcW w:w="280" w:type="dxa"/>
            <w:vAlign w:val="bottom"/>
            <w:shd w:val="clear" w:color="auto" w:fill="CFF0FC"/>
          </w:tcPr>
          <w:p>
            <w:pPr>
              <w:spacing w:after="0"/>
              <w:rPr>
                <w:sz w:val="19"/>
                <w:szCs w:val="19"/>
                <w:color w:val="auto"/>
              </w:rPr>
            </w:pPr>
          </w:p>
        </w:tc>
        <w:tc>
          <w:tcPr>
            <w:tcW w:w="220" w:type="dxa"/>
            <w:vAlign w:val="bottom"/>
            <w:shd w:val="clear" w:color="auto" w:fill="CFF0FC"/>
          </w:tcPr>
          <w:p>
            <w:pPr>
              <w:jc w:val="right"/>
              <w:ind w:right="67"/>
              <w:spacing w:after="0"/>
              <w:rPr>
                <w:sz w:val="20"/>
                <w:szCs w:val="20"/>
                <w:color w:val="auto"/>
              </w:rPr>
            </w:pPr>
            <w:r>
              <w:rPr>
                <w:rFonts w:ascii="Arial" w:cs="Arial" w:eastAsia="Arial" w:hAnsi="Arial"/>
                <w:sz w:val="15"/>
                <w:szCs w:val="15"/>
                <w:color w:val="auto"/>
                <w:w w:val="71"/>
              </w:rPr>
              <w:t>$</w:t>
            </w:r>
          </w:p>
        </w:tc>
        <w:tc>
          <w:tcPr>
            <w:tcW w:w="13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23,947</w:t>
            </w:r>
          </w:p>
        </w:tc>
        <w:tc>
          <w:tcPr>
            <w:tcW w:w="120" w:type="dxa"/>
            <w:vAlign w:val="bottom"/>
            <w:shd w:val="clear" w:color="auto" w:fill="CFF0FC"/>
          </w:tcPr>
          <w:p>
            <w:pPr>
              <w:spacing w:after="0"/>
              <w:rPr>
                <w:sz w:val="19"/>
                <w:szCs w:val="19"/>
                <w:color w:val="auto"/>
              </w:rPr>
            </w:pPr>
          </w:p>
        </w:tc>
      </w:tr>
      <w:tr>
        <w:trPr>
          <w:trHeight w:val="229"/>
        </w:trPr>
        <w:tc>
          <w:tcPr>
            <w:tcW w:w="7860" w:type="dxa"/>
            <w:vAlign w:val="bottom"/>
          </w:tcPr>
          <w:p>
            <w:pPr>
              <w:spacing w:after="0"/>
              <w:rPr>
                <w:sz w:val="20"/>
                <w:szCs w:val="20"/>
                <w:color w:val="auto"/>
              </w:rPr>
            </w:pPr>
            <w:r>
              <w:rPr>
                <w:rFonts w:ascii="Arial" w:cs="Arial" w:eastAsia="Arial" w:hAnsi="Arial"/>
                <w:sz w:val="18"/>
                <w:szCs w:val="18"/>
                <w:color w:val="auto"/>
              </w:rPr>
              <w:t>Self-insured liability receivable</w:t>
            </w:r>
          </w:p>
        </w:tc>
        <w:tc>
          <w:tcPr>
            <w:tcW w:w="280" w:type="dxa"/>
            <w:vAlign w:val="bottom"/>
          </w:tcPr>
          <w:p>
            <w:pPr>
              <w:spacing w:after="0"/>
              <w:rPr>
                <w:sz w:val="19"/>
                <w:szCs w:val="19"/>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10,442</w:t>
            </w:r>
          </w:p>
        </w:tc>
        <w:tc>
          <w:tcPr>
            <w:tcW w:w="2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10,442</w:t>
            </w:r>
          </w:p>
        </w:tc>
        <w:tc>
          <w:tcPr>
            <w:tcW w:w="120" w:type="dxa"/>
            <w:vAlign w:val="bottom"/>
          </w:tcPr>
          <w:p>
            <w:pPr>
              <w:spacing w:after="0"/>
              <w:rPr>
                <w:sz w:val="19"/>
                <w:szCs w:val="19"/>
                <w:color w:val="auto"/>
              </w:rPr>
            </w:pPr>
          </w:p>
        </w:tc>
      </w:tr>
      <w:tr>
        <w:trPr>
          <w:trHeight w:val="229"/>
        </w:trPr>
        <w:tc>
          <w:tcPr>
            <w:tcW w:w="7860" w:type="dxa"/>
            <w:vAlign w:val="bottom"/>
            <w:shd w:val="clear" w:color="auto" w:fill="CFF0FC"/>
          </w:tcPr>
          <w:p>
            <w:pPr>
              <w:spacing w:after="0"/>
              <w:rPr>
                <w:sz w:val="20"/>
                <w:szCs w:val="20"/>
                <w:color w:val="auto"/>
              </w:rPr>
            </w:pPr>
            <w:r>
              <w:rPr>
                <w:rFonts w:ascii="Arial" w:cs="Arial" w:eastAsia="Arial" w:hAnsi="Arial"/>
                <w:sz w:val="18"/>
                <w:szCs w:val="18"/>
                <w:color w:val="auto"/>
              </w:rPr>
              <w:t xml:space="preserve">Contract costs </w:t>
            </w:r>
            <w:r>
              <w:rPr>
                <w:rFonts w:ascii="Arial" w:cs="Arial" w:eastAsia="Arial" w:hAnsi="Arial"/>
                <w:sz w:val="15"/>
                <w:szCs w:val="15"/>
                <w:color w:val="auto"/>
              </w:rPr>
              <w:t>(1)</w:t>
            </w:r>
          </w:p>
        </w:tc>
        <w:tc>
          <w:tcPr>
            <w:tcW w:w="280" w:type="dxa"/>
            <w:vAlign w:val="bottom"/>
            <w:shd w:val="clear" w:color="auto" w:fill="CFF0FC"/>
          </w:tcPr>
          <w:p>
            <w:pPr>
              <w:spacing w:after="0"/>
              <w:rPr>
                <w:sz w:val="19"/>
                <w:szCs w:val="19"/>
                <w:color w:val="auto"/>
              </w:rPr>
            </w:pPr>
          </w:p>
        </w:tc>
        <w:tc>
          <w:tcPr>
            <w:tcW w:w="13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4,588</w:t>
            </w:r>
          </w:p>
        </w:tc>
        <w:tc>
          <w:tcPr>
            <w:tcW w:w="28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13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3,442</w:t>
            </w:r>
          </w:p>
        </w:tc>
        <w:tc>
          <w:tcPr>
            <w:tcW w:w="120" w:type="dxa"/>
            <w:vAlign w:val="bottom"/>
            <w:shd w:val="clear" w:color="auto" w:fill="CFF0FC"/>
          </w:tcPr>
          <w:p>
            <w:pPr>
              <w:spacing w:after="0"/>
              <w:rPr>
                <w:sz w:val="19"/>
                <w:szCs w:val="19"/>
                <w:color w:val="auto"/>
              </w:rPr>
            </w:pPr>
          </w:p>
        </w:tc>
      </w:tr>
      <w:tr>
        <w:trPr>
          <w:trHeight w:val="229"/>
        </w:trPr>
        <w:tc>
          <w:tcPr>
            <w:tcW w:w="7860" w:type="dxa"/>
            <w:vAlign w:val="bottom"/>
          </w:tcPr>
          <w:p>
            <w:pPr>
              <w:spacing w:after="0"/>
              <w:rPr>
                <w:sz w:val="20"/>
                <w:szCs w:val="20"/>
                <w:color w:val="auto"/>
              </w:rPr>
            </w:pPr>
            <w:r>
              <w:rPr>
                <w:rFonts w:ascii="Arial" w:cs="Arial" w:eastAsia="Arial" w:hAnsi="Arial"/>
                <w:sz w:val="18"/>
                <w:szCs w:val="18"/>
                <w:color w:val="auto"/>
              </w:rPr>
              <w:t>Workers’ compensation insurance security deposits</w:t>
            </w:r>
          </w:p>
        </w:tc>
        <w:tc>
          <w:tcPr>
            <w:tcW w:w="280" w:type="dxa"/>
            <w:vAlign w:val="bottom"/>
          </w:tcPr>
          <w:p>
            <w:pPr>
              <w:spacing w:after="0"/>
              <w:rPr>
                <w:sz w:val="19"/>
                <w:szCs w:val="19"/>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3,550</w:t>
            </w:r>
          </w:p>
        </w:tc>
        <w:tc>
          <w:tcPr>
            <w:tcW w:w="2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3,550</w:t>
            </w:r>
          </w:p>
        </w:tc>
        <w:tc>
          <w:tcPr>
            <w:tcW w:w="120" w:type="dxa"/>
            <w:vAlign w:val="bottom"/>
          </w:tcPr>
          <w:p>
            <w:pPr>
              <w:spacing w:after="0"/>
              <w:rPr>
                <w:sz w:val="19"/>
                <w:szCs w:val="19"/>
                <w:color w:val="auto"/>
              </w:rPr>
            </w:pPr>
          </w:p>
        </w:tc>
      </w:tr>
      <w:tr>
        <w:trPr>
          <w:trHeight w:val="229"/>
        </w:trPr>
        <w:tc>
          <w:tcPr>
            <w:tcW w:w="7860" w:type="dxa"/>
            <w:vAlign w:val="bottom"/>
            <w:shd w:val="clear" w:color="auto" w:fill="CFF0FC"/>
          </w:tcPr>
          <w:p>
            <w:pPr>
              <w:spacing w:after="0"/>
              <w:rPr>
                <w:sz w:val="20"/>
                <w:szCs w:val="20"/>
                <w:color w:val="auto"/>
              </w:rPr>
            </w:pPr>
            <w:r>
              <w:rPr>
                <w:rFonts w:ascii="Arial" w:cs="Arial" w:eastAsia="Arial" w:hAnsi="Arial"/>
                <w:sz w:val="18"/>
                <w:szCs w:val="18"/>
                <w:color w:val="auto"/>
              </w:rPr>
              <w:t>Other mutual funds</w:t>
            </w:r>
          </w:p>
        </w:tc>
        <w:tc>
          <w:tcPr>
            <w:tcW w:w="280" w:type="dxa"/>
            <w:vAlign w:val="bottom"/>
            <w:shd w:val="clear" w:color="auto" w:fill="CFF0FC"/>
          </w:tcPr>
          <w:p>
            <w:pPr>
              <w:spacing w:after="0"/>
              <w:rPr>
                <w:sz w:val="19"/>
                <w:szCs w:val="19"/>
                <w:color w:val="auto"/>
              </w:rPr>
            </w:pPr>
          </w:p>
        </w:tc>
        <w:tc>
          <w:tcPr>
            <w:tcW w:w="13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2,823</w:t>
            </w:r>
          </w:p>
        </w:tc>
        <w:tc>
          <w:tcPr>
            <w:tcW w:w="28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13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2,637</w:t>
            </w:r>
          </w:p>
        </w:tc>
        <w:tc>
          <w:tcPr>
            <w:tcW w:w="120" w:type="dxa"/>
            <w:vAlign w:val="bottom"/>
            <w:shd w:val="clear" w:color="auto" w:fill="CFF0FC"/>
          </w:tcPr>
          <w:p>
            <w:pPr>
              <w:spacing w:after="0"/>
              <w:rPr>
                <w:sz w:val="19"/>
                <w:szCs w:val="19"/>
                <w:color w:val="auto"/>
              </w:rPr>
            </w:pPr>
          </w:p>
        </w:tc>
      </w:tr>
      <w:tr>
        <w:trPr>
          <w:trHeight w:val="229"/>
        </w:trPr>
        <w:tc>
          <w:tcPr>
            <w:tcW w:w="7860" w:type="dxa"/>
            <w:vAlign w:val="bottom"/>
            <w:tcBorders>
              <w:bottom w:val="single" w:sz="8" w:color="CFF0FC"/>
            </w:tcBorders>
          </w:tcPr>
          <w:p>
            <w:pPr>
              <w:spacing w:after="0"/>
              <w:rPr>
                <w:sz w:val="20"/>
                <w:szCs w:val="20"/>
                <w:color w:val="auto"/>
              </w:rPr>
            </w:pPr>
            <w:r>
              <w:rPr>
                <w:rFonts w:ascii="Arial" w:cs="Arial" w:eastAsia="Arial" w:hAnsi="Arial"/>
                <w:sz w:val="18"/>
                <w:szCs w:val="18"/>
                <w:color w:val="auto"/>
              </w:rPr>
              <w:t>Other</w:t>
            </w:r>
          </w:p>
        </w:tc>
        <w:tc>
          <w:tcPr>
            <w:tcW w:w="280" w:type="dxa"/>
            <w:vAlign w:val="bottom"/>
            <w:tcBorders>
              <w:bottom w:val="single" w:sz="8" w:color="auto"/>
            </w:tcBorders>
          </w:tcPr>
          <w:p>
            <w:pPr>
              <w:spacing w:after="0"/>
              <w:rPr>
                <w:sz w:val="19"/>
                <w:szCs w:val="19"/>
                <w:color w:val="auto"/>
              </w:rPr>
            </w:pPr>
          </w:p>
        </w:tc>
        <w:tc>
          <w:tcPr>
            <w:tcW w:w="13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3,360</w:t>
            </w:r>
          </w:p>
        </w:tc>
        <w:tc>
          <w:tcPr>
            <w:tcW w:w="280" w:type="dxa"/>
            <w:vAlign w:val="bottom"/>
            <w:tcBorders>
              <w:bottom w:val="single" w:sz="8" w:color="CFF0FC"/>
            </w:tcBorders>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13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4,169</w:t>
            </w:r>
          </w:p>
        </w:tc>
        <w:tc>
          <w:tcPr>
            <w:tcW w:w="120" w:type="dxa"/>
            <w:vAlign w:val="bottom"/>
            <w:tcBorders>
              <w:bottom w:val="single" w:sz="8" w:color="CFF0FC"/>
            </w:tcBorders>
          </w:tcPr>
          <w:p>
            <w:pPr>
              <w:spacing w:after="0"/>
              <w:rPr>
                <w:sz w:val="19"/>
                <w:szCs w:val="19"/>
                <w:color w:val="auto"/>
              </w:rPr>
            </w:pPr>
          </w:p>
        </w:tc>
      </w:tr>
      <w:tr>
        <w:trPr>
          <w:trHeight w:val="222"/>
        </w:trPr>
        <w:tc>
          <w:tcPr>
            <w:tcW w:w="7860" w:type="dxa"/>
            <w:vAlign w:val="bottom"/>
            <w:tcBorders>
              <w:bottom w:val="single" w:sz="8" w:color="CFF0FC"/>
            </w:tcBorders>
            <w:shd w:val="clear" w:color="auto" w:fill="CFF0FC"/>
          </w:tcPr>
          <w:p>
            <w:pPr>
              <w:ind w:left="260"/>
              <w:spacing w:after="0"/>
              <w:rPr>
                <w:sz w:val="20"/>
                <w:szCs w:val="20"/>
                <w:color w:val="auto"/>
              </w:rPr>
            </w:pPr>
            <w:r>
              <w:rPr>
                <w:rFonts w:ascii="Arial" w:cs="Arial" w:eastAsia="Arial" w:hAnsi="Arial"/>
                <w:sz w:val="18"/>
                <w:szCs w:val="18"/>
                <w:b w:val="1"/>
                <w:bCs w:val="1"/>
                <w:color w:val="auto"/>
              </w:rPr>
              <w:t>Other investments and assets</w:t>
            </w:r>
          </w:p>
        </w:tc>
        <w:tc>
          <w:tcPr>
            <w:tcW w:w="280" w:type="dxa"/>
            <w:vAlign w:val="bottom"/>
            <w:tcBorders>
              <w:bottom w:val="single" w:sz="8" w:color="auto"/>
            </w:tcBorders>
            <w:shd w:val="clear" w:color="auto" w:fill="CFF0FC"/>
          </w:tcPr>
          <w:p>
            <w:pPr>
              <w:jc w:val="right"/>
              <w:ind w:right="127"/>
              <w:spacing w:after="0"/>
              <w:rPr>
                <w:sz w:val="20"/>
                <w:szCs w:val="20"/>
                <w:color w:val="auto"/>
              </w:rPr>
            </w:pPr>
            <w:r>
              <w:rPr>
                <w:rFonts w:ascii="Arial" w:cs="Arial" w:eastAsia="Arial" w:hAnsi="Arial"/>
                <w:sz w:val="15"/>
                <w:szCs w:val="15"/>
                <w:color w:val="auto"/>
                <w:w w:val="71"/>
              </w:rPr>
              <w:t>$</w:t>
            </w:r>
          </w:p>
        </w:tc>
        <w:tc>
          <w:tcPr>
            <w:tcW w:w="13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48,789</w:t>
            </w:r>
          </w:p>
        </w:tc>
        <w:tc>
          <w:tcPr>
            <w:tcW w:w="280" w:type="dxa"/>
            <w:vAlign w:val="bottom"/>
            <w:tcBorders>
              <w:bottom w:val="single" w:sz="8" w:color="CFF0FC"/>
            </w:tcBorders>
            <w:shd w:val="clear" w:color="auto" w:fill="CFF0FC"/>
          </w:tcPr>
          <w:p>
            <w:pPr>
              <w:spacing w:after="0"/>
              <w:rPr>
                <w:sz w:val="19"/>
                <w:szCs w:val="19"/>
                <w:color w:val="auto"/>
              </w:rPr>
            </w:pPr>
          </w:p>
        </w:tc>
        <w:tc>
          <w:tcPr>
            <w:tcW w:w="220" w:type="dxa"/>
            <w:vAlign w:val="bottom"/>
            <w:tcBorders>
              <w:bottom w:val="single" w:sz="8" w:color="auto"/>
            </w:tcBorders>
            <w:shd w:val="clear" w:color="auto" w:fill="CFF0FC"/>
          </w:tcPr>
          <w:p>
            <w:pPr>
              <w:jc w:val="right"/>
              <w:ind w:right="67"/>
              <w:spacing w:after="0"/>
              <w:rPr>
                <w:sz w:val="20"/>
                <w:szCs w:val="20"/>
                <w:color w:val="auto"/>
              </w:rPr>
            </w:pPr>
            <w:r>
              <w:rPr>
                <w:rFonts w:ascii="Arial" w:cs="Arial" w:eastAsia="Arial" w:hAnsi="Arial"/>
                <w:sz w:val="15"/>
                <w:szCs w:val="15"/>
                <w:color w:val="auto"/>
                <w:w w:val="71"/>
              </w:rPr>
              <w:t>$</w:t>
            </w:r>
          </w:p>
        </w:tc>
        <w:tc>
          <w:tcPr>
            <w:tcW w:w="13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48,187</w:t>
            </w:r>
          </w:p>
        </w:tc>
        <w:tc>
          <w:tcPr>
            <w:tcW w:w="120" w:type="dxa"/>
            <w:vAlign w:val="bottom"/>
            <w:tcBorders>
              <w:bottom w:val="single" w:sz="8" w:color="CFF0FC"/>
            </w:tcBorders>
            <w:shd w:val="clear" w:color="auto" w:fill="CFF0FC"/>
          </w:tcPr>
          <w:p>
            <w:pPr>
              <w:spacing w:after="0"/>
              <w:rPr>
                <w:sz w:val="19"/>
                <w:szCs w:val="19"/>
                <w:color w:val="auto"/>
              </w:rPr>
            </w:pPr>
          </w:p>
        </w:tc>
      </w:tr>
      <w:tr>
        <w:trPr>
          <w:trHeight w:val="20"/>
        </w:trPr>
        <w:tc>
          <w:tcPr>
            <w:tcW w:w="786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r>
    </w:tbl>
    <w:p>
      <w:pPr>
        <w:spacing w:after="0" w:line="228" w:lineRule="exact"/>
        <w:rPr>
          <w:sz w:val="20"/>
          <w:szCs w:val="20"/>
          <w:color w:val="auto"/>
        </w:rPr>
      </w:pPr>
    </w:p>
    <w:p>
      <w:pPr>
        <w:jc w:val="both"/>
        <w:ind w:left="380" w:right="20" w:hanging="372"/>
        <w:spacing w:after="0" w:line="262" w:lineRule="auto"/>
        <w:tabs>
          <w:tab w:leader="none" w:pos="380" w:val="left"/>
        </w:tabs>
        <w:numPr>
          <w:ilvl w:val="0"/>
          <w:numId w:val="9"/>
        </w:numPr>
        <w:rPr>
          <w:rFonts w:ascii="Arial" w:cs="Arial" w:eastAsia="Arial" w:hAnsi="Arial"/>
          <w:sz w:val="15"/>
          <w:szCs w:val="15"/>
          <w:color w:val="auto"/>
        </w:rPr>
      </w:pPr>
      <w:r>
        <w:rPr>
          <w:rFonts w:ascii="Arial" w:cs="Arial" w:eastAsia="Arial" w:hAnsi="Arial"/>
          <w:sz w:val="18"/>
          <w:szCs w:val="18"/>
          <w:color w:val="auto"/>
        </w:rPr>
        <w:t xml:space="preserve">Upon the adoption of Topic 606, the deferred incremental costs of obtaining and fulfilling contracts that were previously reported in Inventories under “Work in process” are currently reported under “Current contract costs” and “Other investments and assets.” Refer to Note 2 </w:t>
      </w:r>
      <w:r>
        <w:rPr>
          <w:rFonts w:ascii="Arial" w:cs="Arial" w:eastAsia="Arial" w:hAnsi="Arial"/>
          <w:sz w:val="18"/>
          <w:szCs w:val="18"/>
          <w:b w:val="1"/>
          <w:bCs w:val="1"/>
          <w:i w:val="1"/>
          <w:iCs w:val="1"/>
          <w:color w:val="auto"/>
        </w:rPr>
        <w:t>–</w:t>
      </w:r>
      <w:r>
        <w:rPr>
          <w:rFonts w:ascii="Arial" w:cs="Arial" w:eastAsia="Arial" w:hAnsi="Arial"/>
          <w:sz w:val="18"/>
          <w:szCs w:val="18"/>
          <w:color w:val="auto"/>
        </w:rPr>
        <w:t xml:space="preserve"> Revenue and Related Contract Costs and Contract Liabilities for additional information.</w:t>
      </w:r>
    </w:p>
    <w:p>
      <w:pPr>
        <w:spacing w:after="0" w:line="35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Note 9. </w:t>
      </w:r>
      <w:r>
        <w:rPr>
          <w:rFonts w:ascii="Arial" w:cs="Arial" w:eastAsia="Arial" w:hAnsi="Arial"/>
          <w:sz w:val="18"/>
          <w:szCs w:val="18"/>
          <w:b w:val="1"/>
          <w:bCs w:val="1"/>
          <w:u w:val="single" w:color="auto"/>
          <w:color w:val="auto"/>
        </w:rPr>
        <w:t>Goodwill and Other Intangible Assets</w:t>
      </w:r>
    </w:p>
    <w:p>
      <w:pPr>
        <w:spacing w:after="0" w:line="120" w:lineRule="exact"/>
        <w:rPr>
          <w:sz w:val="20"/>
          <w:szCs w:val="20"/>
          <w:color w:val="auto"/>
        </w:rPr>
      </w:pPr>
    </w:p>
    <w:p>
      <w:pPr>
        <w:spacing w:after="0"/>
        <w:rPr>
          <w:sz w:val="20"/>
          <w:szCs w:val="20"/>
          <w:color w:val="auto"/>
        </w:rPr>
      </w:pPr>
      <w:r>
        <w:rPr>
          <w:rFonts w:ascii="Arial" w:cs="Arial" w:eastAsia="Arial" w:hAnsi="Arial"/>
          <w:sz w:val="18"/>
          <w:szCs w:val="18"/>
          <w:color w:val="auto"/>
        </w:rPr>
        <w:t>The changes in the carrying amount of goodwill are as follows:</w:t>
      </w:r>
    </w:p>
    <w:p>
      <w:pPr>
        <w:spacing w:after="0" w:line="228"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4280" w:type="dxa"/>
            <w:vAlign w:val="bottom"/>
          </w:tcPr>
          <w:p>
            <w:pPr>
              <w:spacing w:after="0"/>
              <w:rPr>
                <w:sz w:val="20"/>
                <w:szCs w:val="20"/>
                <w:color w:val="auto"/>
              </w:rPr>
            </w:pPr>
            <w:r>
              <w:rPr>
                <w:rFonts w:ascii="Arial" w:cs="Arial" w:eastAsia="Arial" w:hAnsi="Arial"/>
                <w:sz w:val="14"/>
                <w:szCs w:val="14"/>
                <w:i w:val="1"/>
                <w:iCs w:val="1"/>
                <w:color w:val="auto"/>
              </w:rPr>
              <w:t>(in thousands)</w:t>
            </w:r>
          </w:p>
        </w:tc>
        <w:tc>
          <w:tcPr>
            <w:tcW w:w="16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960" w:type="dxa"/>
            <w:vAlign w:val="bottom"/>
          </w:tcPr>
          <w:p>
            <w:pPr>
              <w:jc w:val="right"/>
              <w:ind w:right="195"/>
              <w:spacing w:after="0"/>
              <w:rPr>
                <w:sz w:val="20"/>
                <w:szCs w:val="20"/>
                <w:color w:val="auto"/>
              </w:rPr>
            </w:pPr>
            <w:r>
              <w:rPr>
                <w:rFonts w:ascii="Arial" w:cs="Arial" w:eastAsia="Arial" w:hAnsi="Arial"/>
                <w:sz w:val="14"/>
                <w:szCs w:val="14"/>
                <w:b w:val="1"/>
                <w:bCs w:val="1"/>
                <w:color w:val="auto"/>
              </w:rPr>
              <w:t>GES U.S.</w:t>
            </w:r>
          </w:p>
        </w:tc>
        <w:tc>
          <w:tcPr>
            <w:tcW w:w="240" w:type="dxa"/>
            <w:vAlign w:val="bottom"/>
          </w:tcPr>
          <w:p>
            <w:pPr>
              <w:spacing w:after="0"/>
              <w:rPr>
                <w:sz w:val="14"/>
                <w:szCs w:val="14"/>
                <w:color w:val="auto"/>
              </w:rPr>
            </w:pPr>
          </w:p>
        </w:tc>
        <w:tc>
          <w:tcPr>
            <w:tcW w:w="1400" w:type="dxa"/>
            <w:vAlign w:val="bottom"/>
            <w:gridSpan w:val="3"/>
          </w:tcPr>
          <w:p>
            <w:pPr>
              <w:ind w:left="20"/>
              <w:spacing w:after="0"/>
              <w:rPr>
                <w:sz w:val="20"/>
                <w:szCs w:val="20"/>
                <w:color w:val="auto"/>
              </w:rPr>
            </w:pPr>
            <w:r>
              <w:rPr>
                <w:rFonts w:ascii="Arial" w:cs="Arial" w:eastAsia="Arial" w:hAnsi="Arial"/>
                <w:sz w:val="14"/>
                <w:szCs w:val="14"/>
                <w:b w:val="1"/>
                <w:bCs w:val="1"/>
                <w:color w:val="auto"/>
              </w:rPr>
              <w:t>GES International</w:t>
            </w:r>
          </w:p>
        </w:tc>
        <w:tc>
          <w:tcPr>
            <w:tcW w:w="220" w:type="dxa"/>
            <w:vAlign w:val="bottom"/>
          </w:tcPr>
          <w:p>
            <w:pPr>
              <w:spacing w:after="0"/>
              <w:rPr>
                <w:sz w:val="14"/>
                <w:szCs w:val="14"/>
                <w:color w:val="auto"/>
              </w:rPr>
            </w:pPr>
          </w:p>
        </w:tc>
        <w:tc>
          <w:tcPr>
            <w:tcW w:w="1180" w:type="dxa"/>
            <w:vAlign w:val="bottom"/>
            <w:gridSpan w:val="2"/>
          </w:tcPr>
          <w:p>
            <w:pPr>
              <w:jc w:val="right"/>
              <w:ind w:right="600"/>
              <w:spacing w:after="0"/>
              <w:rPr>
                <w:sz w:val="20"/>
                <w:szCs w:val="20"/>
                <w:color w:val="auto"/>
              </w:rPr>
            </w:pPr>
            <w:r>
              <w:rPr>
                <w:rFonts w:ascii="Arial" w:cs="Arial" w:eastAsia="Arial" w:hAnsi="Arial"/>
                <w:sz w:val="14"/>
                <w:szCs w:val="14"/>
                <w:b w:val="1"/>
                <w:bCs w:val="1"/>
                <w:color w:val="auto"/>
              </w:rPr>
              <w:t>Pursuit</w:t>
            </w:r>
          </w:p>
        </w:tc>
        <w:tc>
          <w:tcPr>
            <w:tcW w:w="260" w:type="dxa"/>
            <w:vAlign w:val="bottom"/>
          </w:tcPr>
          <w:p>
            <w:pPr>
              <w:spacing w:after="0"/>
              <w:rPr>
                <w:sz w:val="14"/>
                <w:szCs w:val="14"/>
                <w:color w:val="auto"/>
              </w:rPr>
            </w:pPr>
          </w:p>
        </w:tc>
        <w:tc>
          <w:tcPr>
            <w:tcW w:w="1020" w:type="dxa"/>
            <w:vAlign w:val="bottom"/>
            <w:gridSpan w:val="2"/>
          </w:tcPr>
          <w:p>
            <w:pPr>
              <w:jc w:val="right"/>
              <w:ind w:right="540"/>
              <w:spacing w:after="0"/>
              <w:rPr>
                <w:sz w:val="20"/>
                <w:szCs w:val="20"/>
                <w:color w:val="auto"/>
              </w:rPr>
            </w:pPr>
            <w:r>
              <w:rPr>
                <w:rFonts w:ascii="Arial" w:cs="Arial" w:eastAsia="Arial" w:hAnsi="Arial"/>
                <w:sz w:val="14"/>
                <w:szCs w:val="14"/>
                <w:b w:val="1"/>
                <w:bCs w:val="1"/>
                <w:color w:val="auto"/>
              </w:rPr>
              <w:t>Total</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22"/>
        </w:trPr>
        <w:tc>
          <w:tcPr>
            <w:tcW w:w="428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8"/>
                <w:szCs w:val="18"/>
                <w:b w:val="1"/>
                <w:bCs w:val="1"/>
                <w:color w:val="auto"/>
              </w:rPr>
              <w:t>Balance at December 31, 2017</w:t>
            </w:r>
          </w:p>
        </w:tc>
        <w:tc>
          <w:tcPr>
            <w:tcW w:w="1680" w:type="dxa"/>
            <w:vAlign w:val="bottom"/>
            <w:tcBorders>
              <w:top w:val="single" w:sz="8" w:color="CFF0FC"/>
            </w:tcBorders>
            <w:shd w:val="clear" w:color="auto" w:fill="CFF0FC"/>
          </w:tcPr>
          <w:p>
            <w:pPr>
              <w:spacing w:after="0"/>
              <w:rPr>
                <w:sz w:val="19"/>
                <w:szCs w:val="19"/>
                <w:color w:val="auto"/>
              </w:rPr>
            </w:pPr>
          </w:p>
        </w:tc>
        <w:tc>
          <w:tcPr>
            <w:tcW w:w="18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96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148,277</w:t>
            </w:r>
          </w:p>
        </w:tc>
        <w:tc>
          <w:tcPr>
            <w:tcW w:w="240" w:type="dxa"/>
            <w:vAlign w:val="bottom"/>
            <w:tcBorders>
              <w:top w:val="single" w:sz="8" w:color="CFF0FC"/>
            </w:tcBorders>
            <w:shd w:val="clear" w:color="auto" w:fill="CFF0FC"/>
          </w:tcPr>
          <w:p>
            <w:pPr>
              <w:spacing w:after="0"/>
              <w:rPr>
                <w:sz w:val="19"/>
                <w:szCs w:val="19"/>
                <w:color w:val="auto"/>
              </w:rPr>
            </w:pPr>
          </w:p>
        </w:tc>
        <w:tc>
          <w:tcPr>
            <w:tcW w:w="380" w:type="dxa"/>
            <w:vAlign w:val="bottom"/>
            <w:tcBorders>
              <w:top w:val="single" w:sz="8" w:color="auto"/>
            </w:tcBorders>
            <w:shd w:val="clear" w:color="auto" w:fill="CFF0FC"/>
          </w:tcPr>
          <w:p>
            <w:pPr>
              <w:spacing w:after="0"/>
              <w:rPr>
                <w:sz w:val="20"/>
                <w:szCs w:val="20"/>
                <w:color w:val="auto"/>
              </w:rPr>
            </w:pPr>
            <w:r>
              <w:rPr>
                <w:rFonts w:ascii="Arial" w:cs="Arial" w:eastAsia="Arial" w:hAnsi="Arial"/>
                <w:sz w:val="18"/>
                <w:szCs w:val="18"/>
                <w:color w:val="auto"/>
              </w:rPr>
              <w:t>$</w:t>
            </w:r>
          </w:p>
        </w:tc>
        <w:tc>
          <w:tcPr>
            <w:tcW w:w="78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38,840</w:t>
            </w:r>
          </w:p>
        </w:tc>
        <w:tc>
          <w:tcPr>
            <w:tcW w:w="240" w:type="dxa"/>
            <w:vAlign w:val="bottom"/>
            <w:tcBorders>
              <w:top w:val="single" w:sz="8" w:color="CFF0FC"/>
            </w:tcBorders>
            <w:shd w:val="clear" w:color="auto" w:fill="CFF0FC"/>
          </w:tcPr>
          <w:p>
            <w:pPr>
              <w:spacing w:after="0"/>
              <w:rPr>
                <w:sz w:val="19"/>
                <w:szCs w:val="19"/>
                <w:color w:val="auto"/>
              </w:rPr>
            </w:pPr>
          </w:p>
        </w:tc>
        <w:tc>
          <w:tcPr>
            <w:tcW w:w="220" w:type="dxa"/>
            <w:vAlign w:val="bottom"/>
            <w:tcBorders>
              <w:top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w w:val="79"/>
              </w:rPr>
              <w:t>$</w:t>
            </w:r>
          </w:p>
        </w:tc>
        <w:tc>
          <w:tcPr>
            <w:tcW w:w="94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83,434</w:t>
            </w:r>
          </w:p>
        </w:tc>
        <w:tc>
          <w:tcPr>
            <w:tcW w:w="240" w:type="dxa"/>
            <w:vAlign w:val="bottom"/>
            <w:tcBorders>
              <w:top w:val="single" w:sz="8" w:color="CFF0FC"/>
            </w:tcBorders>
            <w:shd w:val="clear" w:color="auto" w:fill="CFF0FC"/>
          </w:tcPr>
          <w:p>
            <w:pPr>
              <w:spacing w:after="0"/>
              <w:rPr>
                <w:sz w:val="19"/>
                <w:szCs w:val="19"/>
                <w:color w:val="auto"/>
              </w:rPr>
            </w:pPr>
          </w:p>
        </w:tc>
        <w:tc>
          <w:tcPr>
            <w:tcW w:w="260" w:type="dxa"/>
            <w:vAlign w:val="bottom"/>
            <w:tcBorders>
              <w:top w:val="single" w:sz="8" w:color="auto"/>
            </w:tcBorders>
            <w:shd w:val="clear" w:color="auto" w:fill="CFF0FC"/>
          </w:tcPr>
          <w:p>
            <w:pPr>
              <w:jc w:val="right"/>
              <w:ind w:right="70"/>
              <w:spacing w:after="0"/>
              <w:rPr>
                <w:sz w:val="20"/>
                <w:szCs w:val="20"/>
                <w:color w:val="auto"/>
              </w:rPr>
            </w:pPr>
            <w:r>
              <w:rPr>
                <w:rFonts w:ascii="Arial" w:cs="Arial" w:eastAsia="Arial" w:hAnsi="Arial"/>
                <w:sz w:val="18"/>
                <w:szCs w:val="18"/>
                <w:color w:val="auto"/>
                <w:w w:val="79"/>
              </w:rPr>
              <w:t>$</w:t>
            </w:r>
          </w:p>
        </w:tc>
        <w:tc>
          <w:tcPr>
            <w:tcW w:w="92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270,551</w:t>
            </w:r>
          </w:p>
        </w:tc>
        <w:tc>
          <w:tcPr>
            <w:tcW w:w="100" w:type="dxa"/>
            <w:vAlign w:val="bottom"/>
            <w:tcBorders>
              <w:top w:val="single" w:sz="8" w:color="CFF0FC"/>
            </w:tcBorders>
            <w:shd w:val="clear" w:color="auto" w:fill="CFF0FC"/>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4280" w:type="dxa"/>
            <w:vAlign w:val="bottom"/>
          </w:tcPr>
          <w:p>
            <w:pPr>
              <w:spacing w:after="0"/>
              <w:rPr>
                <w:sz w:val="20"/>
                <w:szCs w:val="20"/>
                <w:color w:val="auto"/>
              </w:rPr>
            </w:pPr>
            <w:r>
              <w:rPr>
                <w:rFonts w:ascii="Arial" w:cs="Arial" w:eastAsia="Arial" w:hAnsi="Arial"/>
                <w:sz w:val="18"/>
                <w:szCs w:val="18"/>
                <w:color w:val="auto"/>
              </w:rPr>
              <w:t>Foreign currency translation adjustments</w:t>
            </w:r>
          </w:p>
        </w:tc>
        <w:tc>
          <w:tcPr>
            <w:tcW w:w="16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931</w:t>
            </w:r>
          </w:p>
        </w:tc>
        <w:tc>
          <w:tcPr>
            <w:tcW w:w="2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180" w:type="dxa"/>
            <w:vAlign w:val="bottom"/>
            <w:gridSpan w:val="2"/>
          </w:tcPr>
          <w:p>
            <w:pPr>
              <w:jc w:val="right"/>
              <w:ind w:right="180"/>
              <w:spacing w:after="0"/>
              <w:rPr>
                <w:sz w:val="20"/>
                <w:szCs w:val="20"/>
                <w:color w:val="auto"/>
              </w:rPr>
            </w:pPr>
            <w:r>
              <w:rPr>
                <w:rFonts w:ascii="Arial" w:cs="Arial" w:eastAsia="Arial" w:hAnsi="Arial"/>
                <w:sz w:val="18"/>
                <w:szCs w:val="18"/>
                <w:color w:val="auto"/>
              </w:rPr>
              <w:t>(1,688)</w:t>
            </w:r>
          </w:p>
        </w:tc>
        <w:tc>
          <w:tcPr>
            <w:tcW w:w="260" w:type="dxa"/>
            <w:vAlign w:val="bottom"/>
          </w:tcPr>
          <w:p>
            <w:pPr>
              <w:spacing w:after="0"/>
              <w:rPr>
                <w:sz w:val="19"/>
                <w:szCs w:val="19"/>
                <w:color w:val="auto"/>
              </w:rPr>
            </w:pPr>
          </w:p>
        </w:tc>
        <w:tc>
          <w:tcPr>
            <w:tcW w:w="1020" w:type="dxa"/>
            <w:vAlign w:val="bottom"/>
            <w:gridSpan w:val="2"/>
          </w:tcPr>
          <w:p>
            <w:pPr>
              <w:jc w:val="right"/>
              <w:ind w:right="40"/>
              <w:spacing w:after="0"/>
              <w:rPr>
                <w:sz w:val="20"/>
                <w:szCs w:val="20"/>
                <w:color w:val="auto"/>
              </w:rPr>
            </w:pPr>
            <w:r>
              <w:rPr>
                <w:rFonts w:ascii="Arial" w:cs="Arial" w:eastAsia="Arial" w:hAnsi="Arial"/>
                <w:sz w:val="18"/>
                <w:szCs w:val="18"/>
                <w:color w:val="auto"/>
              </w:rPr>
              <w:t>(757)</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2"/>
        </w:trPr>
        <w:tc>
          <w:tcPr>
            <w:tcW w:w="4280" w:type="dxa"/>
            <w:vAlign w:val="bottom"/>
            <w:tcBorders>
              <w:top w:val="single" w:sz="8" w:color="CFF0FC"/>
              <w:bottom w:val="single" w:sz="8" w:color="CFF0FC"/>
            </w:tcBorders>
            <w:shd w:val="clear" w:color="auto" w:fill="CFF0FC"/>
          </w:tcPr>
          <w:p>
            <w:pPr>
              <w:spacing w:after="0"/>
              <w:rPr>
                <w:sz w:val="20"/>
                <w:szCs w:val="20"/>
                <w:color w:val="auto"/>
              </w:rPr>
            </w:pPr>
            <w:r>
              <w:rPr>
                <w:rFonts w:ascii="Arial" w:cs="Arial" w:eastAsia="Arial" w:hAnsi="Arial"/>
                <w:sz w:val="18"/>
                <w:szCs w:val="18"/>
                <w:b w:val="1"/>
                <w:bCs w:val="1"/>
                <w:color w:val="auto"/>
              </w:rPr>
              <w:t>Balance at March 31, 2018</w:t>
            </w:r>
          </w:p>
        </w:tc>
        <w:tc>
          <w:tcPr>
            <w:tcW w:w="1680" w:type="dxa"/>
            <w:vAlign w:val="bottom"/>
            <w:tcBorders>
              <w:top w:val="single" w:sz="8" w:color="CFF0FC"/>
              <w:bottom w:val="single" w:sz="8" w:color="CFF0FC"/>
            </w:tcBorders>
            <w:shd w:val="clear" w:color="auto" w:fill="CFF0FC"/>
          </w:tcPr>
          <w:p>
            <w:pPr>
              <w:spacing w:after="0"/>
              <w:rPr>
                <w:sz w:val="19"/>
                <w:szCs w:val="19"/>
                <w:color w:val="auto"/>
              </w:rPr>
            </w:pPr>
          </w:p>
        </w:tc>
        <w:tc>
          <w:tcPr>
            <w:tcW w:w="18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96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148,277</w:t>
            </w:r>
          </w:p>
        </w:tc>
        <w:tc>
          <w:tcPr>
            <w:tcW w:w="240" w:type="dxa"/>
            <w:vAlign w:val="bottom"/>
            <w:tcBorders>
              <w:top w:val="single" w:sz="8" w:color="CFF0FC"/>
              <w:bottom w:val="single" w:sz="8" w:color="CFF0FC"/>
            </w:tcBorders>
            <w:shd w:val="clear" w:color="auto" w:fill="CFF0FC"/>
          </w:tcPr>
          <w:p>
            <w:pPr>
              <w:spacing w:after="0"/>
              <w:rPr>
                <w:sz w:val="19"/>
                <w:szCs w:val="19"/>
                <w:color w:val="auto"/>
              </w:rPr>
            </w:pPr>
          </w:p>
        </w:tc>
        <w:tc>
          <w:tcPr>
            <w:tcW w:w="380" w:type="dxa"/>
            <w:vAlign w:val="bottom"/>
            <w:tcBorders>
              <w:top w:val="single" w:sz="8" w:color="auto"/>
              <w:bottom w:val="single" w:sz="8" w:color="auto"/>
            </w:tcBorders>
            <w:shd w:val="clear" w:color="auto" w:fill="CFF0FC"/>
          </w:tcPr>
          <w:p>
            <w:pPr>
              <w:spacing w:after="0"/>
              <w:rPr>
                <w:sz w:val="20"/>
                <w:szCs w:val="20"/>
                <w:color w:val="auto"/>
              </w:rPr>
            </w:pPr>
            <w:r>
              <w:rPr>
                <w:rFonts w:ascii="Arial" w:cs="Arial" w:eastAsia="Arial" w:hAnsi="Arial"/>
                <w:sz w:val="18"/>
                <w:szCs w:val="18"/>
                <w:color w:val="auto"/>
              </w:rPr>
              <w:t>$</w:t>
            </w:r>
          </w:p>
        </w:tc>
        <w:tc>
          <w:tcPr>
            <w:tcW w:w="78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39,771</w:t>
            </w:r>
          </w:p>
        </w:tc>
        <w:tc>
          <w:tcPr>
            <w:tcW w:w="240" w:type="dxa"/>
            <w:vAlign w:val="bottom"/>
            <w:tcBorders>
              <w:top w:val="single" w:sz="8" w:color="CFF0FC"/>
              <w:bottom w:val="single" w:sz="8" w:color="CFF0FC"/>
            </w:tcBorders>
            <w:shd w:val="clear" w:color="auto" w:fill="CFF0FC"/>
          </w:tcPr>
          <w:p>
            <w:pPr>
              <w:spacing w:after="0"/>
              <w:rPr>
                <w:sz w:val="19"/>
                <w:szCs w:val="19"/>
                <w:color w:val="auto"/>
              </w:rPr>
            </w:pPr>
          </w:p>
        </w:tc>
        <w:tc>
          <w:tcPr>
            <w:tcW w:w="220" w:type="dxa"/>
            <w:vAlign w:val="bottom"/>
            <w:tcBorders>
              <w:top w:val="single" w:sz="8" w:color="auto"/>
              <w:bottom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w w:val="79"/>
              </w:rPr>
              <w:t>$</w:t>
            </w:r>
          </w:p>
        </w:tc>
        <w:tc>
          <w:tcPr>
            <w:tcW w:w="94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81,746</w:t>
            </w:r>
          </w:p>
        </w:tc>
        <w:tc>
          <w:tcPr>
            <w:tcW w:w="240" w:type="dxa"/>
            <w:vAlign w:val="bottom"/>
            <w:tcBorders>
              <w:top w:val="single" w:sz="8" w:color="CFF0FC"/>
              <w:bottom w:val="single" w:sz="8" w:color="CFF0FC"/>
            </w:tcBorders>
            <w:shd w:val="clear" w:color="auto" w:fill="CFF0FC"/>
          </w:tcPr>
          <w:p>
            <w:pPr>
              <w:spacing w:after="0"/>
              <w:rPr>
                <w:sz w:val="19"/>
                <w:szCs w:val="19"/>
                <w:color w:val="auto"/>
              </w:rPr>
            </w:pPr>
          </w:p>
        </w:tc>
        <w:tc>
          <w:tcPr>
            <w:tcW w:w="260" w:type="dxa"/>
            <w:vAlign w:val="bottom"/>
            <w:tcBorders>
              <w:top w:val="single" w:sz="8" w:color="auto"/>
              <w:bottom w:val="single" w:sz="8" w:color="auto"/>
            </w:tcBorders>
            <w:shd w:val="clear" w:color="auto" w:fill="CFF0FC"/>
          </w:tcPr>
          <w:p>
            <w:pPr>
              <w:jc w:val="right"/>
              <w:ind w:right="70"/>
              <w:spacing w:after="0"/>
              <w:rPr>
                <w:sz w:val="20"/>
                <w:szCs w:val="20"/>
                <w:color w:val="auto"/>
              </w:rPr>
            </w:pPr>
            <w:r>
              <w:rPr>
                <w:rFonts w:ascii="Arial" w:cs="Arial" w:eastAsia="Arial" w:hAnsi="Arial"/>
                <w:sz w:val="18"/>
                <w:szCs w:val="18"/>
                <w:color w:val="auto"/>
                <w:w w:val="79"/>
              </w:rPr>
              <w:t>$</w:t>
            </w:r>
          </w:p>
        </w:tc>
        <w:tc>
          <w:tcPr>
            <w:tcW w:w="92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269,794</w:t>
            </w:r>
          </w:p>
        </w:tc>
        <w:tc>
          <w:tcPr>
            <w:tcW w:w="100" w:type="dxa"/>
            <w:vAlign w:val="bottom"/>
            <w:tcBorders>
              <w:top w:val="single" w:sz="8" w:color="CFF0FC"/>
              <w:bottom w:val="single" w:sz="8" w:color="CFF0FC"/>
            </w:tcBorders>
            <w:shd w:val="clear" w:color="auto" w:fill="CFF0FC"/>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4280" w:type="dxa"/>
            <w:vAlign w:val="bottom"/>
          </w:tcPr>
          <w:p>
            <w:pPr>
              <w:spacing w:after="0" w:line="20" w:lineRule="exact"/>
              <w:rPr>
                <w:sz w:val="1"/>
                <w:szCs w:val="1"/>
                <w:color w:val="auto"/>
              </w:rPr>
            </w:pPr>
          </w:p>
        </w:tc>
        <w:tc>
          <w:tcPr>
            <w:tcW w:w="1680" w:type="dxa"/>
            <w:vAlign w:val="bottom"/>
            <w:vMerge w:val="restart"/>
          </w:tcPr>
          <w:p>
            <w:pPr>
              <w:jc w:val="right"/>
              <w:ind w:right="70"/>
              <w:spacing w:after="0"/>
              <w:rPr>
                <w:sz w:val="20"/>
                <w:szCs w:val="20"/>
                <w:color w:val="auto"/>
              </w:rPr>
            </w:pPr>
            <w:r>
              <w:rPr>
                <w:rFonts w:ascii="Arial" w:cs="Arial" w:eastAsia="Arial" w:hAnsi="Arial"/>
                <w:sz w:val="18"/>
                <w:szCs w:val="18"/>
                <w:color w:val="auto"/>
              </w:rPr>
              <w:t>17</w:t>
            </w:r>
          </w:p>
        </w:tc>
        <w:tc>
          <w:tcPr>
            <w:tcW w:w="18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1"/>
        </w:trPr>
        <w:tc>
          <w:tcPr>
            <w:tcW w:w="4280" w:type="dxa"/>
            <w:vAlign w:val="bottom"/>
          </w:tcPr>
          <w:p>
            <w:pPr>
              <w:spacing w:after="0"/>
              <w:rPr>
                <w:sz w:val="24"/>
                <w:szCs w:val="24"/>
                <w:color w:val="auto"/>
              </w:rPr>
            </w:pPr>
          </w:p>
        </w:tc>
        <w:tc>
          <w:tcPr>
            <w:tcW w:w="1680" w:type="dxa"/>
            <w:vAlign w:val="bottom"/>
            <w:vMerge w:val="continue"/>
          </w:tcPr>
          <w:p>
            <w:pPr>
              <w:spacing w:after="0"/>
              <w:rPr>
                <w:sz w:val="24"/>
                <w:szCs w:val="24"/>
                <w:color w:val="auto"/>
              </w:rPr>
            </w:pPr>
          </w:p>
        </w:tc>
        <w:tc>
          <w:tcPr>
            <w:tcW w:w="18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4"/>
        </w:trPr>
        <w:tc>
          <w:tcPr>
            <w:tcW w:w="4280" w:type="dxa"/>
            <w:vAlign w:val="bottom"/>
            <w:tcBorders>
              <w:bottom w:val="single" w:sz="8" w:color="9A9A9A"/>
            </w:tcBorders>
          </w:tcPr>
          <w:p>
            <w:pPr>
              <w:spacing w:after="0"/>
              <w:rPr>
                <w:sz w:val="9"/>
                <w:szCs w:val="9"/>
                <w:color w:val="auto"/>
              </w:rPr>
            </w:pPr>
          </w:p>
        </w:tc>
        <w:tc>
          <w:tcPr>
            <w:tcW w:w="1680" w:type="dxa"/>
            <w:vAlign w:val="bottom"/>
            <w:tcBorders>
              <w:bottom w:val="single" w:sz="8" w:color="9A9A9A"/>
            </w:tcBorders>
          </w:tcPr>
          <w:p>
            <w:pPr>
              <w:spacing w:after="0"/>
              <w:rPr>
                <w:sz w:val="9"/>
                <w:szCs w:val="9"/>
                <w:color w:val="auto"/>
              </w:rPr>
            </w:pPr>
          </w:p>
        </w:tc>
        <w:tc>
          <w:tcPr>
            <w:tcW w:w="180" w:type="dxa"/>
            <w:vAlign w:val="bottom"/>
            <w:tcBorders>
              <w:bottom w:val="single" w:sz="8" w:color="9A9A9A"/>
            </w:tcBorders>
          </w:tcPr>
          <w:p>
            <w:pPr>
              <w:spacing w:after="0"/>
              <w:rPr>
                <w:sz w:val="9"/>
                <w:szCs w:val="9"/>
                <w:color w:val="auto"/>
              </w:rPr>
            </w:pPr>
          </w:p>
        </w:tc>
        <w:tc>
          <w:tcPr>
            <w:tcW w:w="960" w:type="dxa"/>
            <w:vAlign w:val="bottom"/>
            <w:tcBorders>
              <w:bottom w:val="single" w:sz="8" w:color="9A9A9A"/>
            </w:tcBorders>
          </w:tcPr>
          <w:p>
            <w:pPr>
              <w:spacing w:after="0"/>
              <w:rPr>
                <w:sz w:val="9"/>
                <w:szCs w:val="9"/>
                <w:color w:val="auto"/>
              </w:rPr>
            </w:pPr>
          </w:p>
        </w:tc>
        <w:tc>
          <w:tcPr>
            <w:tcW w:w="240" w:type="dxa"/>
            <w:vAlign w:val="bottom"/>
            <w:tcBorders>
              <w:bottom w:val="single" w:sz="8" w:color="9A9A9A"/>
            </w:tcBorders>
          </w:tcPr>
          <w:p>
            <w:pPr>
              <w:spacing w:after="0"/>
              <w:rPr>
                <w:sz w:val="9"/>
                <w:szCs w:val="9"/>
                <w:color w:val="auto"/>
              </w:rPr>
            </w:pPr>
          </w:p>
        </w:tc>
        <w:tc>
          <w:tcPr>
            <w:tcW w:w="380" w:type="dxa"/>
            <w:vAlign w:val="bottom"/>
            <w:tcBorders>
              <w:bottom w:val="single" w:sz="8" w:color="9A9A9A"/>
            </w:tcBorders>
          </w:tcPr>
          <w:p>
            <w:pPr>
              <w:spacing w:after="0"/>
              <w:rPr>
                <w:sz w:val="9"/>
                <w:szCs w:val="9"/>
                <w:color w:val="auto"/>
              </w:rPr>
            </w:pPr>
          </w:p>
        </w:tc>
        <w:tc>
          <w:tcPr>
            <w:tcW w:w="780" w:type="dxa"/>
            <w:vAlign w:val="bottom"/>
            <w:tcBorders>
              <w:bottom w:val="single" w:sz="8" w:color="9A9A9A"/>
            </w:tcBorders>
          </w:tcPr>
          <w:p>
            <w:pPr>
              <w:spacing w:after="0"/>
              <w:rPr>
                <w:sz w:val="9"/>
                <w:szCs w:val="9"/>
                <w:color w:val="auto"/>
              </w:rPr>
            </w:pPr>
          </w:p>
        </w:tc>
        <w:tc>
          <w:tcPr>
            <w:tcW w:w="240" w:type="dxa"/>
            <w:vAlign w:val="bottom"/>
            <w:tcBorders>
              <w:bottom w:val="single" w:sz="8" w:color="9A9A9A"/>
            </w:tcBorders>
          </w:tcPr>
          <w:p>
            <w:pPr>
              <w:spacing w:after="0"/>
              <w:rPr>
                <w:sz w:val="9"/>
                <w:szCs w:val="9"/>
                <w:color w:val="auto"/>
              </w:rPr>
            </w:pPr>
          </w:p>
        </w:tc>
        <w:tc>
          <w:tcPr>
            <w:tcW w:w="220" w:type="dxa"/>
            <w:vAlign w:val="bottom"/>
            <w:tcBorders>
              <w:bottom w:val="single" w:sz="8" w:color="9A9A9A"/>
            </w:tcBorders>
          </w:tcPr>
          <w:p>
            <w:pPr>
              <w:spacing w:after="0"/>
              <w:rPr>
                <w:sz w:val="9"/>
                <w:szCs w:val="9"/>
                <w:color w:val="auto"/>
              </w:rPr>
            </w:pPr>
          </w:p>
        </w:tc>
        <w:tc>
          <w:tcPr>
            <w:tcW w:w="940" w:type="dxa"/>
            <w:vAlign w:val="bottom"/>
            <w:tcBorders>
              <w:bottom w:val="single" w:sz="8" w:color="9A9A9A"/>
            </w:tcBorders>
          </w:tcPr>
          <w:p>
            <w:pPr>
              <w:spacing w:after="0"/>
              <w:rPr>
                <w:sz w:val="9"/>
                <w:szCs w:val="9"/>
                <w:color w:val="auto"/>
              </w:rPr>
            </w:pPr>
          </w:p>
        </w:tc>
        <w:tc>
          <w:tcPr>
            <w:tcW w:w="240" w:type="dxa"/>
            <w:vAlign w:val="bottom"/>
            <w:tcBorders>
              <w:bottom w:val="single" w:sz="8" w:color="9A9A9A"/>
            </w:tcBorders>
          </w:tcPr>
          <w:p>
            <w:pPr>
              <w:spacing w:after="0"/>
              <w:rPr>
                <w:sz w:val="9"/>
                <w:szCs w:val="9"/>
                <w:color w:val="auto"/>
              </w:rPr>
            </w:pPr>
          </w:p>
        </w:tc>
        <w:tc>
          <w:tcPr>
            <w:tcW w:w="260" w:type="dxa"/>
            <w:vAlign w:val="bottom"/>
            <w:tcBorders>
              <w:bottom w:val="single" w:sz="8" w:color="9A9A9A"/>
            </w:tcBorders>
          </w:tcPr>
          <w:p>
            <w:pPr>
              <w:spacing w:after="0"/>
              <w:rPr>
                <w:sz w:val="9"/>
                <w:szCs w:val="9"/>
                <w:color w:val="auto"/>
              </w:rPr>
            </w:pPr>
          </w:p>
        </w:tc>
        <w:tc>
          <w:tcPr>
            <w:tcW w:w="920" w:type="dxa"/>
            <w:vAlign w:val="bottom"/>
            <w:tcBorders>
              <w:bottom w:val="single" w:sz="8" w:color="9A9A9A"/>
            </w:tcBorders>
          </w:tcPr>
          <w:p>
            <w:pPr>
              <w:spacing w:after="0"/>
              <w:rPr>
                <w:sz w:val="9"/>
                <w:szCs w:val="9"/>
                <w:color w:val="auto"/>
              </w:rPr>
            </w:pPr>
          </w:p>
        </w:tc>
        <w:tc>
          <w:tcPr>
            <w:tcW w:w="100" w:type="dxa"/>
            <w:vAlign w:val="bottom"/>
            <w:tcBorders>
              <w:bottom w:val="single" w:sz="8" w:color="9A9A9A"/>
            </w:tcBorders>
          </w:tcPr>
          <w:p>
            <w:pPr>
              <w:spacing w:after="0"/>
              <w:rPr>
                <w:sz w:val="9"/>
                <w:szCs w:val="9"/>
                <w:color w:val="auto"/>
              </w:rPr>
            </w:pPr>
          </w:p>
        </w:tc>
        <w:tc>
          <w:tcPr>
            <w:tcW w:w="20" w:type="dxa"/>
            <w:vAlign w:val="bottom"/>
            <w:tcBorders>
              <w:bottom w:val="single" w:sz="8" w:color="9A9A9A"/>
            </w:tcBorders>
          </w:tcPr>
          <w:p>
            <w:pPr>
              <w:spacing w:after="0"/>
              <w:rPr>
                <w:sz w:val="9"/>
                <w:szCs w:val="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7247890</wp:posOffset>
            </wp:positionH>
            <wp:positionV relativeFrom="paragraph">
              <wp:posOffset>-29210</wp:posOffset>
            </wp:positionV>
            <wp:extent cx="33655" cy="4254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3655" cy="4254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33655" cy="42545"/>
                    </a:xfrm>
                    <a:prstGeom prst="rect">
                      <a:avLst/>
                    </a:prstGeom>
                    <a:noFill/>
                  </pic:spPr>
                </pic:pic>
              </a:graphicData>
            </a:graphic>
          </wp:anchor>
        </w:drawing>
      </w:r>
    </w:p>
    <w:p>
      <w:pPr>
        <w:sectPr>
          <w:pgSz w:w="11900" w:h="16838" w:orient="portrait"/>
          <w:cols w:equalWidth="0" w:num="1">
            <w:col w:w="11440"/>
          </w:cols>
          <w:pgMar w:left="240" w:top="498" w:right="219" w:bottom="1440" w:gutter="0" w:footer="0" w:header="0"/>
        </w:sectPr>
      </w:pPr>
    </w:p>
    <w:bookmarkStart w:id="19" w:name="page20"/>
    <w:bookmarkEnd w:id="19"/>
    <w:p>
      <w:pPr>
        <w:spacing w:after="0"/>
        <w:rPr>
          <w:sz w:val="20"/>
          <w:szCs w:val="20"/>
          <w:color w:val="auto"/>
        </w:rPr>
      </w:pPr>
      <w:r>
        <w:rPr>
          <w:rFonts w:ascii="Arial" w:cs="Arial" w:eastAsia="Arial" w:hAnsi="Arial"/>
          <w:sz w:val="18"/>
          <w:szCs w:val="18"/>
          <w:color w:val="auto"/>
        </w:rPr>
        <w:t>Other intangible assets consisted of the following:</w:t>
      </w:r>
    </w:p>
    <w:p>
      <w:pPr>
        <w:spacing w:after="0" w:line="295"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384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760" w:type="dxa"/>
            <w:vAlign w:val="bottom"/>
            <w:tcBorders>
              <w:bottom w:val="single" w:sz="8" w:color="auto"/>
            </w:tcBorders>
          </w:tcPr>
          <w:p>
            <w:pPr>
              <w:spacing w:after="0"/>
              <w:rPr>
                <w:sz w:val="14"/>
                <w:szCs w:val="14"/>
                <w:color w:val="auto"/>
              </w:rPr>
            </w:pPr>
          </w:p>
        </w:tc>
        <w:tc>
          <w:tcPr>
            <w:tcW w:w="1240" w:type="dxa"/>
            <w:vAlign w:val="bottom"/>
            <w:tcBorders>
              <w:bottom w:val="single" w:sz="8" w:color="auto"/>
            </w:tcBorders>
            <w:gridSpan w:val="4"/>
          </w:tcPr>
          <w:p>
            <w:pPr>
              <w:jc w:val="right"/>
              <w:ind w:right="22"/>
              <w:spacing w:after="0"/>
              <w:rPr>
                <w:sz w:val="20"/>
                <w:szCs w:val="20"/>
                <w:color w:val="auto"/>
              </w:rPr>
            </w:pPr>
            <w:r>
              <w:rPr>
                <w:rFonts w:ascii="Arial" w:cs="Arial" w:eastAsia="Arial" w:hAnsi="Arial"/>
                <w:sz w:val="14"/>
                <w:szCs w:val="14"/>
                <w:b w:val="1"/>
                <w:bCs w:val="1"/>
                <w:color w:val="auto"/>
              </w:rPr>
              <w:t>March 31, 2018</w:t>
            </w:r>
          </w:p>
        </w:tc>
        <w:tc>
          <w:tcPr>
            <w:tcW w:w="10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780" w:type="dxa"/>
            <w:vAlign w:val="bottom"/>
            <w:tcBorders>
              <w:bottom w:val="single" w:sz="8" w:color="auto"/>
            </w:tcBorders>
          </w:tcPr>
          <w:p>
            <w:pPr>
              <w:spacing w:after="0"/>
              <w:rPr>
                <w:sz w:val="14"/>
                <w:szCs w:val="14"/>
                <w:color w:val="auto"/>
              </w:rPr>
            </w:pPr>
          </w:p>
        </w:tc>
        <w:tc>
          <w:tcPr>
            <w:tcW w:w="1340" w:type="dxa"/>
            <w:vAlign w:val="bottom"/>
            <w:tcBorders>
              <w:bottom w:val="single" w:sz="8" w:color="auto"/>
            </w:tcBorders>
            <w:gridSpan w:val="6"/>
          </w:tcPr>
          <w:p>
            <w:pPr>
              <w:jc w:val="center"/>
              <w:spacing w:after="0"/>
              <w:rPr>
                <w:sz w:val="20"/>
                <w:szCs w:val="20"/>
                <w:color w:val="auto"/>
              </w:rPr>
            </w:pPr>
            <w:r>
              <w:rPr>
                <w:rFonts w:ascii="Arial" w:cs="Arial" w:eastAsia="Arial" w:hAnsi="Arial"/>
                <w:sz w:val="14"/>
                <w:szCs w:val="14"/>
                <w:b w:val="1"/>
                <w:bCs w:val="1"/>
                <w:color w:val="auto"/>
                <w:w w:val="91"/>
              </w:rPr>
              <w:t>December 31, 2017</w:t>
            </w:r>
          </w:p>
        </w:tc>
        <w:tc>
          <w:tcPr>
            <w:tcW w:w="20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2"/>
        </w:trPr>
        <w:tc>
          <w:tcPr>
            <w:tcW w:w="384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60" w:type="dxa"/>
            <w:vAlign w:val="bottom"/>
          </w:tcPr>
          <w:p>
            <w:pPr>
              <w:jc w:val="center"/>
              <w:ind w:right="55"/>
              <w:spacing w:after="0" w:line="132" w:lineRule="exact"/>
              <w:rPr>
                <w:sz w:val="20"/>
                <w:szCs w:val="20"/>
                <w:color w:val="auto"/>
              </w:rPr>
            </w:pPr>
            <w:r>
              <w:rPr>
                <w:rFonts w:ascii="Arial" w:cs="Arial" w:eastAsia="Arial" w:hAnsi="Arial"/>
                <w:sz w:val="14"/>
                <w:szCs w:val="14"/>
                <w:b w:val="1"/>
                <w:bCs w:val="1"/>
                <w:color w:val="auto"/>
                <w:w w:val="83"/>
              </w:rPr>
              <w:t>Gross</w:t>
            </w:r>
          </w:p>
        </w:tc>
        <w:tc>
          <w:tcPr>
            <w:tcW w:w="220" w:type="dxa"/>
            <w:vAlign w:val="bottom"/>
          </w:tcPr>
          <w:p>
            <w:pPr>
              <w:spacing w:after="0"/>
              <w:rPr>
                <w:sz w:val="11"/>
                <w:szCs w:val="11"/>
                <w:color w:val="auto"/>
              </w:rPr>
            </w:pPr>
          </w:p>
        </w:tc>
        <w:tc>
          <w:tcPr>
            <w:tcW w:w="1020" w:type="dxa"/>
            <w:vAlign w:val="bottom"/>
            <w:gridSpan w:val="3"/>
            <w:vMerge w:val="restart"/>
          </w:tcPr>
          <w:p>
            <w:pPr>
              <w:jc w:val="right"/>
              <w:ind w:right="82"/>
              <w:spacing w:after="0"/>
              <w:rPr>
                <w:sz w:val="20"/>
                <w:szCs w:val="20"/>
                <w:color w:val="auto"/>
              </w:rPr>
            </w:pPr>
            <w:r>
              <w:rPr>
                <w:rFonts w:ascii="Arial" w:cs="Arial" w:eastAsia="Arial" w:hAnsi="Arial"/>
                <w:sz w:val="14"/>
                <w:szCs w:val="14"/>
                <w:b w:val="1"/>
                <w:bCs w:val="1"/>
                <w:color w:val="auto"/>
                <w:w w:val="95"/>
              </w:rPr>
              <w:t>Accumulated</w:t>
            </w:r>
          </w:p>
        </w:tc>
        <w:tc>
          <w:tcPr>
            <w:tcW w:w="100" w:type="dxa"/>
            <w:vAlign w:val="bottom"/>
          </w:tcPr>
          <w:p>
            <w:pPr>
              <w:spacing w:after="0"/>
              <w:rPr>
                <w:sz w:val="11"/>
                <w:szCs w:val="11"/>
                <w:color w:val="auto"/>
              </w:rPr>
            </w:pPr>
          </w:p>
        </w:tc>
        <w:tc>
          <w:tcPr>
            <w:tcW w:w="1020" w:type="dxa"/>
            <w:vAlign w:val="bottom"/>
            <w:gridSpan w:val="3"/>
            <w:vMerge w:val="restart"/>
          </w:tcPr>
          <w:p>
            <w:pPr>
              <w:jc w:val="center"/>
              <w:ind w:right="120"/>
              <w:spacing w:after="0"/>
              <w:rPr>
                <w:sz w:val="20"/>
                <w:szCs w:val="20"/>
                <w:color w:val="auto"/>
              </w:rPr>
            </w:pPr>
            <w:r>
              <w:rPr>
                <w:rFonts w:ascii="Arial" w:cs="Arial" w:eastAsia="Arial" w:hAnsi="Arial"/>
                <w:sz w:val="14"/>
                <w:szCs w:val="14"/>
                <w:b w:val="1"/>
                <w:bCs w:val="1"/>
                <w:color w:val="auto"/>
                <w:w w:val="97"/>
              </w:rPr>
              <w:t>Net Carrying</w:t>
            </w: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80" w:type="dxa"/>
            <w:vAlign w:val="bottom"/>
          </w:tcPr>
          <w:p>
            <w:pPr>
              <w:jc w:val="center"/>
              <w:ind w:right="55"/>
              <w:spacing w:after="0" w:line="132" w:lineRule="exact"/>
              <w:rPr>
                <w:sz w:val="20"/>
                <w:szCs w:val="20"/>
                <w:color w:val="auto"/>
              </w:rPr>
            </w:pPr>
            <w:r>
              <w:rPr>
                <w:rFonts w:ascii="Arial" w:cs="Arial" w:eastAsia="Arial" w:hAnsi="Arial"/>
                <w:sz w:val="14"/>
                <w:szCs w:val="14"/>
                <w:b w:val="1"/>
                <w:bCs w:val="1"/>
                <w:color w:val="auto"/>
                <w:w w:val="88"/>
              </w:rPr>
              <w:t>Gross</w:t>
            </w: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120" w:type="dxa"/>
            <w:vAlign w:val="bottom"/>
            <w:gridSpan w:val="4"/>
            <w:vMerge w:val="restart"/>
          </w:tcPr>
          <w:p>
            <w:pPr>
              <w:jc w:val="center"/>
              <w:ind w:right="220"/>
              <w:spacing w:after="0"/>
              <w:rPr>
                <w:sz w:val="20"/>
                <w:szCs w:val="20"/>
                <w:color w:val="auto"/>
              </w:rPr>
            </w:pPr>
            <w:r>
              <w:rPr>
                <w:rFonts w:ascii="Arial" w:cs="Arial" w:eastAsia="Arial" w:hAnsi="Arial"/>
                <w:sz w:val="14"/>
                <w:szCs w:val="14"/>
                <w:b w:val="1"/>
                <w:bCs w:val="1"/>
                <w:color w:val="auto"/>
                <w:w w:val="93"/>
              </w:rPr>
              <w:t>Accumulated</w:t>
            </w:r>
          </w:p>
        </w:tc>
        <w:tc>
          <w:tcPr>
            <w:tcW w:w="1040" w:type="dxa"/>
            <w:vAlign w:val="bottom"/>
            <w:gridSpan w:val="3"/>
            <w:vMerge w:val="restart"/>
          </w:tcPr>
          <w:p>
            <w:pPr>
              <w:jc w:val="center"/>
              <w:ind w:right="100"/>
              <w:spacing w:after="0"/>
              <w:rPr>
                <w:sz w:val="20"/>
                <w:szCs w:val="20"/>
                <w:color w:val="auto"/>
              </w:rPr>
            </w:pPr>
            <w:r>
              <w:rPr>
                <w:rFonts w:ascii="Arial" w:cs="Arial" w:eastAsia="Arial" w:hAnsi="Arial"/>
                <w:sz w:val="14"/>
                <w:szCs w:val="14"/>
                <w:b w:val="1"/>
                <w:bCs w:val="1"/>
                <w:color w:val="auto"/>
                <w:w w:val="97"/>
              </w:rPr>
              <w:t>Net Carrying</w:t>
            </w:r>
          </w:p>
        </w:tc>
        <w:tc>
          <w:tcPr>
            <w:tcW w:w="0" w:type="dxa"/>
            <w:vAlign w:val="bottom"/>
          </w:tcPr>
          <w:p>
            <w:pPr>
              <w:spacing w:after="0"/>
              <w:rPr>
                <w:sz w:val="1"/>
                <w:szCs w:val="1"/>
                <w:color w:val="auto"/>
              </w:rPr>
            </w:pPr>
          </w:p>
        </w:tc>
      </w:tr>
      <w:tr>
        <w:trPr>
          <w:trHeight w:val="148"/>
        </w:trPr>
        <w:tc>
          <w:tcPr>
            <w:tcW w:w="384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60" w:type="dxa"/>
            <w:vAlign w:val="bottom"/>
          </w:tcPr>
          <w:p>
            <w:pPr>
              <w:jc w:val="center"/>
              <w:ind w:right="55"/>
              <w:spacing w:after="0" w:line="148" w:lineRule="exact"/>
              <w:rPr>
                <w:sz w:val="20"/>
                <w:szCs w:val="20"/>
                <w:color w:val="auto"/>
              </w:rPr>
            </w:pPr>
            <w:r>
              <w:rPr>
                <w:rFonts w:ascii="Arial" w:cs="Arial" w:eastAsia="Arial" w:hAnsi="Arial"/>
                <w:sz w:val="14"/>
                <w:szCs w:val="14"/>
                <w:b w:val="1"/>
                <w:bCs w:val="1"/>
                <w:color w:val="auto"/>
              </w:rPr>
              <w:t>Carrying</w:t>
            </w:r>
          </w:p>
        </w:tc>
        <w:tc>
          <w:tcPr>
            <w:tcW w:w="220" w:type="dxa"/>
            <w:vAlign w:val="bottom"/>
          </w:tcPr>
          <w:p>
            <w:pPr>
              <w:spacing w:after="0"/>
              <w:rPr>
                <w:sz w:val="12"/>
                <w:szCs w:val="12"/>
                <w:color w:val="auto"/>
              </w:rPr>
            </w:pPr>
          </w:p>
        </w:tc>
        <w:tc>
          <w:tcPr>
            <w:tcW w:w="1020" w:type="dxa"/>
            <w:vAlign w:val="bottom"/>
            <w:gridSpan w:val="3"/>
            <w:vMerge w:val="continue"/>
          </w:tcPr>
          <w:p>
            <w:pPr>
              <w:spacing w:after="0"/>
              <w:rPr>
                <w:sz w:val="12"/>
                <w:szCs w:val="12"/>
                <w:color w:val="auto"/>
              </w:rPr>
            </w:pPr>
          </w:p>
        </w:tc>
        <w:tc>
          <w:tcPr>
            <w:tcW w:w="100" w:type="dxa"/>
            <w:vAlign w:val="bottom"/>
          </w:tcPr>
          <w:p>
            <w:pPr>
              <w:spacing w:after="0"/>
              <w:rPr>
                <w:sz w:val="12"/>
                <w:szCs w:val="12"/>
                <w:color w:val="auto"/>
              </w:rPr>
            </w:pPr>
          </w:p>
        </w:tc>
        <w:tc>
          <w:tcPr>
            <w:tcW w:w="1020" w:type="dxa"/>
            <w:vAlign w:val="bottom"/>
            <w:gridSpan w:val="3"/>
            <w:vMerge w:val="continue"/>
          </w:tcPr>
          <w:p>
            <w:pPr>
              <w:spacing w:after="0"/>
              <w:rPr>
                <w:sz w:val="12"/>
                <w:szCs w:val="12"/>
                <w:color w:val="auto"/>
              </w:rPr>
            </w:pP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80" w:type="dxa"/>
            <w:vAlign w:val="bottom"/>
          </w:tcPr>
          <w:p>
            <w:pPr>
              <w:jc w:val="center"/>
              <w:ind w:right="55"/>
              <w:spacing w:after="0" w:line="148" w:lineRule="exact"/>
              <w:rPr>
                <w:sz w:val="20"/>
                <w:szCs w:val="20"/>
                <w:color w:val="auto"/>
              </w:rPr>
            </w:pPr>
            <w:r>
              <w:rPr>
                <w:rFonts w:ascii="Arial" w:cs="Arial" w:eastAsia="Arial" w:hAnsi="Arial"/>
                <w:sz w:val="14"/>
                <w:szCs w:val="14"/>
                <w:b w:val="1"/>
                <w:bCs w:val="1"/>
                <w:color w:val="auto"/>
                <w:w w:val="97"/>
              </w:rPr>
              <w:t>Carrying</w:t>
            </w: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120" w:type="dxa"/>
            <w:vAlign w:val="bottom"/>
            <w:gridSpan w:val="4"/>
            <w:vMerge w:val="continue"/>
          </w:tcPr>
          <w:p>
            <w:pPr>
              <w:spacing w:after="0"/>
              <w:rPr>
                <w:sz w:val="12"/>
                <w:szCs w:val="12"/>
                <w:color w:val="auto"/>
              </w:rPr>
            </w:pPr>
          </w:p>
        </w:tc>
        <w:tc>
          <w:tcPr>
            <w:tcW w:w="1040" w:type="dxa"/>
            <w:vAlign w:val="bottom"/>
            <w:gridSpan w:val="3"/>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71"/>
        </w:trPr>
        <w:tc>
          <w:tcPr>
            <w:tcW w:w="3840" w:type="dxa"/>
            <w:vAlign w:val="bottom"/>
          </w:tcPr>
          <w:p>
            <w:pPr>
              <w:spacing w:after="0"/>
              <w:rPr>
                <w:sz w:val="20"/>
                <w:szCs w:val="20"/>
                <w:color w:val="auto"/>
              </w:rPr>
            </w:pPr>
            <w:r>
              <w:rPr>
                <w:rFonts w:ascii="Arial" w:cs="Arial" w:eastAsia="Arial" w:hAnsi="Arial"/>
                <w:sz w:val="14"/>
                <w:szCs w:val="14"/>
                <w:i w:val="1"/>
                <w:iCs w:val="1"/>
                <w:color w:val="auto"/>
              </w:rPr>
              <w:t>(in thousands)</w:t>
            </w:r>
          </w:p>
        </w:tc>
        <w:tc>
          <w:tcPr>
            <w:tcW w:w="9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60" w:type="dxa"/>
            <w:vAlign w:val="bottom"/>
          </w:tcPr>
          <w:p>
            <w:pPr>
              <w:jc w:val="center"/>
              <w:ind w:right="55"/>
              <w:spacing w:after="0"/>
              <w:rPr>
                <w:sz w:val="20"/>
                <w:szCs w:val="20"/>
                <w:color w:val="auto"/>
              </w:rPr>
            </w:pPr>
            <w:r>
              <w:rPr>
                <w:rFonts w:ascii="Arial" w:cs="Arial" w:eastAsia="Arial" w:hAnsi="Arial"/>
                <w:sz w:val="14"/>
                <w:szCs w:val="14"/>
                <w:b w:val="1"/>
                <w:bCs w:val="1"/>
                <w:color w:val="auto"/>
                <w:w w:val="90"/>
              </w:rPr>
              <w:t>Value</w:t>
            </w:r>
          </w:p>
        </w:tc>
        <w:tc>
          <w:tcPr>
            <w:tcW w:w="220" w:type="dxa"/>
            <w:vAlign w:val="bottom"/>
          </w:tcPr>
          <w:p>
            <w:pPr>
              <w:spacing w:after="0"/>
              <w:rPr>
                <w:sz w:val="14"/>
                <w:szCs w:val="14"/>
                <w:color w:val="auto"/>
              </w:rPr>
            </w:pPr>
          </w:p>
        </w:tc>
        <w:tc>
          <w:tcPr>
            <w:tcW w:w="1020" w:type="dxa"/>
            <w:vAlign w:val="bottom"/>
            <w:gridSpan w:val="3"/>
          </w:tcPr>
          <w:p>
            <w:pPr>
              <w:jc w:val="right"/>
              <w:ind w:right="82"/>
              <w:spacing w:after="0"/>
              <w:rPr>
                <w:sz w:val="20"/>
                <w:szCs w:val="20"/>
                <w:color w:val="auto"/>
              </w:rPr>
            </w:pPr>
            <w:r>
              <w:rPr>
                <w:rFonts w:ascii="Arial" w:cs="Arial" w:eastAsia="Arial" w:hAnsi="Arial"/>
                <w:sz w:val="14"/>
                <w:szCs w:val="14"/>
                <w:b w:val="1"/>
                <w:bCs w:val="1"/>
                <w:color w:val="auto"/>
                <w:w w:val="98"/>
              </w:rPr>
              <w:t>Amortization</w:t>
            </w:r>
          </w:p>
        </w:tc>
        <w:tc>
          <w:tcPr>
            <w:tcW w:w="1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84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90"/>
              </w:rPr>
              <w:t>Value</w:t>
            </w:r>
          </w:p>
        </w:tc>
        <w:tc>
          <w:tcPr>
            <w:tcW w:w="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80" w:type="dxa"/>
            <w:vAlign w:val="bottom"/>
          </w:tcPr>
          <w:p>
            <w:pPr>
              <w:jc w:val="center"/>
              <w:ind w:right="75"/>
              <w:spacing w:after="0"/>
              <w:rPr>
                <w:sz w:val="20"/>
                <w:szCs w:val="20"/>
                <w:color w:val="auto"/>
              </w:rPr>
            </w:pPr>
            <w:r>
              <w:rPr>
                <w:rFonts w:ascii="Arial" w:cs="Arial" w:eastAsia="Arial" w:hAnsi="Arial"/>
                <w:sz w:val="14"/>
                <w:szCs w:val="14"/>
                <w:b w:val="1"/>
                <w:bCs w:val="1"/>
                <w:color w:val="auto"/>
                <w:w w:val="90"/>
              </w:rPr>
              <w:t>Value</w:t>
            </w: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120" w:type="dxa"/>
            <w:vAlign w:val="bottom"/>
            <w:gridSpan w:val="4"/>
          </w:tcPr>
          <w:p>
            <w:pPr>
              <w:jc w:val="center"/>
              <w:ind w:right="220"/>
              <w:spacing w:after="0"/>
              <w:rPr>
                <w:sz w:val="20"/>
                <w:szCs w:val="20"/>
                <w:color w:val="auto"/>
              </w:rPr>
            </w:pPr>
            <w:r>
              <w:rPr>
                <w:rFonts w:ascii="Arial" w:cs="Arial" w:eastAsia="Arial" w:hAnsi="Arial"/>
                <w:sz w:val="14"/>
                <w:szCs w:val="14"/>
                <w:b w:val="1"/>
                <w:bCs w:val="1"/>
                <w:color w:val="auto"/>
                <w:w w:val="95"/>
              </w:rPr>
              <w:t>Amortization</w:t>
            </w:r>
          </w:p>
        </w:tc>
        <w:tc>
          <w:tcPr>
            <w:tcW w:w="200" w:type="dxa"/>
            <w:vAlign w:val="bottom"/>
          </w:tcPr>
          <w:p>
            <w:pPr>
              <w:spacing w:after="0"/>
              <w:rPr>
                <w:sz w:val="14"/>
                <w:szCs w:val="14"/>
                <w:color w:val="auto"/>
              </w:rPr>
            </w:pPr>
          </w:p>
        </w:tc>
        <w:tc>
          <w:tcPr>
            <w:tcW w:w="84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90"/>
              </w:rPr>
              <w:t>Value</w:t>
            </w:r>
          </w:p>
        </w:tc>
        <w:tc>
          <w:tcPr>
            <w:tcW w:w="0" w:type="dxa"/>
            <w:vAlign w:val="bottom"/>
          </w:tcPr>
          <w:p>
            <w:pPr>
              <w:spacing w:after="0"/>
              <w:rPr>
                <w:sz w:val="1"/>
                <w:szCs w:val="1"/>
                <w:color w:val="auto"/>
              </w:rPr>
            </w:pPr>
          </w:p>
        </w:tc>
      </w:tr>
      <w:tr>
        <w:trPr>
          <w:trHeight w:val="222"/>
        </w:trPr>
        <w:tc>
          <w:tcPr>
            <w:tcW w:w="384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8"/>
                <w:szCs w:val="18"/>
                <w:color w:val="auto"/>
              </w:rPr>
              <w:t>Amortized intangible assets:</w:t>
            </w:r>
          </w:p>
        </w:tc>
        <w:tc>
          <w:tcPr>
            <w:tcW w:w="920" w:type="dxa"/>
            <w:vAlign w:val="bottom"/>
            <w:tcBorders>
              <w:top w:val="single" w:sz="8" w:color="CFF0FC"/>
            </w:tcBorders>
            <w:shd w:val="clear" w:color="auto" w:fill="CFF0FC"/>
          </w:tcPr>
          <w:p>
            <w:pPr>
              <w:spacing w:after="0"/>
              <w:rPr>
                <w:sz w:val="19"/>
                <w:szCs w:val="19"/>
                <w:color w:val="auto"/>
              </w:rPr>
            </w:pPr>
          </w:p>
        </w:tc>
        <w:tc>
          <w:tcPr>
            <w:tcW w:w="140" w:type="dxa"/>
            <w:vAlign w:val="bottom"/>
            <w:tcBorders>
              <w:top w:val="single" w:sz="8" w:color="auto"/>
            </w:tcBorders>
            <w:shd w:val="clear" w:color="auto" w:fill="CFF0FC"/>
          </w:tcPr>
          <w:p>
            <w:pPr>
              <w:spacing w:after="0"/>
              <w:rPr>
                <w:sz w:val="19"/>
                <w:szCs w:val="19"/>
                <w:color w:val="auto"/>
              </w:rPr>
            </w:pPr>
          </w:p>
        </w:tc>
        <w:tc>
          <w:tcPr>
            <w:tcW w:w="760" w:type="dxa"/>
            <w:vAlign w:val="bottom"/>
            <w:tcBorders>
              <w:top w:val="single" w:sz="8" w:color="auto"/>
            </w:tcBorders>
            <w:shd w:val="clear" w:color="auto" w:fill="CFF0FC"/>
          </w:tcPr>
          <w:p>
            <w:pPr>
              <w:spacing w:after="0"/>
              <w:rPr>
                <w:sz w:val="19"/>
                <w:szCs w:val="19"/>
                <w:color w:val="auto"/>
              </w:rPr>
            </w:pPr>
          </w:p>
        </w:tc>
        <w:tc>
          <w:tcPr>
            <w:tcW w:w="220" w:type="dxa"/>
            <w:vAlign w:val="bottom"/>
            <w:tcBorders>
              <w:top w:val="single" w:sz="8" w:color="CFF0FC"/>
            </w:tcBorders>
            <w:shd w:val="clear" w:color="auto" w:fill="CFF0FC"/>
          </w:tcPr>
          <w:p>
            <w:pPr>
              <w:spacing w:after="0"/>
              <w:rPr>
                <w:sz w:val="19"/>
                <w:szCs w:val="19"/>
                <w:color w:val="auto"/>
              </w:rPr>
            </w:pPr>
          </w:p>
        </w:tc>
        <w:tc>
          <w:tcPr>
            <w:tcW w:w="220" w:type="dxa"/>
            <w:vAlign w:val="bottom"/>
            <w:tcBorders>
              <w:top w:val="single" w:sz="8" w:color="auto"/>
            </w:tcBorders>
            <w:shd w:val="clear" w:color="auto" w:fill="CFF0FC"/>
          </w:tcPr>
          <w:p>
            <w:pPr>
              <w:spacing w:after="0"/>
              <w:rPr>
                <w:sz w:val="19"/>
                <w:szCs w:val="19"/>
                <w:color w:val="auto"/>
              </w:rPr>
            </w:pPr>
          </w:p>
        </w:tc>
        <w:tc>
          <w:tcPr>
            <w:tcW w:w="680" w:type="dxa"/>
            <w:vAlign w:val="bottom"/>
            <w:tcBorders>
              <w:top w:val="single" w:sz="8" w:color="auto"/>
            </w:tcBorders>
            <w:shd w:val="clear" w:color="auto" w:fill="CFF0FC"/>
          </w:tcPr>
          <w:p>
            <w:pPr>
              <w:spacing w:after="0"/>
              <w:rPr>
                <w:sz w:val="19"/>
                <w:szCs w:val="19"/>
                <w:color w:val="auto"/>
              </w:rPr>
            </w:pPr>
          </w:p>
        </w:tc>
        <w:tc>
          <w:tcPr>
            <w:tcW w:w="120" w:type="dxa"/>
            <w:vAlign w:val="bottom"/>
            <w:tcBorders>
              <w:top w:val="single" w:sz="8" w:color="CFF0FC"/>
            </w:tcBorders>
            <w:shd w:val="clear" w:color="auto" w:fill="CFF0FC"/>
          </w:tcPr>
          <w:p>
            <w:pPr>
              <w:spacing w:after="0"/>
              <w:rPr>
                <w:sz w:val="19"/>
                <w:szCs w:val="19"/>
                <w:color w:val="auto"/>
              </w:rPr>
            </w:pPr>
          </w:p>
        </w:tc>
        <w:tc>
          <w:tcPr>
            <w:tcW w:w="100" w:type="dxa"/>
            <w:vAlign w:val="bottom"/>
            <w:tcBorders>
              <w:top w:val="single" w:sz="8" w:color="CFF0FC"/>
            </w:tcBorders>
            <w:shd w:val="clear" w:color="auto" w:fill="CFF0FC"/>
          </w:tcPr>
          <w:p>
            <w:pPr>
              <w:spacing w:after="0"/>
              <w:rPr>
                <w:sz w:val="19"/>
                <w:szCs w:val="19"/>
                <w:color w:val="auto"/>
              </w:rPr>
            </w:pPr>
          </w:p>
        </w:tc>
        <w:tc>
          <w:tcPr>
            <w:tcW w:w="180" w:type="dxa"/>
            <w:vAlign w:val="bottom"/>
            <w:tcBorders>
              <w:top w:val="single" w:sz="8" w:color="auto"/>
            </w:tcBorders>
            <w:shd w:val="clear" w:color="auto" w:fill="CFF0FC"/>
          </w:tcPr>
          <w:p>
            <w:pPr>
              <w:spacing w:after="0"/>
              <w:rPr>
                <w:sz w:val="19"/>
                <w:szCs w:val="19"/>
                <w:color w:val="auto"/>
              </w:rPr>
            </w:pPr>
          </w:p>
        </w:tc>
        <w:tc>
          <w:tcPr>
            <w:tcW w:w="740" w:type="dxa"/>
            <w:vAlign w:val="bottom"/>
            <w:tcBorders>
              <w:top w:val="single" w:sz="8" w:color="auto"/>
            </w:tcBorders>
            <w:shd w:val="clear" w:color="auto" w:fill="CFF0FC"/>
          </w:tcPr>
          <w:p>
            <w:pPr>
              <w:spacing w:after="0"/>
              <w:rPr>
                <w:sz w:val="19"/>
                <w:szCs w:val="19"/>
                <w:color w:val="auto"/>
              </w:rPr>
            </w:pPr>
          </w:p>
        </w:tc>
        <w:tc>
          <w:tcPr>
            <w:tcW w:w="100" w:type="dxa"/>
            <w:vAlign w:val="bottom"/>
            <w:tcBorders>
              <w:top w:val="single" w:sz="8" w:color="CFF0FC"/>
            </w:tcBorders>
            <w:shd w:val="clear" w:color="auto" w:fill="CFF0FC"/>
          </w:tcPr>
          <w:p>
            <w:pPr>
              <w:spacing w:after="0"/>
              <w:rPr>
                <w:sz w:val="19"/>
                <w:szCs w:val="19"/>
                <w:color w:val="auto"/>
              </w:rPr>
            </w:pPr>
          </w:p>
        </w:tc>
        <w:tc>
          <w:tcPr>
            <w:tcW w:w="100" w:type="dxa"/>
            <w:vAlign w:val="bottom"/>
            <w:tcBorders>
              <w:top w:val="single" w:sz="8" w:color="CFF0FC"/>
            </w:tcBorders>
            <w:shd w:val="clear" w:color="auto" w:fill="CFF0FC"/>
          </w:tcPr>
          <w:p>
            <w:pPr>
              <w:spacing w:after="0"/>
              <w:rPr>
                <w:sz w:val="19"/>
                <w:szCs w:val="19"/>
                <w:color w:val="auto"/>
              </w:rPr>
            </w:pPr>
          </w:p>
        </w:tc>
        <w:tc>
          <w:tcPr>
            <w:tcW w:w="140" w:type="dxa"/>
            <w:vAlign w:val="bottom"/>
            <w:tcBorders>
              <w:top w:val="single" w:sz="8" w:color="auto"/>
            </w:tcBorders>
            <w:shd w:val="clear" w:color="auto" w:fill="CFF0FC"/>
          </w:tcPr>
          <w:p>
            <w:pPr>
              <w:spacing w:after="0"/>
              <w:rPr>
                <w:sz w:val="19"/>
                <w:szCs w:val="19"/>
                <w:color w:val="auto"/>
              </w:rPr>
            </w:pPr>
          </w:p>
        </w:tc>
        <w:tc>
          <w:tcPr>
            <w:tcW w:w="780" w:type="dxa"/>
            <w:vAlign w:val="bottom"/>
            <w:tcBorders>
              <w:top w:val="single" w:sz="8" w:color="auto"/>
            </w:tcBorders>
            <w:shd w:val="clear" w:color="auto" w:fill="CFF0FC"/>
          </w:tcPr>
          <w:p>
            <w:pPr>
              <w:spacing w:after="0"/>
              <w:rPr>
                <w:sz w:val="19"/>
                <w:szCs w:val="19"/>
                <w:color w:val="auto"/>
              </w:rPr>
            </w:pPr>
          </w:p>
        </w:tc>
        <w:tc>
          <w:tcPr>
            <w:tcW w:w="100" w:type="dxa"/>
            <w:vAlign w:val="bottom"/>
            <w:tcBorders>
              <w:top w:val="single" w:sz="8" w:color="CFF0FC"/>
            </w:tcBorders>
            <w:shd w:val="clear" w:color="auto" w:fill="CFF0FC"/>
          </w:tcPr>
          <w:p>
            <w:pPr>
              <w:spacing w:after="0"/>
              <w:rPr>
                <w:sz w:val="19"/>
                <w:szCs w:val="19"/>
                <w:color w:val="auto"/>
              </w:rPr>
            </w:pPr>
          </w:p>
        </w:tc>
        <w:tc>
          <w:tcPr>
            <w:tcW w:w="120" w:type="dxa"/>
            <w:vAlign w:val="bottom"/>
            <w:tcBorders>
              <w:top w:val="single" w:sz="8" w:color="CFF0FC"/>
            </w:tcBorders>
            <w:shd w:val="clear" w:color="auto" w:fill="CFF0FC"/>
          </w:tcPr>
          <w:p>
            <w:pPr>
              <w:spacing w:after="0"/>
              <w:rPr>
                <w:sz w:val="19"/>
                <w:szCs w:val="19"/>
                <w:color w:val="auto"/>
              </w:rPr>
            </w:pPr>
          </w:p>
        </w:tc>
        <w:tc>
          <w:tcPr>
            <w:tcW w:w="220" w:type="dxa"/>
            <w:vAlign w:val="bottom"/>
            <w:tcBorders>
              <w:top w:val="single" w:sz="8" w:color="auto"/>
            </w:tcBorders>
            <w:shd w:val="clear" w:color="auto" w:fill="CFF0FC"/>
          </w:tcPr>
          <w:p>
            <w:pPr>
              <w:spacing w:after="0"/>
              <w:rPr>
                <w:sz w:val="19"/>
                <w:szCs w:val="19"/>
                <w:color w:val="auto"/>
              </w:rPr>
            </w:pPr>
          </w:p>
        </w:tc>
        <w:tc>
          <w:tcPr>
            <w:tcW w:w="700" w:type="dxa"/>
            <w:vAlign w:val="bottom"/>
            <w:tcBorders>
              <w:top w:val="single" w:sz="8" w:color="auto"/>
            </w:tcBorders>
            <w:shd w:val="clear" w:color="auto" w:fill="CFF0FC"/>
          </w:tcPr>
          <w:p>
            <w:pPr>
              <w:spacing w:after="0"/>
              <w:rPr>
                <w:sz w:val="19"/>
                <w:szCs w:val="19"/>
                <w:color w:val="auto"/>
              </w:rPr>
            </w:pPr>
          </w:p>
        </w:tc>
        <w:tc>
          <w:tcPr>
            <w:tcW w:w="100" w:type="dxa"/>
            <w:vAlign w:val="bottom"/>
            <w:tcBorders>
              <w:top w:val="single" w:sz="8" w:color="CFF0FC"/>
            </w:tcBorders>
            <w:shd w:val="clear" w:color="auto" w:fill="CFF0FC"/>
          </w:tcPr>
          <w:p>
            <w:pPr>
              <w:spacing w:after="0"/>
              <w:rPr>
                <w:sz w:val="19"/>
                <w:szCs w:val="19"/>
                <w:color w:val="auto"/>
              </w:rPr>
            </w:pPr>
          </w:p>
        </w:tc>
        <w:tc>
          <w:tcPr>
            <w:tcW w:w="100" w:type="dxa"/>
            <w:vAlign w:val="bottom"/>
            <w:tcBorders>
              <w:top w:val="single" w:sz="8" w:color="CFF0FC"/>
            </w:tcBorders>
            <w:shd w:val="clear" w:color="auto" w:fill="CFF0FC"/>
          </w:tcPr>
          <w:p>
            <w:pPr>
              <w:spacing w:after="0"/>
              <w:rPr>
                <w:sz w:val="19"/>
                <w:szCs w:val="19"/>
                <w:color w:val="auto"/>
              </w:rPr>
            </w:pPr>
          </w:p>
        </w:tc>
        <w:tc>
          <w:tcPr>
            <w:tcW w:w="200" w:type="dxa"/>
            <w:vAlign w:val="bottom"/>
            <w:tcBorders>
              <w:top w:val="single" w:sz="8" w:color="auto"/>
            </w:tcBorders>
            <w:shd w:val="clear" w:color="auto" w:fill="CFF0FC"/>
          </w:tcPr>
          <w:p>
            <w:pPr>
              <w:spacing w:after="0"/>
              <w:rPr>
                <w:sz w:val="19"/>
                <w:szCs w:val="19"/>
                <w:color w:val="auto"/>
              </w:rPr>
            </w:pPr>
          </w:p>
        </w:tc>
        <w:tc>
          <w:tcPr>
            <w:tcW w:w="740" w:type="dxa"/>
            <w:vAlign w:val="bottom"/>
            <w:tcBorders>
              <w:top w:val="single" w:sz="8" w:color="auto"/>
            </w:tcBorders>
            <w:shd w:val="clear" w:color="auto" w:fill="CFF0FC"/>
          </w:tcPr>
          <w:p>
            <w:pPr>
              <w:spacing w:after="0"/>
              <w:rPr>
                <w:sz w:val="19"/>
                <w:szCs w:val="19"/>
                <w:color w:val="auto"/>
              </w:rPr>
            </w:pPr>
          </w:p>
        </w:tc>
        <w:tc>
          <w:tcPr>
            <w:tcW w:w="100" w:type="dxa"/>
            <w:vAlign w:val="bottom"/>
            <w:tcBorders>
              <w:top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3840" w:type="dxa"/>
            <w:vAlign w:val="bottom"/>
          </w:tcPr>
          <w:p>
            <w:pPr>
              <w:ind w:left="260"/>
              <w:spacing w:after="0"/>
              <w:rPr>
                <w:sz w:val="20"/>
                <w:szCs w:val="20"/>
                <w:color w:val="auto"/>
              </w:rPr>
            </w:pPr>
            <w:r>
              <w:rPr>
                <w:rFonts w:ascii="Arial" w:cs="Arial" w:eastAsia="Arial" w:hAnsi="Arial"/>
                <w:sz w:val="18"/>
                <w:szCs w:val="18"/>
                <w:color w:val="auto"/>
              </w:rPr>
              <w:t>Customer contracts and relationships</w:t>
            </w:r>
          </w:p>
        </w:tc>
        <w:tc>
          <w:tcPr>
            <w:tcW w:w="10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60" w:type="dxa"/>
            <w:vAlign w:val="bottom"/>
          </w:tcPr>
          <w:p>
            <w:pPr>
              <w:jc w:val="right"/>
              <w:spacing w:after="0"/>
              <w:rPr>
                <w:sz w:val="20"/>
                <w:szCs w:val="20"/>
                <w:color w:val="auto"/>
              </w:rPr>
            </w:pPr>
            <w:r>
              <w:rPr>
                <w:rFonts w:ascii="Arial" w:cs="Arial" w:eastAsia="Arial" w:hAnsi="Arial"/>
                <w:sz w:val="18"/>
                <w:szCs w:val="18"/>
                <w:color w:val="auto"/>
              </w:rPr>
              <w:t>69,074</w:t>
            </w:r>
          </w:p>
        </w:tc>
        <w:tc>
          <w:tcPr>
            <w:tcW w:w="440" w:type="dxa"/>
            <w:vAlign w:val="bottom"/>
            <w:gridSpan w:val="2"/>
          </w:tcPr>
          <w:p>
            <w:pPr>
              <w:jc w:val="right"/>
              <w:ind w:right="42"/>
              <w:spacing w:after="0"/>
              <w:rPr>
                <w:sz w:val="20"/>
                <w:szCs w:val="20"/>
                <w:color w:val="auto"/>
              </w:rPr>
            </w:pPr>
            <w:r>
              <w:rPr>
                <w:rFonts w:ascii="Arial" w:cs="Arial" w:eastAsia="Arial" w:hAnsi="Arial"/>
                <w:sz w:val="18"/>
                <w:szCs w:val="18"/>
                <w:color w:val="auto"/>
              </w:rPr>
              <w:t>$</w:t>
            </w:r>
          </w:p>
        </w:tc>
        <w:tc>
          <w:tcPr>
            <w:tcW w:w="800" w:type="dxa"/>
            <w:vAlign w:val="bottom"/>
            <w:gridSpan w:val="2"/>
          </w:tcPr>
          <w:p>
            <w:pPr>
              <w:jc w:val="right"/>
              <w:spacing w:after="0"/>
              <w:rPr>
                <w:sz w:val="20"/>
                <w:szCs w:val="20"/>
                <w:color w:val="auto"/>
              </w:rPr>
            </w:pPr>
            <w:r>
              <w:rPr>
                <w:rFonts w:ascii="Arial" w:cs="Arial" w:eastAsia="Arial" w:hAnsi="Arial"/>
                <w:sz w:val="18"/>
                <w:szCs w:val="18"/>
                <w:color w:val="auto"/>
              </w:rPr>
              <w:t>(25,930)</w:t>
            </w:r>
          </w:p>
        </w:tc>
        <w:tc>
          <w:tcPr>
            <w:tcW w:w="280" w:type="dxa"/>
            <w:vAlign w:val="bottom"/>
            <w:gridSpan w:val="2"/>
          </w:tcPr>
          <w:p>
            <w:pPr>
              <w:jc w:val="right"/>
              <w:ind w:right="28"/>
              <w:spacing w:after="0"/>
              <w:rPr>
                <w:sz w:val="20"/>
                <w:szCs w:val="20"/>
                <w:color w:val="auto"/>
              </w:rPr>
            </w:pPr>
            <w:r>
              <w:rPr>
                <w:rFonts w:ascii="Arial" w:cs="Arial" w:eastAsia="Arial" w:hAnsi="Arial"/>
                <w:sz w:val="18"/>
                <w:szCs w:val="18"/>
                <w:color w:val="auto"/>
              </w:rPr>
              <w:t>$</w:t>
            </w:r>
          </w:p>
        </w:tc>
        <w:tc>
          <w:tcPr>
            <w:tcW w:w="740" w:type="dxa"/>
            <w:vAlign w:val="bottom"/>
          </w:tcPr>
          <w:p>
            <w:pPr>
              <w:jc w:val="right"/>
              <w:spacing w:after="0"/>
              <w:rPr>
                <w:sz w:val="20"/>
                <w:szCs w:val="20"/>
                <w:color w:val="auto"/>
              </w:rPr>
            </w:pPr>
            <w:r>
              <w:rPr>
                <w:rFonts w:ascii="Arial" w:cs="Arial" w:eastAsia="Arial" w:hAnsi="Arial"/>
                <w:sz w:val="18"/>
                <w:szCs w:val="18"/>
                <w:color w:val="auto"/>
              </w:rPr>
              <w:t>43,144</w:t>
            </w:r>
          </w:p>
        </w:tc>
        <w:tc>
          <w:tcPr>
            <w:tcW w:w="100" w:type="dxa"/>
            <w:vAlign w:val="bottom"/>
          </w:tcPr>
          <w:p>
            <w:pPr>
              <w:spacing w:after="0"/>
              <w:rPr>
                <w:sz w:val="19"/>
                <w:szCs w:val="19"/>
                <w:color w:val="auto"/>
              </w:rPr>
            </w:pPr>
          </w:p>
        </w:tc>
        <w:tc>
          <w:tcPr>
            <w:tcW w:w="240" w:type="dxa"/>
            <w:vAlign w:val="bottom"/>
            <w:gridSpan w:val="2"/>
          </w:tcPr>
          <w:p>
            <w:pPr>
              <w:jc w:val="right"/>
              <w:ind w:right="40"/>
              <w:spacing w:after="0"/>
              <w:rPr>
                <w:sz w:val="20"/>
                <w:szCs w:val="20"/>
                <w:color w:val="auto"/>
              </w:rPr>
            </w:pPr>
            <w:r>
              <w:rPr>
                <w:rFonts w:ascii="Arial" w:cs="Arial" w:eastAsia="Arial" w:hAnsi="Arial"/>
                <w:sz w:val="18"/>
                <w:szCs w:val="18"/>
                <w:color w:val="auto"/>
              </w:rPr>
              <w:t>$</w:t>
            </w:r>
          </w:p>
        </w:tc>
        <w:tc>
          <w:tcPr>
            <w:tcW w:w="780" w:type="dxa"/>
            <w:vAlign w:val="bottom"/>
          </w:tcPr>
          <w:p>
            <w:pPr>
              <w:jc w:val="right"/>
              <w:spacing w:after="0"/>
              <w:rPr>
                <w:sz w:val="20"/>
                <w:szCs w:val="20"/>
                <w:color w:val="auto"/>
              </w:rPr>
            </w:pPr>
            <w:r>
              <w:rPr>
                <w:rFonts w:ascii="Arial" w:cs="Arial" w:eastAsia="Arial" w:hAnsi="Arial"/>
                <w:sz w:val="18"/>
                <w:szCs w:val="18"/>
                <w:color w:val="auto"/>
              </w:rPr>
              <w:t>68,798</w:t>
            </w:r>
          </w:p>
        </w:tc>
        <w:tc>
          <w:tcPr>
            <w:tcW w:w="440" w:type="dxa"/>
            <w:vAlign w:val="bottom"/>
            <w:gridSpan w:val="3"/>
          </w:tcPr>
          <w:p>
            <w:pPr>
              <w:jc w:val="right"/>
              <w:ind w:right="68"/>
              <w:spacing w:after="0"/>
              <w:rPr>
                <w:sz w:val="20"/>
                <w:szCs w:val="20"/>
                <w:color w:val="auto"/>
              </w:rPr>
            </w:pPr>
            <w:r>
              <w:rPr>
                <w:rFonts w:ascii="Arial" w:cs="Arial" w:eastAsia="Arial" w:hAnsi="Arial"/>
                <w:sz w:val="18"/>
                <w:szCs w:val="18"/>
                <w:color w:val="auto"/>
              </w:rPr>
              <w:t>$</w:t>
            </w:r>
          </w:p>
        </w:tc>
        <w:tc>
          <w:tcPr>
            <w:tcW w:w="800" w:type="dxa"/>
            <w:vAlign w:val="bottom"/>
            <w:gridSpan w:val="2"/>
          </w:tcPr>
          <w:p>
            <w:pPr>
              <w:jc w:val="right"/>
              <w:ind w:right="40"/>
              <w:spacing w:after="0"/>
              <w:rPr>
                <w:sz w:val="20"/>
                <w:szCs w:val="20"/>
                <w:color w:val="auto"/>
              </w:rPr>
            </w:pPr>
            <w:r>
              <w:rPr>
                <w:rFonts w:ascii="Arial" w:cs="Arial" w:eastAsia="Arial" w:hAnsi="Arial"/>
                <w:sz w:val="18"/>
                <w:szCs w:val="18"/>
                <w:color w:val="auto"/>
              </w:rPr>
              <w:t>(23,696)</w:t>
            </w:r>
          </w:p>
        </w:tc>
        <w:tc>
          <w:tcPr>
            <w:tcW w:w="100" w:type="dxa"/>
            <w:vAlign w:val="bottom"/>
          </w:tcPr>
          <w:p>
            <w:pPr>
              <w:spacing w:after="0"/>
              <w:rPr>
                <w:sz w:val="19"/>
                <w:szCs w:val="19"/>
                <w:color w:val="auto"/>
              </w:rPr>
            </w:pPr>
          </w:p>
        </w:tc>
        <w:tc>
          <w:tcPr>
            <w:tcW w:w="200" w:type="dxa"/>
            <w:vAlign w:val="bottom"/>
          </w:tcPr>
          <w:p>
            <w:pPr>
              <w:jc w:val="right"/>
              <w:ind w:right="16"/>
              <w:spacing w:after="0"/>
              <w:rPr>
                <w:sz w:val="20"/>
                <w:szCs w:val="20"/>
                <w:color w:val="auto"/>
              </w:rPr>
            </w:pPr>
            <w:r>
              <w:rPr>
                <w:rFonts w:ascii="Arial" w:cs="Arial" w:eastAsia="Arial" w:hAnsi="Arial"/>
                <w:sz w:val="18"/>
                <w:szCs w:val="18"/>
                <w:color w:val="auto"/>
                <w:w w:val="79"/>
              </w:rPr>
              <w:t>$</w:t>
            </w:r>
          </w:p>
        </w:tc>
        <w:tc>
          <w:tcPr>
            <w:tcW w:w="740" w:type="dxa"/>
            <w:vAlign w:val="bottom"/>
          </w:tcPr>
          <w:p>
            <w:pPr>
              <w:jc w:val="right"/>
              <w:spacing w:after="0"/>
              <w:rPr>
                <w:sz w:val="20"/>
                <w:szCs w:val="20"/>
                <w:color w:val="auto"/>
              </w:rPr>
            </w:pPr>
            <w:r>
              <w:rPr>
                <w:rFonts w:ascii="Arial" w:cs="Arial" w:eastAsia="Arial" w:hAnsi="Arial"/>
                <w:sz w:val="18"/>
                <w:szCs w:val="18"/>
                <w:color w:val="auto"/>
              </w:rPr>
              <w:t>45,102</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3840" w:type="dxa"/>
            <w:vAlign w:val="bottom"/>
            <w:shd w:val="clear" w:color="auto" w:fill="CFF0FC"/>
          </w:tcPr>
          <w:p>
            <w:pPr>
              <w:ind w:left="260"/>
              <w:spacing w:after="0"/>
              <w:rPr>
                <w:sz w:val="20"/>
                <w:szCs w:val="20"/>
                <w:color w:val="auto"/>
              </w:rPr>
            </w:pPr>
            <w:r>
              <w:rPr>
                <w:rFonts w:ascii="Arial" w:cs="Arial" w:eastAsia="Arial" w:hAnsi="Arial"/>
                <w:sz w:val="18"/>
                <w:szCs w:val="18"/>
                <w:color w:val="auto"/>
              </w:rPr>
              <w:t>Operating contracts and licenses</w:t>
            </w:r>
          </w:p>
        </w:tc>
        <w:tc>
          <w:tcPr>
            <w:tcW w:w="92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7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9,702</w:t>
            </w:r>
          </w:p>
        </w:tc>
        <w:tc>
          <w:tcPr>
            <w:tcW w:w="22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80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(1,086)</w:t>
            </w:r>
          </w:p>
        </w:tc>
        <w:tc>
          <w:tcPr>
            <w:tcW w:w="10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7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8,616</w:t>
            </w:r>
          </w:p>
        </w:tc>
        <w:tc>
          <w:tcPr>
            <w:tcW w:w="10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9,951</w:t>
            </w:r>
          </w:p>
        </w:tc>
        <w:tc>
          <w:tcPr>
            <w:tcW w:w="1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800" w:type="dxa"/>
            <w:vAlign w:val="bottom"/>
            <w:gridSpan w:val="2"/>
            <w:shd w:val="clear" w:color="auto" w:fill="CFF0FC"/>
          </w:tcPr>
          <w:p>
            <w:pPr>
              <w:jc w:val="right"/>
              <w:ind w:right="40"/>
              <w:spacing w:after="0"/>
              <w:rPr>
                <w:sz w:val="20"/>
                <w:szCs w:val="20"/>
                <w:color w:val="auto"/>
              </w:rPr>
            </w:pPr>
            <w:r>
              <w:rPr>
                <w:rFonts w:ascii="Arial" w:cs="Arial" w:eastAsia="Arial" w:hAnsi="Arial"/>
                <w:sz w:val="18"/>
                <w:szCs w:val="18"/>
                <w:color w:val="auto"/>
              </w:rPr>
              <w:t>(1,094)</w:t>
            </w:r>
          </w:p>
        </w:tc>
        <w:tc>
          <w:tcPr>
            <w:tcW w:w="10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7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8,857</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3840" w:type="dxa"/>
            <w:vAlign w:val="bottom"/>
          </w:tcPr>
          <w:p>
            <w:pPr>
              <w:ind w:left="260"/>
              <w:spacing w:after="0"/>
              <w:rPr>
                <w:sz w:val="20"/>
                <w:szCs w:val="20"/>
                <w:color w:val="auto"/>
              </w:rPr>
            </w:pPr>
            <w:r>
              <w:rPr>
                <w:rFonts w:ascii="Arial" w:cs="Arial" w:eastAsia="Arial" w:hAnsi="Arial"/>
                <w:sz w:val="18"/>
                <w:szCs w:val="18"/>
                <w:color w:val="auto"/>
              </w:rPr>
              <w:t>Tradenames</w:t>
            </w:r>
          </w:p>
        </w:tc>
        <w:tc>
          <w:tcPr>
            <w:tcW w:w="9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8,656</w:t>
            </w:r>
          </w:p>
        </w:tc>
        <w:tc>
          <w:tcPr>
            <w:tcW w:w="2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800" w:type="dxa"/>
            <w:vAlign w:val="bottom"/>
            <w:gridSpan w:val="2"/>
          </w:tcPr>
          <w:p>
            <w:pPr>
              <w:jc w:val="right"/>
              <w:spacing w:after="0"/>
              <w:rPr>
                <w:sz w:val="20"/>
                <w:szCs w:val="20"/>
                <w:color w:val="auto"/>
              </w:rPr>
            </w:pPr>
            <w:r>
              <w:rPr>
                <w:rFonts w:ascii="Arial" w:cs="Arial" w:eastAsia="Arial" w:hAnsi="Arial"/>
                <w:sz w:val="18"/>
                <w:szCs w:val="18"/>
                <w:color w:val="auto"/>
              </w:rPr>
              <w:t>(3,137)</w:t>
            </w: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5,519</w:t>
            </w: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8,633</w:t>
            </w: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800" w:type="dxa"/>
            <w:vAlign w:val="bottom"/>
            <w:gridSpan w:val="2"/>
          </w:tcPr>
          <w:p>
            <w:pPr>
              <w:jc w:val="right"/>
              <w:ind w:right="40"/>
              <w:spacing w:after="0"/>
              <w:rPr>
                <w:sz w:val="20"/>
                <w:szCs w:val="20"/>
                <w:color w:val="auto"/>
              </w:rPr>
            </w:pPr>
            <w:r>
              <w:rPr>
                <w:rFonts w:ascii="Arial" w:cs="Arial" w:eastAsia="Arial" w:hAnsi="Arial"/>
                <w:sz w:val="18"/>
                <w:szCs w:val="18"/>
                <w:color w:val="auto"/>
              </w:rPr>
              <w:t>(2,873)</w:t>
            </w: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5,760</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3840" w:type="dxa"/>
            <w:vAlign w:val="bottom"/>
            <w:shd w:val="clear" w:color="auto" w:fill="CFF0FC"/>
          </w:tcPr>
          <w:p>
            <w:pPr>
              <w:ind w:left="260"/>
              <w:spacing w:after="0"/>
              <w:rPr>
                <w:sz w:val="20"/>
                <w:szCs w:val="20"/>
                <w:color w:val="auto"/>
              </w:rPr>
            </w:pPr>
            <w:r>
              <w:rPr>
                <w:rFonts w:ascii="Arial" w:cs="Arial" w:eastAsia="Arial" w:hAnsi="Arial"/>
                <w:sz w:val="18"/>
                <w:szCs w:val="18"/>
                <w:color w:val="auto"/>
              </w:rPr>
              <w:t>Non-compete agreements</w:t>
            </w:r>
          </w:p>
        </w:tc>
        <w:tc>
          <w:tcPr>
            <w:tcW w:w="92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7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5,395</w:t>
            </w:r>
          </w:p>
        </w:tc>
        <w:tc>
          <w:tcPr>
            <w:tcW w:w="22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80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(3,356)</w:t>
            </w:r>
          </w:p>
        </w:tc>
        <w:tc>
          <w:tcPr>
            <w:tcW w:w="10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7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2,039</w:t>
            </w:r>
          </w:p>
        </w:tc>
        <w:tc>
          <w:tcPr>
            <w:tcW w:w="10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5,363</w:t>
            </w:r>
          </w:p>
        </w:tc>
        <w:tc>
          <w:tcPr>
            <w:tcW w:w="1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800" w:type="dxa"/>
            <w:vAlign w:val="bottom"/>
            <w:gridSpan w:val="2"/>
            <w:shd w:val="clear" w:color="auto" w:fill="CFF0FC"/>
          </w:tcPr>
          <w:p>
            <w:pPr>
              <w:jc w:val="right"/>
              <w:ind w:right="40"/>
              <w:spacing w:after="0"/>
              <w:rPr>
                <w:sz w:val="20"/>
                <w:szCs w:val="20"/>
                <w:color w:val="auto"/>
              </w:rPr>
            </w:pPr>
            <w:r>
              <w:rPr>
                <w:rFonts w:ascii="Arial" w:cs="Arial" w:eastAsia="Arial" w:hAnsi="Arial"/>
                <w:sz w:val="18"/>
                <w:szCs w:val="18"/>
                <w:color w:val="auto"/>
              </w:rPr>
              <w:t>(3,007)</w:t>
            </w:r>
          </w:p>
        </w:tc>
        <w:tc>
          <w:tcPr>
            <w:tcW w:w="10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7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2,356</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3840" w:type="dxa"/>
            <w:vAlign w:val="bottom"/>
          </w:tcPr>
          <w:p>
            <w:pPr>
              <w:ind w:left="260"/>
              <w:spacing w:after="0"/>
              <w:rPr>
                <w:sz w:val="20"/>
                <w:szCs w:val="20"/>
                <w:color w:val="auto"/>
              </w:rPr>
            </w:pPr>
            <w:r>
              <w:rPr>
                <w:rFonts w:ascii="Arial" w:cs="Arial" w:eastAsia="Arial" w:hAnsi="Arial"/>
                <w:sz w:val="18"/>
                <w:szCs w:val="18"/>
                <w:color w:val="auto"/>
              </w:rPr>
              <w:t>Other</w:t>
            </w:r>
          </w:p>
        </w:tc>
        <w:tc>
          <w:tcPr>
            <w:tcW w:w="9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1,699</w:t>
            </w:r>
          </w:p>
        </w:tc>
        <w:tc>
          <w:tcPr>
            <w:tcW w:w="2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800" w:type="dxa"/>
            <w:vAlign w:val="bottom"/>
            <w:gridSpan w:val="2"/>
          </w:tcPr>
          <w:p>
            <w:pPr>
              <w:jc w:val="right"/>
              <w:spacing w:after="0"/>
              <w:rPr>
                <w:sz w:val="20"/>
                <w:szCs w:val="20"/>
                <w:color w:val="auto"/>
              </w:rPr>
            </w:pPr>
            <w:r>
              <w:rPr>
                <w:rFonts w:ascii="Arial" w:cs="Arial" w:eastAsia="Arial" w:hAnsi="Arial"/>
                <w:sz w:val="18"/>
                <w:szCs w:val="18"/>
                <w:color w:val="auto"/>
              </w:rPr>
              <w:t>(682)</w:t>
            </w: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1,017</w:t>
            </w: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896</w:t>
            </w: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800" w:type="dxa"/>
            <w:vAlign w:val="bottom"/>
            <w:gridSpan w:val="2"/>
          </w:tcPr>
          <w:p>
            <w:pPr>
              <w:jc w:val="right"/>
              <w:ind w:right="40"/>
              <w:spacing w:after="0"/>
              <w:rPr>
                <w:sz w:val="20"/>
                <w:szCs w:val="20"/>
                <w:color w:val="auto"/>
              </w:rPr>
            </w:pPr>
            <w:r>
              <w:rPr>
                <w:rFonts w:ascii="Arial" w:cs="Arial" w:eastAsia="Arial" w:hAnsi="Arial"/>
                <w:sz w:val="18"/>
                <w:szCs w:val="18"/>
                <w:color w:val="auto"/>
              </w:rPr>
              <w:t>(650)</w:t>
            </w: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246</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2"/>
        </w:trPr>
        <w:tc>
          <w:tcPr>
            <w:tcW w:w="384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8"/>
                <w:szCs w:val="18"/>
                <w:b w:val="1"/>
                <w:bCs w:val="1"/>
                <w:color w:val="auto"/>
              </w:rPr>
              <w:t>Total amortized intangible assets</w:t>
            </w:r>
          </w:p>
        </w:tc>
        <w:tc>
          <w:tcPr>
            <w:tcW w:w="920" w:type="dxa"/>
            <w:vAlign w:val="bottom"/>
            <w:tcBorders>
              <w:top w:val="single" w:sz="8" w:color="CFF0FC"/>
            </w:tcBorders>
            <w:shd w:val="clear" w:color="auto" w:fill="CFF0FC"/>
          </w:tcPr>
          <w:p>
            <w:pPr>
              <w:spacing w:after="0"/>
              <w:rPr>
                <w:sz w:val="19"/>
                <w:szCs w:val="19"/>
                <w:color w:val="auto"/>
              </w:rPr>
            </w:pPr>
          </w:p>
        </w:tc>
        <w:tc>
          <w:tcPr>
            <w:tcW w:w="140" w:type="dxa"/>
            <w:vAlign w:val="bottom"/>
            <w:tcBorders>
              <w:top w:val="single" w:sz="8" w:color="auto"/>
            </w:tcBorders>
            <w:shd w:val="clear" w:color="auto" w:fill="CFF0FC"/>
          </w:tcPr>
          <w:p>
            <w:pPr>
              <w:spacing w:after="0"/>
              <w:rPr>
                <w:sz w:val="19"/>
                <w:szCs w:val="19"/>
                <w:color w:val="auto"/>
              </w:rPr>
            </w:pPr>
          </w:p>
        </w:tc>
        <w:tc>
          <w:tcPr>
            <w:tcW w:w="76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94,526</w:t>
            </w:r>
          </w:p>
        </w:tc>
        <w:tc>
          <w:tcPr>
            <w:tcW w:w="220" w:type="dxa"/>
            <w:vAlign w:val="bottom"/>
            <w:tcBorders>
              <w:top w:val="single" w:sz="8" w:color="CFF0FC"/>
            </w:tcBorders>
            <w:shd w:val="clear" w:color="auto" w:fill="CFF0FC"/>
          </w:tcPr>
          <w:p>
            <w:pPr>
              <w:spacing w:after="0"/>
              <w:rPr>
                <w:sz w:val="19"/>
                <w:szCs w:val="19"/>
                <w:color w:val="auto"/>
              </w:rPr>
            </w:pPr>
          </w:p>
        </w:tc>
        <w:tc>
          <w:tcPr>
            <w:tcW w:w="220" w:type="dxa"/>
            <w:vAlign w:val="bottom"/>
            <w:tcBorders>
              <w:top w:val="single" w:sz="8" w:color="auto"/>
            </w:tcBorders>
            <w:shd w:val="clear" w:color="auto" w:fill="CFF0FC"/>
          </w:tcPr>
          <w:p>
            <w:pPr>
              <w:spacing w:after="0"/>
              <w:rPr>
                <w:sz w:val="19"/>
                <w:szCs w:val="19"/>
                <w:color w:val="auto"/>
              </w:rPr>
            </w:pPr>
          </w:p>
        </w:tc>
        <w:tc>
          <w:tcPr>
            <w:tcW w:w="68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98"/>
              </w:rPr>
              <w:t>(34,191)</w:t>
            </w:r>
          </w:p>
        </w:tc>
        <w:tc>
          <w:tcPr>
            <w:tcW w:w="120" w:type="dxa"/>
            <w:vAlign w:val="bottom"/>
            <w:tcBorders>
              <w:top w:val="single" w:sz="8" w:color="CFF0FC"/>
            </w:tcBorders>
            <w:shd w:val="clear" w:color="auto" w:fill="CFF0FC"/>
          </w:tcPr>
          <w:p>
            <w:pPr>
              <w:spacing w:after="0"/>
              <w:rPr>
                <w:sz w:val="19"/>
                <w:szCs w:val="19"/>
                <w:color w:val="auto"/>
              </w:rPr>
            </w:pPr>
          </w:p>
        </w:tc>
        <w:tc>
          <w:tcPr>
            <w:tcW w:w="100" w:type="dxa"/>
            <w:vAlign w:val="bottom"/>
            <w:tcBorders>
              <w:top w:val="single" w:sz="8" w:color="auto"/>
            </w:tcBorders>
            <w:shd w:val="clear" w:color="auto" w:fill="CFF0FC"/>
          </w:tcPr>
          <w:p>
            <w:pPr>
              <w:spacing w:after="0"/>
              <w:rPr>
                <w:sz w:val="19"/>
                <w:szCs w:val="19"/>
                <w:color w:val="auto"/>
              </w:rPr>
            </w:pPr>
          </w:p>
        </w:tc>
        <w:tc>
          <w:tcPr>
            <w:tcW w:w="180" w:type="dxa"/>
            <w:vAlign w:val="bottom"/>
            <w:tcBorders>
              <w:top w:val="single" w:sz="8" w:color="auto"/>
            </w:tcBorders>
            <w:shd w:val="clear" w:color="auto" w:fill="CFF0FC"/>
          </w:tcPr>
          <w:p>
            <w:pPr>
              <w:spacing w:after="0"/>
              <w:rPr>
                <w:sz w:val="19"/>
                <w:szCs w:val="19"/>
                <w:color w:val="auto"/>
              </w:rPr>
            </w:pPr>
          </w:p>
        </w:tc>
        <w:tc>
          <w:tcPr>
            <w:tcW w:w="74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60,335</w:t>
            </w:r>
          </w:p>
        </w:tc>
        <w:tc>
          <w:tcPr>
            <w:tcW w:w="100" w:type="dxa"/>
            <w:vAlign w:val="bottom"/>
            <w:tcBorders>
              <w:top w:val="single" w:sz="8" w:color="CFF0FC"/>
            </w:tcBorders>
            <w:shd w:val="clear" w:color="auto" w:fill="CFF0FC"/>
          </w:tcPr>
          <w:p>
            <w:pPr>
              <w:spacing w:after="0"/>
              <w:rPr>
                <w:sz w:val="19"/>
                <w:szCs w:val="19"/>
                <w:color w:val="auto"/>
              </w:rPr>
            </w:pPr>
          </w:p>
        </w:tc>
        <w:tc>
          <w:tcPr>
            <w:tcW w:w="100" w:type="dxa"/>
            <w:vAlign w:val="bottom"/>
            <w:tcBorders>
              <w:top w:val="single" w:sz="8" w:color="auto"/>
            </w:tcBorders>
            <w:shd w:val="clear" w:color="auto" w:fill="CFF0FC"/>
          </w:tcPr>
          <w:p>
            <w:pPr>
              <w:spacing w:after="0"/>
              <w:rPr>
                <w:sz w:val="19"/>
                <w:szCs w:val="19"/>
                <w:color w:val="auto"/>
              </w:rPr>
            </w:pPr>
          </w:p>
        </w:tc>
        <w:tc>
          <w:tcPr>
            <w:tcW w:w="140" w:type="dxa"/>
            <w:vAlign w:val="bottom"/>
            <w:tcBorders>
              <w:top w:val="single" w:sz="8" w:color="auto"/>
            </w:tcBorders>
            <w:shd w:val="clear" w:color="auto" w:fill="CFF0FC"/>
          </w:tcPr>
          <w:p>
            <w:pPr>
              <w:spacing w:after="0"/>
              <w:rPr>
                <w:sz w:val="19"/>
                <w:szCs w:val="19"/>
                <w:color w:val="auto"/>
              </w:rPr>
            </w:pPr>
          </w:p>
        </w:tc>
        <w:tc>
          <w:tcPr>
            <w:tcW w:w="78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93,641</w:t>
            </w:r>
          </w:p>
        </w:tc>
        <w:tc>
          <w:tcPr>
            <w:tcW w:w="100" w:type="dxa"/>
            <w:vAlign w:val="bottom"/>
            <w:tcBorders>
              <w:top w:val="single" w:sz="8" w:color="CFF0FC"/>
            </w:tcBorders>
            <w:shd w:val="clear" w:color="auto" w:fill="CFF0FC"/>
          </w:tcPr>
          <w:p>
            <w:pPr>
              <w:spacing w:after="0"/>
              <w:rPr>
                <w:sz w:val="19"/>
                <w:szCs w:val="19"/>
                <w:color w:val="auto"/>
              </w:rPr>
            </w:pPr>
          </w:p>
        </w:tc>
        <w:tc>
          <w:tcPr>
            <w:tcW w:w="120" w:type="dxa"/>
            <w:vAlign w:val="bottom"/>
            <w:tcBorders>
              <w:top w:val="single" w:sz="8" w:color="auto"/>
            </w:tcBorders>
            <w:shd w:val="clear" w:color="auto" w:fill="CFF0FC"/>
          </w:tcPr>
          <w:p>
            <w:pPr>
              <w:spacing w:after="0"/>
              <w:rPr>
                <w:sz w:val="19"/>
                <w:szCs w:val="19"/>
                <w:color w:val="auto"/>
              </w:rPr>
            </w:pPr>
          </w:p>
        </w:tc>
        <w:tc>
          <w:tcPr>
            <w:tcW w:w="220" w:type="dxa"/>
            <w:vAlign w:val="bottom"/>
            <w:tcBorders>
              <w:top w:val="single" w:sz="8" w:color="auto"/>
            </w:tcBorders>
            <w:shd w:val="clear" w:color="auto" w:fill="CFF0FC"/>
          </w:tcPr>
          <w:p>
            <w:pPr>
              <w:spacing w:after="0"/>
              <w:rPr>
                <w:sz w:val="19"/>
                <w:szCs w:val="19"/>
                <w:color w:val="auto"/>
              </w:rPr>
            </w:pPr>
          </w:p>
        </w:tc>
        <w:tc>
          <w:tcPr>
            <w:tcW w:w="70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(31,320)</w:t>
            </w:r>
          </w:p>
        </w:tc>
        <w:tc>
          <w:tcPr>
            <w:tcW w:w="100" w:type="dxa"/>
            <w:vAlign w:val="bottom"/>
            <w:tcBorders>
              <w:top w:val="single" w:sz="8" w:color="CFF0FC"/>
            </w:tcBorders>
            <w:shd w:val="clear" w:color="auto" w:fill="CFF0FC"/>
          </w:tcPr>
          <w:p>
            <w:pPr>
              <w:spacing w:after="0"/>
              <w:rPr>
                <w:sz w:val="19"/>
                <w:szCs w:val="19"/>
                <w:color w:val="auto"/>
              </w:rPr>
            </w:pPr>
          </w:p>
        </w:tc>
        <w:tc>
          <w:tcPr>
            <w:tcW w:w="100" w:type="dxa"/>
            <w:vAlign w:val="bottom"/>
            <w:tcBorders>
              <w:top w:val="single" w:sz="8" w:color="auto"/>
            </w:tcBorders>
            <w:shd w:val="clear" w:color="auto" w:fill="CFF0FC"/>
          </w:tcPr>
          <w:p>
            <w:pPr>
              <w:spacing w:after="0"/>
              <w:rPr>
                <w:sz w:val="19"/>
                <w:szCs w:val="19"/>
                <w:color w:val="auto"/>
              </w:rPr>
            </w:pPr>
          </w:p>
        </w:tc>
        <w:tc>
          <w:tcPr>
            <w:tcW w:w="200" w:type="dxa"/>
            <w:vAlign w:val="bottom"/>
            <w:tcBorders>
              <w:top w:val="single" w:sz="8" w:color="auto"/>
            </w:tcBorders>
            <w:shd w:val="clear" w:color="auto" w:fill="CFF0FC"/>
          </w:tcPr>
          <w:p>
            <w:pPr>
              <w:spacing w:after="0"/>
              <w:rPr>
                <w:sz w:val="19"/>
                <w:szCs w:val="19"/>
                <w:color w:val="auto"/>
              </w:rPr>
            </w:pPr>
          </w:p>
        </w:tc>
        <w:tc>
          <w:tcPr>
            <w:tcW w:w="74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62,321</w:t>
            </w:r>
          </w:p>
        </w:tc>
        <w:tc>
          <w:tcPr>
            <w:tcW w:w="100" w:type="dxa"/>
            <w:vAlign w:val="bottom"/>
            <w:tcBorders>
              <w:top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3840" w:type="dxa"/>
            <w:vAlign w:val="bottom"/>
          </w:tcPr>
          <w:p>
            <w:pPr>
              <w:spacing w:after="0"/>
              <w:rPr>
                <w:sz w:val="20"/>
                <w:szCs w:val="20"/>
                <w:color w:val="auto"/>
              </w:rPr>
            </w:pPr>
            <w:r>
              <w:rPr>
                <w:rFonts w:ascii="Arial" w:cs="Arial" w:eastAsia="Arial" w:hAnsi="Arial"/>
                <w:sz w:val="18"/>
                <w:szCs w:val="18"/>
                <w:color w:val="auto"/>
              </w:rPr>
              <w:t>Unamortized intangible assets:</w:t>
            </w:r>
          </w:p>
        </w:tc>
        <w:tc>
          <w:tcPr>
            <w:tcW w:w="9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3840" w:type="dxa"/>
            <w:vAlign w:val="bottom"/>
            <w:shd w:val="clear" w:color="auto" w:fill="CFF0FC"/>
          </w:tcPr>
          <w:p>
            <w:pPr>
              <w:ind w:left="260"/>
              <w:spacing w:after="0"/>
              <w:rPr>
                <w:sz w:val="20"/>
                <w:szCs w:val="20"/>
                <w:color w:val="auto"/>
              </w:rPr>
            </w:pPr>
            <w:r>
              <w:rPr>
                <w:rFonts w:ascii="Arial" w:cs="Arial" w:eastAsia="Arial" w:hAnsi="Arial"/>
                <w:sz w:val="18"/>
                <w:szCs w:val="18"/>
                <w:color w:val="auto"/>
              </w:rPr>
              <w:t>Business licenses</w:t>
            </w:r>
          </w:p>
        </w:tc>
        <w:tc>
          <w:tcPr>
            <w:tcW w:w="92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7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460</w:t>
            </w:r>
          </w:p>
        </w:tc>
        <w:tc>
          <w:tcPr>
            <w:tcW w:w="22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800" w:type="dxa"/>
            <w:vAlign w:val="bottom"/>
            <w:gridSpan w:val="2"/>
            <w:shd w:val="clear" w:color="auto" w:fill="CFF0FC"/>
          </w:tcPr>
          <w:p>
            <w:pPr>
              <w:jc w:val="right"/>
              <w:ind w:right="62"/>
              <w:spacing w:after="0"/>
              <w:rPr>
                <w:sz w:val="20"/>
                <w:szCs w:val="20"/>
                <w:color w:val="auto"/>
              </w:rPr>
            </w:pPr>
            <w:r>
              <w:rPr>
                <w:rFonts w:ascii="Arial" w:cs="Arial" w:eastAsia="Arial" w:hAnsi="Arial"/>
                <w:sz w:val="18"/>
                <w:szCs w:val="18"/>
                <w:color w:val="auto"/>
              </w:rPr>
              <w:t>—</w:t>
            </w:r>
          </w:p>
        </w:tc>
        <w:tc>
          <w:tcPr>
            <w:tcW w:w="10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7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460</w:t>
            </w:r>
          </w:p>
        </w:tc>
        <w:tc>
          <w:tcPr>
            <w:tcW w:w="10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7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460</w:t>
            </w:r>
          </w:p>
        </w:tc>
        <w:tc>
          <w:tcPr>
            <w:tcW w:w="1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900" w:type="dxa"/>
            <w:vAlign w:val="bottom"/>
            <w:gridSpan w:val="3"/>
            <w:shd w:val="clear" w:color="auto" w:fill="CFF0FC"/>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shd w:val="clear" w:color="auto" w:fill="CFF0FC"/>
          </w:tcPr>
          <w:p>
            <w:pPr>
              <w:spacing w:after="0"/>
              <w:rPr>
                <w:sz w:val="19"/>
                <w:szCs w:val="19"/>
                <w:color w:val="auto"/>
              </w:rPr>
            </w:pPr>
          </w:p>
        </w:tc>
        <w:tc>
          <w:tcPr>
            <w:tcW w:w="7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460</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2"/>
        </w:trPr>
        <w:tc>
          <w:tcPr>
            <w:tcW w:w="3840" w:type="dxa"/>
            <w:vAlign w:val="bottom"/>
          </w:tcPr>
          <w:p>
            <w:pPr>
              <w:spacing w:after="0"/>
              <w:rPr>
                <w:sz w:val="20"/>
                <w:szCs w:val="20"/>
                <w:color w:val="auto"/>
              </w:rPr>
            </w:pPr>
            <w:r>
              <w:rPr>
                <w:rFonts w:ascii="Arial" w:cs="Arial" w:eastAsia="Arial" w:hAnsi="Arial"/>
                <w:sz w:val="18"/>
                <w:szCs w:val="18"/>
                <w:b w:val="1"/>
                <w:bCs w:val="1"/>
                <w:color w:val="auto"/>
              </w:rPr>
              <w:t>Other intangible assets</w:t>
            </w:r>
          </w:p>
        </w:tc>
        <w:tc>
          <w:tcPr>
            <w:tcW w:w="920" w:type="dxa"/>
            <w:vAlign w:val="bottom"/>
          </w:tcPr>
          <w:p>
            <w:pPr>
              <w:spacing w:after="0"/>
              <w:rPr>
                <w:sz w:val="19"/>
                <w:szCs w:val="19"/>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7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94,986</w:t>
            </w:r>
          </w:p>
        </w:tc>
        <w:tc>
          <w:tcPr>
            <w:tcW w:w="220" w:type="dxa"/>
            <w:vAlign w:val="bottom"/>
          </w:tcPr>
          <w:p>
            <w:pPr>
              <w:spacing w:after="0"/>
              <w:rPr>
                <w:sz w:val="19"/>
                <w:szCs w:val="19"/>
                <w:color w:val="auto"/>
              </w:rPr>
            </w:pPr>
          </w:p>
        </w:tc>
        <w:tc>
          <w:tcPr>
            <w:tcW w:w="220" w:type="dxa"/>
            <w:vAlign w:val="bottom"/>
            <w:tcBorders>
              <w:top w:val="single" w:sz="8" w:color="auto"/>
              <w:bottom w:val="single" w:sz="8" w:color="auto"/>
            </w:tcBorders>
          </w:tcPr>
          <w:p>
            <w:pPr>
              <w:jc w:val="right"/>
              <w:ind w:right="42"/>
              <w:spacing w:after="0"/>
              <w:rPr>
                <w:sz w:val="20"/>
                <w:szCs w:val="20"/>
                <w:color w:val="auto"/>
              </w:rPr>
            </w:pPr>
            <w:r>
              <w:rPr>
                <w:rFonts w:ascii="Arial" w:cs="Arial" w:eastAsia="Arial" w:hAnsi="Arial"/>
                <w:sz w:val="18"/>
                <w:szCs w:val="18"/>
                <w:color w:val="auto"/>
                <w:w w:val="79"/>
              </w:rPr>
              <w:t>$</w:t>
            </w:r>
          </w:p>
        </w:tc>
        <w:tc>
          <w:tcPr>
            <w:tcW w:w="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(34,191</w:t>
            </w:r>
          </w:p>
        </w:tc>
        <w:tc>
          <w:tcPr>
            <w:tcW w:w="120" w:type="dxa"/>
            <w:vAlign w:val="bottom"/>
          </w:tcPr>
          <w:p>
            <w:pPr>
              <w:jc w:val="right"/>
              <w:spacing w:after="0"/>
              <w:rPr>
                <w:sz w:val="20"/>
                <w:szCs w:val="20"/>
                <w:color w:val="auto"/>
              </w:rPr>
            </w:pPr>
            <w:r>
              <w:rPr>
                <w:rFonts w:ascii="Arial" w:cs="Arial" w:eastAsia="Arial" w:hAnsi="Arial"/>
                <w:sz w:val="16"/>
                <w:szCs w:val="16"/>
                <w:color w:val="auto"/>
                <w:w w:val="74"/>
              </w:rPr>
              <w:t>)</w:t>
            </w:r>
          </w:p>
        </w:tc>
        <w:tc>
          <w:tcPr>
            <w:tcW w:w="280" w:type="dxa"/>
            <w:vAlign w:val="bottom"/>
            <w:tcBorders>
              <w:top w:val="single" w:sz="8" w:color="auto"/>
              <w:bottom w:val="single" w:sz="8" w:color="auto"/>
            </w:tcBorders>
            <w:gridSpan w:val="2"/>
          </w:tcPr>
          <w:p>
            <w:pPr>
              <w:jc w:val="right"/>
              <w:ind w:right="28"/>
              <w:spacing w:after="0"/>
              <w:rPr>
                <w:sz w:val="20"/>
                <w:szCs w:val="20"/>
                <w:color w:val="auto"/>
              </w:rPr>
            </w:pPr>
            <w:r>
              <w:rPr>
                <w:rFonts w:ascii="Arial" w:cs="Arial" w:eastAsia="Arial" w:hAnsi="Arial"/>
                <w:sz w:val="18"/>
                <w:szCs w:val="18"/>
                <w:color w:val="auto"/>
              </w:rPr>
              <w:t>$</w:t>
            </w: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60,795</w:t>
            </w:r>
          </w:p>
        </w:tc>
        <w:tc>
          <w:tcPr>
            <w:tcW w:w="100" w:type="dxa"/>
            <w:vAlign w:val="bottom"/>
          </w:tcPr>
          <w:p>
            <w:pPr>
              <w:spacing w:after="0"/>
              <w:rPr>
                <w:sz w:val="19"/>
                <w:szCs w:val="19"/>
                <w:color w:val="auto"/>
              </w:rPr>
            </w:pPr>
          </w:p>
        </w:tc>
        <w:tc>
          <w:tcPr>
            <w:tcW w:w="240" w:type="dxa"/>
            <w:vAlign w:val="bottom"/>
            <w:tcBorders>
              <w:top w:val="single" w:sz="8" w:color="auto"/>
              <w:bottom w:val="single" w:sz="8" w:color="auto"/>
            </w:tcBorders>
            <w:gridSpan w:val="2"/>
          </w:tcPr>
          <w:p>
            <w:pPr>
              <w:jc w:val="right"/>
              <w:ind w:right="40"/>
              <w:spacing w:after="0"/>
              <w:rPr>
                <w:sz w:val="20"/>
                <w:szCs w:val="20"/>
                <w:color w:val="auto"/>
              </w:rPr>
            </w:pPr>
            <w:r>
              <w:rPr>
                <w:rFonts w:ascii="Arial" w:cs="Arial" w:eastAsia="Arial" w:hAnsi="Arial"/>
                <w:sz w:val="18"/>
                <w:szCs w:val="18"/>
                <w:color w:val="auto"/>
              </w:rPr>
              <w:t>$</w:t>
            </w:r>
          </w:p>
        </w:tc>
        <w:tc>
          <w:tcPr>
            <w:tcW w:w="7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94,101</w:t>
            </w:r>
          </w:p>
        </w:tc>
        <w:tc>
          <w:tcPr>
            <w:tcW w:w="100" w:type="dxa"/>
            <w:vAlign w:val="bottom"/>
          </w:tcPr>
          <w:p>
            <w:pPr>
              <w:spacing w:after="0"/>
              <w:rPr>
                <w:sz w:val="19"/>
                <w:szCs w:val="19"/>
                <w:color w:val="auto"/>
              </w:rPr>
            </w:pPr>
          </w:p>
        </w:tc>
        <w:tc>
          <w:tcPr>
            <w:tcW w:w="340" w:type="dxa"/>
            <w:vAlign w:val="bottom"/>
            <w:tcBorders>
              <w:top w:val="single" w:sz="8" w:color="auto"/>
              <w:bottom w:val="single" w:sz="8" w:color="auto"/>
            </w:tcBorders>
            <w:gridSpan w:val="2"/>
          </w:tcPr>
          <w:p>
            <w:pPr>
              <w:jc w:val="right"/>
              <w:ind w:right="68"/>
              <w:spacing w:after="0"/>
              <w:rPr>
                <w:sz w:val="20"/>
                <w:szCs w:val="20"/>
                <w:color w:val="auto"/>
              </w:rPr>
            </w:pPr>
            <w:r>
              <w:rPr>
                <w:rFonts w:ascii="Arial" w:cs="Arial" w:eastAsia="Arial" w:hAnsi="Arial"/>
                <w:sz w:val="18"/>
                <w:szCs w:val="18"/>
                <w:color w:val="auto"/>
              </w:rPr>
              <w:t>$</w:t>
            </w: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(31,320)</w:t>
            </w:r>
          </w:p>
        </w:tc>
        <w:tc>
          <w:tcPr>
            <w:tcW w:w="100" w:type="dxa"/>
            <w:vAlign w:val="bottom"/>
          </w:tcPr>
          <w:p>
            <w:pPr>
              <w:spacing w:after="0"/>
              <w:rPr>
                <w:sz w:val="19"/>
                <w:szCs w:val="19"/>
                <w:color w:val="auto"/>
              </w:rPr>
            </w:pPr>
          </w:p>
        </w:tc>
        <w:tc>
          <w:tcPr>
            <w:tcW w:w="100" w:type="dxa"/>
            <w:vAlign w:val="bottom"/>
            <w:tcBorders>
              <w:top w:val="single" w:sz="8" w:color="auto"/>
              <w:bottom w:val="single" w:sz="8" w:color="auto"/>
            </w:tcBorders>
          </w:tcPr>
          <w:p>
            <w:pPr>
              <w:spacing w:after="0"/>
              <w:rPr>
                <w:sz w:val="19"/>
                <w:szCs w:val="19"/>
                <w:color w:val="auto"/>
              </w:rPr>
            </w:pPr>
          </w:p>
        </w:tc>
        <w:tc>
          <w:tcPr>
            <w:tcW w:w="200" w:type="dxa"/>
            <w:vAlign w:val="bottom"/>
            <w:tcBorders>
              <w:top w:val="single" w:sz="8" w:color="auto"/>
              <w:bottom w:val="single" w:sz="8" w:color="auto"/>
            </w:tcBorders>
          </w:tcPr>
          <w:p>
            <w:pPr>
              <w:jc w:val="right"/>
              <w:ind w:right="16"/>
              <w:spacing w:after="0"/>
              <w:rPr>
                <w:sz w:val="20"/>
                <w:szCs w:val="20"/>
                <w:color w:val="auto"/>
              </w:rPr>
            </w:pPr>
            <w:r>
              <w:rPr>
                <w:rFonts w:ascii="Arial" w:cs="Arial" w:eastAsia="Arial" w:hAnsi="Arial"/>
                <w:sz w:val="18"/>
                <w:szCs w:val="18"/>
                <w:color w:val="auto"/>
                <w:w w:val="79"/>
              </w:rPr>
              <w:t>$</w:t>
            </w: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62,781</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384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93" w:lineRule="exact"/>
        <w:rPr>
          <w:sz w:val="20"/>
          <w:szCs w:val="20"/>
          <w:color w:val="auto"/>
        </w:rPr>
      </w:pPr>
    </w:p>
    <w:p>
      <w:pPr>
        <w:jc w:val="both"/>
        <w:ind w:right="20"/>
        <w:spacing w:after="0" w:line="300" w:lineRule="auto"/>
        <w:rPr>
          <w:sz w:val="20"/>
          <w:szCs w:val="20"/>
          <w:color w:val="auto"/>
        </w:rPr>
      </w:pPr>
      <w:r>
        <w:rPr>
          <w:rFonts w:ascii="Arial" w:cs="Arial" w:eastAsia="Arial" w:hAnsi="Arial"/>
          <w:sz w:val="16"/>
          <w:szCs w:val="16"/>
          <w:color w:val="auto"/>
        </w:rPr>
        <w:t>Intangible asset amortization expense was $2.7 million for the three months ended March 31, 2018 and $3.1 million for the three months ended March 31, 2017. The weighted-average amortization period of customer contracts and relationships is approximately 8.3 years, operating contracts and licenses is approximately 26.1 years, tradenames is approximately 6.8 years, non-compete agreements is approximately 2.0 years, and other amortizable intangible assets is approximately 8.3 years. The estimated future amortization expense related to amortized intangible assets held at March 31, 2018 is as follows:</w:t>
      </w:r>
    </w:p>
    <w:p>
      <w:pPr>
        <w:spacing w:after="0" w:line="165" w:lineRule="exact"/>
        <w:rPr>
          <w:sz w:val="20"/>
          <w:szCs w:val="20"/>
          <w:color w:val="auto"/>
        </w:rPr>
      </w:pPr>
    </w:p>
    <w:p>
      <w:pPr>
        <w:spacing w:after="0"/>
        <w:rPr>
          <w:sz w:val="20"/>
          <w:szCs w:val="20"/>
          <w:color w:val="auto"/>
        </w:rPr>
      </w:pPr>
      <w:r>
        <w:rPr>
          <w:rFonts w:ascii="Arial" w:cs="Arial" w:eastAsia="Arial" w:hAnsi="Arial"/>
          <w:sz w:val="14"/>
          <w:szCs w:val="14"/>
          <w:i w:val="1"/>
          <w:iCs w:val="1"/>
          <w:color w:val="auto"/>
        </w:rPr>
        <w:t>(in thousands)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3810</wp:posOffset>
            </wp:positionV>
            <wp:extent cx="7247255" cy="14541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7247255" cy="145415"/>
                    </a:xfrm>
                    <a:prstGeom prst="rect">
                      <a:avLst/>
                    </a:prstGeom>
                    <a:noFill/>
                  </pic:spPr>
                </pic:pic>
              </a:graphicData>
            </a:graphic>
          </wp:anchor>
        </w:drawing>
      </w:r>
    </w:p>
    <w:p>
      <w:pPr>
        <w:spacing w:after="0" w:line="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Year ending December 31,</w:t>
      </w:r>
    </w:p>
    <w:p>
      <w:pPr>
        <w:spacing w:after="0" w:line="7" w:lineRule="exact"/>
        <w:rPr>
          <w:sz w:val="20"/>
          <w:szCs w:val="20"/>
          <w:color w:val="auto"/>
        </w:rPr>
      </w:pPr>
    </w:p>
    <w:tbl>
      <w:tblPr>
        <w:tblLayout w:type="fixed"/>
        <w:tblInd w:w="0" w:type="dxa"/>
        <w:tblCellMar>
          <w:top w:w="0" w:type="dxa"/>
          <w:left w:w="0" w:type="dxa"/>
          <w:bottom w:w="0" w:type="dxa"/>
          <w:right w:w="0" w:type="dxa"/>
        </w:tblCellMar>
      </w:tblPr>
      <w:tr>
        <w:trPr>
          <w:trHeight w:val="228"/>
        </w:trPr>
        <w:tc>
          <w:tcPr>
            <w:tcW w:w="3640" w:type="dxa"/>
            <w:vAlign w:val="bottom"/>
          </w:tcPr>
          <w:p>
            <w:pPr>
              <w:ind w:left="260"/>
              <w:spacing w:after="0"/>
              <w:rPr>
                <w:sz w:val="20"/>
                <w:szCs w:val="20"/>
                <w:color w:val="auto"/>
              </w:rPr>
            </w:pPr>
            <w:r>
              <w:rPr>
                <w:rFonts w:ascii="Arial" w:cs="Arial" w:eastAsia="Arial" w:hAnsi="Arial"/>
                <w:sz w:val="18"/>
                <w:szCs w:val="18"/>
                <w:color w:val="auto"/>
              </w:rPr>
              <w:t>Remainder of 2018</w:t>
            </w:r>
          </w:p>
        </w:tc>
        <w:tc>
          <w:tcPr>
            <w:tcW w:w="6780" w:type="dxa"/>
            <w:vAlign w:val="bottom"/>
            <w:gridSpan w:val="2"/>
          </w:tcPr>
          <w:p>
            <w:pPr>
              <w:jc w:val="right"/>
              <w:ind w:right="307"/>
              <w:spacing w:after="0"/>
              <w:rPr>
                <w:sz w:val="20"/>
                <w:szCs w:val="20"/>
                <w:color w:val="auto"/>
              </w:rPr>
            </w:pPr>
            <w:r>
              <w:rPr>
                <w:rFonts w:ascii="Arial" w:cs="Arial" w:eastAsia="Arial" w:hAnsi="Arial"/>
                <w:sz w:val="18"/>
                <w:szCs w:val="18"/>
                <w:color w:val="auto"/>
              </w:rPr>
              <w:t>$</w:t>
            </w:r>
          </w:p>
        </w:tc>
        <w:tc>
          <w:tcPr>
            <w:tcW w:w="880" w:type="dxa"/>
            <w:vAlign w:val="bottom"/>
          </w:tcPr>
          <w:p>
            <w:pPr>
              <w:jc w:val="right"/>
              <w:spacing w:after="0"/>
              <w:rPr>
                <w:sz w:val="20"/>
                <w:szCs w:val="20"/>
                <w:color w:val="auto"/>
              </w:rPr>
            </w:pPr>
            <w:r>
              <w:rPr>
                <w:rFonts w:ascii="Arial" w:cs="Arial" w:eastAsia="Arial" w:hAnsi="Arial"/>
                <w:sz w:val="18"/>
                <w:szCs w:val="18"/>
                <w:color w:val="auto"/>
              </w:rPr>
              <w:t>8,450</w:t>
            </w:r>
          </w:p>
        </w:tc>
        <w:tc>
          <w:tcPr>
            <w:tcW w:w="1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3640" w:type="dxa"/>
            <w:vAlign w:val="bottom"/>
            <w:shd w:val="clear" w:color="auto" w:fill="CFF0FC"/>
          </w:tcPr>
          <w:p>
            <w:pPr>
              <w:ind w:left="260"/>
              <w:spacing w:after="0"/>
              <w:rPr>
                <w:sz w:val="20"/>
                <w:szCs w:val="20"/>
                <w:color w:val="auto"/>
              </w:rPr>
            </w:pPr>
            <w:r>
              <w:rPr>
                <w:rFonts w:ascii="Arial" w:cs="Arial" w:eastAsia="Arial" w:hAnsi="Arial"/>
                <w:sz w:val="18"/>
                <w:szCs w:val="18"/>
                <w:color w:val="auto"/>
              </w:rPr>
              <w:t>2019</w:t>
            </w:r>
          </w:p>
        </w:tc>
        <w:tc>
          <w:tcPr>
            <w:tcW w:w="6320" w:type="dxa"/>
            <w:vAlign w:val="bottom"/>
            <w:shd w:val="clear" w:color="auto" w:fill="CFF0FC"/>
          </w:tcPr>
          <w:p>
            <w:pPr>
              <w:spacing w:after="0"/>
              <w:rPr>
                <w:sz w:val="19"/>
                <w:szCs w:val="19"/>
                <w:color w:val="auto"/>
              </w:rPr>
            </w:pPr>
          </w:p>
        </w:tc>
        <w:tc>
          <w:tcPr>
            <w:tcW w:w="460" w:type="dxa"/>
            <w:vAlign w:val="bottom"/>
            <w:shd w:val="clear" w:color="auto" w:fill="CFF0FC"/>
          </w:tcPr>
          <w:p>
            <w:pPr>
              <w:spacing w:after="0"/>
              <w:rPr>
                <w:sz w:val="19"/>
                <w:szCs w:val="19"/>
                <w:color w:val="auto"/>
              </w:rPr>
            </w:pPr>
          </w:p>
        </w:tc>
        <w:tc>
          <w:tcPr>
            <w:tcW w:w="8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10,042</w:t>
            </w:r>
          </w:p>
        </w:tc>
        <w:tc>
          <w:tcPr>
            <w:tcW w:w="120" w:type="dxa"/>
            <w:vAlign w:val="bottom"/>
            <w:shd w:val="clear" w:color="auto" w:fill="CFF0FC"/>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3640" w:type="dxa"/>
            <w:vAlign w:val="bottom"/>
          </w:tcPr>
          <w:p>
            <w:pPr>
              <w:ind w:left="260"/>
              <w:spacing w:after="0"/>
              <w:rPr>
                <w:sz w:val="20"/>
                <w:szCs w:val="20"/>
                <w:color w:val="auto"/>
              </w:rPr>
            </w:pPr>
            <w:r>
              <w:rPr>
                <w:rFonts w:ascii="Arial" w:cs="Arial" w:eastAsia="Arial" w:hAnsi="Arial"/>
                <w:sz w:val="18"/>
                <w:szCs w:val="18"/>
                <w:color w:val="auto"/>
              </w:rPr>
              <w:t>2020</w:t>
            </w:r>
          </w:p>
        </w:tc>
        <w:tc>
          <w:tcPr>
            <w:tcW w:w="632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8,537</w:t>
            </w:r>
          </w:p>
        </w:tc>
        <w:tc>
          <w:tcPr>
            <w:tcW w:w="1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3640" w:type="dxa"/>
            <w:vAlign w:val="bottom"/>
            <w:shd w:val="clear" w:color="auto" w:fill="CFF0FC"/>
          </w:tcPr>
          <w:p>
            <w:pPr>
              <w:ind w:left="260"/>
              <w:spacing w:after="0"/>
              <w:rPr>
                <w:sz w:val="20"/>
                <w:szCs w:val="20"/>
                <w:color w:val="auto"/>
              </w:rPr>
            </w:pPr>
            <w:r>
              <w:rPr>
                <w:rFonts w:ascii="Arial" w:cs="Arial" w:eastAsia="Arial" w:hAnsi="Arial"/>
                <w:sz w:val="18"/>
                <w:szCs w:val="18"/>
                <w:color w:val="auto"/>
              </w:rPr>
              <w:t>2021</w:t>
            </w:r>
          </w:p>
        </w:tc>
        <w:tc>
          <w:tcPr>
            <w:tcW w:w="6320" w:type="dxa"/>
            <w:vAlign w:val="bottom"/>
            <w:shd w:val="clear" w:color="auto" w:fill="CFF0FC"/>
          </w:tcPr>
          <w:p>
            <w:pPr>
              <w:spacing w:after="0"/>
              <w:rPr>
                <w:sz w:val="19"/>
                <w:szCs w:val="19"/>
                <w:color w:val="auto"/>
              </w:rPr>
            </w:pPr>
          </w:p>
        </w:tc>
        <w:tc>
          <w:tcPr>
            <w:tcW w:w="460" w:type="dxa"/>
            <w:vAlign w:val="bottom"/>
            <w:shd w:val="clear" w:color="auto" w:fill="CFF0FC"/>
          </w:tcPr>
          <w:p>
            <w:pPr>
              <w:spacing w:after="0"/>
              <w:rPr>
                <w:sz w:val="19"/>
                <w:szCs w:val="19"/>
                <w:color w:val="auto"/>
              </w:rPr>
            </w:pPr>
          </w:p>
        </w:tc>
        <w:tc>
          <w:tcPr>
            <w:tcW w:w="8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7,537</w:t>
            </w:r>
          </w:p>
        </w:tc>
        <w:tc>
          <w:tcPr>
            <w:tcW w:w="120" w:type="dxa"/>
            <w:vAlign w:val="bottom"/>
            <w:shd w:val="clear" w:color="auto" w:fill="CFF0FC"/>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3640" w:type="dxa"/>
            <w:vAlign w:val="bottom"/>
          </w:tcPr>
          <w:p>
            <w:pPr>
              <w:ind w:left="260"/>
              <w:spacing w:after="0"/>
              <w:rPr>
                <w:sz w:val="20"/>
                <w:szCs w:val="20"/>
                <w:color w:val="auto"/>
              </w:rPr>
            </w:pPr>
            <w:r>
              <w:rPr>
                <w:rFonts w:ascii="Arial" w:cs="Arial" w:eastAsia="Arial" w:hAnsi="Arial"/>
                <w:sz w:val="18"/>
                <w:szCs w:val="18"/>
                <w:color w:val="auto"/>
              </w:rPr>
              <w:t>2022</w:t>
            </w:r>
          </w:p>
        </w:tc>
        <w:tc>
          <w:tcPr>
            <w:tcW w:w="632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5,986</w:t>
            </w:r>
          </w:p>
        </w:tc>
        <w:tc>
          <w:tcPr>
            <w:tcW w:w="1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3640" w:type="dxa"/>
            <w:vAlign w:val="bottom"/>
            <w:shd w:val="clear" w:color="auto" w:fill="CFF0FC"/>
          </w:tcPr>
          <w:p>
            <w:pPr>
              <w:ind w:left="260"/>
              <w:spacing w:after="0"/>
              <w:rPr>
                <w:sz w:val="20"/>
                <w:szCs w:val="20"/>
                <w:color w:val="auto"/>
              </w:rPr>
            </w:pPr>
            <w:r>
              <w:rPr>
                <w:rFonts w:ascii="Arial" w:cs="Arial" w:eastAsia="Arial" w:hAnsi="Arial"/>
                <w:sz w:val="18"/>
                <w:szCs w:val="18"/>
                <w:color w:val="auto"/>
              </w:rPr>
              <w:t>Thereafter</w:t>
            </w:r>
          </w:p>
        </w:tc>
        <w:tc>
          <w:tcPr>
            <w:tcW w:w="6320" w:type="dxa"/>
            <w:vAlign w:val="bottom"/>
            <w:shd w:val="clear" w:color="auto" w:fill="CFF0FC"/>
          </w:tcPr>
          <w:p>
            <w:pPr>
              <w:spacing w:after="0"/>
              <w:rPr>
                <w:sz w:val="19"/>
                <w:szCs w:val="19"/>
                <w:color w:val="auto"/>
              </w:rPr>
            </w:pPr>
          </w:p>
        </w:tc>
        <w:tc>
          <w:tcPr>
            <w:tcW w:w="460" w:type="dxa"/>
            <w:vAlign w:val="bottom"/>
            <w:tcBorders>
              <w:bottom w:val="single" w:sz="8" w:color="auto"/>
            </w:tcBorders>
            <w:shd w:val="clear" w:color="auto" w:fill="CFF0FC"/>
          </w:tcPr>
          <w:p>
            <w:pPr>
              <w:spacing w:after="0"/>
              <w:rPr>
                <w:sz w:val="19"/>
                <w:szCs w:val="19"/>
                <w:color w:val="auto"/>
              </w:rPr>
            </w:pPr>
          </w:p>
        </w:tc>
        <w:tc>
          <w:tcPr>
            <w:tcW w:w="8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19,783</w:t>
            </w:r>
          </w:p>
        </w:tc>
        <w:tc>
          <w:tcPr>
            <w:tcW w:w="120" w:type="dxa"/>
            <w:vAlign w:val="bottom"/>
            <w:shd w:val="clear" w:color="auto" w:fill="CFF0FC"/>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2"/>
        </w:trPr>
        <w:tc>
          <w:tcPr>
            <w:tcW w:w="3640" w:type="dxa"/>
            <w:vAlign w:val="bottom"/>
          </w:tcPr>
          <w:p>
            <w:pPr>
              <w:spacing w:after="0"/>
              <w:rPr>
                <w:sz w:val="20"/>
                <w:szCs w:val="20"/>
                <w:color w:val="auto"/>
              </w:rPr>
            </w:pPr>
            <w:r>
              <w:rPr>
                <w:rFonts w:ascii="Arial" w:cs="Arial" w:eastAsia="Arial" w:hAnsi="Arial"/>
                <w:sz w:val="18"/>
                <w:szCs w:val="18"/>
                <w:b w:val="1"/>
                <w:bCs w:val="1"/>
                <w:color w:val="auto"/>
              </w:rPr>
              <w:t>Total</w:t>
            </w:r>
          </w:p>
        </w:tc>
        <w:tc>
          <w:tcPr>
            <w:tcW w:w="6320" w:type="dxa"/>
            <w:vAlign w:val="bottom"/>
          </w:tcPr>
          <w:p>
            <w:pPr>
              <w:spacing w:after="0"/>
              <w:rPr>
                <w:sz w:val="19"/>
                <w:szCs w:val="19"/>
                <w:color w:val="auto"/>
              </w:rPr>
            </w:pPr>
          </w:p>
        </w:tc>
        <w:tc>
          <w:tcPr>
            <w:tcW w:w="460" w:type="dxa"/>
            <w:vAlign w:val="bottom"/>
            <w:tcBorders>
              <w:bottom w:val="single" w:sz="8" w:color="auto"/>
            </w:tcBorders>
          </w:tcPr>
          <w:p>
            <w:pPr>
              <w:jc w:val="right"/>
              <w:ind w:right="307"/>
              <w:spacing w:after="0"/>
              <w:rPr>
                <w:sz w:val="20"/>
                <w:szCs w:val="20"/>
                <w:color w:val="auto"/>
              </w:rPr>
            </w:pPr>
            <w:r>
              <w:rPr>
                <w:rFonts w:ascii="Arial" w:cs="Arial" w:eastAsia="Arial" w:hAnsi="Arial"/>
                <w:sz w:val="15"/>
                <w:szCs w:val="15"/>
                <w:color w:val="auto"/>
                <w:w w:val="71"/>
              </w:rPr>
              <w:t>$</w:t>
            </w: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60,335</w:t>
            </w:r>
          </w:p>
        </w:tc>
        <w:tc>
          <w:tcPr>
            <w:tcW w:w="1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3640" w:type="dxa"/>
            <w:vAlign w:val="bottom"/>
          </w:tcPr>
          <w:p>
            <w:pPr>
              <w:spacing w:after="0" w:line="20" w:lineRule="exact"/>
              <w:rPr>
                <w:sz w:val="1"/>
                <w:szCs w:val="1"/>
                <w:color w:val="auto"/>
              </w:rPr>
            </w:pPr>
          </w:p>
        </w:tc>
        <w:tc>
          <w:tcPr>
            <w:tcW w:w="6320" w:type="dxa"/>
            <w:vAlign w:val="bottom"/>
            <w:vMerge w:val="restart"/>
          </w:tcPr>
          <w:p>
            <w:pPr>
              <w:jc w:val="right"/>
              <w:ind w:right="4070"/>
              <w:spacing w:after="0"/>
              <w:rPr>
                <w:sz w:val="20"/>
                <w:szCs w:val="20"/>
                <w:color w:val="auto"/>
              </w:rPr>
            </w:pPr>
            <w:r>
              <w:rPr>
                <w:rFonts w:ascii="Arial" w:cs="Arial" w:eastAsia="Arial" w:hAnsi="Arial"/>
                <w:sz w:val="18"/>
                <w:szCs w:val="18"/>
                <w:color w:val="auto"/>
              </w:rPr>
              <w:t>18</w:t>
            </w:r>
          </w:p>
        </w:tc>
        <w:tc>
          <w:tcPr>
            <w:tcW w:w="46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14"/>
        </w:trPr>
        <w:tc>
          <w:tcPr>
            <w:tcW w:w="3640" w:type="dxa"/>
            <w:vAlign w:val="bottom"/>
          </w:tcPr>
          <w:p>
            <w:pPr>
              <w:spacing w:after="0"/>
              <w:rPr>
                <w:sz w:val="24"/>
                <w:szCs w:val="24"/>
                <w:color w:val="auto"/>
              </w:rPr>
            </w:pPr>
          </w:p>
        </w:tc>
        <w:tc>
          <w:tcPr>
            <w:tcW w:w="6320" w:type="dxa"/>
            <w:vAlign w:val="bottom"/>
            <w:vMerge w:val="continue"/>
          </w:tcPr>
          <w:p>
            <w:pPr>
              <w:spacing w:after="0"/>
              <w:rPr>
                <w:sz w:val="24"/>
                <w:szCs w:val="24"/>
                <w:color w:val="auto"/>
              </w:rPr>
            </w:pPr>
          </w:p>
        </w:tc>
        <w:tc>
          <w:tcPr>
            <w:tcW w:w="46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4"/>
        </w:trPr>
        <w:tc>
          <w:tcPr>
            <w:tcW w:w="3640" w:type="dxa"/>
            <w:vAlign w:val="bottom"/>
            <w:tcBorders>
              <w:bottom w:val="single" w:sz="8" w:color="9A9A9A"/>
            </w:tcBorders>
          </w:tcPr>
          <w:p>
            <w:pPr>
              <w:spacing w:after="0"/>
              <w:rPr>
                <w:sz w:val="9"/>
                <w:szCs w:val="9"/>
                <w:color w:val="auto"/>
              </w:rPr>
            </w:pPr>
          </w:p>
        </w:tc>
        <w:tc>
          <w:tcPr>
            <w:tcW w:w="6320" w:type="dxa"/>
            <w:vAlign w:val="bottom"/>
            <w:tcBorders>
              <w:bottom w:val="single" w:sz="8" w:color="9A9A9A"/>
            </w:tcBorders>
          </w:tcPr>
          <w:p>
            <w:pPr>
              <w:spacing w:after="0"/>
              <w:rPr>
                <w:sz w:val="9"/>
                <w:szCs w:val="9"/>
                <w:color w:val="auto"/>
              </w:rPr>
            </w:pPr>
          </w:p>
        </w:tc>
        <w:tc>
          <w:tcPr>
            <w:tcW w:w="460" w:type="dxa"/>
            <w:vAlign w:val="bottom"/>
            <w:tcBorders>
              <w:bottom w:val="single" w:sz="8" w:color="9A9A9A"/>
            </w:tcBorders>
          </w:tcPr>
          <w:p>
            <w:pPr>
              <w:spacing w:after="0"/>
              <w:rPr>
                <w:sz w:val="9"/>
                <w:szCs w:val="9"/>
                <w:color w:val="auto"/>
              </w:rPr>
            </w:pPr>
          </w:p>
        </w:tc>
        <w:tc>
          <w:tcPr>
            <w:tcW w:w="880" w:type="dxa"/>
            <w:vAlign w:val="bottom"/>
            <w:tcBorders>
              <w:bottom w:val="single" w:sz="8" w:color="9A9A9A"/>
            </w:tcBorders>
          </w:tcPr>
          <w:p>
            <w:pPr>
              <w:spacing w:after="0"/>
              <w:rPr>
                <w:sz w:val="9"/>
                <w:szCs w:val="9"/>
                <w:color w:val="auto"/>
              </w:rPr>
            </w:pPr>
          </w:p>
        </w:tc>
        <w:tc>
          <w:tcPr>
            <w:tcW w:w="120" w:type="dxa"/>
            <w:vAlign w:val="bottom"/>
            <w:tcBorders>
              <w:bottom w:val="single" w:sz="8" w:color="9A9A9A"/>
            </w:tcBorders>
          </w:tcPr>
          <w:p>
            <w:pPr>
              <w:spacing w:after="0"/>
              <w:rPr>
                <w:sz w:val="9"/>
                <w:szCs w:val="9"/>
                <w:color w:val="auto"/>
              </w:rPr>
            </w:pPr>
          </w:p>
        </w:tc>
        <w:tc>
          <w:tcPr>
            <w:tcW w:w="20" w:type="dxa"/>
            <w:vAlign w:val="bottom"/>
            <w:tcBorders>
              <w:bottom w:val="single" w:sz="8" w:color="9A9A9A"/>
            </w:tcBorders>
          </w:tcPr>
          <w:p>
            <w:pPr>
              <w:spacing w:after="0"/>
              <w:rPr>
                <w:sz w:val="9"/>
                <w:szCs w:val="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7247890</wp:posOffset>
            </wp:positionH>
            <wp:positionV relativeFrom="paragraph">
              <wp:posOffset>-29210</wp:posOffset>
            </wp:positionV>
            <wp:extent cx="33655" cy="4254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3655" cy="4254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33655" cy="42545"/>
                    </a:xfrm>
                    <a:prstGeom prst="rect">
                      <a:avLst/>
                    </a:prstGeom>
                    <a:noFill/>
                  </pic:spPr>
                </pic:pic>
              </a:graphicData>
            </a:graphic>
          </wp:anchor>
        </w:drawing>
      </w:r>
    </w:p>
    <w:p>
      <w:pPr>
        <w:sectPr>
          <w:pgSz w:w="11900" w:h="16838" w:orient="portrait"/>
          <w:cols w:equalWidth="0" w:num="1">
            <w:col w:w="11440"/>
          </w:cols>
          <w:pgMar w:left="240" w:top="448" w:right="219" w:bottom="1440" w:gutter="0" w:footer="0" w:header="0"/>
        </w:sectPr>
      </w:pPr>
    </w:p>
    <w:bookmarkStart w:id="20" w:name="page21"/>
    <w:bookmarkEnd w:id="20"/>
    <w:p>
      <w:pPr>
        <w:spacing w:after="0"/>
        <w:rPr>
          <w:sz w:val="20"/>
          <w:szCs w:val="20"/>
          <w:color w:val="auto"/>
        </w:rPr>
      </w:pPr>
      <w:r>
        <w:rPr>
          <w:rFonts w:ascii="Arial" w:cs="Arial" w:eastAsia="Arial" w:hAnsi="Arial"/>
          <w:sz w:val="18"/>
          <w:szCs w:val="18"/>
          <w:b w:val="1"/>
          <w:bCs w:val="1"/>
          <w:color w:val="auto"/>
        </w:rPr>
        <w:t xml:space="preserve">Note 10. </w:t>
      </w:r>
      <w:r>
        <w:rPr>
          <w:rFonts w:ascii="Arial" w:cs="Arial" w:eastAsia="Arial" w:hAnsi="Arial"/>
          <w:sz w:val="18"/>
          <w:szCs w:val="18"/>
          <w:b w:val="1"/>
          <w:bCs w:val="1"/>
          <w:u w:val="single" w:color="auto"/>
          <w:color w:val="auto"/>
        </w:rPr>
        <w:t>Other Current Liabilities</w:t>
      </w:r>
    </w:p>
    <w:p>
      <w:pPr>
        <w:spacing w:after="0" w:line="120" w:lineRule="exact"/>
        <w:rPr>
          <w:sz w:val="20"/>
          <w:szCs w:val="20"/>
          <w:color w:val="auto"/>
        </w:rPr>
      </w:pPr>
    </w:p>
    <w:p>
      <w:pPr>
        <w:spacing w:after="0"/>
        <w:rPr>
          <w:sz w:val="20"/>
          <w:szCs w:val="20"/>
          <w:color w:val="auto"/>
        </w:rPr>
      </w:pPr>
      <w:r>
        <w:rPr>
          <w:rFonts w:ascii="Arial" w:cs="Arial" w:eastAsia="Arial" w:hAnsi="Arial"/>
          <w:sz w:val="18"/>
          <w:szCs w:val="18"/>
          <w:color w:val="auto"/>
        </w:rPr>
        <w:t>Other current liabilities consisted of the following:</w:t>
      </w:r>
    </w:p>
    <w:p>
      <w:pPr>
        <w:spacing w:after="0" w:line="295"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78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580" w:type="dxa"/>
            <w:vAlign w:val="bottom"/>
            <w:gridSpan w:val="2"/>
          </w:tcPr>
          <w:p>
            <w:pPr>
              <w:ind w:left="180"/>
              <w:spacing w:after="0"/>
              <w:rPr>
                <w:sz w:val="20"/>
                <w:szCs w:val="20"/>
                <w:color w:val="auto"/>
              </w:rPr>
            </w:pPr>
            <w:r>
              <w:rPr>
                <w:rFonts w:ascii="Arial" w:cs="Arial" w:eastAsia="Arial" w:hAnsi="Arial"/>
                <w:sz w:val="14"/>
                <w:szCs w:val="14"/>
                <w:b w:val="1"/>
                <w:bCs w:val="1"/>
                <w:color w:val="auto"/>
              </w:rPr>
              <w:t>March 31,</w:t>
            </w:r>
          </w:p>
        </w:tc>
        <w:tc>
          <w:tcPr>
            <w:tcW w:w="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480" w:type="dxa"/>
            <w:vAlign w:val="bottom"/>
            <w:gridSpan w:val="2"/>
          </w:tcPr>
          <w:p>
            <w:pPr>
              <w:ind w:left="140"/>
              <w:spacing w:after="0"/>
              <w:rPr>
                <w:sz w:val="20"/>
                <w:szCs w:val="20"/>
                <w:color w:val="auto"/>
              </w:rPr>
            </w:pPr>
            <w:r>
              <w:rPr>
                <w:rFonts w:ascii="Arial" w:cs="Arial" w:eastAsia="Arial" w:hAnsi="Arial"/>
                <w:sz w:val="14"/>
                <w:szCs w:val="14"/>
                <w:b w:val="1"/>
                <w:bCs w:val="1"/>
                <w:color w:val="auto"/>
              </w:rPr>
              <w:t>December 31,</w:t>
            </w:r>
          </w:p>
        </w:tc>
      </w:tr>
      <w:tr>
        <w:trPr>
          <w:trHeight w:val="171"/>
        </w:trPr>
        <w:tc>
          <w:tcPr>
            <w:tcW w:w="7860" w:type="dxa"/>
            <w:vAlign w:val="bottom"/>
            <w:tcBorders>
              <w:bottom w:val="single" w:sz="8" w:color="CFF0FC"/>
            </w:tcBorders>
          </w:tcPr>
          <w:p>
            <w:pPr>
              <w:spacing w:after="0"/>
              <w:rPr>
                <w:sz w:val="20"/>
                <w:szCs w:val="20"/>
                <w:color w:val="auto"/>
              </w:rPr>
            </w:pPr>
            <w:r>
              <w:rPr>
                <w:rFonts w:ascii="Arial" w:cs="Arial" w:eastAsia="Arial" w:hAnsi="Arial"/>
                <w:sz w:val="14"/>
                <w:szCs w:val="14"/>
                <w:i w:val="1"/>
                <w:iCs w:val="1"/>
                <w:color w:val="auto"/>
              </w:rPr>
              <w:t>(in thousands)</w:t>
            </w:r>
          </w:p>
        </w:tc>
        <w:tc>
          <w:tcPr>
            <w:tcW w:w="280" w:type="dxa"/>
            <w:vAlign w:val="bottom"/>
            <w:tcBorders>
              <w:bottom w:val="single" w:sz="8" w:color="auto"/>
            </w:tcBorders>
          </w:tcPr>
          <w:p>
            <w:pPr>
              <w:spacing w:after="0"/>
              <w:rPr>
                <w:sz w:val="14"/>
                <w:szCs w:val="14"/>
                <w:color w:val="auto"/>
              </w:rPr>
            </w:pPr>
          </w:p>
        </w:tc>
        <w:tc>
          <w:tcPr>
            <w:tcW w:w="1300" w:type="dxa"/>
            <w:vAlign w:val="bottom"/>
            <w:tcBorders>
              <w:bottom w:val="single" w:sz="8" w:color="auto"/>
            </w:tcBorders>
          </w:tcPr>
          <w:p>
            <w:pPr>
              <w:jc w:val="right"/>
              <w:ind w:right="572"/>
              <w:spacing w:after="0"/>
              <w:rPr>
                <w:sz w:val="20"/>
                <w:szCs w:val="20"/>
                <w:color w:val="auto"/>
              </w:rPr>
            </w:pPr>
            <w:r>
              <w:rPr>
                <w:rFonts w:ascii="Arial" w:cs="Arial" w:eastAsia="Arial" w:hAnsi="Arial"/>
                <w:sz w:val="14"/>
                <w:szCs w:val="14"/>
                <w:b w:val="1"/>
                <w:bCs w:val="1"/>
                <w:color w:val="auto"/>
              </w:rPr>
              <w:t>2018</w:t>
            </w:r>
          </w:p>
        </w:tc>
        <w:tc>
          <w:tcPr>
            <w:tcW w:w="280" w:type="dxa"/>
            <w:vAlign w:val="bottom"/>
            <w:tcBorders>
              <w:bottom w:val="single" w:sz="8" w:color="CFF0FC"/>
            </w:tcBorders>
          </w:tcPr>
          <w:p>
            <w:pPr>
              <w:spacing w:after="0"/>
              <w:rPr>
                <w:sz w:val="14"/>
                <w:szCs w:val="14"/>
                <w:color w:val="auto"/>
              </w:rPr>
            </w:pPr>
          </w:p>
        </w:tc>
        <w:tc>
          <w:tcPr>
            <w:tcW w:w="20" w:type="dxa"/>
            <w:vAlign w:val="bottom"/>
            <w:tcBorders>
              <w:bottom w:val="single" w:sz="8" w:color="CFF0FC"/>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1360" w:type="dxa"/>
            <w:vAlign w:val="bottom"/>
            <w:tcBorders>
              <w:bottom w:val="single" w:sz="8" w:color="auto"/>
            </w:tcBorders>
          </w:tcPr>
          <w:p>
            <w:pPr>
              <w:jc w:val="right"/>
              <w:ind w:right="572"/>
              <w:spacing w:after="0"/>
              <w:rPr>
                <w:sz w:val="20"/>
                <w:szCs w:val="20"/>
                <w:color w:val="auto"/>
              </w:rPr>
            </w:pPr>
            <w:r>
              <w:rPr>
                <w:rFonts w:ascii="Arial" w:cs="Arial" w:eastAsia="Arial" w:hAnsi="Arial"/>
                <w:sz w:val="14"/>
                <w:szCs w:val="14"/>
                <w:b w:val="1"/>
                <w:bCs w:val="1"/>
                <w:color w:val="auto"/>
              </w:rPr>
              <w:t>2017</w:t>
            </w:r>
          </w:p>
        </w:tc>
        <w:tc>
          <w:tcPr>
            <w:tcW w:w="120" w:type="dxa"/>
            <w:vAlign w:val="bottom"/>
            <w:tcBorders>
              <w:bottom w:val="single" w:sz="8" w:color="CFF0FC"/>
            </w:tcBorders>
          </w:tcPr>
          <w:p>
            <w:pPr>
              <w:spacing w:after="0"/>
              <w:rPr>
                <w:sz w:val="14"/>
                <w:szCs w:val="14"/>
                <w:color w:val="auto"/>
              </w:rPr>
            </w:pPr>
          </w:p>
        </w:tc>
      </w:tr>
      <w:tr>
        <w:trPr>
          <w:trHeight w:val="222"/>
        </w:trPr>
        <w:tc>
          <w:tcPr>
            <w:tcW w:w="7860" w:type="dxa"/>
            <w:vAlign w:val="bottom"/>
            <w:shd w:val="clear" w:color="auto" w:fill="CFF0FC"/>
          </w:tcPr>
          <w:p>
            <w:pPr>
              <w:spacing w:after="0"/>
              <w:rPr>
                <w:sz w:val="20"/>
                <w:szCs w:val="20"/>
                <w:color w:val="auto"/>
              </w:rPr>
            </w:pPr>
            <w:r>
              <w:rPr>
                <w:rFonts w:ascii="Arial" w:cs="Arial" w:eastAsia="Arial" w:hAnsi="Arial"/>
                <w:sz w:val="18"/>
                <w:szCs w:val="18"/>
                <w:color w:val="auto"/>
              </w:rPr>
              <w:t>Continuing operations:</w:t>
            </w:r>
          </w:p>
        </w:tc>
        <w:tc>
          <w:tcPr>
            <w:tcW w:w="280" w:type="dxa"/>
            <w:vAlign w:val="bottom"/>
            <w:shd w:val="clear" w:color="auto" w:fill="CFF0FC"/>
          </w:tcPr>
          <w:p>
            <w:pPr>
              <w:spacing w:after="0"/>
              <w:rPr>
                <w:sz w:val="19"/>
                <w:szCs w:val="19"/>
                <w:color w:val="auto"/>
              </w:rPr>
            </w:pPr>
          </w:p>
        </w:tc>
        <w:tc>
          <w:tcPr>
            <w:tcW w:w="130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36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r>
      <w:tr>
        <w:trPr>
          <w:trHeight w:val="229"/>
        </w:trPr>
        <w:tc>
          <w:tcPr>
            <w:tcW w:w="7860" w:type="dxa"/>
            <w:vAlign w:val="bottom"/>
          </w:tcPr>
          <w:p>
            <w:pPr>
              <w:ind w:left="260"/>
              <w:spacing w:after="0"/>
              <w:rPr>
                <w:sz w:val="20"/>
                <w:szCs w:val="20"/>
                <w:color w:val="auto"/>
              </w:rPr>
            </w:pPr>
            <w:r>
              <w:rPr>
                <w:rFonts w:ascii="Arial" w:cs="Arial" w:eastAsia="Arial" w:hAnsi="Arial"/>
                <w:sz w:val="18"/>
                <w:szCs w:val="18"/>
                <w:color w:val="auto"/>
              </w:rPr>
              <w:t>Commissions payable</w:t>
            </w:r>
          </w:p>
        </w:tc>
        <w:tc>
          <w:tcPr>
            <w:tcW w:w="280" w:type="dxa"/>
            <w:vAlign w:val="bottom"/>
          </w:tcPr>
          <w:p>
            <w:pPr>
              <w:jc w:val="right"/>
              <w:ind w:right="127"/>
              <w:spacing w:after="0"/>
              <w:rPr>
                <w:sz w:val="20"/>
                <w:szCs w:val="20"/>
                <w:color w:val="auto"/>
              </w:rPr>
            </w:pPr>
            <w:r>
              <w:rPr>
                <w:rFonts w:ascii="Arial" w:cs="Arial" w:eastAsia="Arial" w:hAnsi="Arial"/>
                <w:sz w:val="15"/>
                <w:szCs w:val="15"/>
                <w:color w:val="auto"/>
                <w:w w:val="71"/>
              </w:rPr>
              <w:t>$</w:t>
            </w:r>
          </w:p>
        </w:tc>
        <w:tc>
          <w:tcPr>
            <w:tcW w:w="1300" w:type="dxa"/>
            <w:vAlign w:val="bottom"/>
          </w:tcPr>
          <w:p>
            <w:pPr>
              <w:jc w:val="right"/>
              <w:spacing w:after="0"/>
              <w:rPr>
                <w:sz w:val="20"/>
                <w:szCs w:val="20"/>
                <w:color w:val="auto"/>
              </w:rPr>
            </w:pPr>
            <w:r>
              <w:rPr>
                <w:rFonts w:ascii="Arial" w:cs="Arial" w:eastAsia="Arial" w:hAnsi="Arial"/>
                <w:sz w:val="18"/>
                <w:szCs w:val="18"/>
                <w:color w:val="auto"/>
              </w:rPr>
              <w:t>10,569</w:t>
            </w:r>
          </w:p>
        </w:tc>
        <w:tc>
          <w:tcPr>
            <w:tcW w:w="280" w:type="dxa"/>
            <w:vAlign w:val="bottom"/>
          </w:tcPr>
          <w:p>
            <w:pPr>
              <w:spacing w:after="0"/>
              <w:rPr>
                <w:sz w:val="19"/>
                <w:szCs w:val="19"/>
                <w:color w:val="auto"/>
              </w:rPr>
            </w:pPr>
          </w:p>
        </w:tc>
        <w:tc>
          <w:tcPr>
            <w:tcW w:w="220" w:type="dxa"/>
            <w:vAlign w:val="bottom"/>
            <w:gridSpan w:val="2"/>
          </w:tcPr>
          <w:p>
            <w:pPr>
              <w:jc w:val="right"/>
              <w:ind w:right="90"/>
              <w:spacing w:after="0"/>
              <w:rPr>
                <w:sz w:val="20"/>
                <w:szCs w:val="20"/>
                <w:color w:val="auto"/>
              </w:rPr>
            </w:pPr>
            <w:r>
              <w:rPr>
                <w:rFonts w:ascii="Arial" w:cs="Arial" w:eastAsia="Arial" w:hAnsi="Arial"/>
                <w:sz w:val="15"/>
                <w:szCs w:val="15"/>
                <w:color w:val="auto"/>
                <w:w w:val="71"/>
              </w:rPr>
              <w:t>$</w:t>
            </w:r>
          </w:p>
        </w:tc>
        <w:tc>
          <w:tcPr>
            <w:tcW w:w="1360" w:type="dxa"/>
            <w:vAlign w:val="bottom"/>
          </w:tcPr>
          <w:p>
            <w:pPr>
              <w:jc w:val="right"/>
              <w:spacing w:after="0"/>
              <w:rPr>
                <w:sz w:val="20"/>
                <w:szCs w:val="20"/>
                <w:color w:val="auto"/>
              </w:rPr>
            </w:pPr>
            <w:r>
              <w:rPr>
                <w:rFonts w:ascii="Arial" w:cs="Arial" w:eastAsia="Arial" w:hAnsi="Arial"/>
                <w:sz w:val="18"/>
                <w:szCs w:val="18"/>
                <w:color w:val="auto"/>
              </w:rPr>
              <w:t>3,235</w:t>
            </w:r>
          </w:p>
        </w:tc>
        <w:tc>
          <w:tcPr>
            <w:tcW w:w="120" w:type="dxa"/>
            <w:vAlign w:val="bottom"/>
          </w:tcPr>
          <w:p>
            <w:pPr>
              <w:spacing w:after="0"/>
              <w:rPr>
                <w:sz w:val="19"/>
                <w:szCs w:val="19"/>
                <w:color w:val="auto"/>
              </w:rPr>
            </w:pPr>
          </w:p>
        </w:tc>
      </w:tr>
      <w:tr>
        <w:trPr>
          <w:trHeight w:val="229"/>
        </w:trPr>
        <w:tc>
          <w:tcPr>
            <w:tcW w:w="7860" w:type="dxa"/>
            <w:vAlign w:val="bottom"/>
            <w:shd w:val="clear" w:color="auto" w:fill="CFF0FC"/>
          </w:tcPr>
          <w:p>
            <w:pPr>
              <w:ind w:left="260"/>
              <w:spacing w:after="0"/>
              <w:rPr>
                <w:sz w:val="20"/>
                <w:szCs w:val="20"/>
                <w:color w:val="auto"/>
              </w:rPr>
            </w:pPr>
            <w:r>
              <w:rPr>
                <w:rFonts w:ascii="Arial" w:cs="Arial" w:eastAsia="Arial" w:hAnsi="Arial"/>
                <w:sz w:val="18"/>
                <w:szCs w:val="18"/>
                <w:color w:val="auto"/>
              </w:rPr>
              <w:t>Self-insured liability</w:t>
            </w:r>
          </w:p>
        </w:tc>
        <w:tc>
          <w:tcPr>
            <w:tcW w:w="280" w:type="dxa"/>
            <w:vAlign w:val="bottom"/>
            <w:shd w:val="clear" w:color="auto" w:fill="CFF0FC"/>
          </w:tcPr>
          <w:p>
            <w:pPr>
              <w:spacing w:after="0"/>
              <w:rPr>
                <w:sz w:val="19"/>
                <w:szCs w:val="19"/>
                <w:color w:val="auto"/>
              </w:rPr>
            </w:pPr>
          </w:p>
        </w:tc>
        <w:tc>
          <w:tcPr>
            <w:tcW w:w="13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5,894</w:t>
            </w:r>
          </w:p>
        </w:tc>
        <w:tc>
          <w:tcPr>
            <w:tcW w:w="28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3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6,208</w:t>
            </w:r>
          </w:p>
        </w:tc>
        <w:tc>
          <w:tcPr>
            <w:tcW w:w="120" w:type="dxa"/>
            <w:vAlign w:val="bottom"/>
            <w:shd w:val="clear" w:color="auto" w:fill="CFF0FC"/>
          </w:tcPr>
          <w:p>
            <w:pPr>
              <w:spacing w:after="0"/>
              <w:rPr>
                <w:sz w:val="19"/>
                <w:szCs w:val="19"/>
                <w:color w:val="auto"/>
              </w:rPr>
            </w:pPr>
          </w:p>
        </w:tc>
      </w:tr>
      <w:tr>
        <w:trPr>
          <w:trHeight w:val="229"/>
        </w:trPr>
        <w:tc>
          <w:tcPr>
            <w:tcW w:w="7860" w:type="dxa"/>
            <w:vAlign w:val="bottom"/>
          </w:tcPr>
          <w:p>
            <w:pPr>
              <w:ind w:left="260"/>
              <w:spacing w:after="0"/>
              <w:rPr>
                <w:sz w:val="20"/>
                <w:szCs w:val="20"/>
                <w:color w:val="auto"/>
              </w:rPr>
            </w:pPr>
            <w:r>
              <w:rPr>
                <w:rFonts w:ascii="Arial" w:cs="Arial" w:eastAsia="Arial" w:hAnsi="Arial"/>
                <w:sz w:val="18"/>
                <w:szCs w:val="18"/>
                <w:color w:val="auto"/>
              </w:rPr>
              <w:t>Accrued employee benefit costs</w:t>
            </w:r>
          </w:p>
        </w:tc>
        <w:tc>
          <w:tcPr>
            <w:tcW w:w="280" w:type="dxa"/>
            <w:vAlign w:val="bottom"/>
          </w:tcPr>
          <w:p>
            <w:pPr>
              <w:spacing w:after="0"/>
              <w:rPr>
                <w:sz w:val="19"/>
                <w:szCs w:val="19"/>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5,442</w:t>
            </w:r>
          </w:p>
        </w:tc>
        <w:tc>
          <w:tcPr>
            <w:tcW w:w="2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2,915</w:t>
            </w:r>
          </w:p>
        </w:tc>
        <w:tc>
          <w:tcPr>
            <w:tcW w:w="120" w:type="dxa"/>
            <w:vAlign w:val="bottom"/>
          </w:tcPr>
          <w:p>
            <w:pPr>
              <w:spacing w:after="0"/>
              <w:rPr>
                <w:sz w:val="19"/>
                <w:szCs w:val="19"/>
                <w:color w:val="auto"/>
              </w:rPr>
            </w:pPr>
          </w:p>
        </w:tc>
      </w:tr>
      <w:tr>
        <w:trPr>
          <w:trHeight w:val="229"/>
        </w:trPr>
        <w:tc>
          <w:tcPr>
            <w:tcW w:w="7860" w:type="dxa"/>
            <w:vAlign w:val="bottom"/>
            <w:shd w:val="clear" w:color="auto" w:fill="CFF0FC"/>
          </w:tcPr>
          <w:p>
            <w:pPr>
              <w:ind w:left="260"/>
              <w:spacing w:after="0" w:line="228" w:lineRule="exact"/>
              <w:rPr>
                <w:sz w:val="20"/>
                <w:szCs w:val="20"/>
                <w:color w:val="auto"/>
              </w:rPr>
            </w:pPr>
            <w:r>
              <w:rPr>
                <w:rFonts w:ascii="Arial" w:cs="Arial" w:eastAsia="Arial" w:hAnsi="Arial"/>
                <w:sz w:val="17"/>
                <w:szCs w:val="17"/>
                <w:color w:val="auto"/>
              </w:rPr>
              <w:t xml:space="preserve">Accommodation services deposits </w:t>
            </w:r>
            <w:r>
              <w:rPr>
                <w:rFonts w:ascii="Arial" w:cs="Arial" w:eastAsia="Arial" w:hAnsi="Arial"/>
                <w:sz w:val="26"/>
                <w:szCs w:val="26"/>
                <w:color w:val="auto"/>
                <w:vertAlign w:val="superscript"/>
              </w:rPr>
              <w:t>(1)</w:t>
            </w:r>
          </w:p>
        </w:tc>
        <w:tc>
          <w:tcPr>
            <w:tcW w:w="280" w:type="dxa"/>
            <w:vAlign w:val="bottom"/>
            <w:shd w:val="clear" w:color="auto" w:fill="CFF0FC"/>
          </w:tcPr>
          <w:p>
            <w:pPr>
              <w:spacing w:after="0"/>
              <w:rPr>
                <w:sz w:val="19"/>
                <w:szCs w:val="19"/>
                <w:color w:val="auto"/>
              </w:rPr>
            </w:pPr>
          </w:p>
        </w:tc>
        <w:tc>
          <w:tcPr>
            <w:tcW w:w="13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5,090</w:t>
            </w:r>
          </w:p>
        </w:tc>
        <w:tc>
          <w:tcPr>
            <w:tcW w:w="28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3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2,540</w:t>
            </w:r>
          </w:p>
        </w:tc>
        <w:tc>
          <w:tcPr>
            <w:tcW w:w="120" w:type="dxa"/>
            <w:vAlign w:val="bottom"/>
            <w:shd w:val="clear" w:color="auto" w:fill="CFF0FC"/>
          </w:tcPr>
          <w:p>
            <w:pPr>
              <w:spacing w:after="0"/>
              <w:rPr>
                <w:sz w:val="19"/>
                <w:szCs w:val="19"/>
                <w:color w:val="auto"/>
              </w:rPr>
            </w:pPr>
          </w:p>
        </w:tc>
      </w:tr>
      <w:tr>
        <w:trPr>
          <w:trHeight w:val="229"/>
        </w:trPr>
        <w:tc>
          <w:tcPr>
            <w:tcW w:w="7860" w:type="dxa"/>
            <w:vAlign w:val="bottom"/>
          </w:tcPr>
          <w:p>
            <w:pPr>
              <w:ind w:left="260"/>
              <w:spacing w:after="0"/>
              <w:rPr>
                <w:sz w:val="20"/>
                <w:szCs w:val="20"/>
                <w:color w:val="auto"/>
              </w:rPr>
            </w:pPr>
            <w:r>
              <w:rPr>
                <w:rFonts w:ascii="Arial" w:cs="Arial" w:eastAsia="Arial" w:hAnsi="Arial"/>
                <w:sz w:val="18"/>
                <w:szCs w:val="18"/>
                <w:color w:val="auto"/>
              </w:rPr>
              <w:t>Accrued sales and use taxes</w:t>
            </w:r>
          </w:p>
        </w:tc>
        <w:tc>
          <w:tcPr>
            <w:tcW w:w="280" w:type="dxa"/>
            <w:vAlign w:val="bottom"/>
          </w:tcPr>
          <w:p>
            <w:pPr>
              <w:spacing w:after="0"/>
              <w:rPr>
                <w:sz w:val="19"/>
                <w:szCs w:val="19"/>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4,298</w:t>
            </w:r>
          </w:p>
        </w:tc>
        <w:tc>
          <w:tcPr>
            <w:tcW w:w="2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2,431</w:t>
            </w:r>
          </w:p>
        </w:tc>
        <w:tc>
          <w:tcPr>
            <w:tcW w:w="120" w:type="dxa"/>
            <w:vAlign w:val="bottom"/>
          </w:tcPr>
          <w:p>
            <w:pPr>
              <w:spacing w:after="0"/>
              <w:rPr>
                <w:sz w:val="19"/>
                <w:szCs w:val="19"/>
                <w:color w:val="auto"/>
              </w:rPr>
            </w:pPr>
          </w:p>
        </w:tc>
      </w:tr>
      <w:tr>
        <w:trPr>
          <w:trHeight w:val="229"/>
        </w:trPr>
        <w:tc>
          <w:tcPr>
            <w:tcW w:w="7860" w:type="dxa"/>
            <w:vAlign w:val="bottom"/>
            <w:shd w:val="clear" w:color="auto" w:fill="CFF0FC"/>
          </w:tcPr>
          <w:p>
            <w:pPr>
              <w:ind w:left="260"/>
              <w:spacing w:after="0"/>
              <w:rPr>
                <w:sz w:val="20"/>
                <w:szCs w:val="20"/>
                <w:color w:val="auto"/>
              </w:rPr>
            </w:pPr>
            <w:r>
              <w:rPr>
                <w:rFonts w:ascii="Arial" w:cs="Arial" w:eastAsia="Arial" w:hAnsi="Arial"/>
                <w:sz w:val="18"/>
                <w:szCs w:val="18"/>
                <w:color w:val="auto"/>
              </w:rPr>
              <w:t>Accrued dividends</w:t>
            </w:r>
          </w:p>
        </w:tc>
        <w:tc>
          <w:tcPr>
            <w:tcW w:w="280" w:type="dxa"/>
            <w:vAlign w:val="bottom"/>
            <w:shd w:val="clear" w:color="auto" w:fill="CFF0FC"/>
          </w:tcPr>
          <w:p>
            <w:pPr>
              <w:spacing w:after="0"/>
              <w:rPr>
                <w:sz w:val="19"/>
                <w:szCs w:val="19"/>
                <w:color w:val="auto"/>
              </w:rPr>
            </w:pPr>
          </w:p>
        </w:tc>
        <w:tc>
          <w:tcPr>
            <w:tcW w:w="13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2,095</w:t>
            </w:r>
          </w:p>
        </w:tc>
        <w:tc>
          <w:tcPr>
            <w:tcW w:w="28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3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2,094</w:t>
            </w:r>
          </w:p>
        </w:tc>
        <w:tc>
          <w:tcPr>
            <w:tcW w:w="120" w:type="dxa"/>
            <w:vAlign w:val="bottom"/>
            <w:shd w:val="clear" w:color="auto" w:fill="CFF0FC"/>
          </w:tcPr>
          <w:p>
            <w:pPr>
              <w:spacing w:after="0"/>
              <w:rPr>
                <w:sz w:val="19"/>
                <w:szCs w:val="19"/>
                <w:color w:val="auto"/>
              </w:rPr>
            </w:pPr>
          </w:p>
        </w:tc>
      </w:tr>
      <w:tr>
        <w:trPr>
          <w:trHeight w:val="229"/>
        </w:trPr>
        <w:tc>
          <w:tcPr>
            <w:tcW w:w="7860" w:type="dxa"/>
            <w:vAlign w:val="bottom"/>
          </w:tcPr>
          <w:p>
            <w:pPr>
              <w:ind w:left="260"/>
              <w:spacing w:after="0"/>
              <w:rPr>
                <w:sz w:val="20"/>
                <w:szCs w:val="20"/>
                <w:color w:val="auto"/>
              </w:rPr>
            </w:pPr>
            <w:r>
              <w:rPr>
                <w:rFonts w:ascii="Arial" w:cs="Arial" w:eastAsia="Arial" w:hAnsi="Arial"/>
                <w:sz w:val="18"/>
                <w:szCs w:val="18"/>
                <w:color w:val="auto"/>
              </w:rPr>
              <w:t>Current portion of pension and postretirement liabilities</w:t>
            </w:r>
          </w:p>
        </w:tc>
        <w:tc>
          <w:tcPr>
            <w:tcW w:w="280" w:type="dxa"/>
            <w:vAlign w:val="bottom"/>
          </w:tcPr>
          <w:p>
            <w:pPr>
              <w:spacing w:after="0"/>
              <w:rPr>
                <w:sz w:val="19"/>
                <w:szCs w:val="19"/>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1,921</w:t>
            </w:r>
          </w:p>
        </w:tc>
        <w:tc>
          <w:tcPr>
            <w:tcW w:w="2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2,109</w:t>
            </w:r>
          </w:p>
        </w:tc>
        <w:tc>
          <w:tcPr>
            <w:tcW w:w="120" w:type="dxa"/>
            <w:vAlign w:val="bottom"/>
          </w:tcPr>
          <w:p>
            <w:pPr>
              <w:spacing w:after="0"/>
              <w:rPr>
                <w:sz w:val="19"/>
                <w:szCs w:val="19"/>
                <w:color w:val="auto"/>
              </w:rPr>
            </w:pPr>
          </w:p>
        </w:tc>
      </w:tr>
      <w:tr>
        <w:trPr>
          <w:trHeight w:val="229"/>
        </w:trPr>
        <w:tc>
          <w:tcPr>
            <w:tcW w:w="7860" w:type="dxa"/>
            <w:vAlign w:val="bottom"/>
            <w:shd w:val="clear" w:color="auto" w:fill="CFF0FC"/>
          </w:tcPr>
          <w:p>
            <w:pPr>
              <w:ind w:left="260"/>
              <w:spacing w:after="0"/>
              <w:rPr>
                <w:sz w:val="20"/>
                <w:szCs w:val="20"/>
                <w:color w:val="auto"/>
              </w:rPr>
            </w:pPr>
            <w:r>
              <w:rPr>
                <w:rFonts w:ascii="Arial" w:cs="Arial" w:eastAsia="Arial" w:hAnsi="Arial"/>
                <w:sz w:val="18"/>
                <w:szCs w:val="18"/>
                <w:color w:val="auto"/>
              </w:rPr>
              <w:t>Deferred rent</w:t>
            </w:r>
          </w:p>
        </w:tc>
        <w:tc>
          <w:tcPr>
            <w:tcW w:w="280" w:type="dxa"/>
            <w:vAlign w:val="bottom"/>
            <w:shd w:val="clear" w:color="auto" w:fill="CFF0FC"/>
          </w:tcPr>
          <w:p>
            <w:pPr>
              <w:spacing w:after="0"/>
              <w:rPr>
                <w:sz w:val="19"/>
                <w:szCs w:val="19"/>
                <w:color w:val="auto"/>
              </w:rPr>
            </w:pPr>
          </w:p>
        </w:tc>
        <w:tc>
          <w:tcPr>
            <w:tcW w:w="13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1,691</w:t>
            </w:r>
          </w:p>
        </w:tc>
        <w:tc>
          <w:tcPr>
            <w:tcW w:w="28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3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1,679</w:t>
            </w:r>
          </w:p>
        </w:tc>
        <w:tc>
          <w:tcPr>
            <w:tcW w:w="120" w:type="dxa"/>
            <w:vAlign w:val="bottom"/>
            <w:shd w:val="clear" w:color="auto" w:fill="CFF0FC"/>
          </w:tcPr>
          <w:p>
            <w:pPr>
              <w:spacing w:after="0"/>
              <w:rPr>
                <w:sz w:val="19"/>
                <w:szCs w:val="19"/>
                <w:color w:val="auto"/>
              </w:rPr>
            </w:pPr>
          </w:p>
        </w:tc>
      </w:tr>
      <w:tr>
        <w:trPr>
          <w:trHeight w:val="229"/>
        </w:trPr>
        <w:tc>
          <w:tcPr>
            <w:tcW w:w="7860" w:type="dxa"/>
            <w:vAlign w:val="bottom"/>
          </w:tcPr>
          <w:p>
            <w:pPr>
              <w:ind w:left="260"/>
              <w:spacing w:after="0"/>
              <w:rPr>
                <w:sz w:val="20"/>
                <w:szCs w:val="20"/>
                <w:color w:val="auto"/>
              </w:rPr>
            </w:pPr>
            <w:r>
              <w:rPr>
                <w:rFonts w:ascii="Arial" w:cs="Arial" w:eastAsia="Arial" w:hAnsi="Arial"/>
                <w:sz w:val="18"/>
                <w:szCs w:val="18"/>
                <w:color w:val="auto"/>
              </w:rPr>
              <w:t>Accrued professional fees</w:t>
            </w:r>
          </w:p>
        </w:tc>
        <w:tc>
          <w:tcPr>
            <w:tcW w:w="280" w:type="dxa"/>
            <w:vAlign w:val="bottom"/>
          </w:tcPr>
          <w:p>
            <w:pPr>
              <w:spacing w:after="0"/>
              <w:rPr>
                <w:sz w:val="19"/>
                <w:szCs w:val="19"/>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1,328</w:t>
            </w:r>
          </w:p>
        </w:tc>
        <w:tc>
          <w:tcPr>
            <w:tcW w:w="2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1,020</w:t>
            </w:r>
          </w:p>
        </w:tc>
        <w:tc>
          <w:tcPr>
            <w:tcW w:w="120" w:type="dxa"/>
            <w:vAlign w:val="bottom"/>
          </w:tcPr>
          <w:p>
            <w:pPr>
              <w:spacing w:after="0"/>
              <w:rPr>
                <w:sz w:val="19"/>
                <w:szCs w:val="19"/>
                <w:color w:val="auto"/>
              </w:rPr>
            </w:pPr>
          </w:p>
        </w:tc>
      </w:tr>
      <w:tr>
        <w:trPr>
          <w:trHeight w:val="229"/>
        </w:trPr>
        <w:tc>
          <w:tcPr>
            <w:tcW w:w="7860" w:type="dxa"/>
            <w:vAlign w:val="bottom"/>
            <w:shd w:val="clear" w:color="auto" w:fill="CFF0FC"/>
          </w:tcPr>
          <w:p>
            <w:pPr>
              <w:ind w:left="260"/>
              <w:spacing w:after="0"/>
              <w:rPr>
                <w:sz w:val="20"/>
                <w:szCs w:val="20"/>
                <w:color w:val="auto"/>
              </w:rPr>
            </w:pPr>
            <w:r>
              <w:rPr>
                <w:rFonts w:ascii="Arial" w:cs="Arial" w:eastAsia="Arial" w:hAnsi="Arial"/>
                <w:sz w:val="18"/>
                <w:szCs w:val="18"/>
                <w:color w:val="auto"/>
              </w:rPr>
              <w:t>Accrued restructuring</w:t>
            </w:r>
          </w:p>
        </w:tc>
        <w:tc>
          <w:tcPr>
            <w:tcW w:w="280" w:type="dxa"/>
            <w:vAlign w:val="bottom"/>
            <w:shd w:val="clear" w:color="auto" w:fill="CFF0FC"/>
          </w:tcPr>
          <w:p>
            <w:pPr>
              <w:spacing w:after="0"/>
              <w:rPr>
                <w:sz w:val="19"/>
                <w:szCs w:val="19"/>
                <w:color w:val="auto"/>
              </w:rPr>
            </w:pPr>
          </w:p>
        </w:tc>
        <w:tc>
          <w:tcPr>
            <w:tcW w:w="13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461</w:t>
            </w:r>
          </w:p>
        </w:tc>
        <w:tc>
          <w:tcPr>
            <w:tcW w:w="28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3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722</w:t>
            </w:r>
          </w:p>
        </w:tc>
        <w:tc>
          <w:tcPr>
            <w:tcW w:w="120" w:type="dxa"/>
            <w:vAlign w:val="bottom"/>
            <w:shd w:val="clear" w:color="auto" w:fill="CFF0FC"/>
          </w:tcPr>
          <w:p>
            <w:pPr>
              <w:spacing w:after="0"/>
              <w:rPr>
                <w:sz w:val="19"/>
                <w:szCs w:val="19"/>
                <w:color w:val="auto"/>
              </w:rPr>
            </w:pPr>
          </w:p>
        </w:tc>
      </w:tr>
      <w:tr>
        <w:trPr>
          <w:trHeight w:val="229"/>
        </w:trPr>
        <w:tc>
          <w:tcPr>
            <w:tcW w:w="7860" w:type="dxa"/>
            <w:vAlign w:val="bottom"/>
          </w:tcPr>
          <w:p>
            <w:pPr>
              <w:ind w:left="260"/>
              <w:spacing w:after="0"/>
              <w:rPr>
                <w:sz w:val="20"/>
                <w:szCs w:val="20"/>
                <w:color w:val="auto"/>
              </w:rPr>
            </w:pPr>
            <w:r>
              <w:rPr>
                <w:rFonts w:ascii="Arial" w:cs="Arial" w:eastAsia="Arial" w:hAnsi="Arial"/>
                <w:sz w:val="18"/>
                <w:szCs w:val="18"/>
                <w:color w:val="auto"/>
              </w:rPr>
              <w:t>Accrued income tax payable</w:t>
            </w:r>
          </w:p>
        </w:tc>
        <w:tc>
          <w:tcPr>
            <w:tcW w:w="280" w:type="dxa"/>
            <w:vAlign w:val="bottom"/>
          </w:tcPr>
          <w:p>
            <w:pPr>
              <w:spacing w:after="0"/>
              <w:rPr>
                <w:sz w:val="19"/>
                <w:szCs w:val="19"/>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113</w:t>
            </w:r>
          </w:p>
        </w:tc>
        <w:tc>
          <w:tcPr>
            <w:tcW w:w="2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7,518</w:t>
            </w:r>
          </w:p>
        </w:tc>
        <w:tc>
          <w:tcPr>
            <w:tcW w:w="120" w:type="dxa"/>
            <w:vAlign w:val="bottom"/>
          </w:tcPr>
          <w:p>
            <w:pPr>
              <w:spacing w:after="0"/>
              <w:rPr>
                <w:sz w:val="19"/>
                <w:szCs w:val="19"/>
                <w:color w:val="auto"/>
              </w:rPr>
            </w:pPr>
          </w:p>
        </w:tc>
      </w:tr>
      <w:tr>
        <w:trPr>
          <w:trHeight w:val="229"/>
        </w:trPr>
        <w:tc>
          <w:tcPr>
            <w:tcW w:w="7860" w:type="dxa"/>
            <w:vAlign w:val="bottom"/>
            <w:shd w:val="clear" w:color="auto" w:fill="CFF0FC"/>
          </w:tcPr>
          <w:p>
            <w:pPr>
              <w:ind w:left="260"/>
              <w:spacing w:after="0" w:line="228" w:lineRule="exact"/>
              <w:rPr>
                <w:sz w:val="20"/>
                <w:szCs w:val="20"/>
                <w:color w:val="auto"/>
              </w:rPr>
            </w:pPr>
            <w:r>
              <w:rPr>
                <w:rFonts w:ascii="Arial" w:cs="Arial" w:eastAsia="Arial" w:hAnsi="Arial"/>
                <w:sz w:val="17"/>
                <w:szCs w:val="17"/>
                <w:color w:val="auto"/>
              </w:rPr>
              <w:t xml:space="preserve">Accrued rebates </w:t>
            </w:r>
            <w:r>
              <w:rPr>
                <w:rFonts w:ascii="Arial" w:cs="Arial" w:eastAsia="Arial" w:hAnsi="Arial"/>
                <w:sz w:val="26"/>
                <w:szCs w:val="26"/>
                <w:color w:val="auto"/>
                <w:vertAlign w:val="superscript"/>
              </w:rPr>
              <w:t>(2)</w:t>
            </w:r>
          </w:p>
        </w:tc>
        <w:tc>
          <w:tcPr>
            <w:tcW w:w="280" w:type="dxa"/>
            <w:vAlign w:val="bottom"/>
            <w:shd w:val="clear" w:color="auto" w:fill="CFF0FC"/>
          </w:tcPr>
          <w:p>
            <w:pPr>
              <w:spacing w:after="0"/>
              <w:rPr>
                <w:sz w:val="19"/>
                <w:szCs w:val="19"/>
                <w:color w:val="auto"/>
              </w:rPr>
            </w:pPr>
          </w:p>
        </w:tc>
        <w:tc>
          <w:tcPr>
            <w:tcW w:w="1580" w:type="dxa"/>
            <w:vAlign w:val="bottom"/>
            <w:gridSpan w:val="2"/>
            <w:shd w:val="clear" w:color="auto" w:fill="CFF0FC"/>
          </w:tcPr>
          <w:p>
            <w:pPr>
              <w:jc w:val="right"/>
              <w:ind w:right="300"/>
              <w:spacing w:after="0"/>
              <w:rPr>
                <w:sz w:val="20"/>
                <w:szCs w:val="20"/>
                <w:color w:val="auto"/>
              </w:rPr>
            </w:pPr>
            <w:r>
              <w:rPr>
                <w:rFonts w:ascii="Arial" w:cs="Arial" w:eastAsia="Arial" w:hAnsi="Arial"/>
                <w:sz w:val="18"/>
                <w:szCs w:val="18"/>
                <w:color w:val="auto"/>
              </w:rPr>
              <w:t>—</w:t>
            </w:r>
          </w:p>
        </w:tc>
        <w:tc>
          <w:tcPr>
            <w:tcW w:w="2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480" w:type="dxa"/>
            <w:vAlign w:val="bottom"/>
            <w:gridSpan w:val="2"/>
            <w:shd w:val="clear" w:color="auto" w:fill="CFF0FC"/>
          </w:tcPr>
          <w:p>
            <w:pPr>
              <w:jc w:val="right"/>
              <w:ind w:right="140"/>
              <w:spacing w:after="0"/>
              <w:rPr>
                <w:sz w:val="20"/>
                <w:szCs w:val="20"/>
                <w:color w:val="auto"/>
              </w:rPr>
            </w:pPr>
            <w:r>
              <w:rPr>
                <w:rFonts w:ascii="Arial" w:cs="Arial" w:eastAsia="Arial" w:hAnsi="Arial"/>
                <w:sz w:val="18"/>
                <w:szCs w:val="18"/>
                <w:color w:val="auto"/>
              </w:rPr>
              <w:t>—</w:t>
            </w:r>
          </w:p>
        </w:tc>
      </w:tr>
      <w:tr>
        <w:trPr>
          <w:trHeight w:val="229"/>
        </w:trPr>
        <w:tc>
          <w:tcPr>
            <w:tcW w:w="7860" w:type="dxa"/>
            <w:vAlign w:val="bottom"/>
          </w:tcPr>
          <w:p>
            <w:pPr>
              <w:ind w:left="260"/>
              <w:spacing w:after="0"/>
              <w:rPr>
                <w:sz w:val="20"/>
                <w:szCs w:val="20"/>
                <w:color w:val="auto"/>
              </w:rPr>
            </w:pPr>
            <w:r>
              <w:rPr>
                <w:rFonts w:ascii="Arial" w:cs="Arial" w:eastAsia="Arial" w:hAnsi="Arial"/>
                <w:sz w:val="18"/>
                <w:szCs w:val="18"/>
                <w:color w:val="auto"/>
              </w:rPr>
              <w:t>Other taxes</w:t>
            </w:r>
          </w:p>
        </w:tc>
        <w:tc>
          <w:tcPr>
            <w:tcW w:w="280" w:type="dxa"/>
            <w:vAlign w:val="bottom"/>
          </w:tcPr>
          <w:p>
            <w:pPr>
              <w:spacing w:after="0"/>
              <w:rPr>
                <w:sz w:val="19"/>
                <w:szCs w:val="19"/>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2,570</w:t>
            </w:r>
          </w:p>
        </w:tc>
        <w:tc>
          <w:tcPr>
            <w:tcW w:w="2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2,750</w:t>
            </w:r>
          </w:p>
        </w:tc>
        <w:tc>
          <w:tcPr>
            <w:tcW w:w="120" w:type="dxa"/>
            <w:vAlign w:val="bottom"/>
          </w:tcPr>
          <w:p>
            <w:pPr>
              <w:spacing w:after="0"/>
              <w:rPr>
                <w:sz w:val="19"/>
                <w:szCs w:val="19"/>
                <w:color w:val="auto"/>
              </w:rPr>
            </w:pPr>
          </w:p>
        </w:tc>
      </w:tr>
      <w:tr>
        <w:trPr>
          <w:trHeight w:val="229"/>
        </w:trPr>
        <w:tc>
          <w:tcPr>
            <w:tcW w:w="7860" w:type="dxa"/>
            <w:vAlign w:val="bottom"/>
            <w:shd w:val="clear" w:color="auto" w:fill="CFF0FC"/>
          </w:tcPr>
          <w:p>
            <w:pPr>
              <w:ind w:left="260"/>
              <w:spacing w:after="0"/>
              <w:rPr>
                <w:sz w:val="20"/>
                <w:szCs w:val="20"/>
                <w:color w:val="auto"/>
              </w:rPr>
            </w:pPr>
            <w:r>
              <w:rPr>
                <w:rFonts w:ascii="Arial" w:cs="Arial" w:eastAsia="Arial" w:hAnsi="Arial"/>
                <w:sz w:val="18"/>
                <w:szCs w:val="18"/>
                <w:color w:val="auto"/>
              </w:rPr>
              <w:t>Other</w:t>
            </w:r>
          </w:p>
        </w:tc>
        <w:tc>
          <w:tcPr>
            <w:tcW w:w="280" w:type="dxa"/>
            <w:vAlign w:val="bottom"/>
            <w:tcBorders>
              <w:bottom w:val="single" w:sz="8" w:color="auto"/>
            </w:tcBorders>
            <w:shd w:val="clear" w:color="auto" w:fill="CFF0FC"/>
          </w:tcPr>
          <w:p>
            <w:pPr>
              <w:spacing w:after="0"/>
              <w:rPr>
                <w:sz w:val="19"/>
                <w:szCs w:val="19"/>
                <w:color w:val="auto"/>
              </w:rPr>
            </w:pPr>
          </w:p>
        </w:tc>
        <w:tc>
          <w:tcPr>
            <w:tcW w:w="13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8,234</w:t>
            </w:r>
          </w:p>
        </w:tc>
        <w:tc>
          <w:tcPr>
            <w:tcW w:w="28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200" w:type="dxa"/>
            <w:vAlign w:val="bottom"/>
            <w:tcBorders>
              <w:bottom w:val="single" w:sz="8" w:color="auto"/>
            </w:tcBorders>
            <w:shd w:val="clear" w:color="auto" w:fill="CFF0FC"/>
          </w:tcPr>
          <w:p>
            <w:pPr>
              <w:spacing w:after="0"/>
              <w:rPr>
                <w:sz w:val="19"/>
                <w:szCs w:val="19"/>
                <w:color w:val="auto"/>
              </w:rPr>
            </w:pPr>
          </w:p>
        </w:tc>
        <w:tc>
          <w:tcPr>
            <w:tcW w:w="13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3,852</w:t>
            </w:r>
          </w:p>
        </w:tc>
        <w:tc>
          <w:tcPr>
            <w:tcW w:w="120" w:type="dxa"/>
            <w:vAlign w:val="bottom"/>
            <w:shd w:val="clear" w:color="auto" w:fill="CFF0FC"/>
          </w:tcPr>
          <w:p>
            <w:pPr>
              <w:spacing w:after="0"/>
              <w:rPr>
                <w:sz w:val="19"/>
                <w:szCs w:val="19"/>
                <w:color w:val="auto"/>
              </w:rPr>
            </w:pPr>
          </w:p>
        </w:tc>
      </w:tr>
      <w:tr>
        <w:trPr>
          <w:trHeight w:val="222"/>
        </w:trPr>
        <w:tc>
          <w:tcPr>
            <w:tcW w:w="7860" w:type="dxa"/>
            <w:vAlign w:val="bottom"/>
            <w:tcBorders>
              <w:bottom w:val="single" w:sz="8" w:color="CFF0FC"/>
            </w:tcBorders>
          </w:tcPr>
          <w:p>
            <w:pPr>
              <w:spacing w:after="0"/>
              <w:rPr>
                <w:sz w:val="20"/>
                <w:szCs w:val="20"/>
                <w:color w:val="auto"/>
              </w:rPr>
            </w:pPr>
            <w:r>
              <w:rPr>
                <w:rFonts w:ascii="Arial" w:cs="Arial" w:eastAsia="Arial" w:hAnsi="Arial"/>
                <w:sz w:val="18"/>
                <w:szCs w:val="18"/>
                <w:b w:val="1"/>
                <w:bCs w:val="1"/>
                <w:color w:val="auto"/>
              </w:rPr>
              <w:t>Total continuing operations</w:t>
            </w:r>
          </w:p>
        </w:tc>
        <w:tc>
          <w:tcPr>
            <w:tcW w:w="280" w:type="dxa"/>
            <w:vAlign w:val="bottom"/>
            <w:tcBorders>
              <w:bottom w:val="single" w:sz="8" w:color="auto"/>
            </w:tcBorders>
          </w:tcPr>
          <w:p>
            <w:pPr>
              <w:spacing w:after="0"/>
              <w:rPr>
                <w:sz w:val="19"/>
                <w:szCs w:val="19"/>
                <w:color w:val="auto"/>
              </w:rPr>
            </w:pPr>
          </w:p>
        </w:tc>
        <w:tc>
          <w:tcPr>
            <w:tcW w:w="13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49,706</w:t>
            </w:r>
          </w:p>
        </w:tc>
        <w:tc>
          <w:tcPr>
            <w:tcW w:w="280" w:type="dxa"/>
            <w:vAlign w:val="bottom"/>
            <w:tcBorders>
              <w:bottom w:val="single" w:sz="8" w:color="CFF0FC"/>
            </w:tcBorders>
          </w:tcPr>
          <w:p>
            <w:pPr>
              <w:spacing w:after="0"/>
              <w:rPr>
                <w:sz w:val="19"/>
                <w:szCs w:val="19"/>
                <w:color w:val="auto"/>
              </w:rPr>
            </w:pPr>
          </w:p>
        </w:tc>
        <w:tc>
          <w:tcPr>
            <w:tcW w:w="20" w:type="dxa"/>
            <w:vAlign w:val="bottom"/>
            <w:tcBorders>
              <w:bottom w:val="single" w:sz="8" w:color="CFF0FC"/>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13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39,073</w:t>
            </w:r>
          </w:p>
        </w:tc>
        <w:tc>
          <w:tcPr>
            <w:tcW w:w="120" w:type="dxa"/>
            <w:vAlign w:val="bottom"/>
            <w:tcBorders>
              <w:bottom w:val="single" w:sz="8" w:color="CFF0FC"/>
            </w:tcBorders>
          </w:tcPr>
          <w:p>
            <w:pPr>
              <w:spacing w:after="0"/>
              <w:rPr>
                <w:sz w:val="19"/>
                <w:szCs w:val="19"/>
                <w:color w:val="auto"/>
              </w:rPr>
            </w:pPr>
          </w:p>
        </w:tc>
      </w:tr>
      <w:tr>
        <w:trPr>
          <w:trHeight w:val="222"/>
        </w:trPr>
        <w:tc>
          <w:tcPr>
            <w:tcW w:w="7860" w:type="dxa"/>
            <w:vAlign w:val="bottom"/>
            <w:shd w:val="clear" w:color="auto" w:fill="CFF0FC"/>
          </w:tcPr>
          <w:p>
            <w:pPr>
              <w:spacing w:after="0"/>
              <w:rPr>
                <w:sz w:val="20"/>
                <w:szCs w:val="20"/>
                <w:color w:val="auto"/>
              </w:rPr>
            </w:pPr>
            <w:r>
              <w:rPr>
                <w:rFonts w:ascii="Arial" w:cs="Arial" w:eastAsia="Arial" w:hAnsi="Arial"/>
                <w:sz w:val="18"/>
                <w:szCs w:val="18"/>
                <w:color w:val="auto"/>
              </w:rPr>
              <w:t>Discontinued operations:</w:t>
            </w:r>
          </w:p>
        </w:tc>
        <w:tc>
          <w:tcPr>
            <w:tcW w:w="280" w:type="dxa"/>
            <w:vAlign w:val="bottom"/>
            <w:shd w:val="clear" w:color="auto" w:fill="CFF0FC"/>
          </w:tcPr>
          <w:p>
            <w:pPr>
              <w:spacing w:after="0"/>
              <w:rPr>
                <w:sz w:val="19"/>
                <w:szCs w:val="19"/>
                <w:color w:val="auto"/>
              </w:rPr>
            </w:pPr>
          </w:p>
        </w:tc>
        <w:tc>
          <w:tcPr>
            <w:tcW w:w="130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36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r>
      <w:tr>
        <w:trPr>
          <w:trHeight w:val="229"/>
        </w:trPr>
        <w:tc>
          <w:tcPr>
            <w:tcW w:w="7860" w:type="dxa"/>
            <w:vAlign w:val="bottom"/>
          </w:tcPr>
          <w:p>
            <w:pPr>
              <w:ind w:left="260"/>
              <w:spacing w:after="0"/>
              <w:rPr>
                <w:sz w:val="20"/>
                <w:szCs w:val="20"/>
                <w:color w:val="auto"/>
              </w:rPr>
            </w:pPr>
            <w:r>
              <w:rPr>
                <w:rFonts w:ascii="Arial" w:cs="Arial" w:eastAsia="Arial" w:hAnsi="Arial"/>
                <w:sz w:val="18"/>
                <w:szCs w:val="18"/>
                <w:color w:val="auto"/>
              </w:rPr>
              <w:t>Environmental remediation liabilities</w:t>
            </w:r>
          </w:p>
        </w:tc>
        <w:tc>
          <w:tcPr>
            <w:tcW w:w="280" w:type="dxa"/>
            <w:vAlign w:val="bottom"/>
          </w:tcPr>
          <w:p>
            <w:pPr>
              <w:spacing w:after="0"/>
              <w:rPr>
                <w:sz w:val="19"/>
                <w:szCs w:val="19"/>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675</w:t>
            </w:r>
          </w:p>
        </w:tc>
        <w:tc>
          <w:tcPr>
            <w:tcW w:w="2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648</w:t>
            </w:r>
          </w:p>
        </w:tc>
        <w:tc>
          <w:tcPr>
            <w:tcW w:w="120" w:type="dxa"/>
            <w:vAlign w:val="bottom"/>
          </w:tcPr>
          <w:p>
            <w:pPr>
              <w:spacing w:after="0"/>
              <w:rPr>
                <w:sz w:val="19"/>
                <w:szCs w:val="19"/>
                <w:color w:val="auto"/>
              </w:rPr>
            </w:pPr>
          </w:p>
        </w:tc>
      </w:tr>
      <w:tr>
        <w:trPr>
          <w:trHeight w:val="229"/>
        </w:trPr>
        <w:tc>
          <w:tcPr>
            <w:tcW w:w="7860" w:type="dxa"/>
            <w:vAlign w:val="bottom"/>
            <w:shd w:val="clear" w:color="auto" w:fill="CFF0FC"/>
          </w:tcPr>
          <w:p>
            <w:pPr>
              <w:ind w:left="260"/>
              <w:spacing w:after="0"/>
              <w:rPr>
                <w:sz w:val="20"/>
                <w:szCs w:val="20"/>
                <w:color w:val="auto"/>
              </w:rPr>
            </w:pPr>
            <w:r>
              <w:rPr>
                <w:rFonts w:ascii="Arial" w:cs="Arial" w:eastAsia="Arial" w:hAnsi="Arial"/>
                <w:sz w:val="18"/>
                <w:szCs w:val="18"/>
                <w:color w:val="auto"/>
              </w:rPr>
              <w:t>Self-insured liability</w:t>
            </w:r>
          </w:p>
        </w:tc>
        <w:tc>
          <w:tcPr>
            <w:tcW w:w="280" w:type="dxa"/>
            <w:vAlign w:val="bottom"/>
            <w:shd w:val="clear" w:color="auto" w:fill="CFF0FC"/>
          </w:tcPr>
          <w:p>
            <w:pPr>
              <w:spacing w:after="0"/>
              <w:rPr>
                <w:sz w:val="19"/>
                <w:szCs w:val="19"/>
                <w:color w:val="auto"/>
              </w:rPr>
            </w:pPr>
          </w:p>
        </w:tc>
        <w:tc>
          <w:tcPr>
            <w:tcW w:w="13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346</w:t>
            </w:r>
          </w:p>
        </w:tc>
        <w:tc>
          <w:tcPr>
            <w:tcW w:w="28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3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337</w:t>
            </w:r>
          </w:p>
        </w:tc>
        <w:tc>
          <w:tcPr>
            <w:tcW w:w="120" w:type="dxa"/>
            <w:vAlign w:val="bottom"/>
            <w:shd w:val="clear" w:color="auto" w:fill="CFF0FC"/>
          </w:tcPr>
          <w:p>
            <w:pPr>
              <w:spacing w:after="0"/>
              <w:rPr>
                <w:sz w:val="19"/>
                <w:szCs w:val="19"/>
                <w:color w:val="auto"/>
              </w:rPr>
            </w:pPr>
          </w:p>
        </w:tc>
      </w:tr>
      <w:tr>
        <w:trPr>
          <w:trHeight w:val="229"/>
        </w:trPr>
        <w:tc>
          <w:tcPr>
            <w:tcW w:w="7860" w:type="dxa"/>
            <w:vAlign w:val="bottom"/>
            <w:tcBorders>
              <w:bottom w:val="single" w:sz="8" w:color="CFF0FC"/>
            </w:tcBorders>
          </w:tcPr>
          <w:p>
            <w:pPr>
              <w:ind w:left="260"/>
              <w:spacing w:after="0"/>
              <w:rPr>
                <w:sz w:val="20"/>
                <w:szCs w:val="20"/>
                <w:color w:val="auto"/>
              </w:rPr>
            </w:pPr>
            <w:r>
              <w:rPr>
                <w:rFonts w:ascii="Arial" w:cs="Arial" w:eastAsia="Arial" w:hAnsi="Arial"/>
                <w:sz w:val="18"/>
                <w:szCs w:val="18"/>
                <w:color w:val="auto"/>
              </w:rPr>
              <w:t>Other</w:t>
            </w:r>
          </w:p>
        </w:tc>
        <w:tc>
          <w:tcPr>
            <w:tcW w:w="280" w:type="dxa"/>
            <w:vAlign w:val="bottom"/>
            <w:tcBorders>
              <w:bottom w:val="single" w:sz="8" w:color="auto"/>
            </w:tcBorders>
          </w:tcPr>
          <w:p>
            <w:pPr>
              <w:spacing w:after="0"/>
              <w:rPr>
                <w:sz w:val="19"/>
                <w:szCs w:val="19"/>
                <w:color w:val="auto"/>
              </w:rPr>
            </w:pPr>
          </w:p>
        </w:tc>
        <w:tc>
          <w:tcPr>
            <w:tcW w:w="13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90</w:t>
            </w:r>
          </w:p>
        </w:tc>
        <w:tc>
          <w:tcPr>
            <w:tcW w:w="280" w:type="dxa"/>
            <w:vAlign w:val="bottom"/>
            <w:tcBorders>
              <w:bottom w:val="single" w:sz="8" w:color="CFF0FC"/>
            </w:tcBorders>
          </w:tcPr>
          <w:p>
            <w:pPr>
              <w:spacing w:after="0"/>
              <w:rPr>
                <w:sz w:val="19"/>
                <w:szCs w:val="19"/>
                <w:color w:val="auto"/>
              </w:rPr>
            </w:pPr>
          </w:p>
        </w:tc>
        <w:tc>
          <w:tcPr>
            <w:tcW w:w="20" w:type="dxa"/>
            <w:vAlign w:val="bottom"/>
            <w:tcBorders>
              <w:bottom w:val="single" w:sz="8" w:color="CFF0FC"/>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13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96</w:t>
            </w:r>
          </w:p>
        </w:tc>
        <w:tc>
          <w:tcPr>
            <w:tcW w:w="120" w:type="dxa"/>
            <w:vAlign w:val="bottom"/>
            <w:tcBorders>
              <w:bottom w:val="single" w:sz="8" w:color="CFF0FC"/>
            </w:tcBorders>
          </w:tcPr>
          <w:p>
            <w:pPr>
              <w:spacing w:after="0"/>
              <w:rPr>
                <w:sz w:val="19"/>
                <w:szCs w:val="19"/>
                <w:color w:val="auto"/>
              </w:rPr>
            </w:pPr>
          </w:p>
        </w:tc>
      </w:tr>
      <w:tr>
        <w:trPr>
          <w:trHeight w:val="222"/>
        </w:trPr>
        <w:tc>
          <w:tcPr>
            <w:tcW w:w="7860" w:type="dxa"/>
            <w:vAlign w:val="bottom"/>
            <w:shd w:val="clear" w:color="auto" w:fill="CFF0FC"/>
          </w:tcPr>
          <w:p>
            <w:pPr>
              <w:spacing w:after="0"/>
              <w:rPr>
                <w:sz w:val="20"/>
                <w:szCs w:val="20"/>
                <w:color w:val="auto"/>
              </w:rPr>
            </w:pPr>
            <w:r>
              <w:rPr>
                <w:rFonts w:ascii="Arial" w:cs="Arial" w:eastAsia="Arial" w:hAnsi="Arial"/>
                <w:sz w:val="18"/>
                <w:szCs w:val="18"/>
                <w:b w:val="1"/>
                <w:bCs w:val="1"/>
                <w:color w:val="auto"/>
              </w:rPr>
              <w:t>Total discontinued operations</w:t>
            </w:r>
          </w:p>
        </w:tc>
        <w:tc>
          <w:tcPr>
            <w:tcW w:w="280" w:type="dxa"/>
            <w:vAlign w:val="bottom"/>
            <w:tcBorders>
              <w:bottom w:val="single" w:sz="8" w:color="auto"/>
            </w:tcBorders>
            <w:shd w:val="clear" w:color="auto" w:fill="CFF0FC"/>
          </w:tcPr>
          <w:p>
            <w:pPr>
              <w:spacing w:after="0"/>
              <w:rPr>
                <w:sz w:val="19"/>
                <w:szCs w:val="19"/>
                <w:color w:val="auto"/>
              </w:rPr>
            </w:pPr>
          </w:p>
        </w:tc>
        <w:tc>
          <w:tcPr>
            <w:tcW w:w="13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1,111</w:t>
            </w:r>
          </w:p>
        </w:tc>
        <w:tc>
          <w:tcPr>
            <w:tcW w:w="28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200" w:type="dxa"/>
            <w:vAlign w:val="bottom"/>
            <w:tcBorders>
              <w:bottom w:val="single" w:sz="8" w:color="auto"/>
            </w:tcBorders>
            <w:shd w:val="clear" w:color="auto" w:fill="CFF0FC"/>
          </w:tcPr>
          <w:p>
            <w:pPr>
              <w:spacing w:after="0"/>
              <w:rPr>
                <w:sz w:val="19"/>
                <w:szCs w:val="19"/>
                <w:color w:val="auto"/>
              </w:rPr>
            </w:pPr>
          </w:p>
        </w:tc>
        <w:tc>
          <w:tcPr>
            <w:tcW w:w="13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1,081</w:t>
            </w:r>
          </w:p>
        </w:tc>
        <w:tc>
          <w:tcPr>
            <w:tcW w:w="120" w:type="dxa"/>
            <w:vAlign w:val="bottom"/>
            <w:shd w:val="clear" w:color="auto" w:fill="CFF0FC"/>
          </w:tcPr>
          <w:p>
            <w:pPr>
              <w:spacing w:after="0"/>
              <w:rPr>
                <w:sz w:val="19"/>
                <w:szCs w:val="19"/>
                <w:color w:val="auto"/>
              </w:rPr>
            </w:pPr>
          </w:p>
        </w:tc>
      </w:tr>
      <w:tr>
        <w:trPr>
          <w:trHeight w:val="222"/>
        </w:trPr>
        <w:tc>
          <w:tcPr>
            <w:tcW w:w="7860" w:type="dxa"/>
            <w:vAlign w:val="bottom"/>
          </w:tcPr>
          <w:p>
            <w:pPr>
              <w:spacing w:after="0"/>
              <w:rPr>
                <w:sz w:val="20"/>
                <w:szCs w:val="20"/>
                <w:color w:val="auto"/>
              </w:rPr>
            </w:pPr>
            <w:r>
              <w:rPr>
                <w:rFonts w:ascii="Arial" w:cs="Arial" w:eastAsia="Arial" w:hAnsi="Arial"/>
                <w:sz w:val="18"/>
                <w:szCs w:val="18"/>
                <w:b w:val="1"/>
                <w:bCs w:val="1"/>
                <w:color w:val="auto"/>
              </w:rPr>
              <w:t>Total other current liabilities</w:t>
            </w:r>
          </w:p>
        </w:tc>
        <w:tc>
          <w:tcPr>
            <w:tcW w:w="280" w:type="dxa"/>
            <w:vAlign w:val="bottom"/>
            <w:tcBorders>
              <w:bottom w:val="single" w:sz="8" w:color="auto"/>
            </w:tcBorders>
          </w:tcPr>
          <w:p>
            <w:pPr>
              <w:jc w:val="right"/>
              <w:ind w:right="127"/>
              <w:spacing w:after="0"/>
              <w:rPr>
                <w:sz w:val="20"/>
                <w:szCs w:val="20"/>
                <w:color w:val="auto"/>
              </w:rPr>
            </w:pPr>
            <w:r>
              <w:rPr>
                <w:rFonts w:ascii="Arial" w:cs="Arial" w:eastAsia="Arial" w:hAnsi="Arial"/>
                <w:sz w:val="15"/>
                <w:szCs w:val="15"/>
                <w:color w:val="auto"/>
                <w:w w:val="71"/>
              </w:rPr>
              <w:t>$</w:t>
            </w:r>
          </w:p>
        </w:tc>
        <w:tc>
          <w:tcPr>
            <w:tcW w:w="13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50,817</w:t>
            </w:r>
          </w:p>
        </w:tc>
        <w:tc>
          <w:tcPr>
            <w:tcW w:w="280" w:type="dxa"/>
            <w:vAlign w:val="bottom"/>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200" w:type="dxa"/>
            <w:vAlign w:val="bottom"/>
            <w:tcBorders>
              <w:bottom w:val="single" w:sz="8" w:color="auto"/>
            </w:tcBorders>
          </w:tcPr>
          <w:p>
            <w:pPr>
              <w:jc w:val="right"/>
              <w:ind w:right="90"/>
              <w:spacing w:after="0"/>
              <w:rPr>
                <w:sz w:val="20"/>
                <w:szCs w:val="20"/>
                <w:color w:val="auto"/>
              </w:rPr>
            </w:pPr>
            <w:r>
              <w:rPr>
                <w:rFonts w:ascii="Arial" w:cs="Arial" w:eastAsia="Arial" w:hAnsi="Arial"/>
                <w:sz w:val="10"/>
                <w:szCs w:val="10"/>
                <w:color w:val="auto"/>
                <w:w w:val="71"/>
              </w:rPr>
              <w:t>$</w:t>
            </w:r>
          </w:p>
        </w:tc>
        <w:tc>
          <w:tcPr>
            <w:tcW w:w="13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40,154</w:t>
            </w:r>
          </w:p>
        </w:tc>
        <w:tc>
          <w:tcPr>
            <w:tcW w:w="120" w:type="dxa"/>
            <w:vAlign w:val="bottom"/>
          </w:tcPr>
          <w:p>
            <w:pPr>
              <w:spacing w:after="0"/>
              <w:rPr>
                <w:sz w:val="19"/>
                <w:szCs w:val="19"/>
                <w:color w:val="auto"/>
              </w:rPr>
            </w:pPr>
          </w:p>
        </w:tc>
      </w:tr>
      <w:tr>
        <w:trPr>
          <w:trHeight w:val="20"/>
        </w:trPr>
        <w:tc>
          <w:tcPr>
            <w:tcW w:w="786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r>
    </w:tbl>
    <w:p>
      <w:pPr>
        <w:spacing w:after="0" w:line="228" w:lineRule="exact"/>
        <w:rPr>
          <w:sz w:val="20"/>
          <w:szCs w:val="20"/>
          <w:color w:val="auto"/>
        </w:rPr>
      </w:pPr>
    </w:p>
    <w:p>
      <w:pPr>
        <w:jc w:val="both"/>
        <w:ind w:left="380" w:hanging="372"/>
        <w:spacing w:after="0" w:line="253" w:lineRule="auto"/>
        <w:tabs>
          <w:tab w:leader="none" w:pos="380" w:val="left"/>
        </w:tabs>
        <w:numPr>
          <w:ilvl w:val="0"/>
          <w:numId w:val="10"/>
        </w:numPr>
        <w:rPr>
          <w:rFonts w:ascii="Arial" w:cs="Arial" w:eastAsia="Arial" w:hAnsi="Arial"/>
          <w:sz w:val="15"/>
          <w:szCs w:val="15"/>
          <w:color w:val="auto"/>
        </w:rPr>
      </w:pPr>
      <w:r>
        <w:rPr>
          <w:rFonts w:ascii="Arial" w:cs="Arial" w:eastAsia="Arial" w:hAnsi="Arial"/>
          <w:sz w:val="18"/>
          <w:szCs w:val="18"/>
          <w:color w:val="auto"/>
        </w:rPr>
        <w:t>Upon the adoption of Topic 606, we present customer deposits as “Contract liabilities” as they are received prior to transferring the related product or service to the customer. We recognize revenue upon satisfaction of the related contract performance obligation(s). Deposits received from GES’ events accommodation services are not classified as contract liabilities as they are deposits from hotel guests that are passed on to the hotels. Refer to Note 2 – Revenue and Related Contract Costs and Contract Liabilities for additional information.</w:t>
      </w:r>
    </w:p>
    <w:p>
      <w:pPr>
        <w:spacing w:after="0" w:line="2" w:lineRule="exact"/>
        <w:rPr>
          <w:rFonts w:ascii="Arial" w:cs="Arial" w:eastAsia="Arial" w:hAnsi="Arial"/>
          <w:sz w:val="15"/>
          <w:szCs w:val="15"/>
          <w:color w:val="auto"/>
        </w:rPr>
      </w:pPr>
    </w:p>
    <w:p>
      <w:pPr>
        <w:jc w:val="both"/>
        <w:ind w:left="380" w:hanging="372"/>
        <w:spacing w:after="0" w:line="254" w:lineRule="auto"/>
        <w:tabs>
          <w:tab w:leader="none" w:pos="380" w:val="left"/>
        </w:tabs>
        <w:numPr>
          <w:ilvl w:val="0"/>
          <w:numId w:val="10"/>
        </w:numPr>
        <w:rPr>
          <w:rFonts w:ascii="Arial" w:cs="Arial" w:eastAsia="Arial" w:hAnsi="Arial"/>
          <w:sz w:val="15"/>
          <w:szCs w:val="15"/>
          <w:color w:val="auto"/>
        </w:rPr>
      </w:pPr>
      <w:r>
        <w:rPr>
          <w:rFonts w:ascii="Arial" w:cs="Arial" w:eastAsia="Arial" w:hAnsi="Arial"/>
          <w:sz w:val="18"/>
          <w:szCs w:val="18"/>
          <w:color w:val="auto"/>
        </w:rPr>
        <w:t xml:space="preserve">Upon the adoption of Topic 606, we reclassified $1.1 million of accrued rebates to “Contract liabilities” on the December 31, 2017 Condensed Consolidated Balance Sheet as they represent future performance obligations. Refer to Note 2 </w:t>
      </w:r>
      <w:r>
        <w:rPr>
          <w:rFonts w:ascii="Arial" w:cs="Arial" w:eastAsia="Arial" w:hAnsi="Arial"/>
          <w:sz w:val="18"/>
          <w:szCs w:val="18"/>
          <w:b w:val="1"/>
          <w:bCs w:val="1"/>
          <w:i w:val="1"/>
          <w:iCs w:val="1"/>
          <w:color w:val="auto"/>
        </w:rPr>
        <w:t>–</w:t>
      </w:r>
      <w:r>
        <w:rPr>
          <w:rFonts w:ascii="Arial" w:cs="Arial" w:eastAsia="Arial" w:hAnsi="Arial"/>
          <w:sz w:val="18"/>
          <w:szCs w:val="18"/>
          <w:color w:val="auto"/>
        </w:rPr>
        <w:t xml:space="preserve"> Revenue and Related Contract Costs and Contract Liabilities for additional information.</w:t>
      </w:r>
    </w:p>
    <w:p>
      <w:pPr>
        <w:spacing w:after="0" w:line="200" w:lineRule="exact"/>
        <w:rPr>
          <w:sz w:val="20"/>
          <w:szCs w:val="20"/>
          <w:color w:val="auto"/>
        </w:rPr>
      </w:pPr>
    </w:p>
    <w:p>
      <w:pPr>
        <w:spacing w:after="0" w:line="39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69850</wp:posOffset>
            </wp:positionV>
            <wp:extent cx="7289800" cy="4254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1420"/>
          </w:cols>
          <w:pgMar w:left="240" w:top="336" w:right="239" w:bottom="1440" w:gutter="0" w:footer="0" w:header="0"/>
        </w:sectPr>
      </w:pPr>
    </w:p>
    <w:bookmarkStart w:id="21" w:name="page22"/>
    <w:bookmarkEnd w:id="21"/>
    <w:p>
      <w:pPr>
        <w:spacing w:after="0"/>
        <w:rPr>
          <w:sz w:val="20"/>
          <w:szCs w:val="20"/>
          <w:color w:val="auto"/>
        </w:rPr>
      </w:pPr>
      <w:r>
        <w:rPr>
          <w:rFonts w:ascii="Arial" w:cs="Arial" w:eastAsia="Arial" w:hAnsi="Arial"/>
          <w:sz w:val="18"/>
          <w:szCs w:val="18"/>
          <w:b w:val="1"/>
          <w:bCs w:val="1"/>
          <w:color w:val="auto"/>
        </w:rPr>
        <w:t xml:space="preserve">Note 11. </w:t>
      </w:r>
      <w:r>
        <w:rPr>
          <w:rFonts w:ascii="Arial" w:cs="Arial" w:eastAsia="Arial" w:hAnsi="Arial"/>
          <w:sz w:val="18"/>
          <w:szCs w:val="18"/>
          <w:b w:val="1"/>
          <w:bCs w:val="1"/>
          <w:u w:val="single" w:color="auto"/>
          <w:color w:val="auto"/>
        </w:rPr>
        <w:t>Other Deferred Items and Liabilities</w:t>
      </w:r>
    </w:p>
    <w:p>
      <w:pPr>
        <w:spacing w:after="0" w:line="120" w:lineRule="exact"/>
        <w:rPr>
          <w:sz w:val="20"/>
          <w:szCs w:val="20"/>
          <w:color w:val="auto"/>
        </w:rPr>
      </w:pPr>
    </w:p>
    <w:p>
      <w:pPr>
        <w:spacing w:after="0"/>
        <w:rPr>
          <w:sz w:val="20"/>
          <w:szCs w:val="20"/>
          <w:color w:val="auto"/>
        </w:rPr>
      </w:pPr>
      <w:r>
        <w:rPr>
          <w:rFonts w:ascii="Arial" w:cs="Arial" w:eastAsia="Arial" w:hAnsi="Arial"/>
          <w:sz w:val="18"/>
          <w:szCs w:val="18"/>
          <w:color w:val="auto"/>
        </w:rPr>
        <w:t>Other deferred items and liabilities consisted of the following:</w:t>
      </w:r>
    </w:p>
    <w:p>
      <w:pPr>
        <w:spacing w:after="0" w:line="295"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680" w:type="dxa"/>
            <w:vAlign w:val="bottom"/>
          </w:tcPr>
          <w:p>
            <w:pPr>
              <w:spacing w:after="0"/>
              <w:rPr>
                <w:sz w:val="14"/>
                <w:szCs w:val="14"/>
                <w:color w:val="auto"/>
              </w:rPr>
            </w:pPr>
          </w:p>
        </w:tc>
        <w:tc>
          <w:tcPr>
            <w:tcW w:w="2720" w:type="dxa"/>
            <w:vAlign w:val="bottom"/>
          </w:tcPr>
          <w:p>
            <w:pPr>
              <w:spacing w:after="0"/>
              <w:rPr>
                <w:sz w:val="14"/>
                <w:szCs w:val="14"/>
                <w:color w:val="auto"/>
              </w:rPr>
            </w:pPr>
          </w:p>
        </w:tc>
        <w:tc>
          <w:tcPr>
            <w:tcW w:w="44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580" w:type="dxa"/>
            <w:vAlign w:val="bottom"/>
            <w:gridSpan w:val="2"/>
          </w:tcPr>
          <w:p>
            <w:pPr>
              <w:jc w:val="center"/>
              <w:ind w:right="580"/>
              <w:spacing w:after="0"/>
              <w:rPr>
                <w:sz w:val="20"/>
                <w:szCs w:val="20"/>
                <w:color w:val="auto"/>
              </w:rPr>
            </w:pPr>
            <w:r>
              <w:rPr>
                <w:rFonts w:ascii="Arial" w:cs="Arial" w:eastAsia="Arial" w:hAnsi="Arial"/>
                <w:sz w:val="14"/>
                <w:szCs w:val="14"/>
                <w:b w:val="1"/>
                <w:bCs w:val="1"/>
                <w:color w:val="auto"/>
                <w:w w:val="99"/>
              </w:rPr>
              <w:t>March 31,</w:t>
            </w:r>
          </w:p>
        </w:tc>
        <w:tc>
          <w:tcPr>
            <w:tcW w:w="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480" w:type="dxa"/>
            <w:vAlign w:val="bottom"/>
            <w:gridSpan w:val="2"/>
          </w:tcPr>
          <w:p>
            <w:pPr>
              <w:jc w:val="center"/>
              <w:ind w:right="360"/>
              <w:spacing w:after="0"/>
              <w:rPr>
                <w:sz w:val="20"/>
                <w:szCs w:val="20"/>
                <w:color w:val="auto"/>
              </w:rPr>
            </w:pPr>
            <w:r>
              <w:rPr>
                <w:rFonts w:ascii="Arial" w:cs="Arial" w:eastAsia="Arial" w:hAnsi="Arial"/>
                <w:sz w:val="14"/>
                <w:szCs w:val="14"/>
                <w:b w:val="1"/>
                <w:bCs w:val="1"/>
                <w:color w:val="auto"/>
                <w:w w:val="92"/>
              </w:rPr>
              <w:t>December 31,</w:t>
            </w:r>
          </w:p>
        </w:tc>
        <w:tc>
          <w:tcPr>
            <w:tcW w:w="0" w:type="dxa"/>
            <w:vAlign w:val="bottom"/>
          </w:tcPr>
          <w:p>
            <w:pPr>
              <w:spacing w:after="0"/>
              <w:rPr>
                <w:sz w:val="1"/>
                <w:szCs w:val="1"/>
                <w:color w:val="auto"/>
              </w:rPr>
            </w:pPr>
          </w:p>
        </w:tc>
      </w:tr>
      <w:tr>
        <w:trPr>
          <w:trHeight w:val="171"/>
        </w:trPr>
        <w:tc>
          <w:tcPr>
            <w:tcW w:w="7860" w:type="dxa"/>
            <w:vAlign w:val="bottom"/>
            <w:tcBorders>
              <w:bottom w:val="single" w:sz="8" w:color="CFF0FC"/>
            </w:tcBorders>
            <w:gridSpan w:val="3"/>
          </w:tcPr>
          <w:p>
            <w:pPr>
              <w:spacing w:after="0"/>
              <w:rPr>
                <w:sz w:val="20"/>
                <w:szCs w:val="20"/>
                <w:color w:val="auto"/>
              </w:rPr>
            </w:pPr>
            <w:r>
              <w:rPr>
                <w:rFonts w:ascii="Arial" w:cs="Arial" w:eastAsia="Arial" w:hAnsi="Arial"/>
                <w:sz w:val="14"/>
                <w:szCs w:val="14"/>
                <w:i w:val="1"/>
                <w:iCs w:val="1"/>
                <w:color w:val="auto"/>
              </w:rPr>
              <w:t>(in thousands)</w:t>
            </w:r>
          </w:p>
        </w:tc>
        <w:tc>
          <w:tcPr>
            <w:tcW w:w="280" w:type="dxa"/>
            <w:vAlign w:val="bottom"/>
            <w:tcBorders>
              <w:bottom w:val="single" w:sz="8" w:color="auto"/>
            </w:tcBorders>
          </w:tcPr>
          <w:p>
            <w:pPr>
              <w:spacing w:after="0"/>
              <w:rPr>
                <w:sz w:val="14"/>
                <w:szCs w:val="14"/>
                <w:color w:val="auto"/>
              </w:rPr>
            </w:pPr>
          </w:p>
        </w:tc>
        <w:tc>
          <w:tcPr>
            <w:tcW w:w="1300" w:type="dxa"/>
            <w:vAlign w:val="bottom"/>
            <w:tcBorders>
              <w:bottom w:val="single" w:sz="8" w:color="auto"/>
            </w:tcBorders>
          </w:tcPr>
          <w:p>
            <w:pPr>
              <w:jc w:val="center"/>
              <w:ind w:right="213"/>
              <w:spacing w:after="0"/>
              <w:rPr>
                <w:sz w:val="20"/>
                <w:szCs w:val="20"/>
                <w:color w:val="auto"/>
              </w:rPr>
            </w:pPr>
            <w:r>
              <w:rPr>
                <w:rFonts w:ascii="Arial" w:cs="Arial" w:eastAsia="Arial" w:hAnsi="Arial"/>
                <w:sz w:val="14"/>
                <w:szCs w:val="14"/>
                <w:b w:val="1"/>
                <w:bCs w:val="1"/>
                <w:color w:val="auto"/>
                <w:w w:val="89"/>
              </w:rPr>
              <w:t>2018</w:t>
            </w:r>
          </w:p>
        </w:tc>
        <w:tc>
          <w:tcPr>
            <w:tcW w:w="280" w:type="dxa"/>
            <w:vAlign w:val="bottom"/>
            <w:tcBorders>
              <w:bottom w:val="single" w:sz="8" w:color="CFF0FC"/>
            </w:tcBorders>
          </w:tcPr>
          <w:p>
            <w:pPr>
              <w:spacing w:after="0"/>
              <w:rPr>
                <w:sz w:val="14"/>
                <w:szCs w:val="14"/>
                <w:color w:val="auto"/>
              </w:rPr>
            </w:pPr>
          </w:p>
        </w:tc>
        <w:tc>
          <w:tcPr>
            <w:tcW w:w="20" w:type="dxa"/>
            <w:vAlign w:val="bottom"/>
            <w:tcBorders>
              <w:bottom w:val="single" w:sz="8" w:color="CFF0FC"/>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1360" w:type="dxa"/>
            <w:vAlign w:val="bottom"/>
            <w:tcBorders>
              <w:bottom w:val="single" w:sz="8" w:color="auto"/>
            </w:tcBorders>
          </w:tcPr>
          <w:p>
            <w:pPr>
              <w:jc w:val="center"/>
              <w:ind w:right="153"/>
              <w:spacing w:after="0"/>
              <w:rPr>
                <w:sz w:val="20"/>
                <w:szCs w:val="20"/>
                <w:color w:val="auto"/>
              </w:rPr>
            </w:pPr>
            <w:r>
              <w:rPr>
                <w:rFonts w:ascii="Arial" w:cs="Arial" w:eastAsia="Arial" w:hAnsi="Arial"/>
                <w:sz w:val="14"/>
                <w:szCs w:val="14"/>
                <w:b w:val="1"/>
                <w:bCs w:val="1"/>
                <w:color w:val="auto"/>
                <w:w w:val="89"/>
              </w:rPr>
              <w:t>2017</w:t>
            </w:r>
          </w:p>
        </w:tc>
        <w:tc>
          <w:tcPr>
            <w:tcW w:w="120" w:type="dxa"/>
            <w:vAlign w:val="bottom"/>
            <w:tcBorders>
              <w:bottom w:val="single" w:sz="8" w:color="CFF0FC"/>
            </w:tcBorders>
          </w:tcPr>
          <w:p>
            <w:pPr>
              <w:spacing w:after="0"/>
              <w:rPr>
                <w:sz w:val="14"/>
                <w:szCs w:val="14"/>
                <w:color w:val="auto"/>
              </w:rPr>
            </w:pPr>
          </w:p>
        </w:tc>
        <w:tc>
          <w:tcPr>
            <w:tcW w:w="0" w:type="dxa"/>
            <w:vAlign w:val="bottom"/>
          </w:tcPr>
          <w:p>
            <w:pPr>
              <w:spacing w:after="0"/>
              <w:rPr>
                <w:sz w:val="1"/>
                <w:szCs w:val="1"/>
                <w:color w:val="auto"/>
              </w:rPr>
            </w:pPr>
          </w:p>
        </w:tc>
      </w:tr>
      <w:tr>
        <w:trPr>
          <w:trHeight w:val="222"/>
        </w:trPr>
        <w:tc>
          <w:tcPr>
            <w:tcW w:w="7860" w:type="dxa"/>
            <w:vAlign w:val="bottom"/>
            <w:gridSpan w:val="3"/>
            <w:shd w:val="clear" w:color="auto" w:fill="CFF0FC"/>
          </w:tcPr>
          <w:p>
            <w:pPr>
              <w:spacing w:after="0"/>
              <w:rPr>
                <w:sz w:val="20"/>
                <w:szCs w:val="20"/>
                <w:color w:val="auto"/>
              </w:rPr>
            </w:pPr>
            <w:r>
              <w:rPr>
                <w:rFonts w:ascii="Arial" w:cs="Arial" w:eastAsia="Arial" w:hAnsi="Arial"/>
                <w:sz w:val="18"/>
                <w:szCs w:val="18"/>
                <w:color w:val="auto"/>
              </w:rPr>
              <w:t>Continuing operations:</w:t>
            </w:r>
          </w:p>
        </w:tc>
        <w:tc>
          <w:tcPr>
            <w:tcW w:w="280" w:type="dxa"/>
            <w:vAlign w:val="bottom"/>
            <w:shd w:val="clear" w:color="auto" w:fill="CFF0FC"/>
          </w:tcPr>
          <w:p>
            <w:pPr>
              <w:spacing w:after="0"/>
              <w:rPr>
                <w:sz w:val="19"/>
                <w:szCs w:val="19"/>
                <w:color w:val="auto"/>
              </w:rPr>
            </w:pPr>
          </w:p>
        </w:tc>
        <w:tc>
          <w:tcPr>
            <w:tcW w:w="130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36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7860" w:type="dxa"/>
            <w:vAlign w:val="bottom"/>
            <w:gridSpan w:val="3"/>
          </w:tcPr>
          <w:p>
            <w:pPr>
              <w:ind w:left="260"/>
              <w:spacing w:after="0"/>
              <w:rPr>
                <w:sz w:val="20"/>
                <w:szCs w:val="20"/>
                <w:color w:val="auto"/>
              </w:rPr>
            </w:pPr>
            <w:r>
              <w:rPr>
                <w:rFonts w:ascii="Arial" w:cs="Arial" w:eastAsia="Arial" w:hAnsi="Arial"/>
                <w:sz w:val="18"/>
                <w:szCs w:val="18"/>
                <w:color w:val="auto"/>
              </w:rPr>
              <w:t>Self-insured liability</w:t>
            </w:r>
          </w:p>
        </w:tc>
        <w:tc>
          <w:tcPr>
            <w:tcW w:w="280" w:type="dxa"/>
            <w:vAlign w:val="bottom"/>
          </w:tcPr>
          <w:p>
            <w:pPr>
              <w:jc w:val="right"/>
              <w:ind w:right="127"/>
              <w:spacing w:after="0"/>
              <w:rPr>
                <w:sz w:val="20"/>
                <w:szCs w:val="20"/>
                <w:color w:val="auto"/>
              </w:rPr>
            </w:pPr>
            <w:r>
              <w:rPr>
                <w:rFonts w:ascii="Arial" w:cs="Arial" w:eastAsia="Arial" w:hAnsi="Arial"/>
                <w:sz w:val="15"/>
                <w:szCs w:val="15"/>
                <w:color w:val="auto"/>
                <w:w w:val="71"/>
              </w:rPr>
              <w:t>$</w:t>
            </w:r>
          </w:p>
        </w:tc>
        <w:tc>
          <w:tcPr>
            <w:tcW w:w="1300" w:type="dxa"/>
            <w:vAlign w:val="bottom"/>
          </w:tcPr>
          <w:p>
            <w:pPr>
              <w:jc w:val="right"/>
              <w:spacing w:after="0"/>
              <w:rPr>
                <w:sz w:val="20"/>
                <w:szCs w:val="20"/>
                <w:color w:val="auto"/>
              </w:rPr>
            </w:pPr>
            <w:r>
              <w:rPr>
                <w:rFonts w:ascii="Arial" w:cs="Arial" w:eastAsia="Arial" w:hAnsi="Arial"/>
                <w:sz w:val="18"/>
                <w:szCs w:val="18"/>
                <w:color w:val="auto"/>
              </w:rPr>
              <w:t>13,139</w:t>
            </w:r>
          </w:p>
        </w:tc>
        <w:tc>
          <w:tcPr>
            <w:tcW w:w="280" w:type="dxa"/>
            <w:vAlign w:val="bottom"/>
          </w:tcPr>
          <w:p>
            <w:pPr>
              <w:spacing w:after="0"/>
              <w:rPr>
                <w:sz w:val="19"/>
                <w:szCs w:val="19"/>
                <w:color w:val="auto"/>
              </w:rPr>
            </w:pPr>
          </w:p>
        </w:tc>
        <w:tc>
          <w:tcPr>
            <w:tcW w:w="220" w:type="dxa"/>
            <w:vAlign w:val="bottom"/>
            <w:gridSpan w:val="2"/>
          </w:tcPr>
          <w:p>
            <w:pPr>
              <w:jc w:val="right"/>
              <w:ind w:right="90"/>
              <w:spacing w:after="0"/>
              <w:rPr>
                <w:sz w:val="20"/>
                <w:szCs w:val="20"/>
                <w:color w:val="auto"/>
              </w:rPr>
            </w:pPr>
            <w:r>
              <w:rPr>
                <w:rFonts w:ascii="Arial" w:cs="Arial" w:eastAsia="Arial" w:hAnsi="Arial"/>
                <w:sz w:val="15"/>
                <w:szCs w:val="15"/>
                <w:color w:val="auto"/>
                <w:w w:val="71"/>
              </w:rPr>
              <w:t>$</w:t>
            </w:r>
          </w:p>
        </w:tc>
        <w:tc>
          <w:tcPr>
            <w:tcW w:w="1360" w:type="dxa"/>
            <w:vAlign w:val="bottom"/>
          </w:tcPr>
          <w:p>
            <w:pPr>
              <w:jc w:val="right"/>
              <w:spacing w:after="0"/>
              <w:rPr>
                <w:sz w:val="20"/>
                <w:szCs w:val="20"/>
                <w:color w:val="auto"/>
              </w:rPr>
            </w:pPr>
            <w:r>
              <w:rPr>
                <w:rFonts w:ascii="Arial" w:cs="Arial" w:eastAsia="Arial" w:hAnsi="Arial"/>
                <w:sz w:val="18"/>
                <w:szCs w:val="18"/>
                <w:color w:val="auto"/>
              </w:rPr>
              <w:t>12,918</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7860" w:type="dxa"/>
            <w:vAlign w:val="bottom"/>
            <w:gridSpan w:val="3"/>
            <w:shd w:val="clear" w:color="auto" w:fill="CFF0FC"/>
          </w:tcPr>
          <w:p>
            <w:pPr>
              <w:ind w:left="260"/>
              <w:spacing w:after="0"/>
              <w:rPr>
                <w:sz w:val="20"/>
                <w:szCs w:val="20"/>
                <w:color w:val="auto"/>
              </w:rPr>
            </w:pPr>
            <w:r>
              <w:rPr>
                <w:rFonts w:ascii="Arial" w:cs="Arial" w:eastAsia="Arial" w:hAnsi="Arial"/>
                <w:sz w:val="18"/>
                <w:szCs w:val="18"/>
                <w:color w:val="auto"/>
              </w:rPr>
              <w:t>Self-insured excess liability</w:t>
            </w:r>
          </w:p>
        </w:tc>
        <w:tc>
          <w:tcPr>
            <w:tcW w:w="280" w:type="dxa"/>
            <w:vAlign w:val="bottom"/>
            <w:shd w:val="clear" w:color="auto" w:fill="CFF0FC"/>
          </w:tcPr>
          <w:p>
            <w:pPr>
              <w:spacing w:after="0"/>
              <w:rPr>
                <w:sz w:val="19"/>
                <w:szCs w:val="19"/>
                <w:color w:val="auto"/>
              </w:rPr>
            </w:pPr>
          </w:p>
        </w:tc>
        <w:tc>
          <w:tcPr>
            <w:tcW w:w="13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10,442</w:t>
            </w:r>
          </w:p>
        </w:tc>
        <w:tc>
          <w:tcPr>
            <w:tcW w:w="28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3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10,442</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7860" w:type="dxa"/>
            <w:vAlign w:val="bottom"/>
            <w:gridSpan w:val="3"/>
          </w:tcPr>
          <w:p>
            <w:pPr>
              <w:ind w:left="260"/>
              <w:spacing w:after="0"/>
              <w:rPr>
                <w:sz w:val="20"/>
                <w:szCs w:val="20"/>
                <w:color w:val="auto"/>
              </w:rPr>
            </w:pPr>
            <w:r>
              <w:rPr>
                <w:rFonts w:ascii="Arial" w:cs="Arial" w:eastAsia="Arial" w:hAnsi="Arial"/>
                <w:sz w:val="18"/>
                <w:szCs w:val="18"/>
                <w:color w:val="auto"/>
              </w:rPr>
              <w:t>Foreign deferred tax liability</w:t>
            </w:r>
          </w:p>
        </w:tc>
        <w:tc>
          <w:tcPr>
            <w:tcW w:w="280" w:type="dxa"/>
            <w:vAlign w:val="bottom"/>
          </w:tcPr>
          <w:p>
            <w:pPr>
              <w:spacing w:after="0"/>
              <w:rPr>
                <w:sz w:val="19"/>
                <w:szCs w:val="19"/>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8,267</w:t>
            </w:r>
          </w:p>
        </w:tc>
        <w:tc>
          <w:tcPr>
            <w:tcW w:w="2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8,267</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7860" w:type="dxa"/>
            <w:vAlign w:val="bottom"/>
            <w:gridSpan w:val="3"/>
            <w:shd w:val="clear" w:color="auto" w:fill="CFF0FC"/>
          </w:tcPr>
          <w:p>
            <w:pPr>
              <w:ind w:left="260"/>
              <w:spacing w:after="0"/>
              <w:rPr>
                <w:sz w:val="20"/>
                <w:szCs w:val="20"/>
                <w:color w:val="auto"/>
              </w:rPr>
            </w:pPr>
            <w:r>
              <w:rPr>
                <w:rFonts w:ascii="Arial" w:cs="Arial" w:eastAsia="Arial" w:hAnsi="Arial"/>
                <w:sz w:val="18"/>
                <w:szCs w:val="18"/>
                <w:color w:val="auto"/>
              </w:rPr>
              <w:t>Accrued compensation</w:t>
            </w:r>
          </w:p>
        </w:tc>
        <w:tc>
          <w:tcPr>
            <w:tcW w:w="280" w:type="dxa"/>
            <w:vAlign w:val="bottom"/>
            <w:shd w:val="clear" w:color="auto" w:fill="CFF0FC"/>
          </w:tcPr>
          <w:p>
            <w:pPr>
              <w:spacing w:after="0"/>
              <w:rPr>
                <w:sz w:val="19"/>
                <w:szCs w:val="19"/>
                <w:color w:val="auto"/>
              </w:rPr>
            </w:pPr>
          </w:p>
        </w:tc>
        <w:tc>
          <w:tcPr>
            <w:tcW w:w="13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5,628</w:t>
            </w:r>
          </w:p>
        </w:tc>
        <w:tc>
          <w:tcPr>
            <w:tcW w:w="28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3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9,740</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7860" w:type="dxa"/>
            <w:vAlign w:val="bottom"/>
            <w:gridSpan w:val="3"/>
          </w:tcPr>
          <w:p>
            <w:pPr>
              <w:ind w:left="260"/>
              <w:spacing w:after="0"/>
              <w:rPr>
                <w:sz w:val="20"/>
                <w:szCs w:val="20"/>
                <w:color w:val="auto"/>
              </w:rPr>
            </w:pPr>
            <w:r>
              <w:rPr>
                <w:rFonts w:ascii="Arial" w:cs="Arial" w:eastAsia="Arial" w:hAnsi="Arial"/>
                <w:sz w:val="18"/>
                <w:szCs w:val="18"/>
                <w:color w:val="auto"/>
              </w:rPr>
              <w:t>Deferred rent</w:t>
            </w:r>
          </w:p>
        </w:tc>
        <w:tc>
          <w:tcPr>
            <w:tcW w:w="280" w:type="dxa"/>
            <w:vAlign w:val="bottom"/>
          </w:tcPr>
          <w:p>
            <w:pPr>
              <w:spacing w:after="0"/>
              <w:rPr>
                <w:sz w:val="19"/>
                <w:szCs w:val="19"/>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3,744</w:t>
            </w:r>
          </w:p>
        </w:tc>
        <w:tc>
          <w:tcPr>
            <w:tcW w:w="2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3,855</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7860" w:type="dxa"/>
            <w:vAlign w:val="bottom"/>
            <w:gridSpan w:val="3"/>
            <w:shd w:val="clear" w:color="auto" w:fill="CFF0FC"/>
          </w:tcPr>
          <w:p>
            <w:pPr>
              <w:ind w:left="260"/>
              <w:spacing w:after="0"/>
              <w:rPr>
                <w:sz w:val="20"/>
                <w:szCs w:val="20"/>
                <w:color w:val="auto"/>
              </w:rPr>
            </w:pPr>
            <w:r>
              <w:rPr>
                <w:rFonts w:ascii="Arial" w:cs="Arial" w:eastAsia="Arial" w:hAnsi="Arial"/>
                <w:sz w:val="18"/>
                <w:szCs w:val="18"/>
                <w:color w:val="auto"/>
              </w:rPr>
              <w:t>Accrued restructuring</w:t>
            </w:r>
          </w:p>
        </w:tc>
        <w:tc>
          <w:tcPr>
            <w:tcW w:w="280" w:type="dxa"/>
            <w:vAlign w:val="bottom"/>
            <w:shd w:val="clear" w:color="auto" w:fill="CFF0FC"/>
          </w:tcPr>
          <w:p>
            <w:pPr>
              <w:spacing w:after="0"/>
              <w:rPr>
                <w:sz w:val="19"/>
                <w:szCs w:val="19"/>
                <w:color w:val="auto"/>
              </w:rPr>
            </w:pPr>
          </w:p>
        </w:tc>
        <w:tc>
          <w:tcPr>
            <w:tcW w:w="13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1,754</w:t>
            </w:r>
          </w:p>
        </w:tc>
        <w:tc>
          <w:tcPr>
            <w:tcW w:w="28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3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1,827</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7860" w:type="dxa"/>
            <w:vAlign w:val="bottom"/>
            <w:tcBorders>
              <w:bottom w:val="single" w:sz="8" w:color="CFF0FC"/>
            </w:tcBorders>
            <w:gridSpan w:val="3"/>
          </w:tcPr>
          <w:p>
            <w:pPr>
              <w:ind w:left="260"/>
              <w:spacing w:after="0"/>
              <w:rPr>
                <w:sz w:val="20"/>
                <w:szCs w:val="20"/>
                <w:color w:val="auto"/>
              </w:rPr>
            </w:pPr>
            <w:r>
              <w:rPr>
                <w:rFonts w:ascii="Arial" w:cs="Arial" w:eastAsia="Arial" w:hAnsi="Arial"/>
                <w:sz w:val="18"/>
                <w:szCs w:val="18"/>
                <w:color w:val="auto"/>
              </w:rPr>
              <w:t>Other</w:t>
            </w:r>
          </w:p>
        </w:tc>
        <w:tc>
          <w:tcPr>
            <w:tcW w:w="280" w:type="dxa"/>
            <w:vAlign w:val="bottom"/>
            <w:tcBorders>
              <w:bottom w:val="single" w:sz="8" w:color="auto"/>
            </w:tcBorders>
          </w:tcPr>
          <w:p>
            <w:pPr>
              <w:spacing w:after="0"/>
              <w:rPr>
                <w:sz w:val="19"/>
                <w:szCs w:val="19"/>
                <w:color w:val="auto"/>
              </w:rPr>
            </w:pPr>
          </w:p>
        </w:tc>
        <w:tc>
          <w:tcPr>
            <w:tcW w:w="13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1,439</w:t>
            </w:r>
          </w:p>
        </w:tc>
        <w:tc>
          <w:tcPr>
            <w:tcW w:w="280" w:type="dxa"/>
            <w:vAlign w:val="bottom"/>
            <w:tcBorders>
              <w:bottom w:val="single" w:sz="8" w:color="CFF0FC"/>
            </w:tcBorders>
          </w:tcPr>
          <w:p>
            <w:pPr>
              <w:spacing w:after="0"/>
              <w:rPr>
                <w:sz w:val="19"/>
                <w:szCs w:val="19"/>
                <w:color w:val="auto"/>
              </w:rPr>
            </w:pPr>
          </w:p>
        </w:tc>
        <w:tc>
          <w:tcPr>
            <w:tcW w:w="20" w:type="dxa"/>
            <w:vAlign w:val="bottom"/>
            <w:tcBorders>
              <w:bottom w:val="single" w:sz="8" w:color="CFF0FC"/>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13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1,305</w:t>
            </w:r>
          </w:p>
        </w:tc>
        <w:tc>
          <w:tcPr>
            <w:tcW w:w="120" w:type="dxa"/>
            <w:vAlign w:val="bottom"/>
            <w:tcBorders>
              <w:bottom w:val="single" w:sz="8" w:color="CFF0FC"/>
            </w:tcBorders>
          </w:tcPr>
          <w:p>
            <w:pPr>
              <w:spacing w:after="0"/>
              <w:rPr>
                <w:sz w:val="19"/>
                <w:szCs w:val="19"/>
                <w:color w:val="auto"/>
              </w:rPr>
            </w:pPr>
          </w:p>
        </w:tc>
        <w:tc>
          <w:tcPr>
            <w:tcW w:w="0" w:type="dxa"/>
            <w:vAlign w:val="bottom"/>
          </w:tcPr>
          <w:p>
            <w:pPr>
              <w:spacing w:after="0"/>
              <w:rPr>
                <w:sz w:val="1"/>
                <w:szCs w:val="1"/>
                <w:color w:val="auto"/>
              </w:rPr>
            </w:pPr>
          </w:p>
        </w:tc>
      </w:tr>
      <w:tr>
        <w:trPr>
          <w:trHeight w:val="222"/>
        </w:trPr>
        <w:tc>
          <w:tcPr>
            <w:tcW w:w="7860" w:type="dxa"/>
            <w:vAlign w:val="bottom"/>
            <w:gridSpan w:val="3"/>
            <w:shd w:val="clear" w:color="auto" w:fill="CFF0FC"/>
          </w:tcPr>
          <w:p>
            <w:pPr>
              <w:spacing w:after="0"/>
              <w:rPr>
                <w:sz w:val="20"/>
                <w:szCs w:val="20"/>
                <w:color w:val="auto"/>
              </w:rPr>
            </w:pPr>
            <w:r>
              <w:rPr>
                <w:rFonts w:ascii="Arial" w:cs="Arial" w:eastAsia="Arial" w:hAnsi="Arial"/>
                <w:sz w:val="18"/>
                <w:szCs w:val="18"/>
                <w:b w:val="1"/>
                <w:bCs w:val="1"/>
                <w:color w:val="auto"/>
              </w:rPr>
              <w:t>Total continuing operations</w:t>
            </w:r>
          </w:p>
        </w:tc>
        <w:tc>
          <w:tcPr>
            <w:tcW w:w="280" w:type="dxa"/>
            <w:vAlign w:val="bottom"/>
            <w:tcBorders>
              <w:bottom w:val="single" w:sz="8" w:color="auto"/>
            </w:tcBorders>
            <w:shd w:val="clear" w:color="auto" w:fill="CFF0FC"/>
          </w:tcPr>
          <w:p>
            <w:pPr>
              <w:spacing w:after="0"/>
              <w:rPr>
                <w:sz w:val="19"/>
                <w:szCs w:val="19"/>
                <w:color w:val="auto"/>
              </w:rPr>
            </w:pPr>
          </w:p>
        </w:tc>
        <w:tc>
          <w:tcPr>
            <w:tcW w:w="13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44,413</w:t>
            </w:r>
          </w:p>
        </w:tc>
        <w:tc>
          <w:tcPr>
            <w:tcW w:w="28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200" w:type="dxa"/>
            <w:vAlign w:val="bottom"/>
            <w:tcBorders>
              <w:bottom w:val="single" w:sz="8" w:color="auto"/>
            </w:tcBorders>
            <w:shd w:val="clear" w:color="auto" w:fill="CFF0FC"/>
          </w:tcPr>
          <w:p>
            <w:pPr>
              <w:spacing w:after="0"/>
              <w:rPr>
                <w:sz w:val="19"/>
                <w:szCs w:val="19"/>
                <w:color w:val="auto"/>
              </w:rPr>
            </w:pPr>
          </w:p>
        </w:tc>
        <w:tc>
          <w:tcPr>
            <w:tcW w:w="13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48,354</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2"/>
        </w:trPr>
        <w:tc>
          <w:tcPr>
            <w:tcW w:w="7860" w:type="dxa"/>
            <w:vAlign w:val="bottom"/>
            <w:gridSpan w:val="3"/>
          </w:tcPr>
          <w:p>
            <w:pPr>
              <w:spacing w:after="0"/>
              <w:rPr>
                <w:sz w:val="20"/>
                <w:szCs w:val="20"/>
                <w:color w:val="auto"/>
              </w:rPr>
            </w:pPr>
            <w:r>
              <w:rPr>
                <w:rFonts w:ascii="Arial" w:cs="Arial" w:eastAsia="Arial" w:hAnsi="Arial"/>
                <w:sz w:val="18"/>
                <w:szCs w:val="18"/>
                <w:color w:val="auto"/>
              </w:rPr>
              <w:t>Discontinued operations:</w:t>
            </w:r>
          </w:p>
        </w:tc>
        <w:tc>
          <w:tcPr>
            <w:tcW w:w="280" w:type="dxa"/>
            <w:vAlign w:val="bottom"/>
          </w:tcPr>
          <w:p>
            <w:pPr>
              <w:spacing w:after="0"/>
              <w:rPr>
                <w:sz w:val="19"/>
                <w:szCs w:val="19"/>
                <w:color w:val="auto"/>
              </w:rPr>
            </w:pPr>
          </w:p>
        </w:tc>
        <w:tc>
          <w:tcPr>
            <w:tcW w:w="13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3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7860" w:type="dxa"/>
            <w:vAlign w:val="bottom"/>
            <w:gridSpan w:val="3"/>
            <w:shd w:val="clear" w:color="auto" w:fill="CFF0FC"/>
          </w:tcPr>
          <w:p>
            <w:pPr>
              <w:ind w:left="260"/>
              <w:spacing w:after="0"/>
              <w:rPr>
                <w:sz w:val="20"/>
                <w:szCs w:val="20"/>
                <w:color w:val="auto"/>
              </w:rPr>
            </w:pPr>
            <w:r>
              <w:rPr>
                <w:rFonts w:ascii="Arial" w:cs="Arial" w:eastAsia="Arial" w:hAnsi="Arial"/>
                <w:sz w:val="18"/>
                <w:szCs w:val="18"/>
                <w:color w:val="auto"/>
              </w:rPr>
              <w:t>Self-insured liability</w:t>
            </w:r>
          </w:p>
        </w:tc>
        <w:tc>
          <w:tcPr>
            <w:tcW w:w="280" w:type="dxa"/>
            <w:vAlign w:val="bottom"/>
            <w:shd w:val="clear" w:color="auto" w:fill="CFF0FC"/>
          </w:tcPr>
          <w:p>
            <w:pPr>
              <w:spacing w:after="0"/>
              <w:rPr>
                <w:sz w:val="19"/>
                <w:szCs w:val="19"/>
                <w:color w:val="auto"/>
              </w:rPr>
            </w:pPr>
          </w:p>
        </w:tc>
        <w:tc>
          <w:tcPr>
            <w:tcW w:w="13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2,471</w:t>
            </w:r>
          </w:p>
        </w:tc>
        <w:tc>
          <w:tcPr>
            <w:tcW w:w="28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3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2,557</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7860" w:type="dxa"/>
            <w:vAlign w:val="bottom"/>
            <w:gridSpan w:val="3"/>
          </w:tcPr>
          <w:p>
            <w:pPr>
              <w:ind w:left="260"/>
              <w:spacing w:after="0"/>
              <w:rPr>
                <w:sz w:val="20"/>
                <w:szCs w:val="20"/>
                <w:color w:val="auto"/>
              </w:rPr>
            </w:pPr>
            <w:r>
              <w:rPr>
                <w:rFonts w:ascii="Arial" w:cs="Arial" w:eastAsia="Arial" w:hAnsi="Arial"/>
                <w:sz w:val="18"/>
                <w:szCs w:val="18"/>
                <w:color w:val="auto"/>
              </w:rPr>
              <w:t>Environmental remediation liabilities</w:t>
            </w:r>
          </w:p>
        </w:tc>
        <w:tc>
          <w:tcPr>
            <w:tcW w:w="280" w:type="dxa"/>
            <w:vAlign w:val="bottom"/>
          </w:tcPr>
          <w:p>
            <w:pPr>
              <w:spacing w:after="0"/>
              <w:rPr>
                <w:sz w:val="19"/>
                <w:szCs w:val="19"/>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1,669</w:t>
            </w:r>
          </w:p>
        </w:tc>
        <w:tc>
          <w:tcPr>
            <w:tcW w:w="2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1,728</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7860" w:type="dxa"/>
            <w:vAlign w:val="bottom"/>
            <w:gridSpan w:val="3"/>
            <w:shd w:val="clear" w:color="auto" w:fill="CFF0FC"/>
          </w:tcPr>
          <w:p>
            <w:pPr>
              <w:ind w:left="260"/>
              <w:spacing w:after="0"/>
              <w:rPr>
                <w:sz w:val="20"/>
                <w:szCs w:val="20"/>
                <w:color w:val="auto"/>
              </w:rPr>
            </w:pPr>
            <w:r>
              <w:rPr>
                <w:rFonts w:ascii="Arial" w:cs="Arial" w:eastAsia="Arial" w:hAnsi="Arial"/>
                <w:sz w:val="18"/>
                <w:szCs w:val="18"/>
                <w:color w:val="auto"/>
              </w:rPr>
              <w:t>Other</w:t>
            </w:r>
          </w:p>
        </w:tc>
        <w:tc>
          <w:tcPr>
            <w:tcW w:w="280" w:type="dxa"/>
            <w:vAlign w:val="bottom"/>
            <w:tcBorders>
              <w:bottom w:val="single" w:sz="8" w:color="auto"/>
            </w:tcBorders>
            <w:shd w:val="clear" w:color="auto" w:fill="CFF0FC"/>
          </w:tcPr>
          <w:p>
            <w:pPr>
              <w:spacing w:after="0"/>
              <w:rPr>
                <w:sz w:val="19"/>
                <w:szCs w:val="19"/>
                <w:color w:val="auto"/>
              </w:rPr>
            </w:pPr>
          </w:p>
        </w:tc>
        <w:tc>
          <w:tcPr>
            <w:tcW w:w="13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233</w:t>
            </w:r>
          </w:p>
        </w:tc>
        <w:tc>
          <w:tcPr>
            <w:tcW w:w="28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200" w:type="dxa"/>
            <w:vAlign w:val="bottom"/>
            <w:tcBorders>
              <w:bottom w:val="single" w:sz="8" w:color="auto"/>
            </w:tcBorders>
            <w:shd w:val="clear" w:color="auto" w:fill="CFF0FC"/>
          </w:tcPr>
          <w:p>
            <w:pPr>
              <w:spacing w:after="0"/>
              <w:rPr>
                <w:sz w:val="19"/>
                <w:szCs w:val="19"/>
                <w:color w:val="auto"/>
              </w:rPr>
            </w:pPr>
          </w:p>
        </w:tc>
        <w:tc>
          <w:tcPr>
            <w:tcW w:w="13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219</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2"/>
        </w:trPr>
        <w:tc>
          <w:tcPr>
            <w:tcW w:w="7860" w:type="dxa"/>
            <w:vAlign w:val="bottom"/>
            <w:tcBorders>
              <w:bottom w:val="single" w:sz="8" w:color="CFF0FC"/>
            </w:tcBorders>
            <w:gridSpan w:val="3"/>
          </w:tcPr>
          <w:p>
            <w:pPr>
              <w:spacing w:after="0"/>
              <w:rPr>
                <w:sz w:val="20"/>
                <w:szCs w:val="20"/>
                <w:color w:val="auto"/>
              </w:rPr>
            </w:pPr>
            <w:r>
              <w:rPr>
                <w:rFonts w:ascii="Arial" w:cs="Arial" w:eastAsia="Arial" w:hAnsi="Arial"/>
                <w:sz w:val="18"/>
                <w:szCs w:val="18"/>
                <w:b w:val="1"/>
                <w:bCs w:val="1"/>
                <w:color w:val="auto"/>
              </w:rPr>
              <w:t>Total discontinued operations</w:t>
            </w:r>
          </w:p>
        </w:tc>
        <w:tc>
          <w:tcPr>
            <w:tcW w:w="280" w:type="dxa"/>
            <w:vAlign w:val="bottom"/>
            <w:tcBorders>
              <w:bottom w:val="single" w:sz="8" w:color="auto"/>
            </w:tcBorders>
          </w:tcPr>
          <w:p>
            <w:pPr>
              <w:spacing w:after="0"/>
              <w:rPr>
                <w:sz w:val="19"/>
                <w:szCs w:val="19"/>
                <w:color w:val="auto"/>
              </w:rPr>
            </w:pPr>
          </w:p>
        </w:tc>
        <w:tc>
          <w:tcPr>
            <w:tcW w:w="13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4,373</w:t>
            </w:r>
          </w:p>
        </w:tc>
        <w:tc>
          <w:tcPr>
            <w:tcW w:w="280" w:type="dxa"/>
            <w:vAlign w:val="bottom"/>
            <w:tcBorders>
              <w:bottom w:val="single" w:sz="8" w:color="CFF0FC"/>
            </w:tcBorders>
          </w:tcPr>
          <w:p>
            <w:pPr>
              <w:spacing w:after="0"/>
              <w:rPr>
                <w:sz w:val="19"/>
                <w:szCs w:val="19"/>
                <w:color w:val="auto"/>
              </w:rPr>
            </w:pPr>
          </w:p>
        </w:tc>
        <w:tc>
          <w:tcPr>
            <w:tcW w:w="20" w:type="dxa"/>
            <w:vAlign w:val="bottom"/>
            <w:tcBorders>
              <w:bottom w:val="single" w:sz="8" w:color="CFF0FC"/>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13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4,504</w:t>
            </w:r>
          </w:p>
        </w:tc>
        <w:tc>
          <w:tcPr>
            <w:tcW w:w="120" w:type="dxa"/>
            <w:vAlign w:val="bottom"/>
            <w:tcBorders>
              <w:bottom w:val="single" w:sz="8" w:color="CFF0FC"/>
            </w:tcBorders>
          </w:tcPr>
          <w:p>
            <w:pPr>
              <w:spacing w:after="0"/>
              <w:rPr>
                <w:sz w:val="19"/>
                <w:szCs w:val="19"/>
                <w:color w:val="auto"/>
              </w:rPr>
            </w:pPr>
          </w:p>
        </w:tc>
        <w:tc>
          <w:tcPr>
            <w:tcW w:w="0" w:type="dxa"/>
            <w:vAlign w:val="bottom"/>
          </w:tcPr>
          <w:p>
            <w:pPr>
              <w:spacing w:after="0"/>
              <w:rPr>
                <w:sz w:val="1"/>
                <w:szCs w:val="1"/>
                <w:color w:val="auto"/>
              </w:rPr>
            </w:pPr>
          </w:p>
        </w:tc>
      </w:tr>
      <w:tr>
        <w:trPr>
          <w:trHeight w:val="222"/>
        </w:trPr>
        <w:tc>
          <w:tcPr>
            <w:tcW w:w="7860" w:type="dxa"/>
            <w:vAlign w:val="bottom"/>
            <w:tcBorders>
              <w:bottom w:val="single" w:sz="8" w:color="CFF0FC"/>
            </w:tcBorders>
            <w:gridSpan w:val="3"/>
            <w:shd w:val="clear" w:color="auto" w:fill="CFF0FC"/>
          </w:tcPr>
          <w:p>
            <w:pPr>
              <w:spacing w:after="0"/>
              <w:rPr>
                <w:sz w:val="20"/>
                <w:szCs w:val="20"/>
                <w:color w:val="auto"/>
              </w:rPr>
            </w:pPr>
            <w:r>
              <w:rPr>
                <w:rFonts w:ascii="Arial" w:cs="Arial" w:eastAsia="Arial" w:hAnsi="Arial"/>
                <w:sz w:val="18"/>
                <w:szCs w:val="18"/>
                <w:b w:val="1"/>
                <w:bCs w:val="1"/>
                <w:color w:val="auto"/>
              </w:rPr>
              <w:t>Total other deferred items and liabilities</w:t>
            </w:r>
          </w:p>
        </w:tc>
        <w:tc>
          <w:tcPr>
            <w:tcW w:w="280" w:type="dxa"/>
            <w:vAlign w:val="bottom"/>
            <w:tcBorders>
              <w:bottom w:val="single" w:sz="8" w:color="auto"/>
            </w:tcBorders>
            <w:shd w:val="clear" w:color="auto" w:fill="CFF0FC"/>
          </w:tcPr>
          <w:p>
            <w:pPr>
              <w:jc w:val="right"/>
              <w:ind w:right="127"/>
              <w:spacing w:after="0"/>
              <w:rPr>
                <w:sz w:val="20"/>
                <w:szCs w:val="20"/>
                <w:color w:val="auto"/>
              </w:rPr>
            </w:pPr>
            <w:r>
              <w:rPr>
                <w:rFonts w:ascii="Arial" w:cs="Arial" w:eastAsia="Arial" w:hAnsi="Arial"/>
                <w:sz w:val="15"/>
                <w:szCs w:val="15"/>
                <w:color w:val="auto"/>
                <w:w w:val="71"/>
              </w:rPr>
              <w:t>$</w:t>
            </w:r>
          </w:p>
        </w:tc>
        <w:tc>
          <w:tcPr>
            <w:tcW w:w="13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48,786</w:t>
            </w:r>
          </w:p>
        </w:tc>
        <w:tc>
          <w:tcPr>
            <w:tcW w:w="280" w:type="dxa"/>
            <w:vAlign w:val="bottom"/>
            <w:tcBorders>
              <w:bottom w:val="single" w:sz="8" w:color="CFF0FC"/>
            </w:tcBorders>
            <w:shd w:val="clear" w:color="auto" w:fill="CFF0FC"/>
          </w:tcPr>
          <w:p>
            <w:pPr>
              <w:spacing w:after="0"/>
              <w:rPr>
                <w:sz w:val="19"/>
                <w:szCs w:val="19"/>
                <w:color w:val="auto"/>
              </w:rPr>
            </w:pPr>
          </w:p>
        </w:tc>
        <w:tc>
          <w:tcPr>
            <w:tcW w:w="20" w:type="dxa"/>
            <w:vAlign w:val="bottom"/>
            <w:tcBorders>
              <w:bottom w:val="single" w:sz="8" w:color="CFF0FC"/>
            </w:tcBorders>
            <w:shd w:val="clear" w:color="auto" w:fill="CFF0FC"/>
          </w:tcPr>
          <w:p>
            <w:pPr>
              <w:spacing w:after="0"/>
              <w:rPr>
                <w:sz w:val="19"/>
                <w:szCs w:val="19"/>
                <w:color w:val="auto"/>
              </w:rPr>
            </w:pPr>
          </w:p>
        </w:tc>
        <w:tc>
          <w:tcPr>
            <w:tcW w:w="200" w:type="dxa"/>
            <w:vAlign w:val="bottom"/>
            <w:tcBorders>
              <w:bottom w:val="single" w:sz="8" w:color="auto"/>
            </w:tcBorders>
            <w:shd w:val="clear" w:color="auto" w:fill="CFF0FC"/>
          </w:tcPr>
          <w:p>
            <w:pPr>
              <w:jc w:val="right"/>
              <w:ind w:right="90"/>
              <w:spacing w:after="0"/>
              <w:rPr>
                <w:sz w:val="20"/>
                <w:szCs w:val="20"/>
                <w:color w:val="auto"/>
              </w:rPr>
            </w:pPr>
            <w:r>
              <w:rPr>
                <w:rFonts w:ascii="Arial" w:cs="Arial" w:eastAsia="Arial" w:hAnsi="Arial"/>
                <w:sz w:val="10"/>
                <w:szCs w:val="10"/>
                <w:color w:val="auto"/>
                <w:w w:val="71"/>
              </w:rPr>
              <w:t>$</w:t>
            </w:r>
          </w:p>
        </w:tc>
        <w:tc>
          <w:tcPr>
            <w:tcW w:w="13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52,858</w:t>
            </w:r>
          </w:p>
        </w:tc>
        <w:tc>
          <w:tcPr>
            <w:tcW w:w="120" w:type="dxa"/>
            <w:vAlign w:val="bottom"/>
            <w:tcBorders>
              <w:bottom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7860" w:type="dxa"/>
            <w:vAlign w:val="bottom"/>
            <w:gridSpan w:val="3"/>
            <w:vMerge w:val="restart"/>
          </w:tcPr>
          <w:p>
            <w:pPr>
              <w:spacing w:after="0"/>
              <w:rPr>
                <w:sz w:val="20"/>
                <w:szCs w:val="20"/>
                <w:color w:val="auto"/>
              </w:rPr>
            </w:pPr>
            <w:r>
              <w:rPr>
                <w:rFonts w:ascii="Arial" w:cs="Arial" w:eastAsia="Arial" w:hAnsi="Arial"/>
                <w:sz w:val="18"/>
                <w:szCs w:val="18"/>
                <w:b w:val="1"/>
                <w:bCs w:val="1"/>
                <w:color w:val="auto"/>
              </w:rPr>
              <w:t>Note 12. Debt and Capital Lease Obligations</w:t>
            </w:r>
          </w:p>
        </w:tc>
        <w:tc>
          <w:tcPr>
            <w:tcW w:w="28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58"/>
        </w:trPr>
        <w:tc>
          <w:tcPr>
            <w:tcW w:w="7860" w:type="dxa"/>
            <w:vAlign w:val="bottom"/>
            <w:gridSpan w:val="3"/>
            <w:vMerge w:val="continue"/>
          </w:tcPr>
          <w:p>
            <w:pPr>
              <w:spacing w:after="0"/>
              <w:rPr>
                <w:sz w:val="24"/>
                <w:szCs w:val="24"/>
                <w:color w:val="auto"/>
              </w:rPr>
            </w:pPr>
          </w:p>
        </w:tc>
        <w:tc>
          <w:tcPr>
            <w:tcW w:w="28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
        </w:trPr>
        <w:tc>
          <w:tcPr>
            <w:tcW w:w="680" w:type="dxa"/>
            <w:vAlign w:val="bottom"/>
          </w:tcPr>
          <w:p>
            <w:pPr>
              <w:spacing w:after="0" w:line="20" w:lineRule="exact"/>
              <w:rPr>
                <w:sz w:val="1"/>
                <w:szCs w:val="1"/>
                <w:color w:val="auto"/>
              </w:rPr>
            </w:pPr>
          </w:p>
        </w:tc>
        <w:tc>
          <w:tcPr>
            <w:tcW w:w="2720" w:type="dxa"/>
            <w:vAlign w:val="bottom"/>
            <w:shd w:val="clear" w:color="auto" w:fill="000000"/>
          </w:tcPr>
          <w:p>
            <w:pPr>
              <w:spacing w:after="0" w:line="20" w:lineRule="exact"/>
              <w:rPr>
                <w:sz w:val="1"/>
                <w:szCs w:val="1"/>
                <w:color w:val="auto"/>
              </w:rPr>
            </w:pPr>
          </w:p>
        </w:tc>
        <w:tc>
          <w:tcPr>
            <w:tcW w:w="446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3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43"/>
        </w:trPr>
        <w:tc>
          <w:tcPr>
            <w:tcW w:w="7860" w:type="dxa"/>
            <w:vAlign w:val="bottom"/>
            <w:gridSpan w:val="3"/>
          </w:tcPr>
          <w:p>
            <w:pPr>
              <w:spacing w:after="0"/>
              <w:rPr>
                <w:sz w:val="20"/>
                <w:szCs w:val="20"/>
                <w:color w:val="auto"/>
              </w:rPr>
            </w:pPr>
            <w:r>
              <w:rPr>
                <w:rFonts w:ascii="Arial" w:cs="Arial" w:eastAsia="Arial" w:hAnsi="Arial"/>
                <w:sz w:val="18"/>
                <w:szCs w:val="18"/>
                <w:color w:val="auto"/>
              </w:rPr>
              <w:t>The components of long-term debt and capital lease obligations consisted of the following:</w:t>
            </w:r>
          </w:p>
        </w:tc>
        <w:tc>
          <w:tcPr>
            <w:tcW w:w="28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4"/>
        </w:trPr>
        <w:tc>
          <w:tcPr>
            <w:tcW w:w="680" w:type="dxa"/>
            <w:vAlign w:val="bottom"/>
          </w:tcPr>
          <w:p>
            <w:pPr>
              <w:spacing w:after="0"/>
              <w:rPr>
                <w:sz w:val="24"/>
                <w:szCs w:val="24"/>
                <w:color w:val="auto"/>
              </w:rPr>
            </w:pPr>
          </w:p>
        </w:tc>
        <w:tc>
          <w:tcPr>
            <w:tcW w:w="2720" w:type="dxa"/>
            <w:vAlign w:val="bottom"/>
          </w:tcPr>
          <w:p>
            <w:pPr>
              <w:spacing w:after="0"/>
              <w:rPr>
                <w:sz w:val="24"/>
                <w:szCs w:val="24"/>
                <w:color w:val="auto"/>
              </w:rPr>
            </w:pPr>
          </w:p>
        </w:tc>
        <w:tc>
          <w:tcPr>
            <w:tcW w:w="44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580" w:type="dxa"/>
            <w:vAlign w:val="bottom"/>
            <w:gridSpan w:val="2"/>
          </w:tcPr>
          <w:p>
            <w:pPr>
              <w:jc w:val="center"/>
              <w:ind w:right="580"/>
              <w:spacing w:after="0"/>
              <w:rPr>
                <w:sz w:val="20"/>
                <w:szCs w:val="20"/>
                <w:color w:val="auto"/>
              </w:rPr>
            </w:pPr>
            <w:r>
              <w:rPr>
                <w:rFonts w:ascii="Arial" w:cs="Arial" w:eastAsia="Arial" w:hAnsi="Arial"/>
                <w:sz w:val="14"/>
                <w:szCs w:val="14"/>
                <w:b w:val="1"/>
                <w:bCs w:val="1"/>
                <w:color w:val="auto"/>
                <w:w w:val="99"/>
              </w:rPr>
              <w:t>March 31,</w:t>
            </w: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480" w:type="dxa"/>
            <w:vAlign w:val="bottom"/>
            <w:gridSpan w:val="2"/>
          </w:tcPr>
          <w:p>
            <w:pPr>
              <w:jc w:val="center"/>
              <w:ind w:right="360"/>
              <w:spacing w:after="0"/>
              <w:rPr>
                <w:sz w:val="20"/>
                <w:szCs w:val="20"/>
                <w:color w:val="auto"/>
              </w:rPr>
            </w:pPr>
            <w:r>
              <w:rPr>
                <w:rFonts w:ascii="Arial" w:cs="Arial" w:eastAsia="Arial" w:hAnsi="Arial"/>
                <w:sz w:val="14"/>
                <w:szCs w:val="14"/>
                <w:b w:val="1"/>
                <w:bCs w:val="1"/>
                <w:color w:val="auto"/>
                <w:w w:val="92"/>
              </w:rPr>
              <w:t>December 31,</w:t>
            </w:r>
          </w:p>
        </w:tc>
        <w:tc>
          <w:tcPr>
            <w:tcW w:w="0" w:type="dxa"/>
            <w:vAlign w:val="bottom"/>
          </w:tcPr>
          <w:p>
            <w:pPr>
              <w:spacing w:after="0"/>
              <w:rPr>
                <w:sz w:val="1"/>
                <w:szCs w:val="1"/>
                <w:color w:val="auto"/>
              </w:rPr>
            </w:pPr>
          </w:p>
        </w:tc>
      </w:tr>
      <w:tr>
        <w:trPr>
          <w:trHeight w:val="171"/>
        </w:trPr>
        <w:tc>
          <w:tcPr>
            <w:tcW w:w="7860" w:type="dxa"/>
            <w:vAlign w:val="bottom"/>
            <w:tcBorders>
              <w:bottom w:val="single" w:sz="8" w:color="CFF0FC"/>
            </w:tcBorders>
            <w:gridSpan w:val="3"/>
          </w:tcPr>
          <w:p>
            <w:pPr>
              <w:spacing w:after="0"/>
              <w:rPr>
                <w:sz w:val="20"/>
                <w:szCs w:val="20"/>
                <w:color w:val="auto"/>
              </w:rPr>
            </w:pPr>
            <w:r>
              <w:rPr>
                <w:rFonts w:ascii="Arial" w:cs="Arial" w:eastAsia="Arial" w:hAnsi="Arial"/>
                <w:sz w:val="14"/>
                <w:szCs w:val="14"/>
                <w:i w:val="1"/>
                <w:iCs w:val="1"/>
                <w:color w:val="auto"/>
              </w:rPr>
              <w:t>(in thousands, except interest rates)</w:t>
            </w:r>
          </w:p>
        </w:tc>
        <w:tc>
          <w:tcPr>
            <w:tcW w:w="280" w:type="dxa"/>
            <w:vAlign w:val="bottom"/>
            <w:tcBorders>
              <w:bottom w:val="single" w:sz="8" w:color="auto"/>
            </w:tcBorders>
          </w:tcPr>
          <w:p>
            <w:pPr>
              <w:spacing w:after="0"/>
              <w:rPr>
                <w:sz w:val="14"/>
                <w:szCs w:val="14"/>
                <w:color w:val="auto"/>
              </w:rPr>
            </w:pPr>
          </w:p>
        </w:tc>
        <w:tc>
          <w:tcPr>
            <w:tcW w:w="1300" w:type="dxa"/>
            <w:vAlign w:val="bottom"/>
            <w:tcBorders>
              <w:bottom w:val="single" w:sz="8" w:color="auto"/>
            </w:tcBorders>
          </w:tcPr>
          <w:p>
            <w:pPr>
              <w:jc w:val="center"/>
              <w:ind w:right="213"/>
              <w:spacing w:after="0"/>
              <w:rPr>
                <w:sz w:val="20"/>
                <w:szCs w:val="20"/>
                <w:color w:val="auto"/>
              </w:rPr>
            </w:pPr>
            <w:r>
              <w:rPr>
                <w:rFonts w:ascii="Arial" w:cs="Arial" w:eastAsia="Arial" w:hAnsi="Arial"/>
                <w:sz w:val="14"/>
                <w:szCs w:val="14"/>
                <w:b w:val="1"/>
                <w:bCs w:val="1"/>
                <w:color w:val="auto"/>
                <w:w w:val="89"/>
              </w:rPr>
              <w:t>2018</w:t>
            </w:r>
          </w:p>
        </w:tc>
        <w:tc>
          <w:tcPr>
            <w:tcW w:w="280" w:type="dxa"/>
            <w:vAlign w:val="bottom"/>
            <w:tcBorders>
              <w:bottom w:val="single" w:sz="8" w:color="CFF0FC"/>
            </w:tcBorders>
          </w:tcPr>
          <w:p>
            <w:pPr>
              <w:spacing w:after="0"/>
              <w:rPr>
                <w:sz w:val="14"/>
                <w:szCs w:val="14"/>
                <w:color w:val="auto"/>
              </w:rPr>
            </w:pPr>
          </w:p>
        </w:tc>
        <w:tc>
          <w:tcPr>
            <w:tcW w:w="20" w:type="dxa"/>
            <w:vAlign w:val="bottom"/>
            <w:tcBorders>
              <w:bottom w:val="single" w:sz="8" w:color="CFF0FC"/>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1360" w:type="dxa"/>
            <w:vAlign w:val="bottom"/>
            <w:tcBorders>
              <w:bottom w:val="single" w:sz="8" w:color="auto"/>
            </w:tcBorders>
          </w:tcPr>
          <w:p>
            <w:pPr>
              <w:jc w:val="center"/>
              <w:ind w:right="153"/>
              <w:spacing w:after="0"/>
              <w:rPr>
                <w:sz w:val="20"/>
                <w:szCs w:val="20"/>
                <w:color w:val="auto"/>
              </w:rPr>
            </w:pPr>
            <w:r>
              <w:rPr>
                <w:rFonts w:ascii="Arial" w:cs="Arial" w:eastAsia="Arial" w:hAnsi="Arial"/>
                <w:sz w:val="14"/>
                <w:szCs w:val="14"/>
                <w:b w:val="1"/>
                <w:bCs w:val="1"/>
                <w:color w:val="auto"/>
                <w:w w:val="89"/>
              </w:rPr>
              <w:t>2017</w:t>
            </w:r>
          </w:p>
        </w:tc>
        <w:tc>
          <w:tcPr>
            <w:tcW w:w="120" w:type="dxa"/>
            <w:vAlign w:val="bottom"/>
            <w:tcBorders>
              <w:bottom w:val="single" w:sz="8" w:color="CFF0FC"/>
            </w:tcBorders>
          </w:tcPr>
          <w:p>
            <w:pPr>
              <w:spacing w:after="0"/>
              <w:rPr>
                <w:sz w:val="14"/>
                <w:szCs w:val="14"/>
                <w:color w:val="auto"/>
              </w:rPr>
            </w:pPr>
          </w:p>
        </w:tc>
        <w:tc>
          <w:tcPr>
            <w:tcW w:w="0" w:type="dxa"/>
            <w:vAlign w:val="bottom"/>
          </w:tcPr>
          <w:p>
            <w:pPr>
              <w:spacing w:after="0"/>
              <w:rPr>
                <w:sz w:val="1"/>
                <w:szCs w:val="1"/>
                <w:color w:val="auto"/>
              </w:rPr>
            </w:pPr>
          </w:p>
        </w:tc>
      </w:tr>
      <w:tr>
        <w:trPr>
          <w:trHeight w:val="208"/>
        </w:trPr>
        <w:tc>
          <w:tcPr>
            <w:tcW w:w="7860" w:type="dxa"/>
            <w:vAlign w:val="bottom"/>
            <w:gridSpan w:val="3"/>
            <w:shd w:val="clear" w:color="auto" w:fill="CFF0FC"/>
          </w:tcPr>
          <w:p>
            <w:pPr>
              <w:spacing w:after="0"/>
              <w:rPr>
                <w:sz w:val="20"/>
                <w:szCs w:val="20"/>
                <w:color w:val="auto"/>
              </w:rPr>
            </w:pPr>
            <w:r>
              <w:rPr>
                <w:rFonts w:ascii="Arial" w:cs="Arial" w:eastAsia="Arial" w:hAnsi="Arial"/>
                <w:sz w:val="18"/>
                <w:szCs w:val="18"/>
                <w:color w:val="auto"/>
              </w:rPr>
              <w:t>Revolving credit facility and term loan 3.4% weighted-average interest rate at</w:t>
            </w:r>
          </w:p>
        </w:tc>
        <w:tc>
          <w:tcPr>
            <w:tcW w:w="280" w:type="dxa"/>
            <w:vAlign w:val="bottom"/>
            <w:shd w:val="clear" w:color="auto" w:fill="CFF0FC"/>
          </w:tcPr>
          <w:p>
            <w:pPr>
              <w:spacing w:after="0"/>
              <w:rPr>
                <w:sz w:val="18"/>
                <w:szCs w:val="18"/>
                <w:color w:val="auto"/>
              </w:rPr>
            </w:pPr>
          </w:p>
        </w:tc>
        <w:tc>
          <w:tcPr>
            <w:tcW w:w="1300" w:type="dxa"/>
            <w:vAlign w:val="bottom"/>
            <w:shd w:val="clear" w:color="auto" w:fill="CFF0FC"/>
          </w:tcPr>
          <w:p>
            <w:pPr>
              <w:spacing w:after="0"/>
              <w:rPr>
                <w:sz w:val="18"/>
                <w:szCs w:val="18"/>
                <w:color w:val="auto"/>
              </w:rPr>
            </w:pPr>
          </w:p>
        </w:tc>
        <w:tc>
          <w:tcPr>
            <w:tcW w:w="280" w:type="dxa"/>
            <w:vAlign w:val="bottom"/>
            <w:shd w:val="clear" w:color="auto" w:fill="CFF0FC"/>
          </w:tcPr>
          <w:p>
            <w:pPr>
              <w:spacing w:after="0"/>
              <w:rPr>
                <w:sz w:val="18"/>
                <w:szCs w:val="18"/>
                <w:color w:val="auto"/>
              </w:rPr>
            </w:pPr>
          </w:p>
        </w:tc>
        <w:tc>
          <w:tcPr>
            <w:tcW w:w="20" w:type="dxa"/>
            <w:vAlign w:val="bottom"/>
            <w:shd w:val="clear" w:color="auto" w:fill="CFF0FC"/>
          </w:tcPr>
          <w:p>
            <w:pPr>
              <w:spacing w:after="0"/>
              <w:rPr>
                <w:sz w:val="18"/>
                <w:szCs w:val="18"/>
                <w:color w:val="auto"/>
              </w:rPr>
            </w:pPr>
          </w:p>
        </w:tc>
        <w:tc>
          <w:tcPr>
            <w:tcW w:w="200" w:type="dxa"/>
            <w:vAlign w:val="bottom"/>
            <w:shd w:val="clear" w:color="auto" w:fill="CFF0FC"/>
          </w:tcPr>
          <w:p>
            <w:pPr>
              <w:spacing w:after="0"/>
              <w:rPr>
                <w:sz w:val="18"/>
                <w:szCs w:val="18"/>
                <w:color w:val="auto"/>
              </w:rPr>
            </w:pPr>
          </w:p>
        </w:tc>
        <w:tc>
          <w:tcPr>
            <w:tcW w:w="136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29"/>
        </w:trPr>
        <w:tc>
          <w:tcPr>
            <w:tcW w:w="7860" w:type="dxa"/>
            <w:vAlign w:val="bottom"/>
            <w:gridSpan w:val="3"/>
            <w:shd w:val="clear" w:color="auto" w:fill="CFF0FC"/>
          </w:tcPr>
          <w:p>
            <w:pPr>
              <w:ind w:left="140"/>
              <w:spacing w:after="0"/>
              <w:rPr>
                <w:sz w:val="20"/>
                <w:szCs w:val="20"/>
                <w:color w:val="auto"/>
              </w:rPr>
            </w:pPr>
            <w:r>
              <w:rPr>
                <w:rFonts w:ascii="Arial" w:cs="Arial" w:eastAsia="Arial" w:hAnsi="Arial"/>
                <w:sz w:val="18"/>
                <w:szCs w:val="18"/>
                <w:color w:val="auto"/>
              </w:rPr>
              <w:t xml:space="preserve">March 31, 2018 and 3.1% at December 31, 2017, due through 2019 </w:t>
            </w:r>
            <w:r>
              <w:rPr>
                <w:rFonts w:ascii="Arial" w:cs="Arial" w:eastAsia="Arial" w:hAnsi="Arial"/>
                <w:sz w:val="15"/>
                <w:szCs w:val="15"/>
                <w:color w:val="auto"/>
              </w:rPr>
              <w:t>(1)</w:t>
            </w:r>
          </w:p>
        </w:tc>
        <w:tc>
          <w:tcPr>
            <w:tcW w:w="280" w:type="dxa"/>
            <w:vAlign w:val="bottom"/>
            <w:shd w:val="clear" w:color="auto" w:fill="CFF0FC"/>
          </w:tcPr>
          <w:p>
            <w:pPr>
              <w:jc w:val="right"/>
              <w:ind w:right="127"/>
              <w:spacing w:after="0"/>
              <w:rPr>
                <w:sz w:val="20"/>
                <w:szCs w:val="20"/>
                <w:color w:val="auto"/>
              </w:rPr>
            </w:pPr>
            <w:r>
              <w:rPr>
                <w:rFonts w:ascii="Arial" w:cs="Arial" w:eastAsia="Arial" w:hAnsi="Arial"/>
                <w:sz w:val="15"/>
                <w:szCs w:val="15"/>
                <w:color w:val="auto"/>
                <w:w w:val="71"/>
              </w:rPr>
              <w:t>$</w:t>
            </w:r>
          </w:p>
        </w:tc>
        <w:tc>
          <w:tcPr>
            <w:tcW w:w="13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212,831</w:t>
            </w:r>
          </w:p>
        </w:tc>
        <w:tc>
          <w:tcPr>
            <w:tcW w:w="280" w:type="dxa"/>
            <w:vAlign w:val="bottom"/>
            <w:shd w:val="clear" w:color="auto" w:fill="CFF0FC"/>
          </w:tcPr>
          <w:p>
            <w:pPr>
              <w:spacing w:after="0"/>
              <w:rPr>
                <w:sz w:val="19"/>
                <w:szCs w:val="19"/>
                <w:color w:val="auto"/>
              </w:rPr>
            </w:pPr>
          </w:p>
        </w:tc>
        <w:tc>
          <w:tcPr>
            <w:tcW w:w="220" w:type="dxa"/>
            <w:vAlign w:val="bottom"/>
            <w:gridSpan w:val="2"/>
            <w:shd w:val="clear" w:color="auto" w:fill="CFF0FC"/>
          </w:tcPr>
          <w:p>
            <w:pPr>
              <w:jc w:val="right"/>
              <w:ind w:right="90"/>
              <w:spacing w:after="0"/>
              <w:rPr>
                <w:sz w:val="20"/>
                <w:szCs w:val="20"/>
                <w:color w:val="auto"/>
              </w:rPr>
            </w:pPr>
            <w:r>
              <w:rPr>
                <w:rFonts w:ascii="Arial" w:cs="Arial" w:eastAsia="Arial" w:hAnsi="Arial"/>
                <w:sz w:val="15"/>
                <w:szCs w:val="15"/>
                <w:color w:val="auto"/>
                <w:w w:val="71"/>
              </w:rPr>
              <w:t>$</w:t>
            </w:r>
          </w:p>
        </w:tc>
        <w:tc>
          <w:tcPr>
            <w:tcW w:w="13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207,322</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14"/>
        </w:trPr>
        <w:tc>
          <w:tcPr>
            <w:tcW w:w="7860" w:type="dxa"/>
            <w:vAlign w:val="bottom"/>
            <w:gridSpan w:val="3"/>
          </w:tcPr>
          <w:p>
            <w:pPr>
              <w:spacing w:after="0"/>
              <w:rPr>
                <w:sz w:val="20"/>
                <w:szCs w:val="20"/>
                <w:color w:val="auto"/>
              </w:rPr>
            </w:pPr>
            <w:r>
              <w:rPr>
                <w:rFonts w:ascii="Arial" w:cs="Arial" w:eastAsia="Arial" w:hAnsi="Arial"/>
                <w:sz w:val="18"/>
                <w:szCs w:val="18"/>
                <w:color w:val="auto"/>
              </w:rPr>
              <w:t>Brewster Inc. revolving credit facility 3.0% weighted-average interest rate at</w:t>
            </w:r>
          </w:p>
        </w:tc>
        <w:tc>
          <w:tcPr>
            <w:tcW w:w="28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9"/>
        </w:trPr>
        <w:tc>
          <w:tcPr>
            <w:tcW w:w="7860" w:type="dxa"/>
            <w:vAlign w:val="bottom"/>
            <w:gridSpan w:val="3"/>
          </w:tcPr>
          <w:p>
            <w:pPr>
              <w:ind w:left="140"/>
              <w:spacing w:after="0"/>
              <w:rPr>
                <w:sz w:val="20"/>
                <w:szCs w:val="20"/>
                <w:color w:val="auto"/>
              </w:rPr>
            </w:pPr>
            <w:r>
              <w:rPr>
                <w:rFonts w:ascii="Arial" w:cs="Arial" w:eastAsia="Arial" w:hAnsi="Arial"/>
                <w:sz w:val="18"/>
                <w:szCs w:val="18"/>
                <w:color w:val="auto"/>
              </w:rPr>
              <w:t xml:space="preserve">March 31, 2018 </w:t>
            </w:r>
            <w:r>
              <w:rPr>
                <w:rFonts w:ascii="Arial" w:cs="Arial" w:eastAsia="Arial" w:hAnsi="Arial"/>
                <w:sz w:val="15"/>
                <w:szCs w:val="15"/>
                <w:color w:val="auto"/>
              </w:rPr>
              <w:t>(1)</w:t>
            </w:r>
          </w:p>
        </w:tc>
        <w:tc>
          <w:tcPr>
            <w:tcW w:w="280" w:type="dxa"/>
            <w:vAlign w:val="bottom"/>
          </w:tcPr>
          <w:p>
            <w:pPr>
              <w:spacing w:after="0"/>
              <w:rPr>
                <w:sz w:val="19"/>
                <w:szCs w:val="19"/>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15,498</w:t>
            </w:r>
          </w:p>
        </w:tc>
        <w:tc>
          <w:tcPr>
            <w:tcW w:w="2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48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9"/>
        </w:trPr>
        <w:tc>
          <w:tcPr>
            <w:tcW w:w="7860" w:type="dxa"/>
            <w:vAlign w:val="bottom"/>
            <w:gridSpan w:val="3"/>
            <w:shd w:val="clear" w:color="auto" w:fill="CFF0FC"/>
          </w:tcPr>
          <w:p>
            <w:pPr>
              <w:spacing w:after="0"/>
              <w:rPr>
                <w:sz w:val="20"/>
                <w:szCs w:val="20"/>
                <w:color w:val="auto"/>
              </w:rPr>
            </w:pPr>
            <w:r>
              <w:rPr>
                <w:rFonts w:ascii="Arial" w:cs="Arial" w:eastAsia="Arial" w:hAnsi="Arial"/>
                <w:sz w:val="18"/>
                <w:szCs w:val="18"/>
                <w:color w:val="auto"/>
              </w:rPr>
              <w:t>Less unamortized debt issuance costs</w:t>
            </w:r>
          </w:p>
        </w:tc>
        <w:tc>
          <w:tcPr>
            <w:tcW w:w="280" w:type="dxa"/>
            <w:vAlign w:val="bottom"/>
            <w:shd w:val="clear" w:color="auto" w:fill="CFF0FC"/>
          </w:tcPr>
          <w:p>
            <w:pPr>
              <w:spacing w:after="0"/>
              <w:rPr>
                <w:sz w:val="19"/>
                <w:szCs w:val="19"/>
                <w:color w:val="auto"/>
              </w:rPr>
            </w:pPr>
          </w:p>
        </w:tc>
        <w:tc>
          <w:tcPr>
            <w:tcW w:w="1580" w:type="dxa"/>
            <w:vAlign w:val="bottom"/>
            <w:gridSpan w:val="2"/>
            <w:shd w:val="clear" w:color="auto" w:fill="CFF0FC"/>
          </w:tcPr>
          <w:p>
            <w:pPr>
              <w:jc w:val="right"/>
              <w:ind w:right="220"/>
              <w:spacing w:after="0"/>
              <w:rPr>
                <w:sz w:val="20"/>
                <w:szCs w:val="20"/>
                <w:color w:val="auto"/>
              </w:rPr>
            </w:pPr>
            <w:r>
              <w:rPr>
                <w:rFonts w:ascii="Arial" w:cs="Arial" w:eastAsia="Arial" w:hAnsi="Arial"/>
                <w:sz w:val="18"/>
                <w:szCs w:val="18"/>
                <w:color w:val="auto"/>
              </w:rPr>
              <w:t>(850)</w:t>
            </w:r>
          </w:p>
        </w:tc>
        <w:tc>
          <w:tcPr>
            <w:tcW w:w="2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480" w:type="dxa"/>
            <w:vAlign w:val="bottom"/>
            <w:gridSpan w:val="2"/>
            <w:shd w:val="clear" w:color="auto" w:fill="CFF0FC"/>
          </w:tcPr>
          <w:p>
            <w:pPr>
              <w:jc w:val="right"/>
              <w:ind w:right="60"/>
              <w:spacing w:after="0"/>
              <w:rPr>
                <w:sz w:val="20"/>
                <w:szCs w:val="20"/>
                <w:color w:val="auto"/>
              </w:rPr>
            </w:pPr>
            <w:r>
              <w:rPr>
                <w:rFonts w:ascii="Arial" w:cs="Arial" w:eastAsia="Arial" w:hAnsi="Arial"/>
                <w:sz w:val="18"/>
                <w:szCs w:val="18"/>
                <w:color w:val="auto"/>
              </w:rPr>
              <w:t>(984)</w:t>
            </w:r>
          </w:p>
        </w:tc>
        <w:tc>
          <w:tcPr>
            <w:tcW w:w="0" w:type="dxa"/>
            <w:vAlign w:val="bottom"/>
          </w:tcPr>
          <w:p>
            <w:pPr>
              <w:spacing w:after="0"/>
              <w:rPr>
                <w:sz w:val="1"/>
                <w:szCs w:val="1"/>
                <w:color w:val="auto"/>
              </w:rPr>
            </w:pPr>
          </w:p>
        </w:tc>
      </w:tr>
      <w:tr>
        <w:trPr>
          <w:trHeight w:val="222"/>
        </w:trPr>
        <w:tc>
          <w:tcPr>
            <w:tcW w:w="7860" w:type="dxa"/>
            <w:vAlign w:val="bottom"/>
            <w:gridSpan w:val="3"/>
          </w:tcPr>
          <w:p>
            <w:pPr>
              <w:spacing w:after="0"/>
              <w:rPr>
                <w:sz w:val="20"/>
                <w:szCs w:val="20"/>
                <w:color w:val="auto"/>
              </w:rPr>
            </w:pPr>
            <w:r>
              <w:rPr>
                <w:rFonts w:ascii="Arial" w:cs="Arial" w:eastAsia="Arial" w:hAnsi="Arial"/>
                <w:sz w:val="18"/>
                <w:szCs w:val="18"/>
                <w:b w:val="1"/>
                <w:bCs w:val="1"/>
                <w:color w:val="auto"/>
              </w:rPr>
              <w:t>Total debt</w:t>
            </w:r>
          </w:p>
        </w:tc>
        <w:tc>
          <w:tcPr>
            <w:tcW w:w="280" w:type="dxa"/>
            <w:vAlign w:val="bottom"/>
            <w:tcBorders>
              <w:top w:val="single" w:sz="8" w:color="auto"/>
            </w:tcBorders>
          </w:tcPr>
          <w:p>
            <w:pPr>
              <w:spacing w:after="0"/>
              <w:rPr>
                <w:sz w:val="19"/>
                <w:szCs w:val="19"/>
                <w:color w:val="auto"/>
              </w:rPr>
            </w:pPr>
          </w:p>
        </w:tc>
        <w:tc>
          <w:tcPr>
            <w:tcW w:w="13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227,479</w:t>
            </w:r>
          </w:p>
        </w:tc>
        <w:tc>
          <w:tcPr>
            <w:tcW w:w="2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0" w:type="dxa"/>
            <w:vAlign w:val="bottom"/>
            <w:tcBorders>
              <w:top w:val="single" w:sz="8" w:color="auto"/>
            </w:tcBorders>
          </w:tcPr>
          <w:p>
            <w:pPr>
              <w:spacing w:after="0"/>
              <w:rPr>
                <w:sz w:val="19"/>
                <w:szCs w:val="19"/>
                <w:color w:val="auto"/>
              </w:rPr>
            </w:pPr>
          </w:p>
        </w:tc>
        <w:tc>
          <w:tcPr>
            <w:tcW w:w="13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206,338</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4"/>
        </w:trPr>
        <w:tc>
          <w:tcPr>
            <w:tcW w:w="7860" w:type="dxa"/>
            <w:vAlign w:val="bottom"/>
            <w:gridSpan w:val="3"/>
            <w:shd w:val="clear" w:color="auto" w:fill="CFF0FC"/>
          </w:tcPr>
          <w:p>
            <w:pPr>
              <w:spacing w:after="0"/>
              <w:rPr>
                <w:sz w:val="20"/>
                <w:szCs w:val="20"/>
                <w:color w:val="auto"/>
              </w:rPr>
            </w:pPr>
            <w:r>
              <w:rPr>
                <w:rFonts w:ascii="Arial" w:cs="Arial" w:eastAsia="Arial" w:hAnsi="Arial"/>
                <w:sz w:val="18"/>
                <w:szCs w:val="18"/>
                <w:color w:val="auto"/>
              </w:rPr>
              <w:t>Capital lease obligations 4.1% weighted-average interest rate at March 31,</w:t>
            </w:r>
          </w:p>
        </w:tc>
        <w:tc>
          <w:tcPr>
            <w:tcW w:w="280" w:type="dxa"/>
            <w:vAlign w:val="bottom"/>
            <w:shd w:val="clear" w:color="auto" w:fill="CFF0FC"/>
          </w:tcPr>
          <w:p>
            <w:pPr>
              <w:spacing w:after="0"/>
              <w:rPr>
                <w:sz w:val="18"/>
                <w:szCs w:val="18"/>
                <w:color w:val="auto"/>
              </w:rPr>
            </w:pPr>
          </w:p>
        </w:tc>
        <w:tc>
          <w:tcPr>
            <w:tcW w:w="1300" w:type="dxa"/>
            <w:vAlign w:val="bottom"/>
            <w:shd w:val="clear" w:color="auto" w:fill="CFF0FC"/>
          </w:tcPr>
          <w:p>
            <w:pPr>
              <w:spacing w:after="0"/>
              <w:rPr>
                <w:sz w:val="18"/>
                <w:szCs w:val="18"/>
                <w:color w:val="auto"/>
              </w:rPr>
            </w:pPr>
          </w:p>
        </w:tc>
        <w:tc>
          <w:tcPr>
            <w:tcW w:w="280" w:type="dxa"/>
            <w:vAlign w:val="bottom"/>
            <w:shd w:val="clear" w:color="auto" w:fill="CFF0FC"/>
          </w:tcPr>
          <w:p>
            <w:pPr>
              <w:spacing w:after="0"/>
              <w:rPr>
                <w:sz w:val="18"/>
                <w:szCs w:val="18"/>
                <w:color w:val="auto"/>
              </w:rPr>
            </w:pPr>
          </w:p>
        </w:tc>
        <w:tc>
          <w:tcPr>
            <w:tcW w:w="20" w:type="dxa"/>
            <w:vAlign w:val="bottom"/>
            <w:shd w:val="clear" w:color="auto" w:fill="CFF0FC"/>
          </w:tcPr>
          <w:p>
            <w:pPr>
              <w:spacing w:after="0"/>
              <w:rPr>
                <w:sz w:val="18"/>
                <w:szCs w:val="18"/>
                <w:color w:val="auto"/>
              </w:rPr>
            </w:pPr>
          </w:p>
        </w:tc>
        <w:tc>
          <w:tcPr>
            <w:tcW w:w="200" w:type="dxa"/>
            <w:vAlign w:val="bottom"/>
            <w:shd w:val="clear" w:color="auto" w:fill="CFF0FC"/>
          </w:tcPr>
          <w:p>
            <w:pPr>
              <w:spacing w:after="0"/>
              <w:rPr>
                <w:sz w:val="18"/>
                <w:szCs w:val="18"/>
                <w:color w:val="auto"/>
              </w:rPr>
            </w:pPr>
          </w:p>
        </w:tc>
        <w:tc>
          <w:tcPr>
            <w:tcW w:w="136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29"/>
        </w:trPr>
        <w:tc>
          <w:tcPr>
            <w:tcW w:w="7860" w:type="dxa"/>
            <w:vAlign w:val="bottom"/>
            <w:gridSpan w:val="3"/>
            <w:shd w:val="clear" w:color="auto" w:fill="CFF0FC"/>
          </w:tcPr>
          <w:p>
            <w:pPr>
              <w:ind w:left="140"/>
              <w:spacing w:after="0"/>
              <w:rPr>
                <w:sz w:val="20"/>
                <w:szCs w:val="20"/>
                <w:color w:val="auto"/>
              </w:rPr>
            </w:pPr>
            <w:r>
              <w:rPr>
                <w:rFonts w:ascii="Arial" w:cs="Arial" w:eastAsia="Arial" w:hAnsi="Arial"/>
                <w:sz w:val="18"/>
                <w:szCs w:val="18"/>
                <w:color w:val="auto"/>
              </w:rPr>
              <w:t>2018 and 3.8% at December 31, 2017, due through 2021</w:t>
            </w:r>
          </w:p>
        </w:tc>
        <w:tc>
          <w:tcPr>
            <w:tcW w:w="280" w:type="dxa"/>
            <w:vAlign w:val="bottom"/>
            <w:tcBorders>
              <w:bottom w:val="single" w:sz="8" w:color="auto"/>
            </w:tcBorders>
            <w:shd w:val="clear" w:color="auto" w:fill="CFF0FC"/>
          </w:tcPr>
          <w:p>
            <w:pPr>
              <w:spacing w:after="0"/>
              <w:rPr>
                <w:sz w:val="19"/>
                <w:szCs w:val="19"/>
                <w:color w:val="auto"/>
              </w:rPr>
            </w:pPr>
          </w:p>
        </w:tc>
        <w:tc>
          <w:tcPr>
            <w:tcW w:w="13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3,839</w:t>
            </w:r>
          </w:p>
        </w:tc>
        <w:tc>
          <w:tcPr>
            <w:tcW w:w="28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200" w:type="dxa"/>
            <w:vAlign w:val="bottom"/>
            <w:tcBorders>
              <w:bottom w:val="single" w:sz="8" w:color="auto"/>
            </w:tcBorders>
            <w:shd w:val="clear" w:color="auto" w:fill="CFF0FC"/>
          </w:tcPr>
          <w:p>
            <w:pPr>
              <w:spacing w:after="0"/>
              <w:rPr>
                <w:sz w:val="19"/>
                <w:szCs w:val="19"/>
                <w:color w:val="auto"/>
              </w:rPr>
            </w:pPr>
          </w:p>
        </w:tc>
        <w:tc>
          <w:tcPr>
            <w:tcW w:w="13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2,854</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2"/>
        </w:trPr>
        <w:tc>
          <w:tcPr>
            <w:tcW w:w="7860" w:type="dxa"/>
            <w:vAlign w:val="bottom"/>
            <w:gridSpan w:val="3"/>
          </w:tcPr>
          <w:p>
            <w:pPr>
              <w:spacing w:after="0"/>
              <w:rPr>
                <w:sz w:val="20"/>
                <w:szCs w:val="20"/>
                <w:color w:val="auto"/>
              </w:rPr>
            </w:pPr>
            <w:r>
              <w:rPr>
                <w:rFonts w:ascii="Arial" w:cs="Arial" w:eastAsia="Arial" w:hAnsi="Arial"/>
                <w:sz w:val="18"/>
                <w:szCs w:val="18"/>
                <w:b w:val="1"/>
                <w:bCs w:val="1"/>
                <w:color w:val="auto"/>
              </w:rPr>
              <w:t>Total debt and capital lease obligations</w:t>
            </w:r>
          </w:p>
        </w:tc>
        <w:tc>
          <w:tcPr>
            <w:tcW w:w="280" w:type="dxa"/>
            <w:vAlign w:val="bottom"/>
          </w:tcPr>
          <w:p>
            <w:pPr>
              <w:spacing w:after="0"/>
              <w:rPr>
                <w:sz w:val="19"/>
                <w:szCs w:val="19"/>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231,318</w:t>
            </w:r>
          </w:p>
        </w:tc>
        <w:tc>
          <w:tcPr>
            <w:tcW w:w="2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209,192</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7860" w:type="dxa"/>
            <w:vAlign w:val="bottom"/>
            <w:gridSpan w:val="3"/>
            <w:shd w:val="clear" w:color="auto" w:fill="CFF0FC"/>
          </w:tcPr>
          <w:p>
            <w:pPr>
              <w:ind w:left="260"/>
              <w:spacing w:after="0"/>
              <w:rPr>
                <w:sz w:val="20"/>
                <w:szCs w:val="20"/>
                <w:color w:val="auto"/>
              </w:rPr>
            </w:pPr>
            <w:r>
              <w:rPr>
                <w:rFonts w:ascii="Arial" w:cs="Arial" w:eastAsia="Arial" w:hAnsi="Arial"/>
                <w:sz w:val="18"/>
                <w:szCs w:val="18"/>
                <w:color w:val="auto"/>
              </w:rPr>
              <w:t xml:space="preserve">Current portion </w:t>
            </w:r>
            <w:r>
              <w:rPr>
                <w:rFonts w:ascii="Arial" w:cs="Arial" w:eastAsia="Arial" w:hAnsi="Arial"/>
                <w:sz w:val="15"/>
                <w:szCs w:val="15"/>
                <w:color w:val="auto"/>
              </w:rPr>
              <w:t>(2)</w:t>
            </w:r>
          </w:p>
        </w:tc>
        <w:tc>
          <w:tcPr>
            <w:tcW w:w="280" w:type="dxa"/>
            <w:vAlign w:val="bottom"/>
            <w:shd w:val="clear" w:color="auto" w:fill="CFF0FC"/>
          </w:tcPr>
          <w:p>
            <w:pPr>
              <w:spacing w:after="0"/>
              <w:rPr>
                <w:sz w:val="19"/>
                <w:szCs w:val="19"/>
                <w:color w:val="auto"/>
              </w:rPr>
            </w:pPr>
          </w:p>
        </w:tc>
        <w:tc>
          <w:tcPr>
            <w:tcW w:w="1580" w:type="dxa"/>
            <w:vAlign w:val="bottom"/>
            <w:gridSpan w:val="2"/>
            <w:shd w:val="clear" w:color="auto" w:fill="CFF0FC"/>
          </w:tcPr>
          <w:p>
            <w:pPr>
              <w:jc w:val="right"/>
              <w:ind w:right="220"/>
              <w:spacing w:after="0"/>
              <w:rPr>
                <w:sz w:val="20"/>
                <w:szCs w:val="20"/>
                <w:color w:val="auto"/>
              </w:rPr>
            </w:pPr>
            <w:r>
              <w:rPr>
                <w:rFonts w:ascii="Arial" w:cs="Arial" w:eastAsia="Arial" w:hAnsi="Arial"/>
                <w:sz w:val="18"/>
                <w:szCs w:val="18"/>
                <w:color w:val="auto"/>
              </w:rPr>
              <w:t>(178,252)</w:t>
            </w:r>
          </w:p>
        </w:tc>
        <w:tc>
          <w:tcPr>
            <w:tcW w:w="2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480" w:type="dxa"/>
            <w:vAlign w:val="bottom"/>
            <w:gridSpan w:val="2"/>
            <w:shd w:val="clear" w:color="auto" w:fill="CFF0FC"/>
          </w:tcPr>
          <w:p>
            <w:pPr>
              <w:jc w:val="right"/>
              <w:ind w:right="60"/>
              <w:spacing w:after="0"/>
              <w:rPr>
                <w:sz w:val="20"/>
                <w:szCs w:val="20"/>
                <w:color w:val="auto"/>
              </w:rPr>
            </w:pPr>
            <w:r>
              <w:rPr>
                <w:rFonts w:ascii="Arial" w:cs="Arial" w:eastAsia="Arial" w:hAnsi="Arial"/>
                <w:sz w:val="18"/>
                <w:szCs w:val="18"/>
                <w:color w:val="auto"/>
              </w:rPr>
              <w:t>(152,599)</w:t>
            </w:r>
          </w:p>
        </w:tc>
        <w:tc>
          <w:tcPr>
            <w:tcW w:w="0" w:type="dxa"/>
            <w:vAlign w:val="bottom"/>
          </w:tcPr>
          <w:p>
            <w:pPr>
              <w:spacing w:after="0"/>
              <w:rPr>
                <w:sz w:val="1"/>
                <w:szCs w:val="1"/>
                <w:color w:val="auto"/>
              </w:rPr>
            </w:pPr>
          </w:p>
        </w:tc>
      </w:tr>
      <w:tr>
        <w:trPr>
          <w:trHeight w:val="222"/>
        </w:trPr>
        <w:tc>
          <w:tcPr>
            <w:tcW w:w="7860" w:type="dxa"/>
            <w:vAlign w:val="bottom"/>
            <w:gridSpan w:val="3"/>
          </w:tcPr>
          <w:p>
            <w:pPr>
              <w:spacing w:after="0"/>
              <w:rPr>
                <w:sz w:val="20"/>
                <w:szCs w:val="20"/>
                <w:color w:val="auto"/>
              </w:rPr>
            </w:pPr>
            <w:r>
              <w:rPr>
                <w:rFonts w:ascii="Arial" w:cs="Arial" w:eastAsia="Arial" w:hAnsi="Arial"/>
                <w:sz w:val="18"/>
                <w:szCs w:val="18"/>
                <w:b w:val="1"/>
                <w:bCs w:val="1"/>
                <w:color w:val="auto"/>
              </w:rPr>
              <w:t>Long-term debt and capital lease obligations</w:t>
            </w:r>
          </w:p>
        </w:tc>
        <w:tc>
          <w:tcPr>
            <w:tcW w:w="280" w:type="dxa"/>
            <w:vAlign w:val="bottom"/>
            <w:tcBorders>
              <w:top w:val="single" w:sz="8" w:color="auto"/>
              <w:bottom w:val="single" w:sz="8" w:color="auto"/>
            </w:tcBorders>
          </w:tcPr>
          <w:p>
            <w:pPr>
              <w:jc w:val="right"/>
              <w:ind w:right="127"/>
              <w:spacing w:after="0"/>
              <w:rPr>
                <w:sz w:val="20"/>
                <w:szCs w:val="20"/>
                <w:color w:val="auto"/>
              </w:rPr>
            </w:pPr>
            <w:r>
              <w:rPr>
                <w:rFonts w:ascii="Arial" w:cs="Arial" w:eastAsia="Arial" w:hAnsi="Arial"/>
                <w:sz w:val="15"/>
                <w:szCs w:val="15"/>
                <w:color w:val="auto"/>
                <w:w w:val="71"/>
              </w:rPr>
              <w:t>$</w:t>
            </w:r>
          </w:p>
        </w:tc>
        <w:tc>
          <w:tcPr>
            <w:tcW w:w="13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53,066</w:t>
            </w:r>
          </w:p>
        </w:tc>
        <w:tc>
          <w:tcPr>
            <w:tcW w:w="280" w:type="dxa"/>
            <w:vAlign w:val="bottom"/>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200" w:type="dxa"/>
            <w:vAlign w:val="bottom"/>
            <w:tcBorders>
              <w:top w:val="single" w:sz="8" w:color="auto"/>
              <w:bottom w:val="single" w:sz="8" w:color="auto"/>
            </w:tcBorders>
          </w:tcPr>
          <w:p>
            <w:pPr>
              <w:jc w:val="right"/>
              <w:ind w:right="90"/>
              <w:spacing w:after="0"/>
              <w:rPr>
                <w:sz w:val="20"/>
                <w:szCs w:val="20"/>
                <w:color w:val="auto"/>
              </w:rPr>
            </w:pPr>
            <w:r>
              <w:rPr>
                <w:rFonts w:ascii="Arial" w:cs="Arial" w:eastAsia="Arial" w:hAnsi="Arial"/>
                <w:sz w:val="10"/>
                <w:szCs w:val="10"/>
                <w:color w:val="auto"/>
                <w:w w:val="71"/>
              </w:rPr>
              <w:t>$</w:t>
            </w:r>
          </w:p>
        </w:tc>
        <w:tc>
          <w:tcPr>
            <w:tcW w:w="13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56,593</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680" w:type="dxa"/>
            <w:vAlign w:val="bottom"/>
          </w:tcPr>
          <w:p>
            <w:pPr>
              <w:spacing w:after="0" w:line="20" w:lineRule="exact"/>
              <w:rPr>
                <w:sz w:val="1"/>
                <w:szCs w:val="1"/>
                <w:color w:val="auto"/>
              </w:rPr>
            </w:pPr>
          </w:p>
        </w:tc>
        <w:tc>
          <w:tcPr>
            <w:tcW w:w="2720" w:type="dxa"/>
            <w:vAlign w:val="bottom"/>
          </w:tcPr>
          <w:p>
            <w:pPr>
              <w:spacing w:after="0" w:line="20" w:lineRule="exact"/>
              <w:rPr>
                <w:sz w:val="1"/>
                <w:szCs w:val="1"/>
                <w:color w:val="auto"/>
              </w:rPr>
            </w:pPr>
          </w:p>
        </w:tc>
        <w:tc>
          <w:tcPr>
            <w:tcW w:w="446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93" w:lineRule="exact"/>
        <w:rPr>
          <w:sz w:val="20"/>
          <w:szCs w:val="20"/>
          <w:color w:val="auto"/>
        </w:rPr>
      </w:pPr>
    </w:p>
    <w:p>
      <w:pPr>
        <w:ind w:left="380" w:hanging="372"/>
        <w:spacing w:after="0" w:line="257" w:lineRule="auto"/>
        <w:tabs>
          <w:tab w:leader="none" w:pos="380" w:val="left"/>
        </w:tabs>
        <w:numPr>
          <w:ilvl w:val="0"/>
          <w:numId w:val="11"/>
        </w:numPr>
        <w:rPr>
          <w:rFonts w:ascii="Arial" w:cs="Arial" w:eastAsia="Arial" w:hAnsi="Arial"/>
          <w:sz w:val="15"/>
          <w:szCs w:val="15"/>
          <w:color w:val="auto"/>
        </w:rPr>
      </w:pPr>
      <w:r>
        <w:rPr>
          <w:rFonts w:ascii="Arial" w:cs="Arial" w:eastAsia="Arial" w:hAnsi="Arial"/>
          <w:sz w:val="18"/>
          <w:szCs w:val="18"/>
          <w:color w:val="auto"/>
        </w:rPr>
        <w:t>Represents the weighted-average interest rate in effect at the respective periods for the revolving credit facilities and term loan borrowings, including any applicable margin. The interest rates do not include amortization of debt issuance costs or commitment fees.</w:t>
      </w:r>
    </w:p>
    <w:p>
      <w:pPr>
        <w:spacing w:after="0" w:line="1" w:lineRule="exact"/>
        <w:rPr>
          <w:rFonts w:ascii="Arial" w:cs="Arial" w:eastAsia="Arial" w:hAnsi="Arial"/>
          <w:sz w:val="15"/>
          <w:szCs w:val="15"/>
          <w:color w:val="auto"/>
        </w:rPr>
      </w:pPr>
    </w:p>
    <w:p>
      <w:pPr>
        <w:ind w:left="380" w:hanging="372"/>
        <w:spacing w:after="0"/>
        <w:tabs>
          <w:tab w:leader="none" w:pos="380" w:val="left"/>
        </w:tabs>
        <w:numPr>
          <w:ilvl w:val="0"/>
          <w:numId w:val="11"/>
        </w:numPr>
        <w:rPr>
          <w:rFonts w:ascii="Arial" w:cs="Arial" w:eastAsia="Arial" w:hAnsi="Arial"/>
          <w:sz w:val="15"/>
          <w:szCs w:val="15"/>
          <w:color w:val="auto"/>
        </w:rPr>
      </w:pPr>
      <w:r>
        <w:rPr>
          <w:rFonts w:ascii="Arial" w:cs="Arial" w:eastAsia="Arial" w:hAnsi="Arial"/>
          <w:sz w:val="18"/>
          <w:szCs w:val="18"/>
          <w:color w:val="auto"/>
        </w:rPr>
        <w:t>Borrowings under the revolving credit facilities are classified as current because all borrowed amounts are due within one year.</w:t>
      </w:r>
    </w:p>
    <w:p>
      <w:pPr>
        <w:spacing w:after="0" w:line="155" w:lineRule="exact"/>
        <w:rPr>
          <w:sz w:val="20"/>
          <w:szCs w:val="20"/>
          <w:color w:val="auto"/>
        </w:rPr>
      </w:pPr>
    </w:p>
    <w:p>
      <w:pPr>
        <w:jc w:val="both"/>
        <w:spacing w:after="0" w:line="268" w:lineRule="auto"/>
        <w:rPr>
          <w:sz w:val="20"/>
          <w:szCs w:val="20"/>
          <w:color w:val="auto"/>
        </w:rPr>
      </w:pPr>
      <w:r>
        <w:rPr>
          <w:rFonts w:ascii="Arial" w:cs="Arial" w:eastAsia="Arial" w:hAnsi="Arial"/>
          <w:sz w:val="17"/>
          <w:szCs w:val="17"/>
          <w:color w:val="auto"/>
        </w:rPr>
        <w:t>Effective December 22, 2014, we entered into a $300 million Amended and Restated Credit Agreement (the “Credit Agreement”). The Credit Agreement provides for a senior credit facility in the aggregate amount of $300 million, which consists of a $175 million revolving credit facility (the “Revolving Credit Facility”) and a $125 million term loan (the “Term Loan”). The Credit Agreement has a maturity date of December 22, 2019. Proceeds from the loans made under the Credit Agreement were used to refinance certain of our outstanding debt and will be used for general corporate purposes in the ordinary course of business. Under the Credit Agreement, either or both of the Revolving Credit Facility and the Term Loan may be increased up to an additional $100 million under certain circumstances. If such circumstances are met, we may obtain the additional borrowings under the Revolving Credit Facility, the Term Loan, or a combination of the two. The Revolving Credit Facility has a $40 million sublimit for letters of credit. Borrowings and letters of credit can be denominated in U.S. dollars, Euros, Canadian dollars, or British pounds. Our lenders under the Credit Agreement have a first perfected security interest in all of our personal property including GES, GES Event Intelligence Services, Inc., CATC Alaska Tourism Corporation (“CATC”), and ON Event Services, LLC (“ON Services”), and 65% of the capital stock of our top-tier foreign subsidiaries.</w:t>
      </w:r>
    </w:p>
    <w:p>
      <w:pPr>
        <w:spacing w:after="0" w:line="18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69850</wp:posOffset>
            </wp:positionV>
            <wp:extent cx="7289800" cy="4254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1420"/>
          </w:cols>
          <w:pgMar w:left="240" w:top="336" w:right="239" w:bottom="1440" w:gutter="0" w:footer="0" w:header="0"/>
        </w:sectPr>
      </w:pPr>
    </w:p>
    <w:bookmarkStart w:id="22" w:name="page23"/>
    <w:bookmarkEnd w:id="22"/>
    <w:p>
      <w:pPr>
        <w:jc w:val="both"/>
        <w:spacing w:after="0" w:line="287" w:lineRule="auto"/>
        <w:rPr>
          <w:sz w:val="20"/>
          <w:szCs w:val="20"/>
          <w:color w:val="auto"/>
        </w:rPr>
      </w:pPr>
      <w:r>
        <w:rPr>
          <w:rFonts w:ascii="Arial" w:cs="Arial" w:eastAsia="Arial" w:hAnsi="Arial"/>
          <w:sz w:val="16"/>
          <w:szCs w:val="16"/>
          <w:color w:val="auto"/>
        </w:rPr>
        <w:t>Effective February 24, 2016, we executed an amendment (“Amendment No. 1”) to the Credit Agreement. Amendment No. 1 modified the terms of the financial covenants and the negative covenants related to acquisitions, restricted payments, and indebtedness. The overall maximum leverage ratio and minimum fixed charge coverage ratio are 3.50 to 1.00 and 1.75 to 1.00, respectively, and will remain at those levels for the entire remaining term of the Credit Agreement. Acquisitions in substantially the same or related lines of business are permitted under Amendment No. 1, as long as the pro forma leverage ratio is less than or equal to 3.00 to 1.00. We can make dividends, distributions, and repurchases of our common stock up to $20 million per calendar year. Stock dividends, distributions, and repurchases above the $20 million limit are not subject to a liquidity covenant, and are permitted as long as our pro forma leverage ratio is less than or equal to 2.50 to 1.00 and no default or unmatured default, as defined in the Credit Agreement, exists. Unsecured debt is allowed as long as our pro forma leverage ratio is less than or equal to 3.00 to 1.00. Significant other covenants under the Credit Agreement that were not affected by Amendment No. 1 include limitations on investments, sales/leases of assets, consolidations or mergers, and liens on property. As of March 31, 2018, the fixed charge coverage ratio was 2.69 to 1.00, the leverage ratio was 1.89 to 1.00, and we were in compliance with all covenants under the Credit Agreement.</w:t>
      </w:r>
    </w:p>
    <w:p>
      <w:pPr>
        <w:spacing w:after="0" w:line="112" w:lineRule="exact"/>
        <w:rPr>
          <w:sz w:val="20"/>
          <w:szCs w:val="20"/>
          <w:color w:val="auto"/>
        </w:rPr>
      </w:pPr>
    </w:p>
    <w:p>
      <w:pPr>
        <w:jc w:val="both"/>
        <w:spacing w:after="0" w:line="290" w:lineRule="auto"/>
        <w:rPr>
          <w:sz w:val="20"/>
          <w:szCs w:val="20"/>
          <w:color w:val="auto"/>
        </w:rPr>
      </w:pPr>
      <w:r>
        <w:rPr>
          <w:rFonts w:ascii="Arial" w:cs="Arial" w:eastAsia="Arial" w:hAnsi="Arial"/>
          <w:sz w:val="16"/>
          <w:szCs w:val="16"/>
          <w:color w:val="auto"/>
        </w:rPr>
        <w:t>Effective December 28, 2016, Brewster Inc., part of Pursuit, entered into a credit agreement (the “Brewster Credit Agreement”) with a $38 million revolving credit facility (the “Brewster Revolver”). The Brewster Credit Agreement was used in connection with the FlyOver Canada acquisition in December 2016. Effective December 6, 2017, we amended the Brewster Revolver to reduce the amount to $20 million and extend the maturity date to December 28, 2018. Additional loan proceeds will be used for potential future acquisitions in Canada and other general corporate purposes of Brewster Inc. The lender under the Brewster Revolver has a first perfected security interest in all of Brewster Inc.’s personal property and a guaranty from Brewster Inc.’s immediate parent, Brewster Travel Canada Inc. (secured by its present and future personal property), Viad, and all of its current or future subsidiaries that are required to be guarantors under Viad’s Credit Agreement. The fees on the unused portion of the Brewster Revolver are currently 0.2% annually.</w:t>
      </w:r>
    </w:p>
    <w:p>
      <w:pPr>
        <w:spacing w:after="0" w:line="111"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As of March 31, 2018, our total debt and capital lease obligations were $231.3 million, consisting of outstanding borrowings under the Term Loan of $70.3 million, the Revolving Credit Facility of $142.5 million, the Brewster Revolver of $15.5 million, and capital lease obligations of $3.8 million, offset in part by unamortized debt issuance costs of $0.9 million. As of March 31, 2018, capacity remaining under the Revolving Credit Facility was $31.2 million, reflecting borrowings of $142.5 million and $1.3 million in outstanding letters of credit. As of March 31, 2018, Brewster Inc. had $4.5 million of capacity remaining under the Brewster Revolver.</w:t>
      </w:r>
    </w:p>
    <w:p>
      <w:pPr>
        <w:spacing w:after="0" w:line="137" w:lineRule="exact"/>
        <w:rPr>
          <w:sz w:val="20"/>
          <w:szCs w:val="20"/>
          <w:color w:val="auto"/>
        </w:rPr>
      </w:pPr>
    </w:p>
    <w:p>
      <w:pPr>
        <w:jc w:val="both"/>
        <w:spacing w:after="0" w:line="285" w:lineRule="auto"/>
        <w:rPr>
          <w:sz w:val="20"/>
          <w:szCs w:val="20"/>
          <w:color w:val="auto"/>
        </w:rPr>
      </w:pPr>
      <w:r>
        <w:rPr>
          <w:rFonts w:ascii="Arial" w:cs="Arial" w:eastAsia="Arial" w:hAnsi="Arial"/>
          <w:sz w:val="17"/>
          <w:szCs w:val="17"/>
          <w:color w:val="auto"/>
        </w:rPr>
        <w:t>Borrowings under the Revolving Credit Facility (of which GES, GES Event Intelligence Services, Inc., CATC, and ON Services are guarantors) are indexed to the prime rate or the London Interbank Offered Rate, plus appropriate spreads tied to our leverage ratio. Commitment fees and letters of credit fees are also tied to our leverage ratio. The fees on the unused portion of the Revolving Credit Facility are currently 0.3% annually.</w:t>
      </w:r>
    </w:p>
    <w:p>
      <w:pPr>
        <w:spacing w:after="0" w:line="110" w:lineRule="exact"/>
        <w:rPr>
          <w:sz w:val="20"/>
          <w:szCs w:val="20"/>
          <w:color w:val="auto"/>
        </w:rPr>
      </w:pPr>
    </w:p>
    <w:p>
      <w:pPr>
        <w:jc w:val="both"/>
        <w:spacing w:after="0" w:line="275" w:lineRule="auto"/>
        <w:rPr>
          <w:sz w:val="20"/>
          <w:szCs w:val="20"/>
          <w:color w:val="auto"/>
        </w:rPr>
      </w:pPr>
      <w:r>
        <w:rPr>
          <w:rFonts w:ascii="Arial" w:cs="Arial" w:eastAsia="Arial" w:hAnsi="Arial"/>
          <w:sz w:val="18"/>
          <w:szCs w:val="18"/>
          <w:color w:val="auto"/>
        </w:rPr>
        <w:t>The estimated fair value of total debt was $225.1 million as of March 31, 2018 and $203.2 million as of December 31, 2017. The fair value of debt was estimated by discounting the future cash flows using rates currently available for debt of similar terms and maturity.</w:t>
      </w:r>
    </w:p>
    <w:p>
      <w:pPr>
        <w:spacing w:after="0" w:line="117" w:lineRule="exact"/>
        <w:rPr>
          <w:sz w:val="20"/>
          <w:szCs w:val="20"/>
          <w:color w:val="auto"/>
        </w:rPr>
      </w:pPr>
    </w:p>
    <w:p>
      <w:pPr>
        <w:spacing w:after="0"/>
        <w:rPr>
          <w:sz w:val="20"/>
          <w:szCs w:val="20"/>
          <w:color w:val="auto"/>
        </w:rPr>
      </w:pPr>
      <w:r>
        <w:rPr>
          <w:rFonts w:ascii="Arial" w:cs="Arial" w:eastAsia="Arial" w:hAnsi="Arial"/>
          <w:sz w:val="17"/>
          <w:szCs w:val="17"/>
          <w:color w:val="auto"/>
        </w:rPr>
        <w:t>Cash paid for interest on debt was $1.9 million for the three months ended March 31, 2018 and $1.5 million for the three months ended March 31, 2017.</w:t>
      </w:r>
    </w:p>
    <w:p>
      <w:pPr>
        <w:spacing w:after="0" w:line="33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Note 13. </w:t>
      </w:r>
      <w:r>
        <w:rPr>
          <w:rFonts w:ascii="Arial" w:cs="Arial" w:eastAsia="Arial" w:hAnsi="Arial"/>
          <w:sz w:val="18"/>
          <w:szCs w:val="18"/>
          <w:b w:val="1"/>
          <w:bCs w:val="1"/>
          <w:u w:val="single" w:color="auto"/>
          <w:color w:val="auto"/>
        </w:rPr>
        <w:t>Fair Value Measurements</w:t>
      </w:r>
    </w:p>
    <w:p>
      <w:pPr>
        <w:spacing w:after="0" w:line="120" w:lineRule="exact"/>
        <w:rPr>
          <w:sz w:val="20"/>
          <w:szCs w:val="20"/>
          <w:color w:val="auto"/>
        </w:rPr>
      </w:pPr>
    </w:p>
    <w:p>
      <w:pPr>
        <w:jc w:val="both"/>
        <w:spacing w:after="0" w:line="258" w:lineRule="auto"/>
        <w:rPr>
          <w:sz w:val="20"/>
          <w:szCs w:val="20"/>
          <w:color w:val="auto"/>
        </w:rPr>
      </w:pPr>
      <w:r>
        <w:rPr>
          <w:rFonts w:ascii="Arial" w:cs="Arial" w:eastAsia="Arial" w:hAnsi="Arial"/>
          <w:sz w:val="18"/>
          <w:szCs w:val="18"/>
          <w:color w:val="auto"/>
        </w:rPr>
        <w:t>The fair value of an asset or liability is defined as the price that would be received to sell an asset or paid to transfer a liability in an orderly transaction between market participants at the measurement date. The fair value guidance requires an entity to maximize the use of quoted prices and other observable inputs and minimize the use of unobservable inputs when measuring fair value, and also establishes a fair value hierarchy, which prioritizes the inputs to valuation techniques used to measure fair value as follows:</w:t>
      </w:r>
    </w:p>
    <w:p>
      <w:pPr>
        <w:spacing w:after="0" w:line="132" w:lineRule="exact"/>
        <w:rPr>
          <w:sz w:val="20"/>
          <w:szCs w:val="20"/>
          <w:color w:val="auto"/>
        </w:rPr>
      </w:pPr>
    </w:p>
    <w:p>
      <w:pPr>
        <w:ind w:left="520"/>
        <w:spacing w:after="0"/>
        <w:rPr>
          <w:sz w:val="20"/>
          <w:szCs w:val="20"/>
          <w:color w:val="auto"/>
        </w:rPr>
      </w:pPr>
      <w:r>
        <w:rPr>
          <w:rFonts w:ascii="Arial" w:cs="Arial" w:eastAsia="Arial" w:hAnsi="Arial"/>
          <w:sz w:val="18"/>
          <w:szCs w:val="18"/>
          <w:color w:val="auto"/>
        </w:rPr>
        <w:t>Level 1 - Quoted prices in active markets for identical assets or liabilities.</w:t>
      </w:r>
    </w:p>
    <w:p>
      <w:pPr>
        <w:spacing w:after="0" w:line="116" w:lineRule="exact"/>
        <w:rPr>
          <w:sz w:val="20"/>
          <w:szCs w:val="20"/>
          <w:color w:val="auto"/>
        </w:rPr>
      </w:pPr>
    </w:p>
    <w:p>
      <w:pPr>
        <w:ind w:left="520"/>
        <w:spacing w:after="0"/>
        <w:rPr>
          <w:sz w:val="20"/>
          <w:szCs w:val="20"/>
          <w:color w:val="auto"/>
        </w:rPr>
      </w:pPr>
      <w:r>
        <w:rPr>
          <w:rFonts w:ascii="Arial" w:cs="Arial" w:eastAsia="Arial" w:hAnsi="Arial"/>
          <w:sz w:val="16"/>
          <w:szCs w:val="16"/>
          <w:color w:val="auto"/>
        </w:rPr>
        <w:t>Level 2 - Observable inputs other than quoted prices included within Level 1 that are observable for the asset or liability, either directly or indirectly.</w:t>
      </w:r>
    </w:p>
    <w:p>
      <w:pPr>
        <w:spacing w:after="0" w:line="139" w:lineRule="exact"/>
        <w:rPr>
          <w:sz w:val="20"/>
          <w:szCs w:val="20"/>
          <w:color w:val="auto"/>
        </w:rPr>
      </w:pPr>
    </w:p>
    <w:p>
      <w:pPr>
        <w:ind w:left="520"/>
        <w:spacing w:after="0"/>
        <w:rPr>
          <w:sz w:val="20"/>
          <w:szCs w:val="20"/>
          <w:color w:val="auto"/>
        </w:rPr>
      </w:pPr>
      <w:r>
        <w:rPr>
          <w:rFonts w:ascii="Arial" w:cs="Arial" w:eastAsia="Arial" w:hAnsi="Arial"/>
          <w:sz w:val="18"/>
          <w:szCs w:val="18"/>
          <w:color w:val="auto"/>
        </w:rPr>
        <w:t>Level 3 - Unobservable inputs to the valuation methodology that are significant to the measurement of fair value.</w:t>
      </w:r>
    </w:p>
    <w:p>
      <w:pPr>
        <w:spacing w:after="0" w:line="2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69850</wp:posOffset>
            </wp:positionV>
            <wp:extent cx="7289800" cy="4254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1420"/>
          </w:cols>
          <w:pgMar w:left="240" w:top="502" w:right="239" w:bottom="1440" w:gutter="0" w:footer="0" w:header="0"/>
        </w:sectPr>
      </w:pPr>
    </w:p>
    <w:bookmarkStart w:id="23" w:name="page24"/>
    <w:bookmarkEnd w:id="23"/>
    <w:p>
      <w:pPr>
        <w:ind w:right="20"/>
        <w:spacing w:after="0" w:line="275" w:lineRule="auto"/>
        <w:rPr>
          <w:sz w:val="20"/>
          <w:szCs w:val="20"/>
          <w:color w:val="auto"/>
        </w:rPr>
      </w:pPr>
      <w:r>
        <w:rPr>
          <w:rFonts w:ascii="Arial" w:cs="Arial" w:eastAsia="Arial" w:hAnsi="Arial"/>
          <w:sz w:val="18"/>
          <w:szCs w:val="18"/>
          <w:color w:val="auto"/>
        </w:rPr>
        <w:t>Money market mutual funds and certain other mutual fund investments are measured at fair value on a recurring basis using Level 1 inputs. The fair value information related to these assets is summarized in the following tables:</w:t>
      </w:r>
    </w:p>
    <w:p>
      <w:pPr>
        <w:spacing w:after="0" w:line="243"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4660" w:type="dxa"/>
            <w:vAlign w:val="bottom"/>
          </w:tcPr>
          <w:p>
            <w:pPr>
              <w:spacing w:after="0"/>
              <w:rPr>
                <w:sz w:val="14"/>
                <w:szCs w:val="14"/>
                <w:color w:val="auto"/>
              </w:rPr>
            </w:pPr>
          </w:p>
        </w:tc>
        <w:tc>
          <w:tcPr>
            <w:tcW w:w="12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3800" w:type="dxa"/>
            <w:vAlign w:val="bottom"/>
            <w:tcBorders>
              <w:bottom w:val="single" w:sz="8" w:color="auto"/>
            </w:tcBorders>
            <w:gridSpan w:val="8"/>
          </w:tcPr>
          <w:p>
            <w:pPr>
              <w:jc w:val="center"/>
              <w:ind w:right="61"/>
              <w:spacing w:after="0"/>
              <w:rPr>
                <w:sz w:val="20"/>
                <w:szCs w:val="20"/>
                <w:color w:val="auto"/>
              </w:rPr>
            </w:pPr>
            <w:r>
              <w:rPr>
                <w:rFonts w:ascii="Arial" w:cs="Arial" w:eastAsia="Arial" w:hAnsi="Arial"/>
                <w:sz w:val="14"/>
                <w:szCs w:val="14"/>
                <w:b w:val="1"/>
                <w:bCs w:val="1"/>
                <w:color w:val="auto"/>
                <w:w w:val="93"/>
              </w:rPr>
              <w:t>Fair Value Measurements at Reporting Date Using</w:t>
            </w: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2"/>
        </w:trPr>
        <w:tc>
          <w:tcPr>
            <w:tcW w:w="4660" w:type="dxa"/>
            <w:vAlign w:val="bottom"/>
          </w:tcPr>
          <w:p>
            <w:pPr>
              <w:spacing w:after="0"/>
              <w:rPr>
                <w:sz w:val="11"/>
                <w:szCs w:val="11"/>
                <w:color w:val="auto"/>
              </w:rPr>
            </w:pPr>
          </w:p>
        </w:tc>
        <w:tc>
          <w:tcPr>
            <w:tcW w:w="12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160" w:type="dxa"/>
            <w:vAlign w:val="bottom"/>
            <w:gridSpan w:val="2"/>
            <w:vMerge w:val="restart"/>
          </w:tcPr>
          <w:p>
            <w:pPr>
              <w:jc w:val="center"/>
              <w:spacing w:after="0"/>
              <w:rPr>
                <w:sz w:val="20"/>
                <w:szCs w:val="20"/>
                <w:color w:val="auto"/>
              </w:rPr>
            </w:pPr>
            <w:r>
              <w:rPr>
                <w:rFonts w:ascii="Arial" w:cs="Arial" w:eastAsia="Arial" w:hAnsi="Arial"/>
                <w:sz w:val="14"/>
                <w:szCs w:val="14"/>
                <w:b w:val="1"/>
                <w:bCs w:val="1"/>
                <w:color w:val="auto"/>
                <w:w w:val="91"/>
              </w:rPr>
              <w:t>Quoted Prices in</w:t>
            </w:r>
          </w:p>
        </w:tc>
        <w:tc>
          <w:tcPr>
            <w:tcW w:w="2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40" w:type="dxa"/>
            <w:vAlign w:val="bottom"/>
            <w:gridSpan w:val="2"/>
          </w:tcPr>
          <w:p>
            <w:pPr>
              <w:jc w:val="center"/>
              <w:ind w:right="420"/>
              <w:spacing w:after="0" w:line="132" w:lineRule="exact"/>
              <w:rPr>
                <w:sz w:val="20"/>
                <w:szCs w:val="20"/>
                <w:color w:val="auto"/>
              </w:rPr>
            </w:pPr>
            <w:r>
              <w:rPr>
                <w:rFonts w:ascii="Arial" w:cs="Arial" w:eastAsia="Arial" w:hAnsi="Arial"/>
                <w:sz w:val="14"/>
                <w:szCs w:val="14"/>
                <w:b w:val="1"/>
                <w:bCs w:val="1"/>
                <w:color w:val="auto"/>
                <w:w w:val="92"/>
              </w:rPr>
              <w:t>Significant</w:t>
            </w: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140" w:type="dxa"/>
            <w:vAlign w:val="bottom"/>
            <w:gridSpan w:val="2"/>
            <w:vMerge w:val="restart"/>
          </w:tcPr>
          <w:p>
            <w:pPr>
              <w:jc w:val="center"/>
              <w:ind w:right="240"/>
              <w:spacing w:after="0"/>
              <w:rPr>
                <w:sz w:val="20"/>
                <w:szCs w:val="20"/>
                <w:color w:val="auto"/>
              </w:rPr>
            </w:pPr>
            <w:r>
              <w:rPr>
                <w:rFonts w:ascii="Arial" w:cs="Arial" w:eastAsia="Arial" w:hAnsi="Arial"/>
                <w:sz w:val="14"/>
                <w:szCs w:val="14"/>
                <w:b w:val="1"/>
                <w:bCs w:val="1"/>
                <w:color w:val="auto"/>
                <w:w w:val="92"/>
              </w:rPr>
              <w:t>Significant</w:t>
            </w:r>
          </w:p>
        </w:tc>
        <w:tc>
          <w:tcPr>
            <w:tcW w:w="0" w:type="dxa"/>
            <w:vAlign w:val="bottom"/>
          </w:tcPr>
          <w:p>
            <w:pPr>
              <w:spacing w:after="0"/>
              <w:rPr>
                <w:sz w:val="1"/>
                <w:szCs w:val="1"/>
                <w:color w:val="auto"/>
              </w:rPr>
            </w:pPr>
          </w:p>
        </w:tc>
      </w:tr>
      <w:tr>
        <w:trPr>
          <w:trHeight w:val="148"/>
        </w:trPr>
        <w:tc>
          <w:tcPr>
            <w:tcW w:w="4660" w:type="dxa"/>
            <w:vAlign w:val="bottom"/>
          </w:tcPr>
          <w:p>
            <w:pPr>
              <w:spacing w:after="0"/>
              <w:rPr>
                <w:sz w:val="12"/>
                <w:szCs w:val="12"/>
                <w:color w:val="auto"/>
              </w:rPr>
            </w:pPr>
          </w:p>
        </w:tc>
        <w:tc>
          <w:tcPr>
            <w:tcW w:w="12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160" w:type="dxa"/>
            <w:vAlign w:val="bottom"/>
            <w:gridSpan w:val="2"/>
            <w:vMerge w:val="continue"/>
          </w:tcPr>
          <w:p>
            <w:pPr>
              <w:spacing w:after="0"/>
              <w:rPr>
                <w:sz w:val="12"/>
                <w:szCs w:val="12"/>
                <w:color w:val="auto"/>
              </w:rPr>
            </w:pPr>
          </w:p>
        </w:tc>
        <w:tc>
          <w:tcPr>
            <w:tcW w:w="2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240" w:type="dxa"/>
            <w:vAlign w:val="bottom"/>
            <w:gridSpan w:val="2"/>
          </w:tcPr>
          <w:p>
            <w:pPr>
              <w:jc w:val="center"/>
              <w:ind w:right="400"/>
              <w:spacing w:after="0" w:line="148" w:lineRule="exact"/>
              <w:rPr>
                <w:sz w:val="20"/>
                <w:szCs w:val="20"/>
                <w:color w:val="auto"/>
              </w:rPr>
            </w:pPr>
            <w:r>
              <w:rPr>
                <w:rFonts w:ascii="Arial" w:cs="Arial" w:eastAsia="Arial" w:hAnsi="Arial"/>
                <w:sz w:val="14"/>
                <w:szCs w:val="14"/>
                <w:b w:val="1"/>
                <w:bCs w:val="1"/>
                <w:color w:val="auto"/>
                <w:w w:val="96"/>
              </w:rPr>
              <w:t>Other</w:t>
            </w: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140" w:type="dxa"/>
            <w:vAlign w:val="bottom"/>
            <w:gridSpan w:val="2"/>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4660" w:type="dxa"/>
            <w:vAlign w:val="bottom"/>
          </w:tcPr>
          <w:p>
            <w:pPr>
              <w:spacing w:after="0"/>
              <w:rPr>
                <w:sz w:val="12"/>
                <w:szCs w:val="12"/>
                <w:color w:val="auto"/>
              </w:rPr>
            </w:pPr>
          </w:p>
        </w:tc>
        <w:tc>
          <w:tcPr>
            <w:tcW w:w="12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40" w:type="dxa"/>
            <w:vAlign w:val="bottom"/>
          </w:tcPr>
          <w:p>
            <w:pPr>
              <w:jc w:val="center"/>
              <w:ind w:right="61"/>
              <w:spacing w:after="0" w:line="148" w:lineRule="exact"/>
              <w:rPr>
                <w:sz w:val="20"/>
                <w:szCs w:val="20"/>
                <w:color w:val="auto"/>
              </w:rPr>
            </w:pPr>
            <w:r>
              <w:rPr>
                <w:rFonts w:ascii="Arial" w:cs="Arial" w:eastAsia="Arial" w:hAnsi="Arial"/>
                <w:sz w:val="14"/>
                <w:szCs w:val="14"/>
                <w:b w:val="1"/>
                <w:bCs w:val="1"/>
                <w:color w:val="auto"/>
                <w:w w:val="90"/>
              </w:rPr>
              <w:t>Active</w:t>
            </w:r>
          </w:p>
        </w:tc>
        <w:tc>
          <w:tcPr>
            <w:tcW w:w="2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240" w:type="dxa"/>
            <w:vAlign w:val="bottom"/>
            <w:gridSpan w:val="2"/>
          </w:tcPr>
          <w:p>
            <w:pPr>
              <w:jc w:val="center"/>
              <w:ind w:right="420"/>
              <w:spacing w:after="0" w:line="148" w:lineRule="exact"/>
              <w:rPr>
                <w:sz w:val="20"/>
                <w:szCs w:val="20"/>
                <w:color w:val="auto"/>
              </w:rPr>
            </w:pPr>
            <w:r>
              <w:rPr>
                <w:rFonts w:ascii="Arial" w:cs="Arial" w:eastAsia="Arial" w:hAnsi="Arial"/>
                <w:sz w:val="14"/>
                <w:szCs w:val="14"/>
                <w:b w:val="1"/>
                <w:bCs w:val="1"/>
                <w:color w:val="auto"/>
                <w:w w:val="91"/>
              </w:rPr>
              <w:t>Observable</w:t>
            </w: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140" w:type="dxa"/>
            <w:vAlign w:val="bottom"/>
            <w:gridSpan w:val="2"/>
          </w:tcPr>
          <w:p>
            <w:pPr>
              <w:jc w:val="center"/>
              <w:ind w:right="260"/>
              <w:spacing w:after="0" w:line="148" w:lineRule="exact"/>
              <w:rPr>
                <w:sz w:val="20"/>
                <w:szCs w:val="20"/>
                <w:color w:val="auto"/>
              </w:rPr>
            </w:pPr>
            <w:r>
              <w:rPr>
                <w:rFonts w:ascii="Arial" w:cs="Arial" w:eastAsia="Arial" w:hAnsi="Arial"/>
                <w:sz w:val="14"/>
                <w:szCs w:val="14"/>
                <w:b w:val="1"/>
                <w:bCs w:val="1"/>
                <w:color w:val="auto"/>
                <w:w w:val="90"/>
              </w:rPr>
              <w:t>Unobservable</w:t>
            </w:r>
          </w:p>
        </w:tc>
        <w:tc>
          <w:tcPr>
            <w:tcW w:w="0" w:type="dxa"/>
            <w:vAlign w:val="bottom"/>
          </w:tcPr>
          <w:p>
            <w:pPr>
              <w:spacing w:after="0"/>
              <w:rPr>
                <w:sz w:val="1"/>
                <w:szCs w:val="1"/>
                <w:color w:val="auto"/>
              </w:rPr>
            </w:pPr>
          </w:p>
        </w:tc>
      </w:tr>
      <w:tr>
        <w:trPr>
          <w:trHeight w:val="148"/>
        </w:trPr>
        <w:tc>
          <w:tcPr>
            <w:tcW w:w="4660" w:type="dxa"/>
            <w:vAlign w:val="bottom"/>
          </w:tcPr>
          <w:p>
            <w:pPr>
              <w:spacing w:after="0"/>
              <w:rPr>
                <w:sz w:val="12"/>
                <w:szCs w:val="12"/>
                <w:color w:val="auto"/>
              </w:rPr>
            </w:pPr>
          </w:p>
        </w:tc>
        <w:tc>
          <w:tcPr>
            <w:tcW w:w="12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140" w:type="dxa"/>
            <w:vAlign w:val="bottom"/>
            <w:vMerge w:val="restart"/>
          </w:tcPr>
          <w:p>
            <w:pPr>
              <w:jc w:val="right"/>
              <w:ind w:right="73"/>
              <w:spacing w:after="0"/>
              <w:rPr>
                <w:sz w:val="20"/>
                <w:szCs w:val="20"/>
                <w:color w:val="auto"/>
              </w:rPr>
            </w:pPr>
            <w:r>
              <w:rPr>
                <w:rFonts w:ascii="Arial" w:cs="Arial" w:eastAsia="Arial" w:hAnsi="Arial"/>
                <w:sz w:val="14"/>
                <w:szCs w:val="14"/>
                <w:b w:val="1"/>
                <w:bCs w:val="1"/>
                <w:color w:val="auto"/>
                <w:w w:val="96"/>
              </w:rPr>
              <w:t>March 31, 2018</w:t>
            </w:r>
          </w:p>
        </w:tc>
        <w:tc>
          <w:tcPr>
            <w:tcW w:w="2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40" w:type="dxa"/>
            <w:vAlign w:val="bottom"/>
          </w:tcPr>
          <w:p>
            <w:pPr>
              <w:jc w:val="center"/>
              <w:ind w:right="41"/>
              <w:spacing w:after="0" w:line="148" w:lineRule="exact"/>
              <w:rPr>
                <w:sz w:val="20"/>
                <w:szCs w:val="20"/>
                <w:color w:val="auto"/>
              </w:rPr>
            </w:pPr>
            <w:r>
              <w:rPr>
                <w:rFonts w:ascii="Arial" w:cs="Arial" w:eastAsia="Arial" w:hAnsi="Arial"/>
                <w:sz w:val="14"/>
                <w:szCs w:val="14"/>
                <w:b w:val="1"/>
                <w:bCs w:val="1"/>
                <w:color w:val="auto"/>
                <w:w w:val="98"/>
              </w:rPr>
              <w:t>Markets</w:t>
            </w:r>
          </w:p>
        </w:tc>
        <w:tc>
          <w:tcPr>
            <w:tcW w:w="2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240" w:type="dxa"/>
            <w:vAlign w:val="bottom"/>
            <w:gridSpan w:val="2"/>
          </w:tcPr>
          <w:p>
            <w:pPr>
              <w:jc w:val="center"/>
              <w:ind w:right="400"/>
              <w:spacing w:after="0" w:line="148" w:lineRule="exact"/>
              <w:rPr>
                <w:sz w:val="20"/>
                <w:szCs w:val="20"/>
                <w:color w:val="auto"/>
              </w:rPr>
            </w:pPr>
            <w:r>
              <w:rPr>
                <w:rFonts w:ascii="Arial" w:cs="Arial" w:eastAsia="Arial" w:hAnsi="Arial"/>
                <w:sz w:val="14"/>
                <w:szCs w:val="14"/>
                <w:b w:val="1"/>
                <w:bCs w:val="1"/>
                <w:color w:val="auto"/>
                <w:w w:val="95"/>
              </w:rPr>
              <w:t>Inputs</w:t>
            </w: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140" w:type="dxa"/>
            <w:vAlign w:val="bottom"/>
            <w:gridSpan w:val="2"/>
          </w:tcPr>
          <w:p>
            <w:pPr>
              <w:jc w:val="center"/>
              <w:ind w:right="260"/>
              <w:spacing w:after="0" w:line="148" w:lineRule="exact"/>
              <w:rPr>
                <w:sz w:val="20"/>
                <w:szCs w:val="20"/>
                <w:color w:val="auto"/>
              </w:rPr>
            </w:pPr>
            <w:r>
              <w:rPr>
                <w:rFonts w:ascii="Arial" w:cs="Arial" w:eastAsia="Arial" w:hAnsi="Arial"/>
                <w:sz w:val="14"/>
                <w:szCs w:val="14"/>
                <w:b w:val="1"/>
                <w:bCs w:val="1"/>
                <w:color w:val="auto"/>
                <w:w w:val="95"/>
              </w:rPr>
              <w:t>Inputs</w:t>
            </w:r>
          </w:p>
        </w:tc>
        <w:tc>
          <w:tcPr>
            <w:tcW w:w="0" w:type="dxa"/>
            <w:vAlign w:val="bottom"/>
          </w:tcPr>
          <w:p>
            <w:pPr>
              <w:spacing w:after="0"/>
              <w:rPr>
                <w:sz w:val="1"/>
                <w:szCs w:val="1"/>
                <w:color w:val="auto"/>
              </w:rPr>
            </w:pPr>
          </w:p>
        </w:tc>
      </w:tr>
      <w:tr>
        <w:trPr>
          <w:trHeight w:val="171"/>
        </w:trPr>
        <w:tc>
          <w:tcPr>
            <w:tcW w:w="4660" w:type="dxa"/>
            <w:vAlign w:val="bottom"/>
          </w:tcPr>
          <w:p>
            <w:pPr>
              <w:spacing w:after="0"/>
              <w:rPr>
                <w:sz w:val="20"/>
                <w:szCs w:val="20"/>
                <w:color w:val="auto"/>
              </w:rPr>
            </w:pPr>
            <w:r>
              <w:rPr>
                <w:rFonts w:ascii="Arial" w:cs="Arial" w:eastAsia="Arial" w:hAnsi="Arial"/>
                <w:sz w:val="14"/>
                <w:szCs w:val="14"/>
                <w:i w:val="1"/>
                <w:iCs w:val="1"/>
                <w:color w:val="auto"/>
              </w:rPr>
              <w:t>(in thousands)</w:t>
            </w:r>
          </w:p>
        </w:tc>
        <w:tc>
          <w:tcPr>
            <w:tcW w:w="12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140" w:type="dxa"/>
            <w:vAlign w:val="bottom"/>
            <w:vMerge w:val="continue"/>
          </w:tcPr>
          <w:p>
            <w:pPr>
              <w:spacing w:after="0"/>
              <w:rPr>
                <w:sz w:val="14"/>
                <w:szCs w:val="14"/>
                <w:color w:val="auto"/>
              </w:rPr>
            </w:pPr>
          </w:p>
        </w:tc>
        <w:tc>
          <w:tcPr>
            <w:tcW w:w="2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40" w:type="dxa"/>
            <w:vAlign w:val="bottom"/>
          </w:tcPr>
          <w:p>
            <w:pPr>
              <w:jc w:val="center"/>
              <w:ind w:right="61"/>
              <w:spacing w:after="0"/>
              <w:rPr>
                <w:sz w:val="20"/>
                <w:szCs w:val="20"/>
                <w:color w:val="auto"/>
              </w:rPr>
            </w:pPr>
            <w:r>
              <w:rPr>
                <w:rFonts w:ascii="Arial" w:cs="Arial" w:eastAsia="Arial" w:hAnsi="Arial"/>
                <w:sz w:val="14"/>
                <w:szCs w:val="14"/>
                <w:b w:val="1"/>
                <w:bCs w:val="1"/>
                <w:color w:val="auto"/>
                <w:w w:val="94"/>
              </w:rPr>
              <w:t>(Level 1)</w:t>
            </w:r>
          </w:p>
        </w:tc>
        <w:tc>
          <w:tcPr>
            <w:tcW w:w="2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240" w:type="dxa"/>
            <w:vAlign w:val="bottom"/>
            <w:gridSpan w:val="2"/>
          </w:tcPr>
          <w:p>
            <w:pPr>
              <w:jc w:val="center"/>
              <w:ind w:right="420"/>
              <w:spacing w:after="0"/>
              <w:rPr>
                <w:sz w:val="20"/>
                <w:szCs w:val="20"/>
                <w:color w:val="auto"/>
              </w:rPr>
            </w:pPr>
            <w:r>
              <w:rPr>
                <w:rFonts w:ascii="Arial" w:cs="Arial" w:eastAsia="Arial" w:hAnsi="Arial"/>
                <w:sz w:val="14"/>
                <w:szCs w:val="14"/>
                <w:b w:val="1"/>
                <w:bCs w:val="1"/>
                <w:color w:val="auto"/>
                <w:w w:val="94"/>
              </w:rPr>
              <w:t>(Level 2)</w:t>
            </w: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4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4"/>
              </w:rPr>
              <w:t>(Level 3)</w:t>
            </w:r>
          </w:p>
        </w:tc>
        <w:tc>
          <w:tcPr>
            <w:tcW w:w="0" w:type="dxa"/>
            <w:vAlign w:val="bottom"/>
          </w:tcPr>
          <w:p>
            <w:pPr>
              <w:spacing w:after="0"/>
              <w:rPr>
                <w:sz w:val="1"/>
                <w:szCs w:val="1"/>
                <w:color w:val="auto"/>
              </w:rPr>
            </w:pPr>
          </w:p>
        </w:tc>
      </w:tr>
      <w:tr>
        <w:trPr>
          <w:trHeight w:val="222"/>
        </w:trPr>
        <w:tc>
          <w:tcPr>
            <w:tcW w:w="466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8"/>
                <w:szCs w:val="18"/>
                <w:color w:val="auto"/>
              </w:rPr>
              <w:t>Assets:</w:t>
            </w:r>
          </w:p>
        </w:tc>
        <w:tc>
          <w:tcPr>
            <w:tcW w:w="1220" w:type="dxa"/>
            <w:vAlign w:val="bottom"/>
            <w:tcBorders>
              <w:top w:val="single" w:sz="8" w:color="CFF0FC"/>
            </w:tcBorders>
            <w:shd w:val="clear" w:color="auto" w:fill="CFF0FC"/>
          </w:tcPr>
          <w:p>
            <w:pPr>
              <w:spacing w:after="0"/>
              <w:rPr>
                <w:sz w:val="19"/>
                <w:szCs w:val="19"/>
                <w:color w:val="auto"/>
              </w:rPr>
            </w:pPr>
          </w:p>
        </w:tc>
        <w:tc>
          <w:tcPr>
            <w:tcW w:w="120" w:type="dxa"/>
            <w:vAlign w:val="bottom"/>
            <w:tcBorders>
              <w:top w:val="single" w:sz="8" w:color="auto"/>
            </w:tcBorders>
            <w:shd w:val="clear" w:color="auto" w:fill="CFF0FC"/>
          </w:tcPr>
          <w:p>
            <w:pPr>
              <w:spacing w:after="0"/>
              <w:rPr>
                <w:sz w:val="19"/>
                <w:szCs w:val="19"/>
                <w:color w:val="auto"/>
              </w:rPr>
            </w:pPr>
          </w:p>
        </w:tc>
        <w:tc>
          <w:tcPr>
            <w:tcW w:w="1140" w:type="dxa"/>
            <w:vAlign w:val="bottom"/>
            <w:tcBorders>
              <w:top w:val="single" w:sz="8" w:color="auto"/>
            </w:tcBorders>
            <w:shd w:val="clear" w:color="auto" w:fill="CFF0FC"/>
          </w:tcPr>
          <w:p>
            <w:pPr>
              <w:spacing w:after="0"/>
              <w:rPr>
                <w:sz w:val="19"/>
                <w:szCs w:val="19"/>
                <w:color w:val="auto"/>
              </w:rPr>
            </w:pPr>
          </w:p>
        </w:tc>
        <w:tc>
          <w:tcPr>
            <w:tcW w:w="240" w:type="dxa"/>
            <w:vAlign w:val="bottom"/>
            <w:tcBorders>
              <w:top w:val="single" w:sz="8" w:color="CFF0FC"/>
            </w:tcBorders>
            <w:shd w:val="clear" w:color="auto" w:fill="CFF0FC"/>
          </w:tcPr>
          <w:p>
            <w:pPr>
              <w:spacing w:after="0"/>
              <w:rPr>
                <w:sz w:val="19"/>
                <w:szCs w:val="19"/>
                <w:color w:val="auto"/>
              </w:rPr>
            </w:pPr>
          </w:p>
        </w:tc>
        <w:tc>
          <w:tcPr>
            <w:tcW w:w="120" w:type="dxa"/>
            <w:vAlign w:val="bottom"/>
            <w:tcBorders>
              <w:top w:val="single" w:sz="8" w:color="auto"/>
            </w:tcBorders>
            <w:shd w:val="clear" w:color="auto" w:fill="CFF0FC"/>
          </w:tcPr>
          <w:p>
            <w:pPr>
              <w:spacing w:after="0"/>
              <w:rPr>
                <w:sz w:val="19"/>
                <w:szCs w:val="19"/>
                <w:color w:val="auto"/>
              </w:rPr>
            </w:pPr>
          </w:p>
        </w:tc>
        <w:tc>
          <w:tcPr>
            <w:tcW w:w="1040" w:type="dxa"/>
            <w:vAlign w:val="bottom"/>
            <w:tcBorders>
              <w:top w:val="single" w:sz="8" w:color="auto"/>
            </w:tcBorders>
            <w:shd w:val="clear" w:color="auto" w:fill="CFF0FC"/>
          </w:tcPr>
          <w:p>
            <w:pPr>
              <w:spacing w:after="0"/>
              <w:rPr>
                <w:sz w:val="19"/>
                <w:szCs w:val="19"/>
                <w:color w:val="auto"/>
              </w:rPr>
            </w:pPr>
          </w:p>
        </w:tc>
        <w:tc>
          <w:tcPr>
            <w:tcW w:w="240" w:type="dxa"/>
            <w:vAlign w:val="bottom"/>
            <w:tcBorders>
              <w:top w:val="single" w:sz="8" w:color="CFF0FC"/>
            </w:tcBorders>
            <w:shd w:val="clear" w:color="auto" w:fill="CFF0FC"/>
          </w:tcPr>
          <w:p>
            <w:pPr>
              <w:spacing w:after="0"/>
              <w:rPr>
                <w:sz w:val="19"/>
                <w:szCs w:val="19"/>
                <w:color w:val="auto"/>
              </w:rPr>
            </w:pPr>
          </w:p>
        </w:tc>
        <w:tc>
          <w:tcPr>
            <w:tcW w:w="140" w:type="dxa"/>
            <w:vAlign w:val="bottom"/>
            <w:tcBorders>
              <w:top w:val="single" w:sz="8" w:color="auto"/>
            </w:tcBorders>
            <w:shd w:val="clear" w:color="auto" w:fill="CFF0FC"/>
          </w:tcPr>
          <w:p>
            <w:pPr>
              <w:spacing w:after="0"/>
              <w:rPr>
                <w:sz w:val="19"/>
                <w:szCs w:val="19"/>
                <w:color w:val="auto"/>
              </w:rPr>
            </w:pPr>
          </w:p>
        </w:tc>
        <w:tc>
          <w:tcPr>
            <w:tcW w:w="1000" w:type="dxa"/>
            <w:vAlign w:val="bottom"/>
            <w:tcBorders>
              <w:top w:val="single" w:sz="8" w:color="auto"/>
            </w:tcBorders>
            <w:shd w:val="clear" w:color="auto" w:fill="CFF0FC"/>
          </w:tcPr>
          <w:p>
            <w:pPr>
              <w:spacing w:after="0"/>
              <w:rPr>
                <w:sz w:val="19"/>
                <w:szCs w:val="19"/>
                <w:color w:val="auto"/>
              </w:rPr>
            </w:pPr>
          </w:p>
        </w:tc>
        <w:tc>
          <w:tcPr>
            <w:tcW w:w="240" w:type="dxa"/>
            <w:vAlign w:val="bottom"/>
            <w:tcBorders>
              <w:top w:val="single" w:sz="8" w:color="CFF0FC"/>
            </w:tcBorders>
            <w:shd w:val="clear" w:color="auto" w:fill="CFF0FC"/>
          </w:tcPr>
          <w:p>
            <w:pPr>
              <w:spacing w:after="0"/>
              <w:rPr>
                <w:sz w:val="19"/>
                <w:szCs w:val="19"/>
                <w:color w:val="auto"/>
              </w:rPr>
            </w:pPr>
          </w:p>
        </w:tc>
        <w:tc>
          <w:tcPr>
            <w:tcW w:w="20" w:type="dxa"/>
            <w:vAlign w:val="bottom"/>
            <w:tcBorders>
              <w:top w:val="single" w:sz="8" w:color="CFF0FC"/>
            </w:tcBorders>
            <w:shd w:val="clear" w:color="auto" w:fill="CFF0FC"/>
          </w:tcPr>
          <w:p>
            <w:pPr>
              <w:spacing w:after="0"/>
              <w:rPr>
                <w:sz w:val="19"/>
                <w:szCs w:val="19"/>
                <w:color w:val="auto"/>
              </w:rPr>
            </w:pPr>
          </w:p>
        </w:tc>
        <w:tc>
          <w:tcPr>
            <w:tcW w:w="100" w:type="dxa"/>
            <w:vAlign w:val="bottom"/>
            <w:tcBorders>
              <w:top w:val="single" w:sz="8" w:color="auto"/>
            </w:tcBorders>
            <w:shd w:val="clear" w:color="auto" w:fill="CFF0FC"/>
          </w:tcPr>
          <w:p>
            <w:pPr>
              <w:spacing w:after="0"/>
              <w:rPr>
                <w:sz w:val="19"/>
                <w:szCs w:val="19"/>
                <w:color w:val="auto"/>
              </w:rPr>
            </w:pPr>
          </w:p>
        </w:tc>
        <w:tc>
          <w:tcPr>
            <w:tcW w:w="1020" w:type="dxa"/>
            <w:vAlign w:val="bottom"/>
            <w:tcBorders>
              <w:top w:val="single" w:sz="8" w:color="auto"/>
            </w:tcBorders>
            <w:shd w:val="clear" w:color="auto" w:fill="CFF0FC"/>
          </w:tcPr>
          <w:p>
            <w:pPr>
              <w:spacing w:after="0"/>
              <w:rPr>
                <w:sz w:val="19"/>
                <w:szCs w:val="19"/>
                <w:color w:val="auto"/>
              </w:rPr>
            </w:pPr>
          </w:p>
        </w:tc>
        <w:tc>
          <w:tcPr>
            <w:tcW w:w="120" w:type="dxa"/>
            <w:vAlign w:val="bottom"/>
            <w:tcBorders>
              <w:top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4660" w:type="dxa"/>
            <w:vAlign w:val="bottom"/>
          </w:tcPr>
          <w:p>
            <w:pPr>
              <w:ind w:left="260"/>
              <w:spacing w:after="0"/>
              <w:rPr>
                <w:sz w:val="20"/>
                <w:szCs w:val="20"/>
                <w:color w:val="auto"/>
              </w:rPr>
            </w:pPr>
            <w:r>
              <w:rPr>
                <w:rFonts w:ascii="Arial" w:cs="Arial" w:eastAsia="Arial" w:hAnsi="Arial"/>
                <w:sz w:val="18"/>
                <w:szCs w:val="18"/>
                <w:color w:val="auto"/>
              </w:rPr>
              <w:t>Money market funds</w:t>
            </w:r>
            <w:r>
              <w:rPr>
                <w:rFonts w:ascii="Arial" w:cs="Arial" w:eastAsia="Arial" w:hAnsi="Arial"/>
                <w:sz w:val="15"/>
                <w:szCs w:val="15"/>
                <w:color w:val="auto"/>
              </w:rPr>
              <w:t>(1)</w:t>
            </w:r>
          </w:p>
        </w:tc>
        <w:tc>
          <w:tcPr>
            <w:tcW w:w="13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140" w:type="dxa"/>
            <w:vAlign w:val="bottom"/>
          </w:tcPr>
          <w:p>
            <w:pPr>
              <w:jc w:val="right"/>
              <w:spacing w:after="0"/>
              <w:rPr>
                <w:sz w:val="20"/>
                <w:szCs w:val="20"/>
                <w:color w:val="auto"/>
              </w:rPr>
            </w:pPr>
            <w:r>
              <w:rPr>
                <w:rFonts w:ascii="Arial" w:cs="Arial" w:eastAsia="Arial" w:hAnsi="Arial"/>
                <w:sz w:val="18"/>
                <w:szCs w:val="18"/>
                <w:color w:val="auto"/>
              </w:rPr>
              <w:t>119</w:t>
            </w:r>
          </w:p>
        </w:tc>
        <w:tc>
          <w:tcPr>
            <w:tcW w:w="3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040" w:type="dxa"/>
            <w:vAlign w:val="bottom"/>
          </w:tcPr>
          <w:p>
            <w:pPr>
              <w:jc w:val="right"/>
              <w:spacing w:after="0"/>
              <w:rPr>
                <w:sz w:val="20"/>
                <w:szCs w:val="20"/>
                <w:color w:val="auto"/>
              </w:rPr>
            </w:pPr>
            <w:r>
              <w:rPr>
                <w:rFonts w:ascii="Arial" w:cs="Arial" w:eastAsia="Arial" w:hAnsi="Arial"/>
                <w:sz w:val="18"/>
                <w:szCs w:val="18"/>
                <w:color w:val="auto"/>
              </w:rPr>
              <w:t>119</w:t>
            </w:r>
          </w:p>
        </w:tc>
        <w:tc>
          <w:tcPr>
            <w:tcW w:w="3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240" w:type="dxa"/>
            <w:vAlign w:val="bottom"/>
            <w:gridSpan w:val="2"/>
          </w:tcPr>
          <w:p>
            <w:pPr>
              <w:ind w:left="800"/>
              <w:spacing w:after="0"/>
              <w:rPr>
                <w:sz w:val="20"/>
                <w:szCs w:val="20"/>
                <w:color w:val="auto"/>
              </w:rPr>
            </w:pPr>
            <w:r>
              <w:rPr>
                <w:rFonts w:ascii="Arial" w:cs="Arial" w:eastAsia="Arial" w:hAnsi="Arial"/>
                <w:sz w:val="18"/>
                <w:szCs w:val="18"/>
                <w:color w:val="auto"/>
              </w:rPr>
              <w:t>—</w:t>
            </w:r>
          </w:p>
        </w:tc>
        <w:tc>
          <w:tcPr>
            <w:tcW w:w="120" w:type="dxa"/>
            <w:vAlign w:val="bottom"/>
            <w:gridSpan w:val="2"/>
          </w:tcPr>
          <w:p>
            <w:pPr>
              <w:jc w:val="right"/>
              <w:spacing w:after="0"/>
              <w:rPr>
                <w:sz w:val="20"/>
                <w:szCs w:val="20"/>
                <w:color w:val="auto"/>
              </w:rPr>
            </w:pPr>
            <w:r>
              <w:rPr>
                <w:rFonts w:ascii="Arial" w:cs="Arial" w:eastAsia="Arial" w:hAnsi="Arial"/>
                <w:sz w:val="15"/>
                <w:szCs w:val="15"/>
                <w:color w:val="auto"/>
                <w:w w:val="71"/>
              </w:rPr>
              <w:t>$</w:t>
            </w:r>
          </w:p>
        </w:tc>
        <w:tc>
          <w:tcPr>
            <w:tcW w:w="1140" w:type="dxa"/>
            <w:vAlign w:val="bottom"/>
            <w:gridSpan w:val="2"/>
          </w:tcPr>
          <w:p>
            <w:pPr>
              <w:ind w:left="8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9"/>
        </w:trPr>
        <w:tc>
          <w:tcPr>
            <w:tcW w:w="4660" w:type="dxa"/>
            <w:vAlign w:val="bottom"/>
            <w:shd w:val="clear" w:color="auto" w:fill="CFF0FC"/>
          </w:tcPr>
          <w:p>
            <w:pPr>
              <w:ind w:left="260"/>
              <w:spacing w:after="0"/>
              <w:rPr>
                <w:sz w:val="20"/>
                <w:szCs w:val="20"/>
                <w:color w:val="auto"/>
              </w:rPr>
            </w:pPr>
            <w:r>
              <w:rPr>
                <w:rFonts w:ascii="Arial" w:cs="Arial" w:eastAsia="Arial" w:hAnsi="Arial"/>
                <w:sz w:val="18"/>
                <w:szCs w:val="18"/>
                <w:color w:val="auto"/>
              </w:rPr>
              <w:t>Other mutual funds</w:t>
            </w:r>
            <w:r>
              <w:rPr>
                <w:rFonts w:ascii="Arial" w:cs="Arial" w:eastAsia="Arial" w:hAnsi="Arial"/>
                <w:sz w:val="15"/>
                <w:szCs w:val="15"/>
                <w:color w:val="auto"/>
              </w:rPr>
              <w:t>(2)</w:t>
            </w:r>
          </w:p>
        </w:tc>
        <w:tc>
          <w:tcPr>
            <w:tcW w:w="12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1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2,823</w:t>
            </w:r>
          </w:p>
        </w:tc>
        <w:tc>
          <w:tcPr>
            <w:tcW w:w="24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0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2,823</w:t>
            </w:r>
          </w:p>
        </w:tc>
        <w:tc>
          <w:tcPr>
            <w:tcW w:w="24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1240" w:type="dxa"/>
            <w:vAlign w:val="bottom"/>
            <w:gridSpan w:val="2"/>
            <w:shd w:val="clear" w:color="auto" w:fill="CFF0FC"/>
          </w:tcPr>
          <w:p>
            <w:pPr>
              <w:ind w:left="800"/>
              <w:spacing w:after="0"/>
              <w:rPr>
                <w:sz w:val="20"/>
                <w:szCs w:val="20"/>
                <w:color w:val="auto"/>
              </w:rPr>
            </w:pPr>
            <w:r>
              <w:rPr>
                <w:rFonts w:ascii="Arial" w:cs="Arial" w:eastAsia="Arial" w:hAnsi="Arial"/>
                <w:sz w:val="18"/>
                <w:szCs w:val="18"/>
                <w:color w:val="auto"/>
              </w:rPr>
              <w:t>—</w:t>
            </w:r>
          </w:p>
        </w:tc>
        <w:tc>
          <w:tcPr>
            <w:tcW w:w="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140" w:type="dxa"/>
            <w:vAlign w:val="bottom"/>
            <w:gridSpan w:val="2"/>
            <w:shd w:val="clear" w:color="auto" w:fill="CFF0FC"/>
          </w:tcPr>
          <w:p>
            <w:pPr>
              <w:ind w:left="8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2"/>
        </w:trPr>
        <w:tc>
          <w:tcPr>
            <w:tcW w:w="4660" w:type="dxa"/>
            <w:vAlign w:val="bottom"/>
          </w:tcPr>
          <w:p>
            <w:pPr>
              <w:spacing w:after="0"/>
              <w:rPr>
                <w:sz w:val="20"/>
                <w:szCs w:val="20"/>
                <w:color w:val="auto"/>
              </w:rPr>
            </w:pPr>
            <w:r>
              <w:rPr>
                <w:rFonts w:ascii="Arial" w:cs="Arial" w:eastAsia="Arial" w:hAnsi="Arial"/>
                <w:sz w:val="18"/>
                <w:szCs w:val="18"/>
                <w:b w:val="1"/>
                <w:bCs w:val="1"/>
                <w:color w:val="auto"/>
              </w:rPr>
              <w:t>Total assets at fair value on a recurring basis</w:t>
            </w:r>
          </w:p>
        </w:tc>
        <w:tc>
          <w:tcPr>
            <w:tcW w:w="1220" w:type="dxa"/>
            <w:vAlign w:val="bottom"/>
          </w:tcPr>
          <w:p>
            <w:pPr>
              <w:spacing w:after="0"/>
              <w:rPr>
                <w:sz w:val="19"/>
                <w:szCs w:val="19"/>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2,942</w:t>
            </w:r>
          </w:p>
        </w:tc>
        <w:tc>
          <w:tcPr>
            <w:tcW w:w="240" w:type="dxa"/>
            <w:vAlign w:val="bottom"/>
          </w:tcPr>
          <w:p>
            <w:pPr>
              <w:spacing w:after="0"/>
              <w:rPr>
                <w:sz w:val="19"/>
                <w:szCs w:val="19"/>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0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2,942</w:t>
            </w:r>
          </w:p>
        </w:tc>
        <w:tc>
          <w:tcPr>
            <w:tcW w:w="240" w:type="dxa"/>
            <w:vAlign w:val="bottom"/>
          </w:tcPr>
          <w:p>
            <w:pPr>
              <w:spacing w:after="0"/>
              <w:rPr>
                <w:sz w:val="19"/>
                <w:szCs w:val="19"/>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1000" w:type="dxa"/>
            <w:vAlign w:val="bottom"/>
            <w:tcBorders>
              <w:top w:val="single" w:sz="8" w:color="auto"/>
              <w:bottom w:val="single" w:sz="8" w:color="auto"/>
            </w:tcBorders>
          </w:tcPr>
          <w:p>
            <w:pPr>
              <w:ind w:left="800"/>
              <w:spacing w:after="0"/>
              <w:rPr>
                <w:sz w:val="20"/>
                <w:szCs w:val="20"/>
                <w:color w:val="auto"/>
              </w:rPr>
            </w:pPr>
            <w:r>
              <w:rPr>
                <w:rFonts w:ascii="Arial" w:cs="Arial" w:eastAsia="Arial" w:hAnsi="Arial"/>
                <w:sz w:val="18"/>
                <w:szCs w:val="18"/>
                <w:color w:val="auto"/>
                <w:w w:val="99"/>
              </w:rPr>
              <w:t>—</w:t>
            </w:r>
          </w:p>
        </w:tc>
        <w:tc>
          <w:tcPr>
            <w:tcW w:w="240" w:type="dxa"/>
            <w:vAlign w:val="bottom"/>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1020" w:type="dxa"/>
            <w:vAlign w:val="bottom"/>
            <w:tcBorders>
              <w:top w:val="single" w:sz="8" w:color="auto"/>
              <w:bottom w:val="single" w:sz="8" w:color="auto"/>
            </w:tcBorders>
          </w:tcPr>
          <w:p>
            <w:pPr>
              <w:ind w:left="820"/>
              <w:spacing w:after="0"/>
              <w:rPr>
                <w:sz w:val="20"/>
                <w:szCs w:val="20"/>
                <w:color w:val="auto"/>
              </w:rPr>
            </w:pPr>
            <w:r>
              <w:rPr>
                <w:rFonts w:ascii="Arial" w:cs="Arial" w:eastAsia="Arial" w:hAnsi="Arial"/>
                <w:sz w:val="18"/>
                <w:szCs w:val="18"/>
                <w:color w:val="auto"/>
                <w:w w:val="99"/>
              </w:rPr>
              <w:t>—</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4660" w:type="dxa"/>
            <w:vAlign w:val="bottom"/>
          </w:tcPr>
          <w:p>
            <w:pPr>
              <w:spacing w:after="0" w:line="20" w:lineRule="exact"/>
              <w:rPr>
                <w:sz w:val="1"/>
                <w:szCs w:val="1"/>
                <w:color w:val="auto"/>
              </w:rPr>
            </w:pPr>
          </w:p>
        </w:tc>
        <w:tc>
          <w:tcPr>
            <w:tcW w:w="12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140" w:type="dxa"/>
            <w:vAlign w:val="bottom"/>
            <w:tcBorders>
              <w:bottom w:val="single" w:sz="8" w:color="auto"/>
            </w:tcBorders>
            <w:gridSpan w:val="2"/>
          </w:tcPr>
          <w:p>
            <w:pPr>
              <w:spacing w:after="0" w:line="20" w:lineRule="exact"/>
              <w:rPr>
                <w:sz w:val="1"/>
                <w:szCs w:val="1"/>
                <w:color w:val="auto"/>
              </w:rPr>
            </w:pPr>
          </w:p>
        </w:tc>
        <w:tc>
          <w:tcPr>
            <w:tcW w:w="260" w:type="dxa"/>
            <w:vAlign w:val="bottom"/>
            <w:gridSpan w:val="2"/>
          </w:tcPr>
          <w:p>
            <w:pPr>
              <w:spacing w:after="0" w:line="20" w:lineRule="exact"/>
              <w:rPr>
                <w:sz w:val="1"/>
                <w:szCs w:val="1"/>
                <w:color w:val="auto"/>
              </w:rPr>
            </w:pPr>
          </w:p>
        </w:tc>
        <w:tc>
          <w:tcPr>
            <w:tcW w:w="1120" w:type="dxa"/>
            <w:vAlign w:val="bottom"/>
            <w:tcBorders>
              <w:bottom w:val="single" w:sz="8" w:color="auto"/>
            </w:tcBorders>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24"/>
        </w:trPr>
        <w:tc>
          <w:tcPr>
            <w:tcW w:w="466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3800" w:type="dxa"/>
            <w:vAlign w:val="bottom"/>
            <w:tcBorders>
              <w:bottom w:val="single" w:sz="8" w:color="auto"/>
            </w:tcBorders>
            <w:gridSpan w:val="8"/>
          </w:tcPr>
          <w:p>
            <w:pPr>
              <w:jc w:val="center"/>
              <w:ind w:right="61"/>
              <w:spacing w:after="0"/>
              <w:rPr>
                <w:sz w:val="20"/>
                <w:szCs w:val="20"/>
                <w:color w:val="auto"/>
              </w:rPr>
            </w:pPr>
            <w:r>
              <w:rPr>
                <w:rFonts w:ascii="Arial" w:cs="Arial" w:eastAsia="Arial" w:hAnsi="Arial"/>
                <w:sz w:val="14"/>
                <w:szCs w:val="14"/>
                <w:b w:val="1"/>
                <w:bCs w:val="1"/>
                <w:color w:val="auto"/>
                <w:w w:val="93"/>
              </w:rPr>
              <w:t>Fair Value Measurements at Reporting Date Using</w:t>
            </w:r>
          </w:p>
        </w:tc>
        <w:tc>
          <w:tcPr>
            <w:tcW w:w="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4660" w:type="dxa"/>
            <w:vAlign w:val="bottom"/>
          </w:tcPr>
          <w:p>
            <w:pPr>
              <w:spacing w:after="0"/>
              <w:rPr>
                <w:sz w:val="11"/>
                <w:szCs w:val="11"/>
                <w:color w:val="auto"/>
              </w:rPr>
            </w:pPr>
          </w:p>
        </w:tc>
        <w:tc>
          <w:tcPr>
            <w:tcW w:w="12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40" w:type="dxa"/>
            <w:vAlign w:val="bottom"/>
            <w:vMerge w:val="restart"/>
          </w:tcPr>
          <w:p>
            <w:pPr>
              <w:jc w:val="center"/>
              <w:ind w:right="61"/>
              <w:spacing w:after="0"/>
              <w:rPr>
                <w:sz w:val="20"/>
                <w:szCs w:val="20"/>
                <w:color w:val="auto"/>
              </w:rPr>
            </w:pPr>
            <w:r>
              <w:rPr>
                <w:rFonts w:ascii="Arial" w:cs="Arial" w:eastAsia="Arial" w:hAnsi="Arial"/>
                <w:sz w:val="14"/>
                <w:szCs w:val="14"/>
                <w:b w:val="1"/>
                <w:bCs w:val="1"/>
                <w:color w:val="auto"/>
                <w:w w:val="90"/>
              </w:rPr>
              <w:t>Quoted Prices</w:t>
            </w:r>
          </w:p>
        </w:tc>
        <w:tc>
          <w:tcPr>
            <w:tcW w:w="2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40" w:type="dxa"/>
            <w:vAlign w:val="bottom"/>
            <w:gridSpan w:val="2"/>
          </w:tcPr>
          <w:p>
            <w:pPr>
              <w:jc w:val="center"/>
              <w:ind w:right="420"/>
              <w:spacing w:after="0" w:line="132" w:lineRule="exact"/>
              <w:rPr>
                <w:sz w:val="20"/>
                <w:szCs w:val="20"/>
                <w:color w:val="auto"/>
              </w:rPr>
            </w:pPr>
            <w:r>
              <w:rPr>
                <w:rFonts w:ascii="Arial" w:cs="Arial" w:eastAsia="Arial" w:hAnsi="Arial"/>
                <w:sz w:val="14"/>
                <w:szCs w:val="14"/>
                <w:b w:val="1"/>
                <w:bCs w:val="1"/>
                <w:color w:val="auto"/>
                <w:w w:val="92"/>
              </w:rPr>
              <w:t>Significant</w:t>
            </w: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140" w:type="dxa"/>
            <w:vAlign w:val="bottom"/>
            <w:gridSpan w:val="2"/>
            <w:vMerge w:val="restart"/>
          </w:tcPr>
          <w:p>
            <w:pPr>
              <w:jc w:val="center"/>
              <w:ind w:right="240"/>
              <w:spacing w:after="0"/>
              <w:rPr>
                <w:sz w:val="20"/>
                <w:szCs w:val="20"/>
                <w:color w:val="auto"/>
              </w:rPr>
            </w:pPr>
            <w:r>
              <w:rPr>
                <w:rFonts w:ascii="Arial" w:cs="Arial" w:eastAsia="Arial" w:hAnsi="Arial"/>
                <w:sz w:val="14"/>
                <w:szCs w:val="14"/>
                <w:b w:val="1"/>
                <w:bCs w:val="1"/>
                <w:color w:val="auto"/>
                <w:w w:val="92"/>
              </w:rPr>
              <w:t>Significant</w:t>
            </w:r>
          </w:p>
        </w:tc>
        <w:tc>
          <w:tcPr>
            <w:tcW w:w="0" w:type="dxa"/>
            <w:vAlign w:val="bottom"/>
          </w:tcPr>
          <w:p>
            <w:pPr>
              <w:spacing w:after="0"/>
              <w:rPr>
                <w:sz w:val="1"/>
                <w:szCs w:val="1"/>
                <w:color w:val="auto"/>
              </w:rPr>
            </w:pPr>
          </w:p>
        </w:tc>
      </w:tr>
      <w:tr>
        <w:trPr>
          <w:trHeight w:val="148"/>
        </w:trPr>
        <w:tc>
          <w:tcPr>
            <w:tcW w:w="4660" w:type="dxa"/>
            <w:vAlign w:val="bottom"/>
          </w:tcPr>
          <w:p>
            <w:pPr>
              <w:spacing w:after="0"/>
              <w:rPr>
                <w:sz w:val="12"/>
                <w:szCs w:val="12"/>
                <w:color w:val="auto"/>
              </w:rPr>
            </w:pPr>
          </w:p>
        </w:tc>
        <w:tc>
          <w:tcPr>
            <w:tcW w:w="12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40" w:type="dxa"/>
            <w:vAlign w:val="bottom"/>
            <w:vMerge w:val="continue"/>
          </w:tcPr>
          <w:p>
            <w:pPr>
              <w:spacing w:after="0"/>
              <w:rPr>
                <w:sz w:val="12"/>
                <w:szCs w:val="12"/>
                <w:color w:val="auto"/>
              </w:rPr>
            </w:pPr>
          </w:p>
        </w:tc>
        <w:tc>
          <w:tcPr>
            <w:tcW w:w="2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240" w:type="dxa"/>
            <w:vAlign w:val="bottom"/>
            <w:gridSpan w:val="2"/>
          </w:tcPr>
          <w:p>
            <w:pPr>
              <w:jc w:val="center"/>
              <w:ind w:right="400"/>
              <w:spacing w:after="0" w:line="148" w:lineRule="exact"/>
              <w:rPr>
                <w:sz w:val="20"/>
                <w:szCs w:val="20"/>
                <w:color w:val="auto"/>
              </w:rPr>
            </w:pPr>
            <w:r>
              <w:rPr>
                <w:rFonts w:ascii="Arial" w:cs="Arial" w:eastAsia="Arial" w:hAnsi="Arial"/>
                <w:sz w:val="14"/>
                <w:szCs w:val="14"/>
                <w:b w:val="1"/>
                <w:bCs w:val="1"/>
                <w:color w:val="auto"/>
                <w:w w:val="96"/>
              </w:rPr>
              <w:t>Other</w:t>
            </w: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140" w:type="dxa"/>
            <w:vAlign w:val="bottom"/>
            <w:gridSpan w:val="2"/>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4660" w:type="dxa"/>
            <w:vAlign w:val="bottom"/>
          </w:tcPr>
          <w:p>
            <w:pPr>
              <w:spacing w:after="0"/>
              <w:rPr>
                <w:sz w:val="12"/>
                <w:szCs w:val="12"/>
                <w:color w:val="auto"/>
              </w:rPr>
            </w:pPr>
          </w:p>
        </w:tc>
        <w:tc>
          <w:tcPr>
            <w:tcW w:w="12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40" w:type="dxa"/>
            <w:vAlign w:val="bottom"/>
          </w:tcPr>
          <w:p>
            <w:pPr>
              <w:jc w:val="center"/>
              <w:ind w:right="61"/>
              <w:spacing w:after="0" w:line="148" w:lineRule="exact"/>
              <w:rPr>
                <w:sz w:val="20"/>
                <w:szCs w:val="20"/>
                <w:color w:val="auto"/>
              </w:rPr>
            </w:pPr>
            <w:r>
              <w:rPr>
                <w:rFonts w:ascii="Arial" w:cs="Arial" w:eastAsia="Arial" w:hAnsi="Arial"/>
                <w:sz w:val="14"/>
                <w:szCs w:val="14"/>
                <w:b w:val="1"/>
                <w:bCs w:val="1"/>
                <w:color w:val="auto"/>
                <w:w w:val="92"/>
              </w:rPr>
              <w:t>in Active</w:t>
            </w:r>
          </w:p>
        </w:tc>
        <w:tc>
          <w:tcPr>
            <w:tcW w:w="2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240" w:type="dxa"/>
            <w:vAlign w:val="bottom"/>
            <w:gridSpan w:val="2"/>
          </w:tcPr>
          <w:p>
            <w:pPr>
              <w:jc w:val="center"/>
              <w:ind w:right="420"/>
              <w:spacing w:after="0" w:line="148" w:lineRule="exact"/>
              <w:rPr>
                <w:sz w:val="20"/>
                <w:szCs w:val="20"/>
                <w:color w:val="auto"/>
              </w:rPr>
            </w:pPr>
            <w:r>
              <w:rPr>
                <w:rFonts w:ascii="Arial" w:cs="Arial" w:eastAsia="Arial" w:hAnsi="Arial"/>
                <w:sz w:val="14"/>
                <w:szCs w:val="14"/>
                <w:b w:val="1"/>
                <w:bCs w:val="1"/>
                <w:color w:val="auto"/>
                <w:w w:val="91"/>
              </w:rPr>
              <w:t>Observable</w:t>
            </w: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140" w:type="dxa"/>
            <w:vAlign w:val="bottom"/>
            <w:gridSpan w:val="2"/>
          </w:tcPr>
          <w:p>
            <w:pPr>
              <w:jc w:val="center"/>
              <w:ind w:right="260"/>
              <w:spacing w:after="0" w:line="148" w:lineRule="exact"/>
              <w:rPr>
                <w:sz w:val="20"/>
                <w:szCs w:val="20"/>
                <w:color w:val="auto"/>
              </w:rPr>
            </w:pPr>
            <w:r>
              <w:rPr>
                <w:rFonts w:ascii="Arial" w:cs="Arial" w:eastAsia="Arial" w:hAnsi="Arial"/>
                <w:sz w:val="14"/>
                <w:szCs w:val="14"/>
                <w:b w:val="1"/>
                <w:bCs w:val="1"/>
                <w:color w:val="auto"/>
                <w:w w:val="90"/>
              </w:rPr>
              <w:t>Unobservable</w:t>
            </w:r>
          </w:p>
        </w:tc>
        <w:tc>
          <w:tcPr>
            <w:tcW w:w="0" w:type="dxa"/>
            <w:vAlign w:val="bottom"/>
          </w:tcPr>
          <w:p>
            <w:pPr>
              <w:spacing w:after="0"/>
              <w:rPr>
                <w:sz w:val="1"/>
                <w:szCs w:val="1"/>
                <w:color w:val="auto"/>
              </w:rPr>
            </w:pPr>
          </w:p>
        </w:tc>
      </w:tr>
      <w:tr>
        <w:trPr>
          <w:trHeight w:val="148"/>
        </w:trPr>
        <w:tc>
          <w:tcPr>
            <w:tcW w:w="4660" w:type="dxa"/>
            <w:vAlign w:val="bottom"/>
          </w:tcPr>
          <w:p>
            <w:pPr>
              <w:spacing w:after="0"/>
              <w:rPr>
                <w:sz w:val="12"/>
                <w:szCs w:val="12"/>
                <w:color w:val="auto"/>
              </w:rPr>
            </w:pPr>
          </w:p>
        </w:tc>
        <w:tc>
          <w:tcPr>
            <w:tcW w:w="1220" w:type="dxa"/>
            <w:vAlign w:val="bottom"/>
          </w:tcPr>
          <w:p>
            <w:pPr>
              <w:spacing w:after="0"/>
              <w:rPr>
                <w:sz w:val="12"/>
                <w:szCs w:val="12"/>
                <w:color w:val="auto"/>
              </w:rPr>
            </w:pPr>
          </w:p>
        </w:tc>
        <w:tc>
          <w:tcPr>
            <w:tcW w:w="1260" w:type="dxa"/>
            <w:vAlign w:val="bottom"/>
            <w:gridSpan w:val="2"/>
            <w:vMerge w:val="restart"/>
          </w:tcPr>
          <w:p>
            <w:pPr>
              <w:jc w:val="right"/>
              <w:spacing w:after="0"/>
              <w:rPr>
                <w:sz w:val="20"/>
                <w:szCs w:val="20"/>
                <w:color w:val="auto"/>
              </w:rPr>
            </w:pPr>
            <w:r>
              <w:rPr>
                <w:rFonts w:ascii="Arial" w:cs="Arial" w:eastAsia="Arial" w:hAnsi="Arial"/>
                <w:sz w:val="14"/>
                <w:szCs w:val="14"/>
                <w:b w:val="1"/>
                <w:bCs w:val="1"/>
                <w:color w:val="auto"/>
                <w:w w:val="93"/>
              </w:rPr>
              <w:t>December 31, 2017</w:t>
            </w:r>
          </w:p>
        </w:tc>
        <w:tc>
          <w:tcPr>
            <w:tcW w:w="2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40" w:type="dxa"/>
            <w:vAlign w:val="bottom"/>
          </w:tcPr>
          <w:p>
            <w:pPr>
              <w:jc w:val="center"/>
              <w:ind w:right="41"/>
              <w:spacing w:after="0" w:line="148" w:lineRule="exact"/>
              <w:rPr>
                <w:sz w:val="20"/>
                <w:szCs w:val="20"/>
                <w:color w:val="auto"/>
              </w:rPr>
            </w:pPr>
            <w:r>
              <w:rPr>
                <w:rFonts w:ascii="Arial" w:cs="Arial" w:eastAsia="Arial" w:hAnsi="Arial"/>
                <w:sz w:val="14"/>
                <w:szCs w:val="14"/>
                <w:b w:val="1"/>
                <w:bCs w:val="1"/>
                <w:color w:val="auto"/>
                <w:w w:val="98"/>
              </w:rPr>
              <w:t>Markets</w:t>
            </w:r>
          </w:p>
        </w:tc>
        <w:tc>
          <w:tcPr>
            <w:tcW w:w="2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240" w:type="dxa"/>
            <w:vAlign w:val="bottom"/>
            <w:gridSpan w:val="2"/>
          </w:tcPr>
          <w:p>
            <w:pPr>
              <w:jc w:val="center"/>
              <w:ind w:right="400"/>
              <w:spacing w:after="0" w:line="148" w:lineRule="exact"/>
              <w:rPr>
                <w:sz w:val="20"/>
                <w:szCs w:val="20"/>
                <w:color w:val="auto"/>
              </w:rPr>
            </w:pPr>
            <w:r>
              <w:rPr>
                <w:rFonts w:ascii="Arial" w:cs="Arial" w:eastAsia="Arial" w:hAnsi="Arial"/>
                <w:sz w:val="14"/>
                <w:szCs w:val="14"/>
                <w:b w:val="1"/>
                <w:bCs w:val="1"/>
                <w:color w:val="auto"/>
                <w:w w:val="95"/>
              </w:rPr>
              <w:t>Inputs</w:t>
            </w: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140" w:type="dxa"/>
            <w:vAlign w:val="bottom"/>
            <w:gridSpan w:val="2"/>
          </w:tcPr>
          <w:p>
            <w:pPr>
              <w:jc w:val="center"/>
              <w:ind w:right="260"/>
              <w:spacing w:after="0" w:line="148" w:lineRule="exact"/>
              <w:rPr>
                <w:sz w:val="20"/>
                <w:szCs w:val="20"/>
                <w:color w:val="auto"/>
              </w:rPr>
            </w:pPr>
            <w:r>
              <w:rPr>
                <w:rFonts w:ascii="Arial" w:cs="Arial" w:eastAsia="Arial" w:hAnsi="Arial"/>
                <w:sz w:val="14"/>
                <w:szCs w:val="14"/>
                <w:b w:val="1"/>
                <w:bCs w:val="1"/>
                <w:color w:val="auto"/>
                <w:w w:val="95"/>
              </w:rPr>
              <w:t>Inputs</w:t>
            </w:r>
          </w:p>
        </w:tc>
        <w:tc>
          <w:tcPr>
            <w:tcW w:w="0" w:type="dxa"/>
            <w:vAlign w:val="bottom"/>
          </w:tcPr>
          <w:p>
            <w:pPr>
              <w:spacing w:after="0"/>
              <w:rPr>
                <w:sz w:val="1"/>
                <w:szCs w:val="1"/>
                <w:color w:val="auto"/>
              </w:rPr>
            </w:pPr>
          </w:p>
        </w:tc>
      </w:tr>
      <w:tr>
        <w:trPr>
          <w:trHeight w:val="171"/>
        </w:trPr>
        <w:tc>
          <w:tcPr>
            <w:tcW w:w="4660" w:type="dxa"/>
            <w:vAlign w:val="bottom"/>
          </w:tcPr>
          <w:p>
            <w:pPr>
              <w:spacing w:after="0"/>
              <w:rPr>
                <w:sz w:val="20"/>
                <w:szCs w:val="20"/>
                <w:color w:val="auto"/>
              </w:rPr>
            </w:pPr>
            <w:r>
              <w:rPr>
                <w:rFonts w:ascii="Arial" w:cs="Arial" w:eastAsia="Arial" w:hAnsi="Arial"/>
                <w:sz w:val="14"/>
                <w:szCs w:val="14"/>
                <w:i w:val="1"/>
                <w:iCs w:val="1"/>
                <w:color w:val="auto"/>
              </w:rPr>
              <w:t>(in thousands)</w:t>
            </w:r>
          </w:p>
        </w:tc>
        <w:tc>
          <w:tcPr>
            <w:tcW w:w="1220" w:type="dxa"/>
            <w:vAlign w:val="bottom"/>
          </w:tcPr>
          <w:p>
            <w:pPr>
              <w:spacing w:after="0"/>
              <w:rPr>
                <w:sz w:val="14"/>
                <w:szCs w:val="14"/>
                <w:color w:val="auto"/>
              </w:rPr>
            </w:pPr>
          </w:p>
        </w:tc>
        <w:tc>
          <w:tcPr>
            <w:tcW w:w="1260" w:type="dxa"/>
            <w:vAlign w:val="bottom"/>
            <w:gridSpan w:val="2"/>
            <w:vMerge w:val="continue"/>
          </w:tcPr>
          <w:p>
            <w:pPr>
              <w:spacing w:after="0"/>
              <w:rPr>
                <w:sz w:val="14"/>
                <w:szCs w:val="14"/>
                <w:color w:val="auto"/>
              </w:rPr>
            </w:pPr>
          </w:p>
        </w:tc>
        <w:tc>
          <w:tcPr>
            <w:tcW w:w="2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40" w:type="dxa"/>
            <w:vAlign w:val="bottom"/>
          </w:tcPr>
          <w:p>
            <w:pPr>
              <w:jc w:val="center"/>
              <w:ind w:right="61"/>
              <w:spacing w:after="0"/>
              <w:rPr>
                <w:sz w:val="20"/>
                <w:szCs w:val="20"/>
                <w:color w:val="auto"/>
              </w:rPr>
            </w:pPr>
            <w:r>
              <w:rPr>
                <w:rFonts w:ascii="Arial" w:cs="Arial" w:eastAsia="Arial" w:hAnsi="Arial"/>
                <w:sz w:val="14"/>
                <w:szCs w:val="14"/>
                <w:b w:val="1"/>
                <w:bCs w:val="1"/>
                <w:color w:val="auto"/>
                <w:w w:val="94"/>
              </w:rPr>
              <w:t>(Level 1)</w:t>
            </w:r>
          </w:p>
        </w:tc>
        <w:tc>
          <w:tcPr>
            <w:tcW w:w="2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240" w:type="dxa"/>
            <w:vAlign w:val="bottom"/>
            <w:gridSpan w:val="2"/>
          </w:tcPr>
          <w:p>
            <w:pPr>
              <w:jc w:val="center"/>
              <w:ind w:right="420"/>
              <w:spacing w:after="0"/>
              <w:rPr>
                <w:sz w:val="20"/>
                <w:szCs w:val="20"/>
                <w:color w:val="auto"/>
              </w:rPr>
            </w:pPr>
            <w:r>
              <w:rPr>
                <w:rFonts w:ascii="Arial" w:cs="Arial" w:eastAsia="Arial" w:hAnsi="Arial"/>
                <w:sz w:val="14"/>
                <w:szCs w:val="14"/>
                <w:b w:val="1"/>
                <w:bCs w:val="1"/>
                <w:color w:val="auto"/>
                <w:w w:val="94"/>
              </w:rPr>
              <w:t>(Level 2)</w:t>
            </w: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4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4"/>
              </w:rPr>
              <w:t>(Level 3)</w:t>
            </w:r>
          </w:p>
        </w:tc>
        <w:tc>
          <w:tcPr>
            <w:tcW w:w="0" w:type="dxa"/>
            <w:vAlign w:val="bottom"/>
          </w:tcPr>
          <w:p>
            <w:pPr>
              <w:spacing w:after="0"/>
              <w:rPr>
                <w:sz w:val="1"/>
                <w:szCs w:val="1"/>
                <w:color w:val="auto"/>
              </w:rPr>
            </w:pPr>
          </w:p>
        </w:tc>
      </w:tr>
      <w:tr>
        <w:trPr>
          <w:trHeight w:val="222"/>
        </w:trPr>
        <w:tc>
          <w:tcPr>
            <w:tcW w:w="466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8"/>
                <w:szCs w:val="18"/>
                <w:color w:val="auto"/>
              </w:rPr>
              <w:t>Assets:</w:t>
            </w:r>
          </w:p>
        </w:tc>
        <w:tc>
          <w:tcPr>
            <w:tcW w:w="1220" w:type="dxa"/>
            <w:vAlign w:val="bottom"/>
            <w:tcBorders>
              <w:top w:val="single" w:sz="8" w:color="CFF0FC"/>
            </w:tcBorders>
            <w:shd w:val="clear" w:color="auto" w:fill="CFF0FC"/>
          </w:tcPr>
          <w:p>
            <w:pPr>
              <w:spacing w:after="0"/>
              <w:rPr>
                <w:sz w:val="19"/>
                <w:szCs w:val="19"/>
                <w:color w:val="auto"/>
              </w:rPr>
            </w:pPr>
          </w:p>
        </w:tc>
        <w:tc>
          <w:tcPr>
            <w:tcW w:w="120" w:type="dxa"/>
            <w:vAlign w:val="bottom"/>
            <w:tcBorders>
              <w:top w:val="single" w:sz="8" w:color="auto"/>
            </w:tcBorders>
            <w:shd w:val="clear" w:color="auto" w:fill="CFF0FC"/>
          </w:tcPr>
          <w:p>
            <w:pPr>
              <w:spacing w:after="0"/>
              <w:rPr>
                <w:sz w:val="19"/>
                <w:szCs w:val="19"/>
                <w:color w:val="auto"/>
              </w:rPr>
            </w:pPr>
          </w:p>
        </w:tc>
        <w:tc>
          <w:tcPr>
            <w:tcW w:w="1140" w:type="dxa"/>
            <w:vAlign w:val="bottom"/>
            <w:tcBorders>
              <w:top w:val="single" w:sz="8" w:color="auto"/>
            </w:tcBorders>
            <w:shd w:val="clear" w:color="auto" w:fill="CFF0FC"/>
          </w:tcPr>
          <w:p>
            <w:pPr>
              <w:spacing w:after="0"/>
              <w:rPr>
                <w:sz w:val="19"/>
                <w:szCs w:val="19"/>
                <w:color w:val="auto"/>
              </w:rPr>
            </w:pPr>
          </w:p>
        </w:tc>
        <w:tc>
          <w:tcPr>
            <w:tcW w:w="240" w:type="dxa"/>
            <w:vAlign w:val="bottom"/>
            <w:tcBorders>
              <w:top w:val="single" w:sz="8" w:color="CFF0FC"/>
            </w:tcBorders>
            <w:shd w:val="clear" w:color="auto" w:fill="CFF0FC"/>
          </w:tcPr>
          <w:p>
            <w:pPr>
              <w:spacing w:after="0"/>
              <w:rPr>
                <w:sz w:val="19"/>
                <w:szCs w:val="19"/>
                <w:color w:val="auto"/>
              </w:rPr>
            </w:pPr>
          </w:p>
        </w:tc>
        <w:tc>
          <w:tcPr>
            <w:tcW w:w="120" w:type="dxa"/>
            <w:vAlign w:val="bottom"/>
            <w:tcBorders>
              <w:top w:val="single" w:sz="8" w:color="auto"/>
            </w:tcBorders>
            <w:shd w:val="clear" w:color="auto" w:fill="CFF0FC"/>
          </w:tcPr>
          <w:p>
            <w:pPr>
              <w:spacing w:after="0"/>
              <w:rPr>
                <w:sz w:val="19"/>
                <w:szCs w:val="19"/>
                <w:color w:val="auto"/>
              </w:rPr>
            </w:pPr>
          </w:p>
        </w:tc>
        <w:tc>
          <w:tcPr>
            <w:tcW w:w="1040" w:type="dxa"/>
            <w:vAlign w:val="bottom"/>
            <w:tcBorders>
              <w:top w:val="single" w:sz="8" w:color="auto"/>
            </w:tcBorders>
            <w:shd w:val="clear" w:color="auto" w:fill="CFF0FC"/>
          </w:tcPr>
          <w:p>
            <w:pPr>
              <w:spacing w:after="0"/>
              <w:rPr>
                <w:sz w:val="19"/>
                <w:szCs w:val="19"/>
                <w:color w:val="auto"/>
              </w:rPr>
            </w:pPr>
          </w:p>
        </w:tc>
        <w:tc>
          <w:tcPr>
            <w:tcW w:w="240" w:type="dxa"/>
            <w:vAlign w:val="bottom"/>
            <w:tcBorders>
              <w:top w:val="single" w:sz="8" w:color="CFF0FC"/>
            </w:tcBorders>
            <w:shd w:val="clear" w:color="auto" w:fill="CFF0FC"/>
          </w:tcPr>
          <w:p>
            <w:pPr>
              <w:spacing w:after="0"/>
              <w:rPr>
                <w:sz w:val="19"/>
                <w:szCs w:val="19"/>
                <w:color w:val="auto"/>
              </w:rPr>
            </w:pPr>
          </w:p>
        </w:tc>
        <w:tc>
          <w:tcPr>
            <w:tcW w:w="140" w:type="dxa"/>
            <w:vAlign w:val="bottom"/>
            <w:tcBorders>
              <w:top w:val="single" w:sz="8" w:color="auto"/>
            </w:tcBorders>
            <w:shd w:val="clear" w:color="auto" w:fill="CFF0FC"/>
          </w:tcPr>
          <w:p>
            <w:pPr>
              <w:spacing w:after="0"/>
              <w:rPr>
                <w:sz w:val="19"/>
                <w:szCs w:val="19"/>
                <w:color w:val="auto"/>
              </w:rPr>
            </w:pPr>
          </w:p>
        </w:tc>
        <w:tc>
          <w:tcPr>
            <w:tcW w:w="1000" w:type="dxa"/>
            <w:vAlign w:val="bottom"/>
            <w:tcBorders>
              <w:top w:val="single" w:sz="8" w:color="auto"/>
            </w:tcBorders>
            <w:shd w:val="clear" w:color="auto" w:fill="CFF0FC"/>
          </w:tcPr>
          <w:p>
            <w:pPr>
              <w:spacing w:after="0"/>
              <w:rPr>
                <w:sz w:val="19"/>
                <w:szCs w:val="19"/>
                <w:color w:val="auto"/>
              </w:rPr>
            </w:pPr>
          </w:p>
        </w:tc>
        <w:tc>
          <w:tcPr>
            <w:tcW w:w="240" w:type="dxa"/>
            <w:vAlign w:val="bottom"/>
            <w:tcBorders>
              <w:top w:val="single" w:sz="8" w:color="CFF0FC"/>
            </w:tcBorders>
            <w:shd w:val="clear" w:color="auto" w:fill="CFF0FC"/>
          </w:tcPr>
          <w:p>
            <w:pPr>
              <w:spacing w:after="0"/>
              <w:rPr>
                <w:sz w:val="19"/>
                <w:szCs w:val="19"/>
                <w:color w:val="auto"/>
              </w:rPr>
            </w:pPr>
          </w:p>
        </w:tc>
        <w:tc>
          <w:tcPr>
            <w:tcW w:w="20" w:type="dxa"/>
            <w:vAlign w:val="bottom"/>
            <w:tcBorders>
              <w:top w:val="single" w:sz="8" w:color="CFF0FC"/>
            </w:tcBorders>
            <w:shd w:val="clear" w:color="auto" w:fill="CFF0FC"/>
          </w:tcPr>
          <w:p>
            <w:pPr>
              <w:spacing w:after="0"/>
              <w:rPr>
                <w:sz w:val="19"/>
                <w:szCs w:val="19"/>
                <w:color w:val="auto"/>
              </w:rPr>
            </w:pPr>
          </w:p>
        </w:tc>
        <w:tc>
          <w:tcPr>
            <w:tcW w:w="100" w:type="dxa"/>
            <w:vAlign w:val="bottom"/>
            <w:tcBorders>
              <w:top w:val="single" w:sz="8" w:color="auto"/>
            </w:tcBorders>
            <w:shd w:val="clear" w:color="auto" w:fill="CFF0FC"/>
          </w:tcPr>
          <w:p>
            <w:pPr>
              <w:spacing w:after="0"/>
              <w:rPr>
                <w:sz w:val="19"/>
                <w:szCs w:val="19"/>
                <w:color w:val="auto"/>
              </w:rPr>
            </w:pPr>
          </w:p>
        </w:tc>
        <w:tc>
          <w:tcPr>
            <w:tcW w:w="1020" w:type="dxa"/>
            <w:vAlign w:val="bottom"/>
            <w:tcBorders>
              <w:top w:val="single" w:sz="8" w:color="auto"/>
            </w:tcBorders>
            <w:shd w:val="clear" w:color="auto" w:fill="CFF0FC"/>
          </w:tcPr>
          <w:p>
            <w:pPr>
              <w:spacing w:after="0"/>
              <w:rPr>
                <w:sz w:val="19"/>
                <w:szCs w:val="19"/>
                <w:color w:val="auto"/>
              </w:rPr>
            </w:pPr>
          </w:p>
        </w:tc>
        <w:tc>
          <w:tcPr>
            <w:tcW w:w="120" w:type="dxa"/>
            <w:vAlign w:val="bottom"/>
            <w:tcBorders>
              <w:top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4660" w:type="dxa"/>
            <w:vAlign w:val="bottom"/>
          </w:tcPr>
          <w:p>
            <w:pPr>
              <w:ind w:left="260"/>
              <w:spacing w:after="0"/>
              <w:rPr>
                <w:sz w:val="20"/>
                <w:szCs w:val="20"/>
                <w:color w:val="auto"/>
              </w:rPr>
            </w:pPr>
            <w:r>
              <w:rPr>
                <w:rFonts w:ascii="Arial" w:cs="Arial" w:eastAsia="Arial" w:hAnsi="Arial"/>
                <w:sz w:val="18"/>
                <w:szCs w:val="18"/>
                <w:color w:val="auto"/>
              </w:rPr>
              <w:t>Money market funds</w:t>
            </w:r>
            <w:r>
              <w:rPr>
                <w:rFonts w:ascii="Arial" w:cs="Arial" w:eastAsia="Arial" w:hAnsi="Arial"/>
                <w:sz w:val="15"/>
                <w:szCs w:val="15"/>
                <w:color w:val="auto"/>
              </w:rPr>
              <w:t>(1)</w:t>
            </w:r>
          </w:p>
        </w:tc>
        <w:tc>
          <w:tcPr>
            <w:tcW w:w="13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140" w:type="dxa"/>
            <w:vAlign w:val="bottom"/>
          </w:tcPr>
          <w:p>
            <w:pPr>
              <w:jc w:val="right"/>
              <w:spacing w:after="0"/>
              <w:rPr>
                <w:sz w:val="20"/>
                <w:szCs w:val="20"/>
                <w:color w:val="auto"/>
              </w:rPr>
            </w:pPr>
            <w:r>
              <w:rPr>
                <w:rFonts w:ascii="Arial" w:cs="Arial" w:eastAsia="Arial" w:hAnsi="Arial"/>
                <w:sz w:val="18"/>
                <w:szCs w:val="18"/>
                <w:color w:val="auto"/>
              </w:rPr>
              <w:t>119</w:t>
            </w:r>
          </w:p>
        </w:tc>
        <w:tc>
          <w:tcPr>
            <w:tcW w:w="3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040" w:type="dxa"/>
            <w:vAlign w:val="bottom"/>
          </w:tcPr>
          <w:p>
            <w:pPr>
              <w:jc w:val="right"/>
              <w:spacing w:after="0"/>
              <w:rPr>
                <w:sz w:val="20"/>
                <w:szCs w:val="20"/>
                <w:color w:val="auto"/>
              </w:rPr>
            </w:pPr>
            <w:r>
              <w:rPr>
                <w:rFonts w:ascii="Arial" w:cs="Arial" w:eastAsia="Arial" w:hAnsi="Arial"/>
                <w:sz w:val="18"/>
                <w:szCs w:val="18"/>
                <w:color w:val="auto"/>
              </w:rPr>
              <w:t>119</w:t>
            </w:r>
          </w:p>
        </w:tc>
        <w:tc>
          <w:tcPr>
            <w:tcW w:w="3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240" w:type="dxa"/>
            <w:vAlign w:val="bottom"/>
            <w:gridSpan w:val="2"/>
          </w:tcPr>
          <w:p>
            <w:pPr>
              <w:ind w:left="800"/>
              <w:spacing w:after="0"/>
              <w:rPr>
                <w:sz w:val="20"/>
                <w:szCs w:val="20"/>
                <w:color w:val="auto"/>
              </w:rPr>
            </w:pPr>
            <w:r>
              <w:rPr>
                <w:rFonts w:ascii="Arial" w:cs="Arial" w:eastAsia="Arial" w:hAnsi="Arial"/>
                <w:sz w:val="18"/>
                <w:szCs w:val="18"/>
                <w:color w:val="auto"/>
              </w:rPr>
              <w:t>—</w:t>
            </w:r>
          </w:p>
        </w:tc>
        <w:tc>
          <w:tcPr>
            <w:tcW w:w="120" w:type="dxa"/>
            <w:vAlign w:val="bottom"/>
            <w:gridSpan w:val="2"/>
          </w:tcPr>
          <w:p>
            <w:pPr>
              <w:jc w:val="right"/>
              <w:spacing w:after="0"/>
              <w:rPr>
                <w:sz w:val="20"/>
                <w:szCs w:val="20"/>
                <w:color w:val="auto"/>
              </w:rPr>
            </w:pPr>
            <w:r>
              <w:rPr>
                <w:rFonts w:ascii="Arial" w:cs="Arial" w:eastAsia="Arial" w:hAnsi="Arial"/>
                <w:sz w:val="15"/>
                <w:szCs w:val="15"/>
                <w:color w:val="auto"/>
                <w:w w:val="71"/>
              </w:rPr>
              <w:t>$</w:t>
            </w:r>
          </w:p>
        </w:tc>
        <w:tc>
          <w:tcPr>
            <w:tcW w:w="1140" w:type="dxa"/>
            <w:vAlign w:val="bottom"/>
            <w:gridSpan w:val="2"/>
          </w:tcPr>
          <w:p>
            <w:pPr>
              <w:ind w:left="8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9"/>
        </w:trPr>
        <w:tc>
          <w:tcPr>
            <w:tcW w:w="4660" w:type="dxa"/>
            <w:vAlign w:val="bottom"/>
            <w:shd w:val="clear" w:color="auto" w:fill="CFF0FC"/>
          </w:tcPr>
          <w:p>
            <w:pPr>
              <w:ind w:left="260"/>
              <w:spacing w:after="0"/>
              <w:rPr>
                <w:sz w:val="20"/>
                <w:szCs w:val="20"/>
                <w:color w:val="auto"/>
              </w:rPr>
            </w:pPr>
            <w:r>
              <w:rPr>
                <w:rFonts w:ascii="Arial" w:cs="Arial" w:eastAsia="Arial" w:hAnsi="Arial"/>
                <w:sz w:val="18"/>
                <w:szCs w:val="18"/>
                <w:color w:val="auto"/>
              </w:rPr>
              <w:t>Other mutual funds</w:t>
            </w:r>
            <w:r>
              <w:rPr>
                <w:rFonts w:ascii="Arial" w:cs="Arial" w:eastAsia="Arial" w:hAnsi="Arial"/>
                <w:sz w:val="15"/>
                <w:szCs w:val="15"/>
                <w:color w:val="auto"/>
              </w:rPr>
              <w:t>(2)</w:t>
            </w:r>
          </w:p>
        </w:tc>
        <w:tc>
          <w:tcPr>
            <w:tcW w:w="12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1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2,637</w:t>
            </w:r>
          </w:p>
        </w:tc>
        <w:tc>
          <w:tcPr>
            <w:tcW w:w="24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0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2,637</w:t>
            </w:r>
          </w:p>
        </w:tc>
        <w:tc>
          <w:tcPr>
            <w:tcW w:w="24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1240" w:type="dxa"/>
            <w:vAlign w:val="bottom"/>
            <w:gridSpan w:val="2"/>
            <w:shd w:val="clear" w:color="auto" w:fill="CFF0FC"/>
          </w:tcPr>
          <w:p>
            <w:pPr>
              <w:ind w:left="800"/>
              <w:spacing w:after="0"/>
              <w:rPr>
                <w:sz w:val="20"/>
                <w:szCs w:val="20"/>
                <w:color w:val="auto"/>
              </w:rPr>
            </w:pPr>
            <w:r>
              <w:rPr>
                <w:rFonts w:ascii="Arial" w:cs="Arial" w:eastAsia="Arial" w:hAnsi="Arial"/>
                <w:sz w:val="18"/>
                <w:szCs w:val="18"/>
                <w:color w:val="auto"/>
              </w:rPr>
              <w:t>—</w:t>
            </w:r>
          </w:p>
        </w:tc>
        <w:tc>
          <w:tcPr>
            <w:tcW w:w="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140" w:type="dxa"/>
            <w:vAlign w:val="bottom"/>
            <w:gridSpan w:val="2"/>
            <w:shd w:val="clear" w:color="auto" w:fill="CFF0FC"/>
          </w:tcPr>
          <w:p>
            <w:pPr>
              <w:ind w:left="8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2"/>
        </w:trPr>
        <w:tc>
          <w:tcPr>
            <w:tcW w:w="4660" w:type="dxa"/>
            <w:vAlign w:val="bottom"/>
          </w:tcPr>
          <w:p>
            <w:pPr>
              <w:spacing w:after="0"/>
              <w:rPr>
                <w:sz w:val="20"/>
                <w:szCs w:val="20"/>
                <w:color w:val="auto"/>
              </w:rPr>
            </w:pPr>
            <w:r>
              <w:rPr>
                <w:rFonts w:ascii="Arial" w:cs="Arial" w:eastAsia="Arial" w:hAnsi="Arial"/>
                <w:sz w:val="18"/>
                <w:szCs w:val="18"/>
                <w:b w:val="1"/>
                <w:bCs w:val="1"/>
                <w:color w:val="auto"/>
              </w:rPr>
              <w:t>Total assets at fair value on a recurring basis</w:t>
            </w:r>
          </w:p>
        </w:tc>
        <w:tc>
          <w:tcPr>
            <w:tcW w:w="1220" w:type="dxa"/>
            <w:vAlign w:val="bottom"/>
          </w:tcPr>
          <w:p>
            <w:pPr>
              <w:spacing w:after="0"/>
              <w:rPr>
                <w:sz w:val="19"/>
                <w:szCs w:val="19"/>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2,756</w:t>
            </w:r>
          </w:p>
        </w:tc>
        <w:tc>
          <w:tcPr>
            <w:tcW w:w="240" w:type="dxa"/>
            <w:vAlign w:val="bottom"/>
          </w:tcPr>
          <w:p>
            <w:pPr>
              <w:spacing w:after="0"/>
              <w:rPr>
                <w:sz w:val="19"/>
                <w:szCs w:val="19"/>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0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2,756</w:t>
            </w:r>
          </w:p>
        </w:tc>
        <w:tc>
          <w:tcPr>
            <w:tcW w:w="240" w:type="dxa"/>
            <w:vAlign w:val="bottom"/>
          </w:tcPr>
          <w:p>
            <w:pPr>
              <w:spacing w:after="0"/>
              <w:rPr>
                <w:sz w:val="19"/>
                <w:szCs w:val="19"/>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1000" w:type="dxa"/>
            <w:vAlign w:val="bottom"/>
            <w:tcBorders>
              <w:top w:val="single" w:sz="8" w:color="auto"/>
              <w:bottom w:val="single" w:sz="8" w:color="auto"/>
            </w:tcBorders>
          </w:tcPr>
          <w:p>
            <w:pPr>
              <w:ind w:left="800"/>
              <w:spacing w:after="0"/>
              <w:rPr>
                <w:sz w:val="20"/>
                <w:szCs w:val="20"/>
                <w:color w:val="auto"/>
              </w:rPr>
            </w:pPr>
            <w:r>
              <w:rPr>
                <w:rFonts w:ascii="Arial" w:cs="Arial" w:eastAsia="Arial" w:hAnsi="Arial"/>
                <w:sz w:val="18"/>
                <w:szCs w:val="18"/>
                <w:color w:val="auto"/>
                <w:w w:val="99"/>
              </w:rPr>
              <w:t>—</w:t>
            </w:r>
          </w:p>
        </w:tc>
        <w:tc>
          <w:tcPr>
            <w:tcW w:w="240" w:type="dxa"/>
            <w:vAlign w:val="bottom"/>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1020" w:type="dxa"/>
            <w:vAlign w:val="bottom"/>
            <w:tcBorders>
              <w:top w:val="single" w:sz="8" w:color="auto"/>
              <w:bottom w:val="single" w:sz="8" w:color="auto"/>
            </w:tcBorders>
          </w:tcPr>
          <w:p>
            <w:pPr>
              <w:ind w:left="820"/>
              <w:spacing w:after="0"/>
              <w:rPr>
                <w:sz w:val="20"/>
                <w:szCs w:val="20"/>
                <w:color w:val="auto"/>
              </w:rPr>
            </w:pPr>
            <w:r>
              <w:rPr>
                <w:rFonts w:ascii="Arial" w:cs="Arial" w:eastAsia="Arial" w:hAnsi="Arial"/>
                <w:sz w:val="18"/>
                <w:szCs w:val="18"/>
                <w:color w:val="auto"/>
                <w:w w:val="99"/>
              </w:rPr>
              <w:t>—</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4660" w:type="dxa"/>
            <w:vAlign w:val="bottom"/>
          </w:tcPr>
          <w:p>
            <w:pPr>
              <w:spacing w:after="0" w:line="20" w:lineRule="exact"/>
              <w:rPr>
                <w:sz w:val="1"/>
                <w:szCs w:val="1"/>
                <w:color w:val="auto"/>
              </w:rPr>
            </w:pPr>
          </w:p>
        </w:tc>
        <w:tc>
          <w:tcPr>
            <w:tcW w:w="12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1" w:lineRule="exact"/>
        <w:rPr>
          <w:sz w:val="20"/>
          <w:szCs w:val="20"/>
          <w:color w:val="auto"/>
        </w:rPr>
      </w:pPr>
    </w:p>
    <w:p>
      <w:pPr>
        <w:jc w:val="both"/>
        <w:ind w:left="380" w:right="40" w:hanging="372"/>
        <w:spacing w:after="0" w:line="262" w:lineRule="auto"/>
        <w:tabs>
          <w:tab w:leader="none" w:pos="380" w:val="left"/>
        </w:tabs>
        <w:numPr>
          <w:ilvl w:val="0"/>
          <w:numId w:val="12"/>
        </w:numPr>
        <w:rPr>
          <w:rFonts w:ascii="Arial" w:cs="Arial" w:eastAsia="Arial" w:hAnsi="Arial"/>
          <w:sz w:val="15"/>
          <w:szCs w:val="15"/>
          <w:color w:val="auto"/>
        </w:rPr>
      </w:pPr>
      <w:r>
        <w:rPr>
          <w:rFonts w:ascii="Arial" w:cs="Arial" w:eastAsia="Arial" w:hAnsi="Arial"/>
          <w:sz w:val="18"/>
          <w:szCs w:val="18"/>
          <w:color w:val="auto"/>
        </w:rPr>
        <w:t>Money market funds are included in “Cash and cash equivalents” in the Condensed Consolidated Balance Sheets. These investments are classified as available-for-sale and are recorded at fair value. There have been no realized gains or losses related to these investments and we have not experienced any redemption restrictions with respect to any of the money market mutual funds.</w:t>
      </w:r>
    </w:p>
    <w:p>
      <w:pPr>
        <w:spacing w:after="0" w:line="128" w:lineRule="exact"/>
        <w:rPr>
          <w:rFonts w:ascii="Arial" w:cs="Arial" w:eastAsia="Arial" w:hAnsi="Arial"/>
          <w:sz w:val="15"/>
          <w:szCs w:val="15"/>
          <w:color w:val="auto"/>
        </w:rPr>
      </w:pPr>
    </w:p>
    <w:p>
      <w:pPr>
        <w:jc w:val="both"/>
        <w:ind w:left="380" w:right="20" w:hanging="372"/>
        <w:spacing w:after="0" w:line="254" w:lineRule="auto"/>
        <w:tabs>
          <w:tab w:leader="none" w:pos="380" w:val="left"/>
        </w:tabs>
        <w:numPr>
          <w:ilvl w:val="0"/>
          <w:numId w:val="12"/>
        </w:numPr>
        <w:rPr>
          <w:rFonts w:ascii="Arial" w:cs="Arial" w:eastAsia="Arial" w:hAnsi="Arial"/>
          <w:sz w:val="15"/>
          <w:szCs w:val="15"/>
          <w:color w:val="auto"/>
        </w:rPr>
      </w:pPr>
      <w:r>
        <w:rPr>
          <w:rFonts w:ascii="Arial" w:cs="Arial" w:eastAsia="Arial" w:hAnsi="Arial"/>
          <w:sz w:val="18"/>
          <w:szCs w:val="18"/>
          <w:color w:val="auto"/>
        </w:rPr>
        <w:t>Other mutual funds are included in “Other investments and assets” in the Condensed Consolidated Balance Sheets. These investments are classified as available-for-sale and are recorded at fair value. Unrealized gains of $1.0 million ($0.6 million after tax) as of December 31, 2017 are included in “Accumulated other comprehensive income (loss)” (“AOCI”) in the Condensed Consolidated Balance Sheets. Upon the adoption of ASU 2016-01, unrealized gains on equity securities classified as available-for-sale are recognized in net income rather than AOCI. We adopted this guidance prospectively, and recognized a cumulative-effect adjustment of $0.6 million to beginning retained earnings. Refer to Note 14 – Stockholders’ Equity for additional information.</w:t>
      </w:r>
    </w:p>
    <w:p>
      <w:pPr>
        <w:spacing w:after="0" w:line="137" w:lineRule="exact"/>
        <w:rPr>
          <w:sz w:val="20"/>
          <w:szCs w:val="20"/>
          <w:color w:val="auto"/>
        </w:rPr>
      </w:pPr>
    </w:p>
    <w:p>
      <w:pPr>
        <w:ind w:right="20"/>
        <w:spacing w:after="0" w:line="275" w:lineRule="auto"/>
        <w:rPr>
          <w:sz w:val="20"/>
          <w:szCs w:val="20"/>
          <w:color w:val="auto"/>
        </w:rPr>
      </w:pPr>
      <w:r>
        <w:rPr>
          <w:rFonts w:ascii="Arial" w:cs="Arial" w:eastAsia="Arial" w:hAnsi="Arial"/>
          <w:sz w:val="18"/>
          <w:szCs w:val="18"/>
          <w:color w:val="auto"/>
        </w:rPr>
        <w:t xml:space="preserve">The carrying values of cash and cash equivalents, receivables, and accounts payable approximate fair value due to the short-term maturities of these instruments. Refer to Note 12 </w:t>
      </w:r>
      <w:r>
        <w:rPr>
          <w:rFonts w:ascii="Arial" w:cs="Arial" w:eastAsia="Arial" w:hAnsi="Arial"/>
          <w:sz w:val="18"/>
          <w:szCs w:val="18"/>
          <w:b w:val="1"/>
          <w:bCs w:val="1"/>
          <w:i w:val="1"/>
          <w:iCs w:val="1"/>
          <w:color w:val="auto"/>
        </w:rPr>
        <w:t>–</w:t>
      </w:r>
      <w:r>
        <w:rPr>
          <w:rFonts w:ascii="Arial" w:cs="Arial" w:eastAsia="Arial" w:hAnsi="Arial"/>
          <w:sz w:val="18"/>
          <w:szCs w:val="18"/>
          <w:color w:val="auto"/>
        </w:rPr>
        <w:t xml:space="preserve"> Debt and Capital Lease Obligations for the estimated fair value of debt obligations.</w:t>
      </w:r>
    </w:p>
    <w:p>
      <w:pPr>
        <w:spacing w:after="0" w:line="27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Note 14. </w:t>
      </w:r>
      <w:r>
        <w:rPr>
          <w:rFonts w:ascii="Arial" w:cs="Arial" w:eastAsia="Arial" w:hAnsi="Arial"/>
          <w:sz w:val="18"/>
          <w:szCs w:val="18"/>
          <w:b w:val="1"/>
          <w:bCs w:val="1"/>
          <w:u w:val="single" w:color="auto"/>
          <w:color w:val="auto"/>
        </w:rPr>
        <w:t>Stockholders’ Equity</w:t>
      </w:r>
    </w:p>
    <w:p>
      <w:pPr>
        <w:spacing w:after="0" w:line="120" w:lineRule="exact"/>
        <w:rPr>
          <w:sz w:val="20"/>
          <w:szCs w:val="20"/>
          <w:color w:val="auto"/>
        </w:rPr>
      </w:pPr>
    </w:p>
    <w:p>
      <w:pPr>
        <w:ind w:right="20"/>
        <w:spacing w:after="0" w:line="275" w:lineRule="auto"/>
        <w:rPr>
          <w:sz w:val="20"/>
          <w:szCs w:val="20"/>
          <w:color w:val="auto"/>
        </w:rPr>
      </w:pPr>
      <w:r>
        <w:rPr>
          <w:rFonts w:ascii="Arial" w:cs="Arial" w:eastAsia="Arial" w:hAnsi="Arial"/>
          <w:sz w:val="18"/>
          <w:szCs w:val="18"/>
          <w:color w:val="auto"/>
        </w:rPr>
        <w:t>The following represents a reconciliation of the carrying amounts of stockholders’ equity attributable to Viad and the non-redeemable noncontrolling interest for the three months ended March 31, 2018 and 2017:</w:t>
      </w:r>
    </w:p>
    <w:p>
      <w:pPr>
        <w:spacing w:after="0" w:line="16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640" w:type="dxa"/>
            <w:vAlign w:val="bottom"/>
          </w:tcPr>
          <w:p>
            <w:pPr>
              <w:spacing w:after="0"/>
              <w:rPr>
                <w:sz w:val="14"/>
                <w:szCs w:val="14"/>
                <w:color w:val="auto"/>
              </w:rPr>
            </w:pPr>
          </w:p>
        </w:tc>
        <w:tc>
          <w:tcPr>
            <w:tcW w:w="21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420" w:type="dxa"/>
            <w:vAlign w:val="bottom"/>
            <w:gridSpan w:val="2"/>
          </w:tcPr>
          <w:p>
            <w:pPr>
              <w:jc w:val="center"/>
              <w:ind w:right="420"/>
              <w:spacing w:after="0"/>
              <w:rPr>
                <w:sz w:val="20"/>
                <w:szCs w:val="20"/>
                <w:color w:val="auto"/>
              </w:rPr>
            </w:pPr>
            <w:r>
              <w:rPr>
                <w:rFonts w:ascii="Arial" w:cs="Arial" w:eastAsia="Arial" w:hAnsi="Arial"/>
                <w:sz w:val="14"/>
                <w:szCs w:val="14"/>
                <w:b w:val="1"/>
                <w:bCs w:val="1"/>
                <w:color w:val="auto"/>
                <w:w w:val="95"/>
              </w:rPr>
              <w:t>Total Viad</w:t>
            </w:r>
          </w:p>
        </w:tc>
        <w:tc>
          <w:tcPr>
            <w:tcW w:w="140" w:type="dxa"/>
            <w:vAlign w:val="bottom"/>
          </w:tcPr>
          <w:p>
            <w:pPr>
              <w:spacing w:after="0"/>
              <w:rPr>
                <w:sz w:val="14"/>
                <w:szCs w:val="14"/>
                <w:color w:val="auto"/>
              </w:rPr>
            </w:pPr>
          </w:p>
        </w:tc>
        <w:tc>
          <w:tcPr>
            <w:tcW w:w="138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91"/>
              </w:rPr>
              <w:t>Non-redeemable</w:t>
            </w:r>
          </w:p>
        </w:tc>
        <w:tc>
          <w:tcPr>
            <w:tcW w:w="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28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5"/>
              </w:rPr>
              <w:t>Total</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8"/>
        </w:trPr>
        <w:tc>
          <w:tcPr>
            <w:tcW w:w="4640" w:type="dxa"/>
            <w:vAlign w:val="bottom"/>
          </w:tcPr>
          <w:p>
            <w:pPr>
              <w:spacing w:after="0"/>
              <w:rPr>
                <w:sz w:val="12"/>
                <w:szCs w:val="12"/>
                <w:color w:val="auto"/>
              </w:rPr>
            </w:pPr>
          </w:p>
        </w:tc>
        <w:tc>
          <w:tcPr>
            <w:tcW w:w="21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420" w:type="dxa"/>
            <w:vAlign w:val="bottom"/>
            <w:gridSpan w:val="2"/>
          </w:tcPr>
          <w:p>
            <w:pPr>
              <w:jc w:val="center"/>
              <w:ind w:right="420"/>
              <w:spacing w:after="0" w:line="148" w:lineRule="exact"/>
              <w:rPr>
                <w:sz w:val="20"/>
                <w:szCs w:val="20"/>
                <w:color w:val="auto"/>
              </w:rPr>
            </w:pPr>
            <w:r>
              <w:rPr>
                <w:rFonts w:ascii="Arial" w:cs="Arial" w:eastAsia="Arial" w:hAnsi="Arial"/>
                <w:sz w:val="14"/>
                <w:szCs w:val="14"/>
                <w:b w:val="1"/>
                <w:bCs w:val="1"/>
                <w:color w:val="auto"/>
                <w:w w:val="90"/>
              </w:rPr>
              <w:t>Stockholders’</w:t>
            </w:r>
          </w:p>
        </w:tc>
        <w:tc>
          <w:tcPr>
            <w:tcW w:w="140" w:type="dxa"/>
            <w:vAlign w:val="bottom"/>
          </w:tcPr>
          <w:p>
            <w:pPr>
              <w:spacing w:after="0"/>
              <w:rPr>
                <w:sz w:val="12"/>
                <w:szCs w:val="12"/>
                <w:color w:val="auto"/>
              </w:rPr>
            </w:pPr>
          </w:p>
        </w:tc>
        <w:tc>
          <w:tcPr>
            <w:tcW w:w="1380" w:type="dxa"/>
            <w:vAlign w:val="bottom"/>
            <w:gridSpan w:val="2"/>
          </w:tcPr>
          <w:p>
            <w:pPr>
              <w:jc w:val="center"/>
              <w:ind w:right="300"/>
              <w:spacing w:after="0" w:line="148" w:lineRule="exact"/>
              <w:rPr>
                <w:sz w:val="20"/>
                <w:szCs w:val="20"/>
                <w:color w:val="auto"/>
              </w:rPr>
            </w:pPr>
            <w:r>
              <w:rPr>
                <w:rFonts w:ascii="Arial" w:cs="Arial" w:eastAsia="Arial" w:hAnsi="Arial"/>
                <w:sz w:val="14"/>
                <w:szCs w:val="14"/>
                <w:b w:val="1"/>
                <w:bCs w:val="1"/>
                <w:color w:val="auto"/>
                <w:w w:val="92"/>
              </w:rPr>
              <w:t>Noncontrolling</w:t>
            </w:r>
          </w:p>
        </w:tc>
        <w:tc>
          <w:tcPr>
            <w:tcW w:w="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280" w:type="dxa"/>
            <w:vAlign w:val="bottom"/>
            <w:gridSpan w:val="2"/>
          </w:tcPr>
          <w:p>
            <w:pPr>
              <w:jc w:val="center"/>
              <w:ind w:right="280"/>
              <w:spacing w:after="0" w:line="148" w:lineRule="exact"/>
              <w:rPr>
                <w:sz w:val="20"/>
                <w:szCs w:val="20"/>
                <w:color w:val="auto"/>
              </w:rPr>
            </w:pPr>
            <w:r>
              <w:rPr>
                <w:rFonts w:ascii="Arial" w:cs="Arial" w:eastAsia="Arial" w:hAnsi="Arial"/>
                <w:sz w:val="14"/>
                <w:szCs w:val="14"/>
                <w:b w:val="1"/>
                <w:bCs w:val="1"/>
                <w:color w:val="auto"/>
                <w:w w:val="90"/>
              </w:rPr>
              <w:t>Stockholders’</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1"/>
        </w:trPr>
        <w:tc>
          <w:tcPr>
            <w:tcW w:w="4640" w:type="dxa"/>
            <w:vAlign w:val="bottom"/>
          </w:tcPr>
          <w:p>
            <w:pPr>
              <w:spacing w:after="0"/>
              <w:rPr>
                <w:sz w:val="20"/>
                <w:szCs w:val="20"/>
                <w:color w:val="auto"/>
              </w:rPr>
            </w:pPr>
            <w:r>
              <w:rPr>
                <w:rFonts w:ascii="Arial" w:cs="Arial" w:eastAsia="Arial" w:hAnsi="Arial"/>
                <w:sz w:val="14"/>
                <w:szCs w:val="14"/>
                <w:i w:val="1"/>
                <w:iCs w:val="1"/>
                <w:color w:val="auto"/>
              </w:rPr>
              <w:t>(in thousands)</w:t>
            </w:r>
          </w:p>
        </w:tc>
        <w:tc>
          <w:tcPr>
            <w:tcW w:w="21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420" w:type="dxa"/>
            <w:vAlign w:val="bottom"/>
            <w:gridSpan w:val="2"/>
          </w:tcPr>
          <w:p>
            <w:pPr>
              <w:jc w:val="center"/>
              <w:ind w:right="420"/>
              <w:spacing w:after="0"/>
              <w:rPr>
                <w:sz w:val="20"/>
                <w:szCs w:val="20"/>
                <w:color w:val="auto"/>
              </w:rPr>
            </w:pPr>
            <w:r>
              <w:rPr>
                <w:rFonts w:ascii="Arial" w:cs="Arial" w:eastAsia="Arial" w:hAnsi="Arial"/>
                <w:sz w:val="14"/>
                <w:szCs w:val="14"/>
                <w:b w:val="1"/>
                <w:bCs w:val="1"/>
                <w:color w:val="auto"/>
                <w:w w:val="93"/>
              </w:rPr>
              <w:t>Equity</w:t>
            </w:r>
          </w:p>
        </w:tc>
        <w:tc>
          <w:tcPr>
            <w:tcW w:w="140" w:type="dxa"/>
            <w:vAlign w:val="bottom"/>
          </w:tcPr>
          <w:p>
            <w:pPr>
              <w:spacing w:after="0"/>
              <w:rPr>
                <w:sz w:val="14"/>
                <w:szCs w:val="14"/>
                <w:color w:val="auto"/>
              </w:rPr>
            </w:pPr>
          </w:p>
        </w:tc>
        <w:tc>
          <w:tcPr>
            <w:tcW w:w="138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94"/>
              </w:rPr>
              <w:t>Interest</w:t>
            </w:r>
          </w:p>
        </w:tc>
        <w:tc>
          <w:tcPr>
            <w:tcW w:w="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28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98"/>
              </w:rPr>
              <w:t>Equity</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22"/>
        </w:trPr>
        <w:tc>
          <w:tcPr>
            <w:tcW w:w="464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8"/>
                <w:szCs w:val="18"/>
                <w:b w:val="1"/>
                <w:bCs w:val="1"/>
                <w:color w:val="auto"/>
              </w:rPr>
              <w:t>Balance at December 31, 2017</w:t>
            </w:r>
          </w:p>
        </w:tc>
        <w:tc>
          <w:tcPr>
            <w:tcW w:w="2140" w:type="dxa"/>
            <w:vAlign w:val="bottom"/>
            <w:tcBorders>
              <w:top w:val="single" w:sz="8" w:color="CFF0FC"/>
            </w:tcBorders>
            <w:shd w:val="clear" w:color="auto" w:fill="CFF0FC"/>
          </w:tcPr>
          <w:p>
            <w:pPr>
              <w:spacing w:after="0"/>
              <w:rPr>
                <w:sz w:val="19"/>
                <w:szCs w:val="19"/>
                <w:color w:val="auto"/>
              </w:rPr>
            </w:pPr>
          </w:p>
        </w:tc>
        <w:tc>
          <w:tcPr>
            <w:tcW w:w="16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118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429,131</w:t>
            </w:r>
          </w:p>
        </w:tc>
        <w:tc>
          <w:tcPr>
            <w:tcW w:w="240" w:type="dxa"/>
            <w:vAlign w:val="bottom"/>
            <w:tcBorders>
              <w:top w:val="single" w:sz="8" w:color="CFF0FC"/>
            </w:tcBorders>
            <w:shd w:val="clear" w:color="auto" w:fill="CFF0FC"/>
          </w:tcPr>
          <w:p>
            <w:pPr>
              <w:spacing w:after="0"/>
              <w:rPr>
                <w:sz w:val="19"/>
                <w:szCs w:val="19"/>
                <w:color w:val="auto"/>
              </w:rPr>
            </w:pPr>
          </w:p>
        </w:tc>
        <w:tc>
          <w:tcPr>
            <w:tcW w:w="14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122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13,806</w:t>
            </w:r>
          </w:p>
        </w:tc>
        <w:tc>
          <w:tcPr>
            <w:tcW w:w="160" w:type="dxa"/>
            <w:vAlign w:val="bottom"/>
            <w:tcBorders>
              <w:top w:val="single" w:sz="8" w:color="CFF0FC"/>
            </w:tcBorders>
            <w:shd w:val="clear" w:color="auto" w:fill="CFF0FC"/>
          </w:tcPr>
          <w:p>
            <w:pPr>
              <w:spacing w:after="0"/>
              <w:rPr>
                <w:sz w:val="19"/>
                <w:szCs w:val="19"/>
                <w:color w:val="auto"/>
              </w:rPr>
            </w:pPr>
          </w:p>
        </w:tc>
        <w:tc>
          <w:tcPr>
            <w:tcW w:w="80" w:type="dxa"/>
            <w:vAlign w:val="bottom"/>
            <w:tcBorders>
              <w:top w:val="single" w:sz="8" w:color="CFF0FC"/>
            </w:tcBorders>
            <w:shd w:val="clear" w:color="auto" w:fill="CFF0FC"/>
          </w:tcPr>
          <w:p>
            <w:pPr>
              <w:spacing w:after="0"/>
              <w:rPr>
                <w:sz w:val="19"/>
                <w:szCs w:val="19"/>
                <w:color w:val="auto"/>
              </w:rPr>
            </w:pPr>
          </w:p>
        </w:tc>
        <w:tc>
          <w:tcPr>
            <w:tcW w:w="18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118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442,937</w:t>
            </w:r>
          </w:p>
        </w:tc>
        <w:tc>
          <w:tcPr>
            <w:tcW w:w="100" w:type="dxa"/>
            <w:vAlign w:val="bottom"/>
            <w:tcBorders>
              <w:top w:val="single" w:sz="8" w:color="CFF0FC"/>
            </w:tcBorders>
            <w:shd w:val="clear" w:color="auto" w:fill="CFF0FC"/>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4640" w:type="dxa"/>
            <w:vAlign w:val="bottom"/>
          </w:tcPr>
          <w:p>
            <w:pPr>
              <w:spacing w:after="0"/>
              <w:rPr>
                <w:sz w:val="20"/>
                <w:szCs w:val="20"/>
                <w:color w:val="auto"/>
              </w:rPr>
            </w:pPr>
            <w:r>
              <w:rPr>
                <w:rFonts w:ascii="Arial" w:cs="Arial" w:eastAsia="Arial" w:hAnsi="Arial"/>
                <w:sz w:val="18"/>
                <w:szCs w:val="18"/>
                <w:color w:val="auto"/>
              </w:rPr>
              <w:t>Net loss</w:t>
            </w:r>
          </w:p>
        </w:tc>
        <w:tc>
          <w:tcPr>
            <w:tcW w:w="21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420" w:type="dxa"/>
            <w:vAlign w:val="bottom"/>
            <w:gridSpan w:val="2"/>
          </w:tcPr>
          <w:p>
            <w:pPr>
              <w:jc w:val="right"/>
              <w:ind w:right="180"/>
              <w:spacing w:after="0"/>
              <w:rPr>
                <w:sz w:val="20"/>
                <w:szCs w:val="20"/>
                <w:color w:val="auto"/>
              </w:rPr>
            </w:pPr>
            <w:r>
              <w:rPr>
                <w:rFonts w:ascii="Arial" w:cs="Arial" w:eastAsia="Arial" w:hAnsi="Arial"/>
                <w:sz w:val="18"/>
                <w:szCs w:val="18"/>
                <w:color w:val="auto"/>
              </w:rPr>
              <w:t>(9,387)</w:t>
            </w:r>
          </w:p>
        </w:tc>
        <w:tc>
          <w:tcPr>
            <w:tcW w:w="140" w:type="dxa"/>
            <w:vAlign w:val="bottom"/>
          </w:tcPr>
          <w:p>
            <w:pPr>
              <w:spacing w:after="0"/>
              <w:rPr>
                <w:sz w:val="19"/>
                <w:szCs w:val="19"/>
                <w:color w:val="auto"/>
              </w:rPr>
            </w:pPr>
          </w:p>
        </w:tc>
        <w:tc>
          <w:tcPr>
            <w:tcW w:w="1380" w:type="dxa"/>
            <w:vAlign w:val="bottom"/>
            <w:gridSpan w:val="2"/>
          </w:tcPr>
          <w:p>
            <w:pPr>
              <w:jc w:val="right"/>
              <w:ind w:right="100"/>
              <w:spacing w:after="0"/>
              <w:rPr>
                <w:sz w:val="20"/>
                <w:szCs w:val="20"/>
                <w:color w:val="auto"/>
              </w:rPr>
            </w:pPr>
            <w:r>
              <w:rPr>
                <w:rFonts w:ascii="Arial" w:cs="Arial" w:eastAsia="Arial" w:hAnsi="Arial"/>
                <w:sz w:val="18"/>
                <w:szCs w:val="18"/>
                <w:color w:val="auto"/>
              </w:rPr>
              <w:t>(364)</w:t>
            </w:r>
          </w:p>
        </w:tc>
        <w:tc>
          <w:tcPr>
            <w:tcW w:w="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280" w:type="dxa"/>
            <w:vAlign w:val="bottom"/>
            <w:gridSpan w:val="2"/>
          </w:tcPr>
          <w:p>
            <w:pPr>
              <w:jc w:val="right"/>
              <w:ind w:right="40"/>
              <w:spacing w:after="0"/>
              <w:rPr>
                <w:sz w:val="20"/>
                <w:szCs w:val="20"/>
                <w:color w:val="auto"/>
              </w:rPr>
            </w:pPr>
            <w:r>
              <w:rPr>
                <w:rFonts w:ascii="Arial" w:cs="Arial" w:eastAsia="Arial" w:hAnsi="Arial"/>
                <w:sz w:val="18"/>
                <w:szCs w:val="18"/>
                <w:color w:val="auto"/>
              </w:rPr>
              <w:t>(9,751)</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4640" w:type="dxa"/>
            <w:vAlign w:val="bottom"/>
            <w:shd w:val="clear" w:color="auto" w:fill="CFF0FC"/>
          </w:tcPr>
          <w:p>
            <w:pPr>
              <w:spacing w:after="0"/>
              <w:rPr>
                <w:sz w:val="20"/>
                <w:szCs w:val="20"/>
                <w:color w:val="auto"/>
              </w:rPr>
            </w:pPr>
            <w:r>
              <w:rPr>
                <w:rFonts w:ascii="Arial" w:cs="Arial" w:eastAsia="Arial" w:hAnsi="Arial"/>
                <w:sz w:val="18"/>
                <w:szCs w:val="18"/>
                <w:color w:val="auto"/>
              </w:rPr>
              <w:t>Dividends on common stock ($0.10 per share)</w:t>
            </w:r>
          </w:p>
        </w:tc>
        <w:tc>
          <w:tcPr>
            <w:tcW w:w="214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1420" w:type="dxa"/>
            <w:vAlign w:val="bottom"/>
            <w:gridSpan w:val="2"/>
            <w:shd w:val="clear" w:color="auto" w:fill="CFF0FC"/>
          </w:tcPr>
          <w:p>
            <w:pPr>
              <w:jc w:val="right"/>
              <w:ind w:right="180"/>
              <w:spacing w:after="0"/>
              <w:rPr>
                <w:sz w:val="20"/>
                <w:szCs w:val="20"/>
                <w:color w:val="auto"/>
              </w:rPr>
            </w:pPr>
            <w:r>
              <w:rPr>
                <w:rFonts w:ascii="Arial" w:cs="Arial" w:eastAsia="Arial" w:hAnsi="Arial"/>
                <w:sz w:val="18"/>
                <w:szCs w:val="18"/>
                <w:color w:val="auto"/>
              </w:rPr>
              <w:t>(2,046)</w:t>
            </w:r>
          </w:p>
        </w:tc>
        <w:tc>
          <w:tcPr>
            <w:tcW w:w="140" w:type="dxa"/>
            <w:vAlign w:val="bottom"/>
            <w:shd w:val="clear" w:color="auto" w:fill="CFF0FC"/>
          </w:tcPr>
          <w:p>
            <w:pPr>
              <w:spacing w:after="0"/>
              <w:rPr>
                <w:sz w:val="19"/>
                <w:szCs w:val="19"/>
                <w:color w:val="auto"/>
              </w:rPr>
            </w:pPr>
          </w:p>
        </w:tc>
        <w:tc>
          <w:tcPr>
            <w:tcW w:w="1380" w:type="dxa"/>
            <w:vAlign w:val="bottom"/>
            <w:gridSpan w:val="2"/>
            <w:shd w:val="clear" w:color="auto" w:fill="CFF0FC"/>
          </w:tcPr>
          <w:p>
            <w:pPr>
              <w:jc w:val="right"/>
              <w:ind w:right="180"/>
              <w:spacing w:after="0"/>
              <w:rPr>
                <w:sz w:val="20"/>
                <w:szCs w:val="20"/>
                <w:color w:val="auto"/>
              </w:rPr>
            </w:pPr>
            <w:r>
              <w:rPr>
                <w:rFonts w:ascii="Arial" w:cs="Arial" w:eastAsia="Arial" w:hAnsi="Arial"/>
                <w:sz w:val="18"/>
                <w:szCs w:val="18"/>
                <w:color w:val="auto"/>
              </w:rPr>
              <w:t>—</w:t>
            </w:r>
          </w:p>
        </w:tc>
        <w:tc>
          <w:tcPr>
            <w:tcW w:w="8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280" w:type="dxa"/>
            <w:vAlign w:val="bottom"/>
            <w:gridSpan w:val="2"/>
            <w:shd w:val="clear" w:color="auto" w:fill="CFF0FC"/>
          </w:tcPr>
          <w:p>
            <w:pPr>
              <w:jc w:val="right"/>
              <w:ind w:right="40"/>
              <w:spacing w:after="0"/>
              <w:rPr>
                <w:sz w:val="20"/>
                <w:szCs w:val="20"/>
                <w:color w:val="auto"/>
              </w:rPr>
            </w:pPr>
            <w:r>
              <w:rPr>
                <w:rFonts w:ascii="Arial" w:cs="Arial" w:eastAsia="Arial" w:hAnsi="Arial"/>
                <w:sz w:val="18"/>
                <w:szCs w:val="18"/>
                <w:color w:val="auto"/>
              </w:rPr>
              <w:t>(2,046)</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4640" w:type="dxa"/>
            <w:vAlign w:val="bottom"/>
          </w:tcPr>
          <w:p>
            <w:pPr>
              <w:spacing w:after="0"/>
              <w:rPr>
                <w:sz w:val="20"/>
                <w:szCs w:val="20"/>
                <w:color w:val="auto"/>
              </w:rPr>
            </w:pPr>
            <w:r>
              <w:rPr>
                <w:rFonts w:ascii="Arial" w:cs="Arial" w:eastAsia="Arial" w:hAnsi="Arial"/>
                <w:sz w:val="18"/>
                <w:szCs w:val="18"/>
                <w:color w:val="auto"/>
              </w:rPr>
              <w:t>Common stock purchased for treasury</w:t>
            </w:r>
          </w:p>
        </w:tc>
        <w:tc>
          <w:tcPr>
            <w:tcW w:w="21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420" w:type="dxa"/>
            <w:vAlign w:val="bottom"/>
            <w:gridSpan w:val="2"/>
          </w:tcPr>
          <w:p>
            <w:pPr>
              <w:jc w:val="right"/>
              <w:ind w:right="180"/>
              <w:spacing w:after="0"/>
              <w:rPr>
                <w:sz w:val="20"/>
                <w:szCs w:val="20"/>
                <w:color w:val="auto"/>
              </w:rPr>
            </w:pPr>
            <w:r>
              <w:rPr>
                <w:rFonts w:ascii="Arial" w:cs="Arial" w:eastAsia="Arial" w:hAnsi="Arial"/>
                <w:sz w:val="18"/>
                <w:szCs w:val="18"/>
                <w:color w:val="auto"/>
              </w:rPr>
              <w:t>(868)</w:t>
            </w:r>
          </w:p>
        </w:tc>
        <w:tc>
          <w:tcPr>
            <w:tcW w:w="140" w:type="dxa"/>
            <w:vAlign w:val="bottom"/>
          </w:tcPr>
          <w:p>
            <w:pPr>
              <w:spacing w:after="0"/>
              <w:rPr>
                <w:sz w:val="19"/>
                <w:szCs w:val="19"/>
                <w:color w:val="auto"/>
              </w:rPr>
            </w:pPr>
          </w:p>
        </w:tc>
        <w:tc>
          <w:tcPr>
            <w:tcW w:w="138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280" w:type="dxa"/>
            <w:vAlign w:val="bottom"/>
            <w:gridSpan w:val="2"/>
          </w:tcPr>
          <w:p>
            <w:pPr>
              <w:jc w:val="right"/>
              <w:ind w:right="40"/>
              <w:spacing w:after="0"/>
              <w:rPr>
                <w:sz w:val="20"/>
                <w:szCs w:val="20"/>
                <w:color w:val="auto"/>
              </w:rPr>
            </w:pPr>
            <w:r>
              <w:rPr>
                <w:rFonts w:ascii="Arial" w:cs="Arial" w:eastAsia="Arial" w:hAnsi="Arial"/>
                <w:sz w:val="18"/>
                <w:szCs w:val="18"/>
                <w:color w:val="auto"/>
              </w:rPr>
              <w:t>(868)</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4640" w:type="dxa"/>
            <w:vAlign w:val="bottom"/>
            <w:shd w:val="clear" w:color="auto" w:fill="CFF0FC"/>
          </w:tcPr>
          <w:p>
            <w:pPr>
              <w:spacing w:after="0"/>
              <w:rPr>
                <w:sz w:val="20"/>
                <w:szCs w:val="20"/>
                <w:color w:val="auto"/>
              </w:rPr>
            </w:pPr>
            <w:r>
              <w:rPr>
                <w:rFonts w:ascii="Arial" w:cs="Arial" w:eastAsia="Arial" w:hAnsi="Arial"/>
                <w:sz w:val="18"/>
                <w:szCs w:val="18"/>
                <w:color w:val="auto"/>
              </w:rPr>
              <w:t>Employee benefit plans</w:t>
            </w:r>
          </w:p>
        </w:tc>
        <w:tc>
          <w:tcPr>
            <w:tcW w:w="214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11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1,938</w:t>
            </w:r>
          </w:p>
        </w:tc>
        <w:tc>
          <w:tcPr>
            <w:tcW w:w="24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1380" w:type="dxa"/>
            <w:vAlign w:val="bottom"/>
            <w:gridSpan w:val="2"/>
            <w:shd w:val="clear" w:color="auto" w:fill="CFF0FC"/>
          </w:tcPr>
          <w:p>
            <w:pPr>
              <w:jc w:val="right"/>
              <w:ind w:right="180"/>
              <w:spacing w:after="0"/>
              <w:rPr>
                <w:sz w:val="20"/>
                <w:szCs w:val="20"/>
                <w:color w:val="auto"/>
              </w:rPr>
            </w:pPr>
            <w:r>
              <w:rPr>
                <w:rFonts w:ascii="Arial" w:cs="Arial" w:eastAsia="Arial" w:hAnsi="Arial"/>
                <w:sz w:val="18"/>
                <w:szCs w:val="18"/>
                <w:color w:val="auto"/>
              </w:rPr>
              <w:t>—</w:t>
            </w:r>
          </w:p>
        </w:tc>
        <w:tc>
          <w:tcPr>
            <w:tcW w:w="8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1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1,938</w:t>
            </w:r>
          </w:p>
        </w:tc>
        <w:tc>
          <w:tcPr>
            <w:tcW w:w="100" w:type="dxa"/>
            <w:vAlign w:val="bottom"/>
            <w:shd w:val="clear" w:color="auto" w:fill="CFF0FC"/>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4640" w:type="dxa"/>
            <w:vAlign w:val="bottom"/>
          </w:tcPr>
          <w:p>
            <w:pPr>
              <w:spacing w:after="0"/>
              <w:rPr>
                <w:sz w:val="20"/>
                <w:szCs w:val="20"/>
                <w:color w:val="auto"/>
              </w:rPr>
            </w:pPr>
            <w:r>
              <w:rPr>
                <w:rFonts w:ascii="Arial" w:cs="Arial" w:eastAsia="Arial" w:hAnsi="Arial"/>
                <w:sz w:val="18"/>
                <w:szCs w:val="18"/>
                <w:color w:val="auto"/>
              </w:rPr>
              <w:t>Unrealized foreign currency translation adjustment</w:t>
            </w:r>
          </w:p>
        </w:tc>
        <w:tc>
          <w:tcPr>
            <w:tcW w:w="21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420" w:type="dxa"/>
            <w:vAlign w:val="bottom"/>
            <w:gridSpan w:val="2"/>
          </w:tcPr>
          <w:p>
            <w:pPr>
              <w:jc w:val="right"/>
              <w:ind w:right="180"/>
              <w:spacing w:after="0"/>
              <w:rPr>
                <w:sz w:val="20"/>
                <w:szCs w:val="20"/>
                <w:color w:val="auto"/>
              </w:rPr>
            </w:pPr>
            <w:r>
              <w:rPr>
                <w:rFonts w:ascii="Arial" w:cs="Arial" w:eastAsia="Arial" w:hAnsi="Arial"/>
                <w:sz w:val="18"/>
                <w:szCs w:val="18"/>
                <w:color w:val="auto"/>
              </w:rPr>
              <w:t>(3,109)</w:t>
            </w:r>
          </w:p>
        </w:tc>
        <w:tc>
          <w:tcPr>
            <w:tcW w:w="140" w:type="dxa"/>
            <w:vAlign w:val="bottom"/>
          </w:tcPr>
          <w:p>
            <w:pPr>
              <w:spacing w:after="0"/>
              <w:rPr>
                <w:sz w:val="19"/>
                <w:szCs w:val="19"/>
                <w:color w:val="auto"/>
              </w:rPr>
            </w:pPr>
          </w:p>
        </w:tc>
        <w:tc>
          <w:tcPr>
            <w:tcW w:w="138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280" w:type="dxa"/>
            <w:vAlign w:val="bottom"/>
            <w:gridSpan w:val="2"/>
          </w:tcPr>
          <w:p>
            <w:pPr>
              <w:jc w:val="right"/>
              <w:ind w:right="40"/>
              <w:spacing w:after="0"/>
              <w:rPr>
                <w:sz w:val="20"/>
                <w:szCs w:val="20"/>
                <w:color w:val="auto"/>
              </w:rPr>
            </w:pPr>
            <w:r>
              <w:rPr>
                <w:rFonts w:ascii="Arial" w:cs="Arial" w:eastAsia="Arial" w:hAnsi="Arial"/>
                <w:sz w:val="18"/>
                <w:szCs w:val="18"/>
                <w:color w:val="auto"/>
              </w:rPr>
              <w:t>(3,109)</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4640" w:type="dxa"/>
            <w:vAlign w:val="bottom"/>
            <w:shd w:val="clear" w:color="auto" w:fill="CFF0FC"/>
          </w:tcPr>
          <w:p>
            <w:pPr>
              <w:spacing w:after="0"/>
              <w:rPr>
                <w:sz w:val="20"/>
                <w:szCs w:val="20"/>
                <w:color w:val="auto"/>
              </w:rPr>
            </w:pPr>
            <w:r>
              <w:rPr>
                <w:rFonts w:ascii="Arial" w:cs="Arial" w:eastAsia="Arial" w:hAnsi="Arial"/>
                <w:sz w:val="18"/>
                <w:szCs w:val="18"/>
                <w:color w:val="auto"/>
              </w:rPr>
              <w:t>Other changes to AOCI</w:t>
            </w:r>
          </w:p>
        </w:tc>
        <w:tc>
          <w:tcPr>
            <w:tcW w:w="214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11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445</w:t>
            </w:r>
          </w:p>
        </w:tc>
        <w:tc>
          <w:tcPr>
            <w:tcW w:w="24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1380" w:type="dxa"/>
            <w:vAlign w:val="bottom"/>
            <w:gridSpan w:val="2"/>
            <w:shd w:val="clear" w:color="auto" w:fill="CFF0FC"/>
          </w:tcPr>
          <w:p>
            <w:pPr>
              <w:jc w:val="right"/>
              <w:ind w:right="180"/>
              <w:spacing w:after="0"/>
              <w:rPr>
                <w:sz w:val="20"/>
                <w:szCs w:val="20"/>
                <w:color w:val="auto"/>
              </w:rPr>
            </w:pPr>
            <w:r>
              <w:rPr>
                <w:rFonts w:ascii="Arial" w:cs="Arial" w:eastAsia="Arial" w:hAnsi="Arial"/>
                <w:sz w:val="18"/>
                <w:szCs w:val="18"/>
                <w:color w:val="auto"/>
              </w:rPr>
              <w:t>—</w:t>
            </w:r>
          </w:p>
        </w:tc>
        <w:tc>
          <w:tcPr>
            <w:tcW w:w="8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1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445</w:t>
            </w:r>
          </w:p>
        </w:tc>
        <w:tc>
          <w:tcPr>
            <w:tcW w:w="100" w:type="dxa"/>
            <w:vAlign w:val="bottom"/>
            <w:shd w:val="clear" w:color="auto" w:fill="CFF0FC"/>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4640" w:type="dxa"/>
            <w:vAlign w:val="bottom"/>
          </w:tcPr>
          <w:p>
            <w:pPr>
              <w:spacing w:after="0"/>
              <w:rPr>
                <w:sz w:val="20"/>
                <w:szCs w:val="20"/>
                <w:color w:val="auto"/>
              </w:rPr>
            </w:pPr>
            <w:r>
              <w:rPr>
                <w:rFonts w:ascii="Arial" w:cs="Arial" w:eastAsia="Arial" w:hAnsi="Arial"/>
                <w:sz w:val="18"/>
                <w:szCs w:val="18"/>
                <w:color w:val="auto"/>
              </w:rPr>
              <w:t>Other</w:t>
            </w:r>
          </w:p>
        </w:tc>
        <w:tc>
          <w:tcPr>
            <w:tcW w:w="21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420" w:type="dxa"/>
            <w:vAlign w:val="bottom"/>
            <w:gridSpan w:val="2"/>
          </w:tcPr>
          <w:p>
            <w:pPr>
              <w:jc w:val="right"/>
              <w:ind w:right="180"/>
              <w:spacing w:after="0"/>
              <w:rPr>
                <w:sz w:val="20"/>
                <w:szCs w:val="20"/>
                <w:color w:val="auto"/>
              </w:rPr>
            </w:pPr>
            <w:r>
              <w:rPr>
                <w:rFonts w:ascii="Arial" w:cs="Arial" w:eastAsia="Arial" w:hAnsi="Arial"/>
                <w:sz w:val="18"/>
                <w:szCs w:val="18"/>
                <w:color w:val="auto"/>
              </w:rPr>
              <w:t>(67)</w:t>
            </w:r>
          </w:p>
        </w:tc>
        <w:tc>
          <w:tcPr>
            <w:tcW w:w="140" w:type="dxa"/>
            <w:vAlign w:val="bottom"/>
          </w:tcPr>
          <w:p>
            <w:pPr>
              <w:spacing w:after="0"/>
              <w:rPr>
                <w:sz w:val="19"/>
                <w:szCs w:val="19"/>
                <w:color w:val="auto"/>
              </w:rPr>
            </w:pPr>
          </w:p>
        </w:tc>
        <w:tc>
          <w:tcPr>
            <w:tcW w:w="138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280" w:type="dxa"/>
            <w:vAlign w:val="bottom"/>
            <w:gridSpan w:val="2"/>
          </w:tcPr>
          <w:p>
            <w:pPr>
              <w:jc w:val="right"/>
              <w:ind w:right="40"/>
              <w:spacing w:after="0"/>
              <w:rPr>
                <w:sz w:val="20"/>
                <w:szCs w:val="20"/>
                <w:color w:val="auto"/>
              </w:rPr>
            </w:pPr>
            <w:r>
              <w:rPr>
                <w:rFonts w:ascii="Arial" w:cs="Arial" w:eastAsia="Arial" w:hAnsi="Arial"/>
                <w:sz w:val="18"/>
                <w:szCs w:val="18"/>
                <w:color w:val="auto"/>
              </w:rPr>
              <w:t>(67)</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2"/>
        </w:trPr>
        <w:tc>
          <w:tcPr>
            <w:tcW w:w="4640" w:type="dxa"/>
            <w:vAlign w:val="bottom"/>
            <w:tcBorders>
              <w:top w:val="single" w:sz="8" w:color="CFF0FC"/>
              <w:bottom w:val="single" w:sz="8" w:color="CFF0FC"/>
            </w:tcBorders>
            <w:shd w:val="clear" w:color="auto" w:fill="CFF0FC"/>
          </w:tcPr>
          <w:p>
            <w:pPr>
              <w:spacing w:after="0"/>
              <w:rPr>
                <w:sz w:val="20"/>
                <w:szCs w:val="20"/>
                <w:color w:val="auto"/>
              </w:rPr>
            </w:pPr>
            <w:r>
              <w:rPr>
                <w:rFonts w:ascii="Arial" w:cs="Arial" w:eastAsia="Arial" w:hAnsi="Arial"/>
                <w:sz w:val="18"/>
                <w:szCs w:val="18"/>
                <w:b w:val="1"/>
                <w:bCs w:val="1"/>
                <w:color w:val="auto"/>
              </w:rPr>
              <w:t>Balance at March 31, 2018</w:t>
            </w:r>
          </w:p>
        </w:tc>
        <w:tc>
          <w:tcPr>
            <w:tcW w:w="2140" w:type="dxa"/>
            <w:vAlign w:val="bottom"/>
            <w:tcBorders>
              <w:top w:val="single" w:sz="8" w:color="CFF0FC"/>
              <w:bottom w:val="single" w:sz="8" w:color="CFF0FC"/>
            </w:tcBorders>
            <w:shd w:val="clear" w:color="auto" w:fill="CFF0FC"/>
          </w:tcPr>
          <w:p>
            <w:pPr>
              <w:spacing w:after="0"/>
              <w:rPr>
                <w:sz w:val="19"/>
                <w:szCs w:val="19"/>
                <w:color w:val="auto"/>
              </w:rPr>
            </w:pPr>
          </w:p>
        </w:tc>
        <w:tc>
          <w:tcPr>
            <w:tcW w:w="16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118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416,037</w:t>
            </w:r>
          </w:p>
        </w:tc>
        <w:tc>
          <w:tcPr>
            <w:tcW w:w="240" w:type="dxa"/>
            <w:vAlign w:val="bottom"/>
            <w:tcBorders>
              <w:top w:val="single" w:sz="8" w:color="CFF0FC"/>
              <w:bottom w:val="single" w:sz="8" w:color="CFF0FC"/>
            </w:tcBorders>
            <w:shd w:val="clear" w:color="auto" w:fill="CFF0FC"/>
          </w:tcPr>
          <w:p>
            <w:pPr>
              <w:spacing w:after="0"/>
              <w:rPr>
                <w:sz w:val="19"/>
                <w:szCs w:val="19"/>
                <w:color w:val="auto"/>
              </w:rPr>
            </w:pPr>
          </w:p>
        </w:tc>
        <w:tc>
          <w:tcPr>
            <w:tcW w:w="14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122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13,442</w:t>
            </w:r>
          </w:p>
        </w:tc>
        <w:tc>
          <w:tcPr>
            <w:tcW w:w="160" w:type="dxa"/>
            <w:vAlign w:val="bottom"/>
            <w:tcBorders>
              <w:top w:val="single" w:sz="8" w:color="CFF0FC"/>
              <w:bottom w:val="single" w:sz="8" w:color="CFF0FC"/>
            </w:tcBorders>
            <w:shd w:val="clear" w:color="auto" w:fill="CFF0FC"/>
          </w:tcPr>
          <w:p>
            <w:pPr>
              <w:spacing w:after="0"/>
              <w:rPr>
                <w:sz w:val="19"/>
                <w:szCs w:val="19"/>
                <w:color w:val="auto"/>
              </w:rPr>
            </w:pPr>
          </w:p>
        </w:tc>
        <w:tc>
          <w:tcPr>
            <w:tcW w:w="80" w:type="dxa"/>
            <w:vAlign w:val="bottom"/>
            <w:tcBorders>
              <w:top w:val="single" w:sz="8" w:color="CFF0FC"/>
              <w:bottom w:val="single" w:sz="8" w:color="CFF0FC"/>
            </w:tcBorders>
            <w:shd w:val="clear" w:color="auto" w:fill="CFF0FC"/>
          </w:tcPr>
          <w:p>
            <w:pPr>
              <w:spacing w:after="0"/>
              <w:rPr>
                <w:sz w:val="19"/>
                <w:szCs w:val="19"/>
                <w:color w:val="auto"/>
              </w:rPr>
            </w:pPr>
          </w:p>
        </w:tc>
        <w:tc>
          <w:tcPr>
            <w:tcW w:w="18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118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429,479</w:t>
            </w:r>
          </w:p>
        </w:tc>
        <w:tc>
          <w:tcPr>
            <w:tcW w:w="100" w:type="dxa"/>
            <w:vAlign w:val="bottom"/>
            <w:tcBorders>
              <w:top w:val="single" w:sz="8" w:color="CFF0FC"/>
              <w:bottom w:val="single" w:sz="8" w:color="CFF0FC"/>
            </w:tcBorders>
            <w:shd w:val="clear" w:color="auto" w:fill="CFF0FC"/>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4640" w:type="dxa"/>
            <w:vAlign w:val="bottom"/>
          </w:tcPr>
          <w:p>
            <w:pPr>
              <w:spacing w:after="0" w:line="20" w:lineRule="exact"/>
              <w:rPr>
                <w:sz w:val="1"/>
                <w:szCs w:val="1"/>
                <w:color w:val="auto"/>
              </w:rPr>
            </w:pPr>
          </w:p>
        </w:tc>
        <w:tc>
          <w:tcPr>
            <w:tcW w:w="2140" w:type="dxa"/>
            <w:vAlign w:val="bottom"/>
            <w:vMerge w:val="restart"/>
          </w:tcPr>
          <w:p>
            <w:pPr>
              <w:jc w:val="right"/>
              <w:ind w:right="890"/>
              <w:spacing w:after="0"/>
              <w:rPr>
                <w:sz w:val="20"/>
                <w:szCs w:val="20"/>
                <w:color w:val="auto"/>
              </w:rPr>
            </w:pPr>
            <w:r>
              <w:rPr>
                <w:rFonts w:ascii="Arial" w:cs="Arial" w:eastAsia="Arial" w:hAnsi="Arial"/>
                <w:sz w:val="18"/>
                <w:szCs w:val="18"/>
                <w:color w:val="auto"/>
              </w:rPr>
              <w:t>22</w:t>
            </w:r>
          </w:p>
        </w:tc>
        <w:tc>
          <w:tcPr>
            <w:tcW w:w="16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26"/>
        </w:trPr>
        <w:tc>
          <w:tcPr>
            <w:tcW w:w="4640" w:type="dxa"/>
            <w:vAlign w:val="bottom"/>
          </w:tcPr>
          <w:p>
            <w:pPr>
              <w:spacing w:after="0"/>
              <w:rPr>
                <w:sz w:val="24"/>
                <w:szCs w:val="24"/>
                <w:color w:val="auto"/>
              </w:rPr>
            </w:pPr>
          </w:p>
        </w:tc>
        <w:tc>
          <w:tcPr>
            <w:tcW w:w="2140" w:type="dxa"/>
            <w:vAlign w:val="bottom"/>
            <w:vMerge w:val="continue"/>
          </w:tcPr>
          <w:p>
            <w:pPr>
              <w:spacing w:after="0"/>
              <w:rPr>
                <w:sz w:val="24"/>
                <w:szCs w:val="24"/>
                <w:color w:val="auto"/>
              </w:rPr>
            </w:pPr>
          </w:p>
        </w:tc>
        <w:tc>
          <w:tcPr>
            <w:tcW w:w="16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4"/>
        </w:trPr>
        <w:tc>
          <w:tcPr>
            <w:tcW w:w="4640" w:type="dxa"/>
            <w:vAlign w:val="bottom"/>
            <w:tcBorders>
              <w:bottom w:val="single" w:sz="8" w:color="9A9A9A"/>
            </w:tcBorders>
          </w:tcPr>
          <w:p>
            <w:pPr>
              <w:spacing w:after="0"/>
              <w:rPr>
                <w:sz w:val="9"/>
                <w:szCs w:val="9"/>
                <w:color w:val="auto"/>
              </w:rPr>
            </w:pPr>
          </w:p>
        </w:tc>
        <w:tc>
          <w:tcPr>
            <w:tcW w:w="2140" w:type="dxa"/>
            <w:vAlign w:val="bottom"/>
            <w:tcBorders>
              <w:bottom w:val="single" w:sz="8" w:color="9A9A9A"/>
            </w:tcBorders>
          </w:tcPr>
          <w:p>
            <w:pPr>
              <w:spacing w:after="0"/>
              <w:rPr>
                <w:sz w:val="9"/>
                <w:szCs w:val="9"/>
                <w:color w:val="auto"/>
              </w:rPr>
            </w:pPr>
          </w:p>
        </w:tc>
        <w:tc>
          <w:tcPr>
            <w:tcW w:w="160" w:type="dxa"/>
            <w:vAlign w:val="bottom"/>
            <w:tcBorders>
              <w:bottom w:val="single" w:sz="8" w:color="9A9A9A"/>
            </w:tcBorders>
          </w:tcPr>
          <w:p>
            <w:pPr>
              <w:spacing w:after="0"/>
              <w:rPr>
                <w:sz w:val="9"/>
                <w:szCs w:val="9"/>
                <w:color w:val="auto"/>
              </w:rPr>
            </w:pPr>
          </w:p>
        </w:tc>
        <w:tc>
          <w:tcPr>
            <w:tcW w:w="1180" w:type="dxa"/>
            <w:vAlign w:val="bottom"/>
            <w:tcBorders>
              <w:bottom w:val="single" w:sz="8" w:color="9A9A9A"/>
            </w:tcBorders>
          </w:tcPr>
          <w:p>
            <w:pPr>
              <w:spacing w:after="0"/>
              <w:rPr>
                <w:sz w:val="9"/>
                <w:szCs w:val="9"/>
                <w:color w:val="auto"/>
              </w:rPr>
            </w:pPr>
          </w:p>
        </w:tc>
        <w:tc>
          <w:tcPr>
            <w:tcW w:w="240" w:type="dxa"/>
            <w:vAlign w:val="bottom"/>
            <w:tcBorders>
              <w:bottom w:val="single" w:sz="8" w:color="9A9A9A"/>
            </w:tcBorders>
          </w:tcPr>
          <w:p>
            <w:pPr>
              <w:spacing w:after="0"/>
              <w:rPr>
                <w:sz w:val="9"/>
                <w:szCs w:val="9"/>
                <w:color w:val="auto"/>
              </w:rPr>
            </w:pPr>
          </w:p>
        </w:tc>
        <w:tc>
          <w:tcPr>
            <w:tcW w:w="140" w:type="dxa"/>
            <w:vAlign w:val="bottom"/>
            <w:tcBorders>
              <w:bottom w:val="single" w:sz="8" w:color="9A9A9A"/>
            </w:tcBorders>
          </w:tcPr>
          <w:p>
            <w:pPr>
              <w:spacing w:after="0"/>
              <w:rPr>
                <w:sz w:val="9"/>
                <w:szCs w:val="9"/>
                <w:color w:val="auto"/>
              </w:rPr>
            </w:pPr>
          </w:p>
        </w:tc>
        <w:tc>
          <w:tcPr>
            <w:tcW w:w="1220" w:type="dxa"/>
            <w:vAlign w:val="bottom"/>
            <w:tcBorders>
              <w:bottom w:val="single" w:sz="8" w:color="9A9A9A"/>
            </w:tcBorders>
          </w:tcPr>
          <w:p>
            <w:pPr>
              <w:spacing w:after="0"/>
              <w:rPr>
                <w:sz w:val="9"/>
                <w:szCs w:val="9"/>
                <w:color w:val="auto"/>
              </w:rPr>
            </w:pPr>
          </w:p>
        </w:tc>
        <w:tc>
          <w:tcPr>
            <w:tcW w:w="160" w:type="dxa"/>
            <w:vAlign w:val="bottom"/>
            <w:tcBorders>
              <w:bottom w:val="single" w:sz="8" w:color="9A9A9A"/>
            </w:tcBorders>
          </w:tcPr>
          <w:p>
            <w:pPr>
              <w:spacing w:after="0"/>
              <w:rPr>
                <w:sz w:val="9"/>
                <w:szCs w:val="9"/>
                <w:color w:val="auto"/>
              </w:rPr>
            </w:pPr>
          </w:p>
        </w:tc>
        <w:tc>
          <w:tcPr>
            <w:tcW w:w="80" w:type="dxa"/>
            <w:vAlign w:val="bottom"/>
            <w:tcBorders>
              <w:bottom w:val="single" w:sz="8" w:color="9A9A9A"/>
            </w:tcBorders>
          </w:tcPr>
          <w:p>
            <w:pPr>
              <w:spacing w:after="0"/>
              <w:rPr>
                <w:sz w:val="9"/>
                <w:szCs w:val="9"/>
                <w:color w:val="auto"/>
              </w:rPr>
            </w:pPr>
          </w:p>
        </w:tc>
        <w:tc>
          <w:tcPr>
            <w:tcW w:w="180" w:type="dxa"/>
            <w:vAlign w:val="bottom"/>
            <w:tcBorders>
              <w:bottom w:val="single" w:sz="8" w:color="9A9A9A"/>
            </w:tcBorders>
          </w:tcPr>
          <w:p>
            <w:pPr>
              <w:spacing w:after="0"/>
              <w:rPr>
                <w:sz w:val="9"/>
                <w:szCs w:val="9"/>
                <w:color w:val="auto"/>
              </w:rPr>
            </w:pPr>
          </w:p>
        </w:tc>
        <w:tc>
          <w:tcPr>
            <w:tcW w:w="1180" w:type="dxa"/>
            <w:vAlign w:val="bottom"/>
            <w:tcBorders>
              <w:bottom w:val="single" w:sz="8" w:color="9A9A9A"/>
            </w:tcBorders>
          </w:tcPr>
          <w:p>
            <w:pPr>
              <w:spacing w:after="0"/>
              <w:rPr>
                <w:sz w:val="9"/>
                <w:szCs w:val="9"/>
                <w:color w:val="auto"/>
              </w:rPr>
            </w:pPr>
          </w:p>
        </w:tc>
        <w:tc>
          <w:tcPr>
            <w:tcW w:w="100" w:type="dxa"/>
            <w:vAlign w:val="bottom"/>
            <w:tcBorders>
              <w:bottom w:val="single" w:sz="8" w:color="9A9A9A"/>
            </w:tcBorders>
          </w:tcPr>
          <w:p>
            <w:pPr>
              <w:spacing w:after="0"/>
              <w:rPr>
                <w:sz w:val="9"/>
                <w:szCs w:val="9"/>
                <w:color w:val="auto"/>
              </w:rPr>
            </w:pPr>
          </w:p>
        </w:tc>
        <w:tc>
          <w:tcPr>
            <w:tcW w:w="20" w:type="dxa"/>
            <w:vAlign w:val="bottom"/>
            <w:tcBorders>
              <w:bottom w:val="single" w:sz="8" w:color="9A9A9A"/>
            </w:tcBorders>
          </w:tcPr>
          <w:p>
            <w:pPr>
              <w:spacing w:after="0"/>
              <w:rPr>
                <w:sz w:val="9"/>
                <w:szCs w:val="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7247890</wp:posOffset>
            </wp:positionH>
            <wp:positionV relativeFrom="paragraph">
              <wp:posOffset>-29210</wp:posOffset>
            </wp:positionV>
            <wp:extent cx="33655" cy="4254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3655" cy="4254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33655" cy="42545"/>
                    </a:xfrm>
                    <a:prstGeom prst="rect">
                      <a:avLst/>
                    </a:prstGeom>
                    <a:noFill/>
                  </pic:spPr>
                </pic:pic>
              </a:graphicData>
            </a:graphic>
          </wp:anchor>
        </w:drawing>
      </w:r>
    </w:p>
    <w:p>
      <w:pPr>
        <w:sectPr>
          <w:pgSz w:w="11900" w:h="16838" w:orient="portrait"/>
          <w:cols w:equalWidth="0" w:num="1">
            <w:col w:w="11440"/>
          </w:cols>
          <w:pgMar w:left="240" w:top="502" w:right="219" w:bottom="1440" w:gutter="0" w:footer="0" w:header="0"/>
        </w:sectPr>
      </w:pPr>
    </w:p>
    <w:bookmarkStart w:id="24" w:name="page25"/>
    <w:bookmarkEnd w:id="24"/>
    <w:tbl>
      <w:tblPr>
        <w:tblLayout w:type="fixed"/>
        <w:tblInd w:w="0" w:type="dxa"/>
        <w:tblCellMar>
          <w:top w:w="0" w:type="dxa"/>
          <w:left w:w="0" w:type="dxa"/>
          <w:bottom w:w="0" w:type="dxa"/>
          <w:right w:w="0" w:type="dxa"/>
        </w:tblCellMar>
      </w:tblPr>
      <w:tr>
        <w:trPr>
          <w:trHeight w:val="161"/>
        </w:trPr>
        <w:tc>
          <w:tcPr>
            <w:tcW w:w="482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300" w:type="dxa"/>
            <w:vAlign w:val="bottom"/>
            <w:gridSpan w:val="4"/>
          </w:tcPr>
          <w:p>
            <w:pPr>
              <w:jc w:val="center"/>
              <w:ind w:right="540"/>
              <w:spacing w:after="0"/>
              <w:rPr>
                <w:sz w:val="20"/>
                <w:szCs w:val="20"/>
                <w:color w:val="auto"/>
              </w:rPr>
            </w:pPr>
            <w:r>
              <w:rPr>
                <w:rFonts w:ascii="Arial" w:cs="Arial" w:eastAsia="Arial" w:hAnsi="Arial"/>
                <w:sz w:val="14"/>
                <w:szCs w:val="14"/>
                <w:b w:val="1"/>
                <w:bCs w:val="1"/>
                <w:color w:val="auto"/>
                <w:w w:val="95"/>
              </w:rPr>
              <w:t>Total Viad</w:t>
            </w:r>
          </w:p>
        </w:tc>
        <w:tc>
          <w:tcPr>
            <w:tcW w:w="140" w:type="dxa"/>
            <w:vAlign w:val="bottom"/>
          </w:tcPr>
          <w:p>
            <w:pPr>
              <w:spacing w:after="0"/>
              <w:rPr>
                <w:sz w:val="14"/>
                <w:szCs w:val="14"/>
                <w:color w:val="auto"/>
              </w:rPr>
            </w:pPr>
          </w:p>
        </w:tc>
        <w:tc>
          <w:tcPr>
            <w:tcW w:w="1420" w:type="dxa"/>
            <w:vAlign w:val="bottom"/>
            <w:gridSpan w:val="5"/>
          </w:tcPr>
          <w:p>
            <w:pPr>
              <w:ind w:left="40"/>
              <w:spacing w:after="0"/>
              <w:rPr>
                <w:sz w:val="20"/>
                <w:szCs w:val="20"/>
                <w:color w:val="auto"/>
              </w:rPr>
            </w:pPr>
            <w:r>
              <w:rPr>
                <w:rFonts w:ascii="Arial" w:cs="Arial" w:eastAsia="Arial" w:hAnsi="Arial"/>
                <w:sz w:val="14"/>
                <w:szCs w:val="14"/>
                <w:b w:val="1"/>
                <w:bCs w:val="1"/>
                <w:color w:val="auto"/>
              </w:rPr>
              <w:t>Non-redeemable</w:t>
            </w:r>
          </w:p>
        </w:tc>
        <w:tc>
          <w:tcPr>
            <w:tcW w:w="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6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95"/>
              </w:rPr>
              <w:t>Total</w:t>
            </w:r>
          </w:p>
        </w:tc>
        <w:tc>
          <w:tcPr>
            <w:tcW w:w="0" w:type="dxa"/>
            <w:vAlign w:val="bottom"/>
          </w:tcPr>
          <w:p>
            <w:pPr>
              <w:spacing w:after="0"/>
              <w:rPr>
                <w:sz w:val="1"/>
                <w:szCs w:val="1"/>
                <w:color w:val="auto"/>
              </w:rPr>
            </w:pPr>
          </w:p>
        </w:tc>
      </w:tr>
      <w:tr>
        <w:trPr>
          <w:trHeight w:val="148"/>
        </w:trPr>
        <w:tc>
          <w:tcPr>
            <w:tcW w:w="48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400" w:type="dxa"/>
            <w:vAlign w:val="bottom"/>
            <w:gridSpan w:val="5"/>
          </w:tcPr>
          <w:p>
            <w:pPr>
              <w:jc w:val="center"/>
              <w:ind w:right="440"/>
              <w:spacing w:after="0" w:line="148" w:lineRule="exact"/>
              <w:rPr>
                <w:sz w:val="20"/>
                <w:szCs w:val="20"/>
                <w:color w:val="auto"/>
              </w:rPr>
            </w:pPr>
            <w:r>
              <w:rPr>
                <w:rFonts w:ascii="Arial" w:cs="Arial" w:eastAsia="Arial" w:hAnsi="Arial"/>
                <w:sz w:val="14"/>
                <w:szCs w:val="14"/>
                <w:b w:val="1"/>
                <w:bCs w:val="1"/>
                <w:color w:val="auto"/>
                <w:w w:val="90"/>
              </w:rPr>
              <w:t>Stockholders’</w:t>
            </w:r>
          </w:p>
        </w:tc>
        <w:tc>
          <w:tcPr>
            <w:tcW w:w="1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380" w:type="dxa"/>
            <w:vAlign w:val="bottom"/>
            <w:gridSpan w:val="4"/>
          </w:tcPr>
          <w:p>
            <w:pPr>
              <w:jc w:val="center"/>
              <w:ind w:right="380"/>
              <w:spacing w:after="0" w:line="148" w:lineRule="exact"/>
              <w:rPr>
                <w:sz w:val="20"/>
                <w:szCs w:val="20"/>
                <w:color w:val="auto"/>
              </w:rPr>
            </w:pPr>
            <w:r>
              <w:rPr>
                <w:rFonts w:ascii="Arial" w:cs="Arial" w:eastAsia="Arial" w:hAnsi="Arial"/>
                <w:sz w:val="14"/>
                <w:szCs w:val="14"/>
                <w:b w:val="1"/>
                <w:bCs w:val="1"/>
                <w:color w:val="auto"/>
                <w:w w:val="92"/>
              </w:rPr>
              <w:t>Noncontrolling</w:t>
            </w:r>
          </w:p>
        </w:tc>
        <w:tc>
          <w:tcPr>
            <w:tcW w:w="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60" w:type="dxa"/>
            <w:vAlign w:val="bottom"/>
            <w:gridSpan w:val="2"/>
          </w:tcPr>
          <w:p>
            <w:pPr>
              <w:jc w:val="center"/>
              <w:ind w:right="300"/>
              <w:spacing w:after="0" w:line="148" w:lineRule="exact"/>
              <w:rPr>
                <w:sz w:val="20"/>
                <w:szCs w:val="20"/>
                <w:color w:val="auto"/>
              </w:rPr>
            </w:pPr>
            <w:r>
              <w:rPr>
                <w:rFonts w:ascii="Arial" w:cs="Arial" w:eastAsia="Arial" w:hAnsi="Arial"/>
                <w:sz w:val="14"/>
                <w:szCs w:val="14"/>
                <w:b w:val="1"/>
                <w:bCs w:val="1"/>
                <w:color w:val="auto"/>
                <w:w w:val="90"/>
              </w:rPr>
              <w:t>Stockholders’</w:t>
            </w:r>
          </w:p>
        </w:tc>
        <w:tc>
          <w:tcPr>
            <w:tcW w:w="0" w:type="dxa"/>
            <w:vAlign w:val="bottom"/>
          </w:tcPr>
          <w:p>
            <w:pPr>
              <w:spacing w:after="0"/>
              <w:rPr>
                <w:sz w:val="1"/>
                <w:szCs w:val="1"/>
                <w:color w:val="auto"/>
              </w:rPr>
            </w:pPr>
          </w:p>
        </w:tc>
      </w:tr>
      <w:tr>
        <w:trPr>
          <w:trHeight w:val="171"/>
        </w:trPr>
        <w:tc>
          <w:tcPr>
            <w:tcW w:w="4820" w:type="dxa"/>
            <w:vAlign w:val="bottom"/>
          </w:tcPr>
          <w:p>
            <w:pPr>
              <w:spacing w:after="0"/>
              <w:rPr>
                <w:sz w:val="20"/>
                <w:szCs w:val="20"/>
                <w:color w:val="auto"/>
              </w:rPr>
            </w:pPr>
            <w:r>
              <w:rPr>
                <w:rFonts w:ascii="Arial" w:cs="Arial" w:eastAsia="Arial" w:hAnsi="Arial"/>
                <w:sz w:val="14"/>
                <w:szCs w:val="14"/>
                <w:i w:val="1"/>
                <w:iCs w:val="1"/>
                <w:color w:val="auto"/>
              </w:rPr>
              <w:t>(in thousands)</w:t>
            </w:r>
          </w:p>
        </w:tc>
        <w:tc>
          <w:tcPr>
            <w:tcW w:w="7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180" w:type="dxa"/>
            <w:vAlign w:val="bottom"/>
            <w:gridSpan w:val="3"/>
          </w:tcPr>
          <w:p>
            <w:pPr>
              <w:jc w:val="center"/>
              <w:ind w:right="660"/>
              <w:spacing w:after="0"/>
              <w:rPr>
                <w:sz w:val="20"/>
                <w:szCs w:val="20"/>
                <w:color w:val="auto"/>
              </w:rPr>
            </w:pPr>
            <w:r>
              <w:rPr>
                <w:rFonts w:ascii="Arial" w:cs="Arial" w:eastAsia="Arial" w:hAnsi="Arial"/>
                <w:sz w:val="14"/>
                <w:szCs w:val="14"/>
                <w:b w:val="1"/>
                <w:bCs w:val="1"/>
                <w:color w:val="auto"/>
                <w:w w:val="93"/>
              </w:rPr>
              <w:t>Equity</w:t>
            </w:r>
          </w:p>
        </w:tc>
        <w:tc>
          <w:tcPr>
            <w:tcW w:w="1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20" w:type="dxa"/>
            <w:vAlign w:val="bottom"/>
            <w:gridSpan w:val="3"/>
          </w:tcPr>
          <w:p>
            <w:pPr>
              <w:jc w:val="center"/>
              <w:ind w:right="540"/>
              <w:spacing w:after="0"/>
              <w:rPr>
                <w:sz w:val="20"/>
                <w:szCs w:val="20"/>
                <w:color w:val="auto"/>
              </w:rPr>
            </w:pPr>
            <w:r>
              <w:rPr>
                <w:rFonts w:ascii="Arial" w:cs="Arial" w:eastAsia="Arial" w:hAnsi="Arial"/>
                <w:sz w:val="14"/>
                <w:szCs w:val="14"/>
                <w:b w:val="1"/>
                <w:bCs w:val="1"/>
                <w:color w:val="auto"/>
                <w:w w:val="94"/>
              </w:rPr>
              <w:t>Interest</w:t>
            </w:r>
          </w:p>
        </w:tc>
        <w:tc>
          <w:tcPr>
            <w:tcW w:w="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60" w:type="dxa"/>
            <w:vAlign w:val="bottom"/>
            <w:gridSpan w:val="2"/>
          </w:tcPr>
          <w:p>
            <w:pPr>
              <w:jc w:val="center"/>
              <w:ind w:right="320"/>
              <w:spacing w:after="0"/>
              <w:rPr>
                <w:sz w:val="20"/>
                <w:szCs w:val="20"/>
                <w:color w:val="auto"/>
              </w:rPr>
            </w:pPr>
            <w:r>
              <w:rPr>
                <w:rFonts w:ascii="Arial" w:cs="Arial" w:eastAsia="Arial" w:hAnsi="Arial"/>
                <w:sz w:val="14"/>
                <w:szCs w:val="14"/>
                <w:b w:val="1"/>
                <w:bCs w:val="1"/>
                <w:color w:val="auto"/>
                <w:w w:val="98"/>
              </w:rPr>
              <w:t>Equity</w:t>
            </w:r>
          </w:p>
        </w:tc>
        <w:tc>
          <w:tcPr>
            <w:tcW w:w="0" w:type="dxa"/>
            <w:vAlign w:val="bottom"/>
          </w:tcPr>
          <w:p>
            <w:pPr>
              <w:spacing w:after="0"/>
              <w:rPr>
                <w:sz w:val="1"/>
                <w:szCs w:val="1"/>
                <w:color w:val="auto"/>
              </w:rPr>
            </w:pPr>
          </w:p>
        </w:tc>
      </w:tr>
      <w:tr>
        <w:trPr>
          <w:trHeight w:val="222"/>
        </w:trPr>
        <w:tc>
          <w:tcPr>
            <w:tcW w:w="482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8"/>
                <w:szCs w:val="18"/>
                <w:b w:val="1"/>
                <w:bCs w:val="1"/>
                <w:color w:val="auto"/>
              </w:rPr>
              <w:t>Balance at December 31, 2016</w:t>
            </w:r>
          </w:p>
        </w:tc>
        <w:tc>
          <w:tcPr>
            <w:tcW w:w="740" w:type="dxa"/>
            <w:vAlign w:val="bottom"/>
            <w:tcBorders>
              <w:top w:val="single" w:sz="8" w:color="CFF0FC"/>
            </w:tcBorders>
            <w:shd w:val="clear" w:color="auto" w:fill="CFF0FC"/>
          </w:tcPr>
          <w:p>
            <w:pPr>
              <w:spacing w:after="0"/>
              <w:rPr>
                <w:sz w:val="19"/>
                <w:szCs w:val="19"/>
                <w:color w:val="auto"/>
              </w:rPr>
            </w:pPr>
          </w:p>
        </w:tc>
        <w:tc>
          <w:tcPr>
            <w:tcW w:w="100" w:type="dxa"/>
            <w:vAlign w:val="bottom"/>
            <w:tcBorders>
              <w:top w:val="single" w:sz="8" w:color="CFF0FC"/>
            </w:tcBorders>
            <w:shd w:val="clear" w:color="auto" w:fill="CFF0FC"/>
          </w:tcPr>
          <w:p>
            <w:pPr>
              <w:spacing w:after="0"/>
              <w:rPr>
                <w:sz w:val="19"/>
                <w:szCs w:val="19"/>
                <w:color w:val="auto"/>
              </w:rPr>
            </w:pPr>
          </w:p>
        </w:tc>
        <w:tc>
          <w:tcPr>
            <w:tcW w:w="1120" w:type="dxa"/>
            <w:vAlign w:val="bottom"/>
            <w:tcBorders>
              <w:top w:val="single" w:sz="8" w:color="CFF0FC"/>
            </w:tcBorders>
            <w:shd w:val="clear" w:color="auto" w:fill="CFF0FC"/>
          </w:tcPr>
          <w:p>
            <w:pPr>
              <w:spacing w:after="0"/>
              <w:rPr>
                <w:sz w:val="19"/>
                <w:szCs w:val="19"/>
                <w:color w:val="auto"/>
              </w:rPr>
            </w:pPr>
          </w:p>
        </w:tc>
        <w:tc>
          <w:tcPr>
            <w:tcW w:w="180" w:type="dxa"/>
            <w:vAlign w:val="bottom"/>
            <w:tcBorders>
              <w:top w:val="single" w:sz="8" w:color="auto"/>
            </w:tcBorders>
            <w:gridSpan w:val="2"/>
            <w:shd w:val="clear" w:color="auto" w:fill="CFF0FC"/>
          </w:tcPr>
          <w:p>
            <w:pPr>
              <w:jc w:val="right"/>
              <w:ind w:right="80"/>
              <w:spacing w:after="0"/>
              <w:rPr>
                <w:sz w:val="20"/>
                <w:szCs w:val="20"/>
                <w:color w:val="auto"/>
              </w:rPr>
            </w:pPr>
            <w:r>
              <w:rPr>
                <w:rFonts w:ascii="Arial" w:cs="Arial" w:eastAsia="Arial" w:hAnsi="Arial"/>
                <w:sz w:val="18"/>
                <w:szCs w:val="18"/>
                <w:color w:val="auto"/>
                <w:w w:val="79"/>
              </w:rPr>
              <w:t>$</w:t>
            </w:r>
          </w:p>
        </w:tc>
        <w:tc>
          <w:tcPr>
            <w:tcW w:w="100" w:type="dxa"/>
            <w:vAlign w:val="bottom"/>
            <w:tcBorders>
              <w:top w:val="single" w:sz="8" w:color="auto"/>
            </w:tcBorders>
            <w:shd w:val="clear" w:color="auto" w:fill="CFF0FC"/>
          </w:tcPr>
          <w:p>
            <w:pPr>
              <w:spacing w:after="0"/>
              <w:rPr>
                <w:sz w:val="19"/>
                <w:szCs w:val="19"/>
                <w:color w:val="auto"/>
              </w:rPr>
            </w:pPr>
          </w:p>
        </w:tc>
        <w:tc>
          <w:tcPr>
            <w:tcW w:w="120" w:type="dxa"/>
            <w:vAlign w:val="bottom"/>
            <w:tcBorders>
              <w:top w:val="single" w:sz="8" w:color="auto"/>
            </w:tcBorders>
            <w:shd w:val="clear" w:color="auto" w:fill="CFF0FC"/>
          </w:tcPr>
          <w:p>
            <w:pPr>
              <w:spacing w:after="0"/>
              <w:rPr>
                <w:sz w:val="19"/>
                <w:szCs w:val="19"/>
                <w:color w:val="auto"/>
              </w:rPr>
            </w:pPr>
          </w:p>
        </w:tc>
        <w:tc>
          <w:tcPr>
            <w:tcW w:w="94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357,355</w:t>
            </w:r>
          </w:p>
        </w:tc>
        <w:tc>
          <w:tcPr>
            <w:tcW w:w="200" w:type="dxa"/>
            <w:vAlign w:val="bottom"/>
            <w:tcBorders>
              <w:top w:val="single" w:sz="8" w:color="CFF0FC"/>
            </w:tcBorders>
            <w:shd w:val="clear" w:color="auto" w:fill="CFF0FC"/>
          </w:tcPr>
          <w:p>
            <w:pPr>
              <w:spacing w:after="0"/>
              <w:rPr>
                <w:sz w:val="19"/>
                <w:szCs w:val="19"/>
                <w:color w:val="auto"/>
              </w:rPr>
            </w:pPr>
          </w:p>
        </w:tc>
        <w:tc>
          <w:tcPr>
            <w:tcW w:w="40" w:type="dxa"/>
            <w:vAlign w:val="bottom"/>
            <w:tcBorders>
              <w:top w:val="single" w:sz="8" w:color="CFF0FC"/>
            </w:tcBorders>
            <w:shd w:val="clear" w:color="auto" w:fill="CFF0FC"/>
          </w:tcPr>
          <w:p>
            <w:pPr>
              <w:spacing w:after="0"/>
              <w:rPr>
                <w:sz w:val="19"/>
                <w:szCs w:val="19"/>
                <w:color w:val="auto"/>
              </w:rPr>
            </w:pPr>
          </w:p>
        </w:tc>
        <w:tc>
          <w:tcPr>
            <w:tcW w:w="14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40" w:type="dxa"/>
            <w:vAlign w:val="bottom"/>
            <w:tcBorders>
              <w:top w:val="single" w:sz="8" w:color="auto"/>
            </w:tcBorders>
            <w:shd w:val="clear" w:color="auto" w:fill="CFF0FC"/>
          </w:tcPr>
          <w:p>
            <w:pPr>
              <w:spacing w:after="0"/>
              <w:rPr>
                <w:sz w:val="19"/>
                <w:szCs w:val="19"/>
                <w:color w:val="auto"/>
              </w:rPr>
            </w:pPr>
          </w:p>
        </w:tc>
        <w:tc>
          <w:tcPr>
            <w:tcW w:w="160" w:type="dxa"/>
            <w:vAlign w:val="bottom"/>
            <w:tcBorders>
              <w:top w:val="single" w:sz="8" w:color="auto"/>
            </w:tcBorders>
            <w:shd w:val="clear" w:color="auto" w:fill="CFF0FC"/>
          </w:tcPr>
          <w:p>
            <w:pPr>
              <w:spacing w:after="0"/>
              <w:rPr>
                <w:sz w:val="19"/>
                <w:szCs w:val="19"/>
                <w:color w:val="auto"/>
              </w:rPr>
            </w:pPr>
          </w:p>
        </w:tc>
        <w:tc>
          <w:tcPr>
            <w:tcW w:w="102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13,283</w:t>
            </w:r>
          </w:p>
        </w:tc>
        <w:tc>
          <w:tcPr>
            <w:tcW w:w="80" w:type="dxa"/>
            <w:vAlign w:val="bottom"/>
            <w:tcBorders>
              <w:top w:val="single" w:sz="8" w:color="CFF0FC"/>
            </w:tcBorders>
            <w:shd w:val="clear" w:color="auto" w:fill="CFF0FC"/>
          </w:tcPr>
          <w:p>
            <w:pPr>
              <w:spacing w:after="0"/>
              <w:rPr>
                <w:sz w:val="19"/>
                <w:szCs w:val="19"/>
                <w:color w:val="auto"/>
              </w:rPr>
            </w:pPr>
          </w:p>
        </w:tc>
        <w:tc>
          <w:tcPr>
            <w:tcW w:w="120" w:type="dxa"/>
            <w:vAlign w:val="bottom"/>
            <w:tcBorders>
              <w:top w:val="single" w:sz="8" w:color="CFF0FC"/>
            </w:tcBorders>
            <w:shd w:val="clear" w:color="auto" w:fill="CFF0FC"/>
          </w:tcPr>
          <w:p>
            <w:pPr>
              <w:spacing w:after="0"/>
              <w:rPr>
                <w:sz w:val="19"/>
                <w:szCs w:val="19"/>
                <w:color w:val="auto"/>
              </w:rPr>
            </w:pPr>
          </w:p>
        </w:tc>
        <w:tc>
          <w:tcPr>
            <w:tcW w:w="40" w:type="dxa"/>
            <w:vAlign w:val="bottom"/>
            <w:tcBorders>
              <w:top w:val="single" w:sz="8" w:color="CFF0FC"/>
            </w:tcBorders>
            <w:shd w:val="clear" w:color="auto" w:fill="CFF0FC"/>
          </w:tcPr>
          <w:p>
            <w:pPr>
              <w:spacing w:after="0"/>
              <w:rPr>
                <w:sz w:val="19"/>
                <w:szCs w:val="19"/>
                <w:color w:val="auto"/>
              </w:rPr>
            </w:pPr>
          </w:p>
        </w:tc>
        <w:tc>
          <w:tcPr>
            <w:tcW w:w="200" w:type="dxa"/>
            <w:vAlign w:val="bottom"/>
            <w:tcBorders>
              <w:top w:val="single" w:sz="8" w:color="auto"/>
            </w:tcBorders>
            <w:gridSpan w:val="3"/>
            <w:shd w:val="clear" w:color="auto" w:fill="CFF0FC"/>
          </w:tcPr>
          <w:p>
            <w:pPr>
              <w:jc w:val="right"/>
              <w:ind w:right="50"/>
              <w:spacing w:after="0"/>
              <w:rPr>
                <w:sz w:val="20"/>
                <w:szCs w:val="20"/>
                <w:color w:val="auto"/>
              </w:rPr>
            </w:pPr>
            <w:r>
              <w:rPr>
                <w:rFonts w:ascii="Arial" w:cs="Arial" w:eastAsia="Arial" w:hAnsi="Arial"/>
                <w:sz w:val="18"/>
                <w:szCs w:val="18"/>
                <w:color w:val="auto"/>
                <w:w w:val="79"/>
              </w:rPr>
              <w:t>$</w:t>
            </w:r>
          </w:p>
        </w:tc>
        <w:tc>
          <w:tcPr>
            <w:tcW w:w="116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370,638</w:t>
            </w:r>
          </w:p>
        </w:tc>
        <w:tc>
          <w:tcPr>
            <w:tcW w:w="100" w:type="dxa"/>
            <w:vAlign w:val="bottom"/>
            <w:tcBorders>
              <w:top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4820" w:type="dxa"/>
            <w:vAlign w:val="bottom"/>
          </w:tcPr>
          <w:p>
            <w:pPr>
              <w:spacing w:after="0"/>
              <w:rPr>
                <w:sz w:val="20"/>
                <w:szCs w:val="20"/>
                <w:color w:val="auto"/>
              </w:rPr>
            </w:pPr>
            <w:r>
              <w:rPr>
                <w:rFonts w:ascii="Arial" w:cs="Arial" w:eastAsia="Arial" w:hAnsi="Arial"/>
                <w:sz w:val="18"/>
                <w:szCs w:val="18"/>
                <w:color w:val="auto"/>
              </w:rPr>
              <w:t>Net income (loss)</w:t>
            </w:r>
          </w:p>
        </w:tc>
        <w:tc>
          <w:tcPr>
            <w:tcW w:w="7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6,777</w:t>
            </w:r>
          </w:p>
        </w:tc>
        <w:tc>
          <w:tcPr>
            <w:tcW w:w="2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100" w:type="dxa"/>
            <w:vAlign w:val="bottom"/>
            <w:gridSpan w:val="2"/>
          </w:tcPr>
          <w:p>
            <w:pPr>
              <w:jc w:val="right"/>
              <w:ind w:right="20"/>
              <w:spacing w:after="0"/>
              <w:rPr>
                <w:sz w:val="20"/>
                <w:szCs w:val="20"/>
                <w:color w:val="auto"/>
              </w:rPr>
            </w:pPr>
            <w:r>
              <w:rPr>
                <w:rFonts w:ascii="Arial" w:cs="Arial" w:eastAsia="Arial" w:hAnsi="Arial"/>
                <w:sz w:val="18"/>
                <w:szCs w:val="18"/>
                <w:color w:val="auto"/>
              </w:rPr>
              <w:t>(264)</w:t>
            </w:r>
          </w:p>
        </w:tc>
        <w:tc>
          <w:tcPr>
            <w:tcW w:w="12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6,513</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4820" w:type="dxa"/>
            <w:vAlign w:val="bottom"/>
            <w:shd w:val="clear" w:color="auto" w:fill="CFF0FC"/>
          </w:tcPr>
          <w:p>
            <w:pPr>
              <w:spacing w:after="0"/>
              <w:rPr>
                <w:sz w:val="20"/>
                <w:szCs w:val="20"/>
                <w:color w:val="auto"/>
              </w:rPr>
            </w:pPr>
            <w:r>
              <w:rPr>
                <w:rFonts w:ascii="Arial" w:cs="Arial" w:eastAsia="Arial" w:hAnsi="Arial"/>
                <w:sz w:val="18"/>
                <w:szCs w:val="18"/>
                <w:color w:val="auto"/>
              </w:rPr>
              <w:t>Dividends on common stock ($0.10 per share)</w:t>
            </w:r>
          </w:p>
        </w:tc>
        <w:tc>
          <w:tcPr>
            <w:tcW w:w="7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120" w:type="dxa"/>
            <w:vAlign w:val="bottom"/>
            <w:shd w:val="clear" w:color="auto" w:fill="CFF0FC"/>
          </w:tcPr>
          <w:p>
            <w:pPr>
              <w:spacing w:after="0"/>
              <w:rPr>
                <w:sz w:val="19"/>
                <w:szCs w:val="19"/>
                <w:color w:val="auto"/>
              </w:rPr>
            </w:pPr>
          </w:p>
        </w:tc>
        <w:tc>
          <w:tcPr>
            <w:tcW w:w="4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140" w:type="dxa"/>
            <w:vAlign w:val="bottom"/>
            <w:gridSpan w:val="2"/>
            <w:shd w:val="clear" w:color="auto" w:fill="CFF0FC"/>
          </w:tcPr>
          <w:p>
            <w:pPr>
              <w:jc w:val="right"/>
              <w:ind w:right="50"/>
              <w:spacing w:after="0"/>
              <w:rPr>
                <w:sz w:val="20"/>
                <w:szCs w:val="20"/>
                <w:color w:val="auto"/>
              </w:rPr>
            </w:pPr>
            <w:r>
              <w:rPr>
                <w:rFonts w:ascii="Arial" w:cs="Arial" w:eastAsia="Arial" w:hAnsi="Arial"/>
                <w:sz w:val="18"/>
                <w:szCs w:val="18"/>
                <w:color w:val="auto"/>
              </w:rPr>
              <w:t>(2,038)</w:t>
            </w:r>
          </w:p>
        </w:tc>
        <w:tc>
          <w:tcPr>
            <w:tcW w:w="4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4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1220" w:type="dxa"/>
            <w:vAlign w:val="bottom"/>
            <w:gridSpan w:val="3"/>
            <w:shd w:val="clear" w:color="auto" w:fill="CFF0FC"/>
          </w:tcPr>
          <w:p>
            <w:pPr>
              <w:jc w:val="right"/>
              <w:ind w:right="220"/>
              <w:spacing w:after="0"/>
              <w:rPr>
                <w:sz w:val="20"/>
                <w:szCs w:val="20"/>
                <w:color w:val="auto"/>
              </w:rPr>
            </w:pPr>
            <w:r>
              <w:rPr>
                <w:rFonts w:ascii="Arial" w:cs="Arial" w:eastAsia="Arial" w:hAnsi="Arial"/>
                <w:sz w:val="18"/>
                <w:szCs w:val="18"/>
                <w:color w:val="auto"/>
              </w:rPr>
              <w:t>—</w:t>
            </w:r>
          </w:p>
        </w:tc>
        <w:tc>
          <w:tcPr>
            <w:tcW w:w="4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260" w:type="dxa"/>
            <w:vAlign w:val="bottom"/>
            <w:gridSpan w:val="2"/>
            <w:shd w:val="clear" w:color="auto" w:fill="CFF0FC"/>
          </w:tcPr>
          <w:p>
            <w:pPr>
              <w:jc w:val="right"/>
              <w:ind w:right="40"/>
              <w:spacing w:after="0"/>
              <w:rPr>
                <w:sz w:val="20"/>
                <w:szCs w:val="20"/>
                <w:color w:val="auto"/>
              </w:rPr>
            </w:pPr>
            <w:r>
              <w:rPr>
                <w:rFonts w:ascii="Arial" w:cs="Arial" w:eastAsia="Arial" w:hAnsi="Arial"/>
                <w:sz w:val="18"/>
                <w:szCs w:val="18"/>
                <w:color w:val="auto"/>
              </w:rPr>
              <w:t>(2,038)</w:t>
            </w:r>
          </w:p>
        </w:tc>
        <w:tc>
          <w:tcPr>
            <w:tcW w:w="0" w:type="dxa"/>
            <w:vAlign w:val="bottom"/>
          </w:tcPr>
          <w:p>
            <w:pPr>
              <w:spacing w:after="0"/>
              <w:rPr>
                <w:sz w:val="1"/>
                <w:szCs w:val="1"/>
                <w:color w:val="auto"/>
              </w:rPr>
            </w:pPr>
          </w:p>
        </w:tc>
      </w:tr>
      <w:tr>
        <w:trPr>
          <w:trHeight w:val="229"/>
        </w:trPr>
        <w:tc>
          <w:tcPr>
            <w:tcW w:w="4820" w:type="dxa"/>
            <w:vAlign w:val="bottom"/>
          </w:tcPr>
          <w:p>
            <w:pPr>
              <w:spacing w:after="0"/>
              <w:rPr>
                <w:sz w:val="20"/>
                <w:szCs w:val="20"/>
                <w:color w:val="auto"/>
              </w:rPr>
            </w:pPr>
            <w:r>
              <w:rPr>
                <w:rFonts w:ascii="Arial" w:cs="Arial" w:eastAsia="Arial" w:hAnsi="Arial"/>
                <w:sz w:val="18"/>
                <w:szCs w:val="18"/>
                <w:color w:val="auto"/>
              </w:rPr>
              <w:t>Common stock purchased for treasury</w:t>
            </w:r>
          </w:p>
        </w:tc>
        <w:tc>
          <w:tcPr>
            <w:tcW w:w="7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140" w:type="dxa"/>
            <w:vAlign w:val="bottom"/>
            <w:gridSpan w:val="2"/>
          </w:tcPr>
          <w:p>
            <w:pPr>
              <w:jc w:val="right"/>
              <w:ind w:right="50"/>
              <w:spacing w:after="0"/>
              <w:rPr>
                <w:sz w:val="20"/>
                <w:szCs w:val="20"/>
                <w:color w:val="auto"/>
              </w:rPr>
            </w:pPr>
            <w:r>
              <w:rPr>
                <w:rFonts w:ascii="Arial" w:cs="Arial" w:eastAsia="Arial" w:hAnsi="Arial"/>
                <w:sz w:val="18"/>
                <w:szCs w:val="18"/>
                <w:color w:val="auto"/>
              </w:rPr>
              <w:t>(1,204)</w:t>
            </w:r>
          </w:p>
        </w:tc>
        <w:tc>
          <w:tcPr>
            <w:tcW w:w="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20" w:type="dxa"/>
            <w:vAlign w:val="bottom"/>
            <w:gridSpan w:val="3"/>
          </w:tcPr>
          <w:p>
            <w:pPr>
              <w:jc w:val="right"/>
              <w:ind w:right="220"/>
              <w:spacing w:after="0"/>
              <w:rPr>
                <w:sz w:val="20"/>
                <w:szCs w:val="20"/>
                <w:color w:val="auto"/>
              </w:rPr>
            </w:pPr>
            <w:r>
              <w:rPr>
                <w:rFonts w:ascii="Arial" w:cs="Arial" w:eastAsia="Arial" w:hAnsi="Arial"/>
                <w:sz w:val="18"/>
                <w:szCs w:val="18"/>
                <w:color w:val="auto"/>
              </w:rPr>
              <w:t>—</w:t>
            </w:r>
          </w:p>
        </w:tc>
        <w:tc>
          <w:tcPr>
            <w:tcW w:w="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60" w:type="dxa"/>
            <w:vAlign w:val="bottom"/>
            <w:gridSpan w:val="2"/>
          </w:tcPr>
          <w:p>
            <w:pPr>
              <w:jc w:val="right"/>
              <w:ind w:right="40"/>
              <w:spacing w:after="0"/>
              <w:rPr>
                <w:sz w:val="20"/>
                <w:szCs w:val="20"/>
                <w:color w:val="auto"/>
              </w:rPr>
            </w:pPr>
            <w:r>
              <w:rPr>
                <w:rFonts w:ascii="Arial" w:cs="Arial" w:eastAsia="Arial" w:hAnsi="Arial"/>
                <w:sz w:val="18"/>
                <w:szCs w:val="18"/>
                <w:color w:val="auto"/>
              </w:rPr>
              <w:t>(1,204)</w:t>
            </w:r>
          </w:p>
        </w:tc>
        <w:tc>
          <w:tcPr>
            <w:tcW w:w="0" w:type="dxa"/>
            <w:vAlign w:val="bottom"/>
          </w:tcPr>
          <w:p>
            <w:pPr>
              <w:spacing w:after="0"/>
              <w:rPr>
                <w:sz w:val="1"/>
                <w:szCs w:val="1"/>
                <w:color w:val="auto"/>
              </w:rPr>
            </w:pPr>
          </w:p>
        </w:tc>
      </w:tr>
      <w:tr>
        <w:trPr>
          <w:trHeight w:val="229"/>
        </w:trPr>
        <w:tc>
          <w:tcPr>
            <w:tcW w:w="4820" w:type="dxa"/>
            <w:vAlign w:val="bottom"/>
            <w:shd w:val="clear" w:color="auto" w:fill="CFF0FC"/>
          </w:tcPr>
          <w:p>
            <w:pPr>
              <w:spacing w:after="0"/>
              <w:rPr>
                <w:sz w:val="20"/>
                <w:szCs w:val="20"/>
                <w:color w:val="auto"/>
              </w:rPr>
            </w:pPr>
            <w:r>
              <w:rPr>
                <w:rFonts w:ascii="Arial" w:cs="Arial" w:eastAsia="Arial" w:hAnsi="Arial"/>
                <w:sz w:val="18"/>
                <w:szCs w:val="18"/>
                <w:color w:val="auto"/>
              </w:rPr>
              <w:t>Employee benefit plans</w:t>
            </w:r>
          </w:p>
        </w:tc>
        <w:tc>
          <w:tcPr>
            <w:tcW w:w="7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120" w:type="dxa"/>
            <w:vAlign w:val="bottom"/>
            <w:shd w:val="clear" w:color="auto" w:fill="CFF0FC"/>
          </w:tcPr>
          <w:p>
            <w:pPr>
              <w:spacing w:after="0"/>
              <w:rPr>
                <w:sz w:val="19"/>
                <w:szCs w:val="19"/>
                <w:color w:val="auto"/>
              </w:rPr>
            </w:pPr>
          </w:p>
        </w:tc>
        <w:tc>
          <w:tcPr>
            <w:tcW w:w="4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9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1,779</w:t>
            </w:r>
          </w:p>
        </w:tc>
        <w:tc>
          <w:tcPr>
            <w:tcW w:w="200" w:type="dxa"/>
            <w:vAlign w:val="bottom"/>
            <w:shd w:val="clear" w:color="auto" w:fill="CFF0FC"/>
          </w:tcPr>
          <w:p>
            <w:pPr>
              <w:spacing w:after="0"/>
              <w:rPr>
                <w:sz w:val="19"/>
                <w:szCs w:val="19"/>
                <w:color w:val="auto"/>
              </w:rPr>
            </w:pPr>
          </w:p>
        </w:tc>
        <w:tc>
          <w:tcPr>
            <w:tcW w:w="4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4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1220" w:type="dxa"/>
            <w:vAlign w:val="bottom"/>
            <w:gridSpan w:val="3"/>
            <w:shd w:val="clear" w:color="auto" w:fill="CFF0FC"/>
          </w:tcPr>
          <w:p>
            <w:pPr>
              <w:jc w:val="right"/>
              <w:ind w:right="220"/>
              <w:spacing w:after="0"/>
              <w:rPr>
                <w:sz w:val="20"/>
                <w:szCs w:val="20"/>
                <w:color w:val="auto"/>
              </w:rPr>
            </w:pPr>
            <w:r>
              <w:rPr>
                <w:rFonts w:ascii="Arial" w:cs="Arial" w:eastAsia="Arial" w:hAnsi="Arial"/>
                <w:sz w:val="18"/>
                <w:szCs w:val="18"/>
                <w:color w:val="auto"/>
              </w:rPr>
              <w:t>—</w:t>
            </w:r>
          </w:p>
        </w:tc>
        <w:tc>
          <w:tcPr>
            <w:tcW w:w="4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1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1,779</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4820" w:type="dxa"/>
            <w:vAlign w:val="bottom"/>
          </w:tcPr>
          <w:p>
            <w:pPr>
              <w:spacing w:after="0"/>
              <w:rPr>
                <w:sz w:val="20"/>
                <w:szCs w:val="20"/>
                <w:color w:val="auto"/>
              </w:rPr>
            </w:pPr>
            <w:r>
              <w:rPr>
                <w:rFonts w:ascii="Arial" w:cs="Arial" w:eastAsia="Arial" w:hAnsi="Arial"/>
                <w:sz w:val="18"/>
                <w:szCs w:val="18"/>
                <w:color w:val="auto"/>
              </w:rPr>
              <w:t>Unrealized foreign currency translation adjustment</w:t>
            </w:r>
          </w:p>
        </w:tc>
        <w:tc>
          <w:tcPr>
            <w:tcW w:w="7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2,345</w:t>
            </w:r>
          </w:p>
        </w:tc>
        <w:tc>
          <w:tcPr>
            <w:tcW w:w="2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20" w:type="dxa"/>
            <w:vAlign w:val="bottom"/>
            <w:gridSpan w:val="3"/>
          </w:tcPr>
          <w:p>
            <w:pPr>
              <w:jc w:val="right"/>
              <w:ind w:right="220"/>
              <w:spacing w:after="0"/>
              <w:rPr>
                <w:sz w:val="20"/>
                <w:szCs w:val="20"/>
                <w:color w:val="auto"/>
              </w:rPr>
            </w:pPr>
            <w:r>
              <w:rPr>
                <w:rFonts w:ascii="Arial" w:cs="Arial" w:eastAsia="Arial" w:hAnsi="Arial"/>
                <w:sz w:val="18"/>
                <w:szCs w:val="18"/>
                <w:color w:val="auto"/>
              </w:rPr>
              <w:t>—</w:t>
            </w:r>
          </w:p>
        </w:tc>
        <w:tc>
          <w:tcPr>
            <w:tcW w:w="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2,345</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4820" w:type="dxa"/>
            <w:vAlign w:val="bottom"/>
            <w:shd w:val="clear" w:color="auto" w:fill="CFF0FC"/>
          </w:tcPr>
          <w:p>
            <w:pPr>
              <w:spacing w:after="0"/>
              <w:rPr>
                <w:sz w:val="20"/>
                <w:szCs w:val="20"/>
                <w:color w:val="auto"/>
              </w:rPr>
            </w:pPr>
            <w:r>
              <w:rPr>
                <w:rFonts w:ascii="Arial" w:cs="Arial" w:eastAsia="Arial" w:hAnsi="Arial"/>
                <w:sz w:val="18"/>
                <w:szCs w:val="18"/>
                <w:color w:val="auto"/>
              </w:rPr>
              <w:t>Other changes to AOCI</w:t>
            </w:r>
          </w:p>
        </w:tc>
        <w:tc>
          <w:tcPr>
            <w:tcW w:w="7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120" w:type="dxa"/>
            <w:vAlign w:val="bottom"/>
            <w:shd w:val="clear" w:color="auto" w:fill="CFF0FC"/>
          </w:tcPr>
          <w:p>
            <w:pPr>
              <w:spacing w:after="0"/>
              <w:rPr>
                <w:sz w:val="19"/>
                <w:szCs w:val="19"/>
                <w:color w:val="auto"/>
              </w:rPr>
            </w:pPr>
          </w:p>
        </w:tc>
        <w:tc>
          <w:tcPr>
            <w:tcW w:w="4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9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95</w:t>
            </w:r>
          </w:p>
        </w:tc>
        <w:tc>
          <w:tcPr>
            <w:tcW w:w="200" w:type="dxa"/>
            <w:vAlign w:val="bottom"/>
            <w:shd w:val="clear" w:color="auto" w:fill="CFF0FC"/>
          </w:tcPr>
          <w:p>
            <w:pPr>
              <w:spacing w:after="0"/>
              <w:rPr>
                <w:sz w:val="19"/>
                <w:szCs w:val="19"/>
                <w:color w:val="auto"/>
              </w:rPr>
            </w:pPr>
          </w:p>
        </w:tc>
        <w:tc>
          <w:tcPr>
            <w:tcW w:w="4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4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1220" w:type="dxa"/>
            <w:vAlign w:val="bottom"/>
            <w:gridSpan w:val="3"/>
            <w:shd w:val="clear" w:color="auto" w:fill="CFF0FC"/>
          </w:tcPr>
          <w:p>
            <w:pPr>
              <w:jc w:val="right"/>
              <w:ind w:right="220"/>
              <w:spacing w:after="0"/>
              <w:rPr>
                <w:sz w:val="20"/>
                <w:szCs w:val="20"/>
                <w:color w:val="auto"/>
              </w:rPr>
            </w:pPr>
            <w:r>
              <w:rPr>
                <w:rFonts w:ascii="Arial" w:cs="Arial" w:eastAsia="Arial" w:hAnsi="Arial"/>
                <w:sz w:val="18"/>
                <w:szCs w:val="18"/>
                <w:color w:val="auto"/>
              </w:rPr>
              <w:t>—</w:t>
            </w:r>
          </w:p>
        </w:tc>
        <w:tc>
          <w:tcPr>
            <w:tcW w:w="4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1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95</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4820" w:type="dxa"/>
            <w:vAlign w:val="bottom"/>
          </w:tcPr>
          <w:p>
            <w:pPr>
              <w:spacing w:after="0"/>
              <w:rPr>
                <w:sz w:val="20"/>
                <w:szCs w:val="20"/>
                <w:color w:val="auto"/>
              </w:rPr>
            </w:pPr>
            <w:r>
              <w:rPr>
                <w:rFonts w:ascii="Arial" w:cs="Arial" w:eastAsia="Arial" w:hAnsi="Arial"/>
                <w:sz w:val="18"/>
                <w:szCs w:val="18"/>
                <w:color w:val="auto"/>
              </w:rPr>
              <w:t>Other</w:t>
            </w:r>
          </w:p>
        </w:tc>
        <w:tc>
          <w:tcPr>
            <w:tcW w:w="7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140" w:type="dxa"/>
            <w:vAlign w:val="bottom"/>
            <w:gridSpan w:val="2"/>
          </w:tcPr>
          <w:p>
            <w:pPr>
              <w:jc w:val="right"/>
              <w:ind w:right="50"/>
              <w:spacing w:after="0"/>
              <w:rPr>
                <w:sz w:val="20"/>
                <w:szCs w:val="20"/>
                <w:color w:val="auto"/>
              </w:rPr>
            </w:pPr>
            <w:r>
              <w:rPr>
                <w:rFonts w:ascii="Arial" w:cs="Arial" w:eastAsia="Arial" w:hAnsi="Arial"/>
                <w:sz w:val="18"/>
                <w:szCs w:val="18"/>
                <w:color w:val="auto"/>
              </w:rPr>
              <w:t>(92)</w:t>
            </w:r>
          </w:p>
        </w:tc>
        <w:tc>
          <w:tcPr>
            <w:tcW w:w="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20" w:type="dxa"/>
            <w:vAlign w:val="bottom"/>
            <w:gridSpan w:val="3"/>
          </w:tcPr>
          <w:p>
            <w:pPr>
              <w:jc w:val="right"/>
              <w:ind w:right="220"/>
              <w:spacing w:after="0"/>
              <w:rPr>
                <w:sz w:val="20"/>
                <w:szCs w:val="20"/>
                <w:color w:val="auto"/>
              </w:rPr>
            </w:pPr>
            <w:r>
              <w:rPr>
                <w:rFonts w:ascii="Arial" w:cs="Arial" w:eastAsia="Arial" w:hAnsi="Arial"/>
                <w:sz w:val="18"/>
                <w:szCs w:val="18"/>
                <w:color w:val="auto"/>
              </w:rPr>
              <w:t>—</w:t>
            </w:r>
          </w:p>
        </w:tc>
        <w:tc>
          <w:tcPr>
            <w:tcW w:w="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60" w:type="dxa"/>
            <w:vAlign w:val="bottom"/>
            <w:gridSpan w:val="2"/>
          </w:tcPr>
          <w:p>
            <w:pPr>
              <w:jc w:val="right"/>
              <w:ind w:right="40"/>
              <w:spacing w:after="0"/>
              <w:rPr>
                <w:sz w:val="20"/>
                <w:szCs w:val="20"/>
                <w:color w:val="auto"/>
              </w:rPr>
            </w:pPr>
            <w:r>
              <w:rPr>
                <w:rFonts w:ascii="Arial" w:cs="Arial" w:eastAsia="Arial" w:hAnsi="Arial"/>
                <w:sz w:val="18"/>
                <w:szCs w:val="18"/>
                <w:color w:val="auto"/>
              </w:rPr>
              <w:t>(92)</w:t>
            </w:r>
          </w:p>
        </w:tc>
        <w:tc>
          <w:tcPr>
            <w:tcW w:w="0" w:type="dxa"/>
            <w:vAlign w:val="bottom"/>
          </w:tcPr>
          <w:p>
            <w:pPr>
              <w:spacing w:after="0"/>
              <w:rPr>
                <w:sz w:val="1"/>
                <w:szCs w:val="1"/>
                <w:color w:val="auto"/>
              </w:rPr>
            </w:pPr>
          </w:p>
        </w:tc>
      </w:tr>
      <w:tr>
        <w:trPr>
          <w:trHeight w:val="222"/>
        </w:trPr>
        <w:tc>
          <w:tcPr>
            <w:tcW w:w="4820" w:type="dxa"/>
            <w:vAlign w:val="bottom"/>
            <w:tcBorders>
              <w:top w:val="single" w:sz="8" w:color="CFF0FC"/>
              <w:bottom w:val="single" w:sz="8" w:color="CFF0FC"/>
            </w:tcBorders>
            <w:shd w:val="clear" w:color="auto" w:fill="CFF0FC"/>
          </w:tcPr>
          <w:p>
            <w:pPr>
              <w:spacing w:after="0"/>
              <w:rPr>
                <w:sz w:val="20"/>
                <w:szCs w:val="20"/>
                <w:color w:val="auto"/>
              </w:rPr>
            </w:pPr>
            <w:r>
              <w:rPr>
                <w:rFonts w:ascii="Arial" w:cs="Arial" w:eastAsia="Arial" w:hAnsi="Arial"/>
                <w:sz w:val="18"/>
                <w:szCs w:val="18"/>
                <w:b w:val="1"/>
                <w:bCs w:val="1"/>
                <w:color w:val="auto"/>
              </w:rPr>
              <w:t>Balance at March 31, 2017</w:t>
            </w:r>
          </w:p>
        </w:tc>
        <w:tc>
          <w:tcPr>
            <w:tcW w:w="740" w:type="dxa"/>
            <w:vAlign w:val="bottom"/>
            <w:tcBorders>
              <w:top w:val="single" w:sz="8" w:color="CFF0FC"/>
              <w:bottom w:val="single" w:sz="8" w:color="CFF0FC"/>
            </w:tcBorders>
            <w:shd w:val="clear" w:color="auto" w:fill="CFF0FC"/>
          </w:tcPr>
          <w:p>
            <w:pPr>
              <w:spacing w:after="0"/>
              <w:rPr>
                <w:sz w:val="19"/>
                <w:szCs w:val="19"/>
                <w:color w:val="auto"/>
              </w:rPr>
            </w:pPr>
          </w:p>
        </w:tc>
        <w:tc>
          <w:tcPr>
            <w:tcW w:w="100" w:type="dxa"/>
            <w:vAlign w:val="bottom"/>
            <w:tcBorders>
              <w:top w:val="single" w:sz="8" w:color="CFF0FC"/>
              <w:bottom w:val="single" w:sz="8" w:color="CFF0FC"/>
            </w:tcBorders>
            <w:shd w:val="clear" w:color="auto" w:fill="CFF0FC"/>
          </w:tcPr>
          <w:p>
            <w:pPr>
              <w:spacing w:after="0"/>
              <w:rPr>
                <w:sz w:val="19"/>
                <w:szCs w:val="19"/>
                <w:color w:val="auto"/>
              </w:rPr>
            </w:pPr>
          </w:p>
        </w:tc>
        <w:tc>
          <w:tcPr>
            <w:tcW w:w="1120" w:type="dxa"/>
            <w:vAlign w:val="bottom"/>
            <w:tcBorders>
              <w:top w:val="single" w:sz="8" w:color="CFF0FC"/>
              <w:bottom w:val="single" w:sz="8" w:color="CFF0FC"/>
            </w:tcBorders>
            <w:shd w:val="clear" w:color="auto" w:fill="CFF0FC"/>
          </w:tcPr>
          <w:p>
            <w:pPr>
              <w:spacing w:after="0"/>
              <w:rPr>
                <w:sz w:val="19"/>
                <w:szCs w:val="19"/>
                <w:color w:val="auto"/>
              </w:rPr>
            </w:pPr>
          </w:p>
        </w:tc>
        <w:tc>
          <w:tcPr>
            <w:tcW w:w="180" w:type="dxa"/>
            <w:vAlign w:val="bottom"/>
            <w:tcBorders>
              <w:top w:val="single" w:sz="8" w:color="auto"/>
              <w:bottom w:val="single" w:sz="8" w:color="auto"/>
            </w:tcBorders>
            <w:gridSpan w:val="2"/>
            <w:shd w:val="clear" w:color="auto" w:fill="CFF0FC"/>
          </w:tcPr>
          <w:p>
            <w:pPr>
              <w:jc w:val="right"/>
              <w:ind w:right="80"/>
              <w:spacing w:after="0"/>
              <w:rPr>
                <w:sz w:val="20"/>
                <w:szCs w:val="20"/>
                <w:color w:val="auto"/>
              </w:rPr>
            </w:pPr>
            <w:r>
              <w:rPr>
                <w:rFonts w:ascii="Arial" w:cs="Arial" w:eastAsia="Arial" w:hAnsi="Arial"/>
                <w:sz w:val="18"/>
                <w:szCs w:val="18"/>
                <w:color w:val="auto"/>
                <w:w w:val="79"/>
              </w:rPr>
              <w:t>$</w:t>
            </w:r>
          </w:p>
        </w:tc>
        <w:tc>
          <w:tcPr>
            <w:tcW w:w="100" w:type="dxa"/>
            <w:vAlign w:val="bottom"/>
            <w:tcBorders>
              <w:top w:val="single" w:sz="8" w:color="auto"/>
              <w:bottom w:val="single" w:sz="8" w:color="auto"/>
            </w:tcBorders>
            <w:shd w:val="clear" w:color="auto" w:fill="CFF0FC"/>
          </w:tcPr>
          <w:p>
            <w:pPr>
              <w:spacing w:after="0"/>
              <w:rPr>
                <w:sz w:val="19"/>
                <w:szCs w:val="19"/>
                <w:color w:val="auto"/>
              </w:rPr>
            </w:pPr>
          </w:p>
        </w:tc>
        <w:tc>
          <w:tcPr>
            <w:tcW w:w="120" w:type="dxa"/>
            <w:vAlign w:val="bottom"/>
            <w:tcBorders>
              <w:top w:val="single" w:sz="8" w:color="auto"/>
              <w:bottom w:val="single" w:sz="8" w:color="auto"/>
            </w:tcBorders>
            <w:shd w:val="clear" w:color="auto" w:fill="CFF0FC"/>
          </w:tcPr>
          <w:p>
            <w:pPr>
              <w:spacing w:after="0"/>
              <w:rPr>
                <w:sz w:val="19"/>
                <w:szCs w:val="19"/>
                <w:color w:val="auto"/>
              </w:rPr>
            </w:pPr>
          </w:p>
        </w:tc>
        <w:tc>
          <w:tcPr>
            <w:tcW w:w="94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365,017</w:t>
            </w:r>
          </w:p>
        </w:tc>
        <w:tc>
          <w:tcPr>
            <w:tcW w:w="200" w:type="dxa"/>
            <w:vAlign w:val="bottom"/>
            <w:tcBorders>
              <w:top w:val="single" w:sz="8" w:color="CFF0FC"/>
              <w:bottom w:val="single" w:sz="8" w:color="CFF0FC"/>
            </w:tcBorders>
            <w:shd w:val="clear" w:color="auto" w:fill="CFF0FC"/>
          </w:tcPr>
          <w:p>
            <w:pPr>
              <w:spacing w:after="0"/>
              <w:rPr>
                <w:sz w:val="19"/>
                <w:szCs w:val="19"/>
                <w:color w:val="auto"/>
              </w:rPr>
            </w:pPr>
          </w:p>
        </w:tc>
        <w:tc>
          <w:tcPr>
            <w:tcW w:w="40" w:type="dxa"/>
            <w:vAlign w:val="bottom"/>
            <w:tcBorders>
              <w:top w:val="single" w:sz="8" w:color="CFF0FC"/>
              <w:bottom w:val="single" w:sz="8" w:color="CFF0FC"/>
            </w:tcBorders>
            <w:shd w:val="clear" w:color="auto" w:fill="CFF0FC"/>
          </w:tcPr>
          <w:p>
            <w:pPr>
              <w:spacing w:after="0"/>
              <w:rPr>
                <w:sz w:val="19"/>
                <w:szCs w:val="19"/>
                <w:color w:val="auto"/>
              </w:rPr>
            </w:pPr>
          </w:p>
        </w:tc>
        <w:tc>
          <w:tcPr>
            <w:tcW w:w="14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40" w:type="dxa"/>
            <w:vAlign w:val="bottom"/>
            <w:tcBorders>
              <w:top w:val="single" w:sz="8" w:color="auto"/>
              <w:bottom w:val="single" w:sz="8" w:color="auto"/>
            </w:tcBorders>
            <w:shd w:val="clear" w:color="auto" w:fill="CFF0FC"/>
          </w:tcPr>
          <w:p>
            <w:pPr>
              <w:spacing w:after="0"/>
              <w:rPr>
                <w:sz w:val="19"/>
                <w:szCs w:val="19"/>
                <w:color w:val="auto"/>
              </w:rPr>
            </w:pPr>
          </w:p>
        </w:tc>
        <w:tc>
          <w:tcPr>
            <w:tcW w:w="160" w:type="dxa"/>
            <w:vAlign w:val="bottom"/>
            <w:tcBorders>
              <w:top w:val="single" w:sz="8" w:color="auto"/>
              <w:bottom w:val="single" w:sz="8" w:color="auto"/>
            </w:tcBorders>
            <w:shd w:val="clear" w:color="auto" w:fill="CFF0FC"/>
          </w:tcPr>
          <w:p>
            <w:pPr>
              <w:spacing w:after="0"/>
              <w:rPr>
                <w:sz w:val="19"/>
                <w:szCs w:val="19"/>
                <w:color w:val="auto"/>
              </w:rPr>
            </w:pPr>
          </w:p>
        </w:tc>
        <w:tc>
          <w:tcPr>
            <w:tcW w:w="102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13,019</w:t>
            </w:r>
          </w:p>
        </w:tc>
        <w:tc>
          <w:tcPr>
            <w:tcW w:w="80" w:type="dxa"/>
            <w:vAlign w:val="bottom"/>
            <w:tcBorders>
              <w:top w:val="single" w:sz="8" w:color="CFF0FC"/>
              <w:bottom w:val="single" w:sz="8" w:color="CFF0FC"/>
            </w:tcBorders>
            <w:shd w:val="clear" w:color="auto" w:fill="CFF0FC"/>
          </w:tcPr>
          <w:p>
            <w:pPr>
              <w:spacing w:after="0"/>
              <w:rPr>
                <w:sz w:val="19"/>
                <w:szCs w:val="19"/>
                <w:color w:val="auto"/>
              </w:rPr>
            </w:pPr>
          </w:p>
        </w:tc>
        <w:tc>
          <w:tcPr>
            <w:tcW w:w="120" w:type="dxa"/>
            <w:vAlign w:val="bottom"/>
            <w:tcBorders>
              <w:top w:val="single" w:sz="8" w:color="CFF0FC"/>
              <w:bottom w:val="single" w:sz="8" w:color="CFF0FC"/>
            </w:tcBorders>
            <w:shd w:val="clear" w:color="auto" w:fill="CFF0FC"/>
          </w:tcPr>
          <w:p>
            <w:pPr>
              <w:spacing w:after="0"/>
              <w:rPr>
                <w:sz w:val="19"/>
                <w:szCs w:val="19"/>
                <w:color w:val="auto"/>
              </w:rPr>
            </w:pPr>
          </w:p>
        </w:tc>
        <w:tc>
          <w:tcPr>
            <w:tcW w:w="40" w:type="dxa"/>
            <w:vAlign w:val="bottom"/>
            <w:tcBorders>
              <w:top w:val="single" w:sz="8" w:color="CFF0FC"/>
              <w:bottom w:val="single" w:sz="8" w:color="CFF0FC"/>
            </w:tcBorders>
            <w:shd w:val="clear" w:color="auto" w:fill="CFF0FC"/>
          </w:tcPr>
          <w:p>
            <w:pPr>
              <w:spacing w:after="0"/>
              <w:rPr>
                <w:sz w:val="19"/>
                <w:szCs w:val="19"/>
                <w:color w:val="auto"/>
              </w:rPr>
            </w:pPr>
          </w:p>
        </w:tc>
        <w:tc>
          <w:tcPr>
            <w:tcW w:w="200" w:type="dxa"/>
            <w:vAlign w:val="bottom"/>
            <w:tcBorders>
              <w:top w:val="single" w:sz="8" w:color="auto"/>
              <w:bottom w:val="single" w:sz="8" w:color="auto"/>
            </w:tcBorders>
            <w:gridSpan w:val="3"/>
            <w:shd w:val="clear" w:color="auto" w:fill="CFF0FC"/>
          </w:tcPr>
          <w:p>
            <w:pPr>
              <w:jc w:val="right"/>
              <w:ind w:right="50"/>
              <w:spacing w:after="0"/>
              <w:rPr>
                <w:sz w:val="20"/>
                <w:szCs w:val="20"/>
                <w:color w:val="auto"/>
              </w:rPr>
            </w:pPr>
            <w:r>
              <w:rPr>
                <w:rFonts w:ascii="Arial" w:cs="Arial" w:eastAsia="Arial" w:hAnsi="Arial"/>
                <w:sz w:val="18"/>
                <w:szCs w:val="18"/>
                <w:color w:val="auto"/>
                <w:w w:val="79"/>
              </w:rPr>
              <w:t>$</w:t>
            </w:r>
          </w:p>
        </w:tc>
        <w:tc>
          <w:tcPr>
            <w:tcW w:w="116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378,036</w:t>
            </w:r>
          </w:p>
        </w:tc>
        <w:tc>
          <w:tcPr>
            <w:tcW w:w="100" w:type="dxa"/>
            <w:vAlign w:val="bottom"/>
            <w:tcBorders>
              <w:top w:val="single" w:sz="8" w:color="CFF0FC"/>
              <w:bottom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4820" w:type="dxa"/>
            <w:vAlign w:val="bottom"/>
            <w:vMerge w:val="restart"/>
          </w:tcPr>
          <w:p>
            <w:pPr>
              <w:spacing w:after="0"/>
              <w:rPr>
                <w:sz w:val="20"/>
                <w:szCs w:val="20"/>
                <w:color w:val="auto"/>
              </w:rPr>
            </w:pPr>
            <w:r>
              <w:rPr>
                <w:rFonts w:ascii="Arial" w:cs="Arial" w:eastAsia="Arial" w:hAnsi="Arial"/>
                <w:sz w:val="18"/>
                <w:szCs w:val="18"/>
                <w:color w:val="auto"/>
              </w:rPr>
              <w:t>Changes in AOCI by component are as follows:</w:t>
            </w:r>
          </w:p>
        </w:tc>
        <w:tc>
          <w:tcPr>
            <w:tcW w:w="7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17"/>
        </w:trPr>
        <w:tc>
          <w:tcPr>
            <w:tcW w:w="4820" w:type="dxa"/>
            <w:vAlign w:val="bottom"/>
            <w:vMerge w:val="continue"/>
          </w:tcPr>
          <w:p>
            <w:pPr>
              <w:spacing w:after="0"/>
              <w:rPr>
                <w:sz w:val="24"/>
                <w:szCs w:val="24"/>
                <w:color w:val="auto"/>
              </w:rPr>
            </w:pPr>
          </w:p>
        </w:tc>
        <w:tc>
          <w:tcPr>
            <w:tcW w:w="7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53"/>
        </w:trPr>
        <w:tc>
          <w:tcPr>
            <w:tcW w:w="482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180" w:type="dxa"/>
            <w:vAlign w:val="bottom"/>
            <w:gridSpan w:val="3"/>
          </w:tcPr>
          <w:p>
            <w:pPr>
              <w:jc w:val="center"/>
              <w:ind w:right="180"/>
              <w:spacing w:after="0"/>
              <w:rPr>
                <w:sz w:val="20"/>
                <w:szCs w:val="20"/>
                <w:color w:val="auto"/>
              </w:rPr>
            </w:pPr>
            <w:r>
              <w:rPr>
                <w:rFonts w:ascii="Arial" w:cs="Arial" w:eastAsia="Arial" w:hAnsi="Arial"/>
                <w:sz w:val="14"/>
                <w:szCs w:val="14"/>
                <w:b w:val="1"/>
                <w:bCs w:val="1"/>
                <w:color w:val="auto"/>
                <w:w w:val="95"/>
              </w:rPr>
              <w:t>Cumulative</w:t>
            </w:r>
          </w:p>
        </w:tc>
        <w:tc>
          <w:tcPr>
            <w:tcW w:w="1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380" w:type="dxa"/>
            <w:vAlign w:val="bottom"/>
            <w:gridSpan w:val="4"/>
          </w:tcPr>
          <w:p>
            <w:pPr>
              <w:jc w:val="center"/>
              <w:ind w:right="120"/>
              <w:spacing w:after="0"/>
              <w:rPr>
                <w:sz w:val="20"/>
                <w:szCs w:val="20"/>
                <w:color w:val="auto"/>
              </w:rPr>
            </w:pPr>
            <w:r>
              <w:rPr>
                <w:rFonts w:ascii="Arial" w:cs="Arial" w:eastAsia="Arial" w:hAnsi="Arial"/>
                <w:sz w:val="14"/>
                <w:szCs w:val="14"/>
                <w:b w:val="1"/>
                <w:bCs w:val="1"/>
                <w:color w:val="auto"/>
                <w:w w:val="92"/>
              </w:rPr>
              <w:t>Unrecognized Net</w:t>
            </w:r>
          </w:p>
        </w:tc>
        <w:tc>
          <w:tcPr>
            <w:tcW w:w="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6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3"/>
              </w:rPr>
              <w:t>Accumulated</w:t>
            </w:r>
          </w:p>
        </w:tc>
        <w:tc>
          <w:tcPr>
            <w:tcW w:w="0" w:type="dxa"/>
            <w:vAlign w:val="bottom"/>
          </w:tcPr>
          <w:p>
            <w:pPr>
              <w:spacing w:after="0"/>
              <w:rPr>
                <w:sz w:val="1"/>
                <w:szCs w:val="1"/>
                <w:color w:val="auto"/>
              </w:rPr>
            </w:pPr>
          </w:p>
        </w:tc>
      </w:tr>
      <w:tr>
        <w:trPr>
          <w:trHeight w:val="148"/>
        </w:trPr>
        <w:tc>
          <w:tcPr>
            <w:tcW w:w="48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300" w:type="dxa"/>
            <w:vAlign w:val="bottom"/>
            <w:gridSpan w:val="3"/>
            <w:vMerge w:val="restart"/>
          </w:tcPr>
          <w:p>
            <w:pPr>
              <w:jc w:val="right"/>
              <w:ind w:right="240"/>
              <w:spacing w:after="0"/>
              <w:rPr>
                <w:sz w:val="20"/>
                <w:szCs w:val="20"/>
                <w:color w:val="auto"/>
              </w:rPr>
            </w:pPr>
            <w:r>
              <w:rPr>
                <w:rFonts w:ascii="Arial" w:cs="Arial" w:eastAsia="Arial" w:hAnsi="Arial"/>
                <w:sz w:val="14"/>
                <w:szCs w:val="14"/>
                <w:b w:val="1"/>
                <w:bCs w:val="1"/>
                <w:color w:val="auto"/>
                <w:w w:val="91"/>
              </w:rPr>
              <w:t>Unrealized Gains</w:t>
            </w:r>
          </w:p>
        </w:tc>
        <w:tc>
          <w:tcPr>
            <w:tcW w:w="100" w:type="dxa"/>
            <w:vAlign w:val="bottom"/>
          </w:tcPr>
          <w:p>
            <w:pPr>
              <w:spacing w:after="0"/>
              <w:rPr>
                <w:sz w:val="12"/>
                <w:szCs w:val="12"/>
                <w:color w:val="auto"/>
              </w:rPr>
            </w:pPr>
          </w:p>
        </w:tc>
        <w:tc>
          <w:tcPr>
            <w:tcW w:w="1300" w:type="dxa"/>
            <w:vAlign w:val="bottom"/>
            <w:gridSpan w:val="4"/>
          </w:tcPr>
          <w:p>
            <w:pPr>
              <w:jc w:val="center"/>
              <w:ind w:right="80"/>
              <w:spacing w:after="0" w:line="148" w:lineRule="exact"/>
              <w:rPr>
                <w:sz w:val="20"/>
                <w:szCs w:val="20"/>
                <w:color w:val="auto"/>
              </w:rPr>
            </w:pPr>
            <w:r>
              <w:rPr>
                <w:rFonts w:ascii="Arial" w:cs="Arial" w:eastAsia="Arial" w:hAnsi="Arial"/>
                <w:sz w:val="14"/>
                <w:szCs w:val="14"/>
                <w:b w:val="1"/>
                <w:bCs w:val="1"/>
                <w:color w:val="auto"/>
                <w:w w:val="94"/>
              </w:rPr>
              <w:t>Foreign Currency</w:t>
            </w:r>
          </w:p>
        </w:tc>
        <w:tc>
          <w:tcPr>
            <w:tcW w:w="1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380" w:type="dxa"/>
            <w:vAlign w:val="bottom"/>
            <w:gridSpan w:val="4"/>
          </w:tcPr>
          <w:p>
            <w:pPr>
              <w:jc w:val="center"/>
              <w:ind w:right="120"/>
              <w:spacing w:after="0" w:line="148" w:lineRule="exact"/>
              <w:rPr>
                <w:sz w:val="20"/>
                <w:szCs w:val="20"/>
                <w:color w:val="auto"/>
              </w:rPr>
            </w:pPr>
            <w:r>
              <w:rPr>
                <w:rFonts w:ascii="Arial" w:cs="Arial" w:eastAsia="Arial" w:hAnsi="Arial"/>
                <w:sz w:val="14"/>
                <w:szCs w:val="14"/>
                <w:b w:val="1"/>
                <w:bCs w:val="1"/>
                <w:color w:val="auto"/>
                <w:w w:val="94"/>
              </w:rPr>
              <w:t>Actuarial Loss and</w:t>
            </w:r>
          </w:p>
        </w:tc>
        <w:tc>
          <w:tcPr>
            <w:tcW w:w="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60" w:type="dxa"/>
            <w:vAlign w:val="bottom"/>
            <w:gridSpan w:val="2"/>
          </w:tcPr>
          <w:p>
            <w:pPr>
              <w:jc w:val="center"/>
              <w:ind w:right="240"/>
              <w:spacing w:after="0" w:line="148" w:lineRule="exact"/>
              <w:rPr>
                <w:sz w:val="20"/>
                <w:szCs w:val="20"/>
                <w:color w:val="auto"/>
              </w:rPr>
            </w:pPr>
            <w:r>
              <w:rPr>
                <w:rFonts w:ascii="Arial" w:cs="Arial" w:eastAsia="Arial" w:hAnsi="Arial"/>
                <w:sz w:val="14"/>
                <w:szCs w:val="14"/>
                <w:b w:val="1"/>
                <w:bCs w:val="1"/>
                <w:color w:val="auto"/>
              </w:rPr>
              <w:t>Other</w:t>
            </w:r>
          </w:p>
        </w:tc>
        <w:tc>
          <w:tcPr>
            <w:tcW w:w="0" w:type="dxa"/>
            <w:vAlign w:val="bottom"/>
          </w:tcPr>
          <w:p>
            <w:pPr>
              <w:spacing w:after="0"/>
              <w:rPr>
                <w:sz w:val="1"/>
                <w:szCs w:val="1"/>
                <w:color w:val="auto"/>
              </w:rPr>
            </w:pPr>
          </w:p>
        </w:tc>
      </w:tr>
      <w:tr>
        <w:trPr>
          <w:trHeight w:val="148"/>
        </w:trPr>
        <w:tc>
          <w:tcPr>
            <w:tcW w:w="48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300" w:type="dxa"/>
            <w:vAlign w:val="bottom"/>
            <w:gridSpan w:val="3"/>
            <w:vMerge w:val="continue"/>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180" w:type="dxa"/>
            <w:vAlign w:val="bottom"/>
            <w:gridSpan w:val="3"/>
          </w:tcPr>
          <w:p>
            <w:pPr>
              <w:jc w:val="center"/>
              <w:ind w:right="200"/>
              <w:spacing w:after="0" w:line="148" w:lineRule="exact"/>
              <w:rPr>
                <w:sz w:val="20"/>
                <w:szCs w:val="20"/>
                <w:color w:val="auto"/>
              </w:rPr>
            </w:pPr>
            <w:r>
              <w:rPr>
                <w:rFonts w:ascii="Arial" w:cs="Arial" w:eastAsia="Arial" w:hAnsi="Arial"/>
                <w:sz w:val="14"/>
                <w:szCs w:val="14"/>
                <w:b w:val="1"/>
                <w:bCs w:val="1"/>
                <w:color w:val="auto"/>
                <w:w w:val="92"/>
              </w:rPr>
              <w:t>Translation</w:t>
            </w:r>
          </w:p>
        </w:tc>
        <w:tc>
          <w:tcPr>
            <w:tcW w:w="1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20" w:type="dxa"/>
            <w:vAlign w:val="bottom"/>
            <w:gridSpan w:val="3"/>
          </w:tcPr>
          <w:p>
            <w:pPr>
              <w:jc w:val="center"/>
              <w:ind w:right="280"/>
              <w:spacing w:after="0" w:line="148" w:lineRule="exact"/>
              <w:rPr>
                <w:sz w:val="20"/>
                <w:szCs w:val="20"/>
                <w:color w:val="auto"/>
              </w:rPr>
            </w:pPr>
            <w:r>
              <w:rPr>
                <w:rFonts w:ascii="Arial" w:cs="Arial" w:eastAsia="Arial" w:hAnsi="Arial"/>
                <w:sz w:val="14"/>
                <w:szCs w:val="14"/>
                <w:b w:val="1"/>
                <w:bCs w:val="1"/>
                <w:color w:val="auto"/>
                <w:w w:val="94"/>
              </w:rPr>
              <w:t>Prior Service</w:t>
            </w:r>
          </w:p>
        </w:tc>
        <w:tc>
          <w:tcPr>
            <w:tcW w:w="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60" w:type="dxa"/>
            <w:vAlign w:val="bottom"/>
            <w:gridSpan w:val="2"/>
          </w:tcPr>
          <w:p>
            <w:pPr>
              <w:jc w:val="center"/>
              <w:ind w:right="240"/>
              <w:spacing w:after="0" w:line="148" w:lineRule="exact"/>
              <w:rPr>
                <w:sz w:val="20"/>
                <w:szCs w:val="20"/>
                <w:color w:val="auto"/>
              </w:rPr>
            </w:pPr>
            <w:r>
              <w:rPr>
                <w:rFonts w:ascii="Arial" w:cs="Arial" w:eastAsia="Arial" w:hAnsi="Arial"/>
                <w:sz w:val="14"/>
                <w:szCs w:val="14"/>
                <w:b w:val="1"/>
                <w:bCs w:val="1"/>
                <w:color w:val="auto"/>
                <w:w w:val="89"/>
              </w:rPr>
              <w:t>Comprehensive</w:t>
            </w:r>
          </w:p>
        </w:tc>
        <w:tc>
          <w:tcPr>
            <w:tcW w:w="0" w:type="dxa"/>
            <w:vAlign w:val="bottom"/>
          </w:tcPr>
          <w:p>
            <w:pPr>
              <w:spacing w:after="0"/>
              <w:rPr>
                <w:sz w:val="1"/>
                <w:szCs w:val="1"/>
                <w:color w:val="auto"/>
              </w:rPr>
            </w:pPr>
          </w:p>
        </w:tc>
      </w:tr>
      <w:tr>
        <w:trPr>
          <w:trHeight w:val="171"/>
        </w:trPr>
        <w:tc>
          <w:tcPr>
            <w:tcW w:w="4820" w:type="dxa"/>
            <w:vAlign w:val="bottom"/>
          </w:tcPr>
          <w:p>
            <w:pPr>
              <w:spacing w:after="0"/>
              <w:rPr>
                <w:sz w:val="20"/>
                <w:szCs w:val="20"/>
                <w:color w:val="auto"/>
              </w:rPr>
            </w:pPr>
            <w:r>
              <w:rPr>
                <w:rFonts w:ascii="Arial" w:cs="Arial" w:eastAsia="Arial" w:hAnsi="Arial"/>
                <w:sz w:val="14"/>
                <w:szCs w:val="14"/>
                <w:i w:val="1"/>
                <w:iCs w:val="1"/>
                <w:color w:val="auto"/>
              </w:rPr>
              <w:t>(in thousands)</w:t>
            </w:r>
          </w:p>
        </w:tc>
        <w:tc>
          <w:tcPr>
            <w:tcW w:w="7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300" w:type="dxa"/>
            <w:vAlign w:val="bottom"/>
            <w:gridSpan w:val="3"/>
          </w:tcPr>
          <w:p>
            <w:pPr>
              <w:jc w:val="right"/>
              <w:ind w:right="320"/>
              <w:spacing w:after="0"/>
              <w:rPr>
                <w:sz w:val="20"/>
                <w:szCs w:val="20"/>
                <w:color w:val="auto"/>
              </w:rPr>
            </w:pPr>
            <w:r>
              <w:rPr>
                <w:rFonts w:ascii="Arial" w:cs="Arial" w:eastAsia="Arial" w:hAnsi="Arial"/>
                <w:sz w:val="14"/>
                <w:szCs w:val="14"/>
                <w:b w:val="1"/>
                <w:bCs w:val="1"/>
                <w:color w:val="auto"/>
                <w:w w:val="93"/>
              </w:rPr>
              <w:t>on Investments</w:t>
            </w: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180" w:type="dxa"/>
            <w:vAlign w:val="bottom"/>
            <w:gridSpan w:val="3"/>
          </w:tcPr>
          <w:p>
            <w:pPr>
              <w:jc w:val="center"/>
              <w:ind w:right="200"/>
              <w:spacing w:after="0"/>
              <w:rPr>
                <w:sz w:val="20"/>
                <w:szCs w:val="20"/>
                <w:color w:val="auto"/>
              </w:rPr>
            </w:pPr>
            <w:r>
              <w:rPr>
                <w:rFonts w:ascii="Arial" w:cs="Arial" w:eastAsia="Arial" w:hAnsi="Arial"/>
                <w:sz w:val="14"/>
                <w:szCs w:val="14"/>
                <w:b w:val="1"/>
                <w:bCs w:val="1"/>
                <w:color w:val="auto"/>
                <w:w w:val="91"/>
              </w:rPr>
              <w:t>Adjustments</w:t>
            </w:r>
          </w:p>
        </w:tc>
        <w:tc>
          <w:tcPr>
            <w:tcW w:w="1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20" w:type="dxa"/>
            <w:vAlign w:val="bottom"/>
            <w:gridSpan w:val="3"/>
          </w:tcPr>
          <w:p>
            <w:pPr>
              <w:jc w:val="center"/>
              <w:ind w:right="300"/>
              <w:spacing w:after="0"/>
              <w:rPr>
                <w:sz w:val="20"/>
                <w:szCs w:val="20"/>
                <w:color w:val="auto"/>
              </w:rPr>
            </w:pPr>
            <w:r>
              <w:rPr>
                <w:rFonts w:ascii="Arial" w:cs="Arial" w:eastAsia="Arial" w:hAnsi="Arial"/>
                <w:sz w:val="14"/>
                <w:szCs w:val="14"/>
                <w:b w:val="1"/>
                <w:bCs w:val="1"/>
                <w:color w:val="auto"/>
                <w:w w:val="95"/>
              </w:rPr>
              <w:t>Credit, Net</w:t>
            </w:r>
          </w:p>
        </w:tc>
        <w:tc>
          <w:tcPr>
            <w:tcW w:w="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6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0"/>
              </w:rPr>
              <w:t>Income (Loss)</w:t>
            </w:r>
          </w:p>
        </w:tc>
        <w:tc>
          <w:tcPr>
            <w:tcW w:w="0" w:type="dxa"/>
            <w:vAlign w:val="bottom"/>
          </w:tcPr>
          <w:p>
            <w:pPr>
              <w:spacing w:after="0"/>
              <w:rPr>
                <w:sz w:val="1"/>
                <w:szCs w:val="1"/>
                <w:color w:val="auto"/>
              </w:rPr>
            </w:pPr>
          </w:p>
        </w:tc>
      </w:tr>
      <w:tr>
        <w:trPr>
          <w:trHeight w:val="222"/>
        </w:trPr>
        <w:tc>
          <w:tcPr>
            <w:tcW w:w="482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8"/>
                <w:szCs w:val="18"/>
                <w:b w:val="1"/>
                <w:bCs w:val="1"/>
                <w:color w:val="auto"/>
              </w:rPr>
              <w:t>Balance at December 31, 2017</w:t>
            </w:r>
          </w:p>
        </w:tc>
        <w:tc>
          <w:tcPr>
            <w:tcW w:w="740" w:type="dxa"/>
            <w:vAlign w:val="bottom"/>
            <w:tcBorders>
              <w:top w:val="single" w:sz="8" w:color="CFF0FC"/>
            </w:tcBorders>
            <w:shd w:val="clear" w:color="auto" w:fill="CFF0FC"/>
          </w:tcPr>
          <w:p>
            <w:pPr>
              <w:spacing w:after="0"/>
              <w:rPr>
                <w:sz w:val="19"/>
                <w:szCs w:val="19"/>
                <w:color w:val="auto"/>
              </w:rPr>
            </w:pPr>
          </w:p>
        </w:tc>
        <w:tc>
          <w:tcPr>
            <w:tcW w:w="10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1160" w:type="dxa"/>
            <w:vAlign w:val="bottom"/>
            <w:tcBorders>
              <w:top w:val="single" w:sz="8" w:color="auto"/>
            </w:tcBorders>
            <w:gridSpan w:val="2"/>
            <w:shd w:val="clear" w:color="auto" w:fill="CFF0FC"/>
          </w:tcPr>
          <w:p>
            <w:pPr>
              <w:jc w:val="right"/>
              <w:spacing w:after="0"/>
              <w:rPr>
                <w:sz w:val="20"/>
                <w:szCs w:val="20"/>
                <w:color w:val="auto"/>
              </w:rPr>
            </w:pPr>
            <w:r>
              <w:rPr>
                <w:rFonts w:ascii="Arial" w:cs="Arial" w:eastAsia="Arial" w:hAnsi="Arial"/>
                <w:sz w:val="18"/>
                <w:szCs w:val="18"/>
                <w:color w:val="auto"/>
              </w:rPr>
              <w:t>616</w:t>
            </w:r>
          </w:p>
        </w:tc>
        <w:tc>
          <w:tcPr>
            <w:tcW w:w="140" w:type="dxa"/>
            <w:vAlign w:val="bottom"/>
            <w:tcBorders>
              <w:top w:val="single" w:sz="8" w:color="CFF0FC"/>
            </w:tcBorders>
            <w:shd w:val="clear" w:color="auto" w:fill="CFF0FC"/>
          </w:tcPr>
          <w:p>
            <w:pPr>
              <w:spacing w:after="0"/>
              <w:rPr>
                <w:sz w:val="19"/>
                <w:szCs w:val="19"/>
                <w:color w:val="auto"/>
              </w:rPr>
            </w:pPr>
          </w:p>
        </w:tc>
        <w:tc>
          <w:tcPr>
            <w:tcW w:w="100" w:type="dxa"/>
            <w:vAlign w:val="bottom"/>
            <w:tcBorders>
              <w:top w:val="single" w:sz="8" w:color="CFF0FC"/>
            </w:tcBorders>
            <w:shd w:val="clear" w:color="auto" w:fill="CFF0FC"/>
          </w:tcPr>
          <w:p>
            <w:pPr>
              <w:spacing w:after="0"/>
              <w:rPr>
                <w:sz w:val="19"/>
                <w:szCs w:val="19"/>
                <w:color w:val="auto"/>
              </w:rPr>
            </w:pPr>
          </w:p>
        </w:tc>
        <w:tc>
          <w:tcPr>
            <w:tcW w:w="12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1140" w:type="dxa"/>
            <w:vAlign w:val="bottom"/>
            <w:tcBorders>
              <w:top w:val="single" w:sz="8" w:color="auto"/>
            </w:tcBorders>
            <w:gridSpan w:val="2"/>
            <w:shd w:val="clear" w:color="auto" w:fill="CFF0FC"/>
          </w:tcPr>
          <w:p>
            <w:pPr>
              <w:jc w:val="right"/>
              <w:spacing w:after="0"/>
              <w:rPr>
                <w:sz w:val="20"/>
                <w:szCs w:val="20"/>
                <w:color w:val="auto"/>
              </w:rPr>
            </w:pPr>
            <w:r>
              <w:rPr>
                <w:rFonts w:ascii="Arial" w:cs="Arial" w:eastAsia="Arial" w:hAnsi="Arial"/>
                <w:sz w:val="18"/>
                <w:szCs w:val="18"/>
                <w:color w:val="auto"/>
              </w:rPr>
              <w:t>(12,026)</w:t>
            </w:r>
          </w:p>
        </w:tc>
        <w:tc>
          <w:tcPr>
            <w:tcW w:w="180" w:type="dxa"/>
            <w:vAlign w:val="bottom"/>
            <w:tcBorders>
              <w:top w:val="single" w:sz="8" w:color="CFF0FC"/>
            </w:tcBorders>
            <w:gridSpan w:val="2"/>
            <w:shd w:val="clear" w:color="auto" w:fill="CFF0FC"/>
          </w:tcPr>
          <w:p>
            <w:pPr>
              <w:spacing w:after="0"/>
              <w:rPr>
                <w:sz w:val="19"/>
                <w:szCs w:val="19"/>
                <w:color w:val="auto"/>
              </w:rPr>
            </w:pPr>
          </w:p>
        </w:tc>
        <w:tc>
          <w:tcPr>
            <w:tcW w:w="40" w:type="dxa"/>
            <w:vAlign w:val="bottom"/>
            <w:tcBorders>
              <w:top w:val="single" w:sz="8" w:color="CFF0FC"/>
            </w:tcBorders>
            <w:shd w:val="clear" w:color="auto" w:fill="CFF0FC"/>
          </w:tcPr>
          <w:p>
            <w:pPr>
              <w:spacing w:after="0"/>
              <w:rPr>
                <w:sz w:val="19"/>
                <w:szCs w:val="19"/>
                <w:color w:val="auto"/>
              </w:rPr>
            </w:pPr>
          </w:p>
        </w:tc>
        <w:tc>
          <w:tcPr>
            <w:tcW w:w="160" w:type="dxa"/>
            <w:vAlign w:val="bottom"/>
            <w:tcBorders>
              <w:top w:val="single" w:sz="8" w:color="auto"/>
            </w:tcBorders>
            <w:shd w:val="clear" w:color="auto" w:fill="CFF0FC"/>
          </w:tcPr>
          <w:p>
            <w:pPr>
              <w:spacing w:after="0"/>
              <w:rPr>
                <w:sz w:val="20"/>
                <w:szCs w:val="20"/>
                <w:color w:val="auto"/>
              </w:rPr>
            </w:pPr>
            <w:r>
              <w:rPr>
                <w:rFonts w:ascii="Arial" w:cs="Arial" w:eastAsia="Arial" w:hAnsi="Arial"/>
                <w:sz w:val="18"/>
                <w:szCs w:val="18"/>
                <w:color w:val="auto"/>
              </w:rPr>
              <w:t>$</w:t>
            </w:r>
          </w:p>
        </w:tc>
        <w:tc>
          <w:tcPr>
            <w:tcW w:w="1100" w:type="dxa"/>
            <w:vAlign w:val="bottom"/>
            <w:tcBorders>
              <w:top w:val="single" w:sz="8" w:color="auto"/>
            </w:tcBorders>
            <w:gridSpan w:val="2"/>
            <w:shd w:val="clear" w:color="auto" w:fill="CFF0FC"/>
          </w:tcPr>
          <w:p>
            <w:pPr>
              <w:jc w:val="right"/>
              <w:spacing w:after="0"/>
              <w:rPr>
                <w:sz w:val="20"/>
                <w:szCs w:val="20"/>
                <w:color w:val="auto"/>
              </w:rPr>
            </w:pPr>
            <w:r>
              <w:rPr>
                <w:rFonts w:ascii="Arial" w:cs="Arial" w:eastAsia="Arial" w:hAnsi="Arial"/>
                <w:sz w:val="18"/>
                <w:szCs w:val="18"/>
                <w:color w:val="auto"/>
              </w:rPr>
              <w:t>(11,158)</w:t>
            </w:r>
          </w:p>
        </w:tc>
        <w:tc>
          <w:tcPr>
            <w:tcW w:w="120" w:type="dxa"/>
            <w:vAlign w:val="bottom"/>
            <w:tcBorders>
              <w:top w:val="single" w:sz="8" w:color="CFF0FC"/>
            </w:tcBorders>
            <w:shd w:val="clear" w:color="auto" w:fill="CFF0FC"/>
          </w:tcPr>
          <w:p>
            <w:pPr>
              <w:spacing w:after="0"/>
              <w:rPr>
                <w:sz w:val="19"/>
                <w:szCs w:val="19"/>
                <w:color w:val="auto"/>
              </w:rPr>
            </w:pPr>
          </w:p>
        </w:tc>
        <w:tc>
          <w:tcPr>
            <w:tcW w:w="140" w:type="dxa"/>
            <w:vAlign w:val="bottom"/>
            <w:tcBorders>
              <w:top w:val="single" w:sz="8" w:color="CFF0FC"/>
            </w:tcBorders>
            <w:gridSpan w:val="3"/>
            <w:shd w:val="clear" w:color="auto" w:fill="CFF0FC"/>
          </w:tcPr>
          <w:p>
            <w:pPr>
              <w:spacing w:after="0"/>
              <w:rPr>
                <w:sz w:val="19"/>
                <w:szCs w:val="19"/>
                <w:color w:val="auto"/>
              </w:rPr>
            </w:pPr>
          </w:p>
        </w:tc>
        <w:tc>
          <w:tcPr>
            <w:tcW w:w="10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0"/>
                <w:szCs w:val="10"/>
                <w:color w:val="auto"/>
                <w:w w:val="71"/>
              </w:rPr>
              <w:t>$</w:t>
            </w:r>
          </w:p>
        </w:tc>
        <w:tc>
          <w:tcPr>
            <w:tcW w:w="116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(22,568)</w:t>
            </w:r>
          </w:p>
        </w:tc>
        <w:tc>
          <w:tcPr>
            <w:tcW w:w="100" w:type="dxa"/>
            <w:vAlign w:val="bottom"/>
            <w:tcBorders>
              <w:top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4820" w:type="dxa"/>
            <w:vAlign w:val="bottom"/>
          </w:tcPr>
          <w:p>
            <w:pPr>
              <w:ind w:left="260"/>
              <w:spacing w:after="0"/>
              <w:rPr>
                <w:sz w:val="20"/>
                <w:szCs w:val="20"/>
                <w:color w:val="auto"/>
              </w:rPr>
            </w:pPr>
            <w:r>
              <w:rPr>
                <w:rFonts w:ascii="Arial" w:cs="Arial" w:eastAsia="Arial" w:hAnsi="Arial"/>
                <w:sz w:val="18"/>
                <w:szCs w:val="18"/>
                <w:color w:val="auto"/>
              </w:rPr>
              <w:t xml:space="preserve">Adoption of ASU 2016-01 </w:t>
            </w:r>
            <w:r>
              <w:rPr>
                <w:rFonts w:ascii="Arial" w:cs="Arial" w:eastAsia="Arial" w:hAnsi="Arial"/>
                <w:sz w:val="15"/>
                <w:szCs w:val="15"/>
                <w:color w:val="auto"/>
              </w:rPr>
              <w:t>(1)</w:t>
            </w:r>
          </w:p>
        </w:tc>
        <w:tc>
          <w:tcPr>
            <w:tcW w:w="7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300" w:type="dxa"/>
            <w:vAlign w:val="bottom"/>
            <w:gridSpan w:val="3"/>
          </w:tcPr>
          <w:p>
            <w:pPr>
              <w:jc w:val="right"/>
              <w:ind w:right="80"/>
              <w:spacing w:after="0"/>
              <w:rPr>
                <w:sz w:val="20"/>
                <w:szCs w:val="20"/>
                <w:color w:val="auto"/>
              </w:rPr>
            </w:pPr>
            <w:r>
              <w:rPr>
                <w:rFonts w:ascii="Arial" w:cs="Arial" w:eastAsia="Arial" w:hAnsi="Arial"/>
                <w:sz w:val="18"/>
                <w:szCs w:val="18"/>
                <w:color w:val="auto"/>
              </w:rPr>
              <w:t>(616)</w:t>
            </w: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240" w:type="dxa"/>
            <w:vAlign w:val="bottom"/>
            <w:gridSpan w:val="2"/>
          </w:tcPr>
          <w:p>
            <w:pPr>
              <w:jc w:val="right"/>
              <w:ind w:right="60"/>
              <w:spacing w:after="0"/>
              <w:rPr>
                <w:sz w:val="20"/>
                <w:szCs w:val="20"/>
                <w:color w:val="auto"/>
              </w:rPr>
            </w:pPr>
            <w:r>
              <w:rPr>
                <w:rFonts w:ascii="Arial" w:cs="Arial" w:eastAsia="Arial" w:hAnsi="Arial"/>
                <w:sz w:val="18"/>
                <w:szCs w:val="18"/>
                <w:color w:val="auto"/>
                <w:w w:val="88"/>
              </w:rPr>
              <w:t>—</w:t>
            </w:r>
          </w:p>
        </w:tc>
        <w:tc>
          <w:tcPr>
            <w:tcW w:w="14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20" w:type="dxa"/>
            <w:vAlign w:val="bottom"/>
            <w:gridSpan w:val="3"/>
          </w:tcPr>
          <w:p>
            <w:pPr>
              <w:jc w:val="right"/>
              <w:ind w:right="120"/>
              <w:spacing w:after="0"/>
              <w:rPr>
                <w:sz w:val="20"/>
                <w:szCs w:val="20"/>
                <w:color w:val="auto"/>
              </w:rPr>
            </w:pPr>
            <w:r>
              <w:rPr>
                <w:rFonts w:ascii="Arial" w:cs="Arial" w:eastAsia="Arial" w:hAnsi="Arial"/>
                <w:sz w:val="18"/>
                <w:szCs w:val="18"/>
                <w:color w:val="auto"/>
              </w:rPr>
              <w:t>—</w:t>
            </w:r>
          </w:p>
        </w:tc>
        <w:tc>
          <w:tcPr>
            <w:tcW w:w="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60" w:type="dxa"/>
            <w:vAlign w:val="bottom"/>
            <w:gridSpan w:val="2"/>
          </w:tcPr>
          <w:p>
            <w:pPr>
              <w:jc w:val="right"/>
              <w:ind w:right="40"/>
              <w:spacing w:after="0"/>
              <w:rPr>
                <w:sz w:val="20"/>
                <w:szCs w:val="20"/>
                <w:color w:val="auto"/>
              </w:rPr>
            </w:pPr>
            <w:r>
              <w:rPr>
                <w:rFonts w:ascii="Arial" w:cs="Arial" w:eastAsia="Arial" w:hAnsi="Arial"/>
                <w:sz w:val="18"/>
                <w:szCs w:val="18"/>
                <w:color w:val="auto"/>
              </w:rPr>
              <w:t>(616)</w:t>
            </w:r>
          </w:p>
        </w:tc>
        <w:tc>
          <w:tcPr>
            <w:tcW w:w="0" w:type="dxa"/>
            <w:vAlign w:val="bottom"/>
          </w:tcPr>
          <w:p>
            <w:pPr>
              <w:spacing w:after="0"/>
              <w:rPr>
                <w:sz w:val="1"/>
                <w:szCs w:val="1"/>
                <w:color w:val="auto"/>
              </w:rPr>
            </w:pPr>
          </w:p>
        </w:tc>
      </w:tr>
      <w:tr>
        <w:trPr>
          <w:trHeight w:val="229"/>
        </w:trPr>
        <w:tc>
          <w:tcPr>
            <w:tcW w:w="4820" w:type="dxa"/>
            <w:vAlign w:val="bottom"/>
            <w:shd w:val="clear" w:color="auto" w:fill="CFF0FC"/>
          </w:tcPr>
          <w:p>
            <w:pPr>
              <w:ind w:left="260"/>
              <w:spacing w:after="0"/>
              <w:rPr>
                <w:sz w:val="20"/>
                <w:szCs w:val="20"/>
                <w:color w:val="auto"/>
              </w:rPr>
            </w:pPr>
            <w:r>
              <w:rPr>
                <w:rFonts w:ascii="Arial" w:cs="Arial" w:eastAsia="Arial" w:hAnsi="Arial"/>
                <w:sz w:val="18"/>
                <w:szCs w:val="18"/>
                <w:color w:val="auto"/>
              </w:rPr>
              <w:t>Other comprehensive income before reclassifications</w:t>
            </w:r>
          </w:p>
        </w:tc>
        <w:tc>
          <w:tcPr>
            <w:tcW w:w="7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300" w:type="dxa"/>
            <w:vAlign w:val="bottom"/>
            <w:gridSpan w:val="3"/>
            <w:shd w:val="clear" w:color="auto" w:fill="CFF0FC"/>
          </w:tcPr>
          <w:p>
            <w:pPr>
              <w:jc w:val="right"/>
              <w:ind w:right="160"/>
              <w:spacing w:after="0"/>
              <w:rPr>
                <w:sz w:val="20"/>
                <w:szCs w:val="20"/>
                <w:color w:val="auto"/>
              </w:rPr>
            </w:pPr>
            <w:r>
              <w:rPr>
                <w:rFonts w:ascii="Arial" w:cs="Arial" w:eastAsia="Arial" w:hAnsi="Arial"/>
                <w:sz w:val="18"/>
                <w:szCs w:val="18"/>
                <w:color w:val="auto"/>
              </w:rPr>
              <w:t>—</w:t>
            </w:r>
          </w:p>
        </w:tc>
        <w:tc>
          <w:tcPr>
            <w:tcW w:w="1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320" w:type="dxa"/>
            <w:vAlign w:val="bottom"/>
            <w:gridSpan w:val="4"/>
            <w:shd w:val="clear" w:color="auto" w:fill="CFF0FC"/>
          </w:tcPr>
          <w:p>
            <w:pPr>
              <w:jc w:val="right"/>
              <w:ind w:right="30"/>
              <w:spacing w:after="0"/>
              <w:rPr>
                <w:sz w:val="20"/>
                <w:szCs w:val="20"/>
                <w:color w:val="auto"/>
              </w:rPr>
            </w:pPr>
            <w:r>
              <w:rPr>
                <w:rFonts w:ascii="Arial" w:cs="Arial" w:eastAsia="Arial" w:hAnsi="Arial"/>
                <w:sz w:val="18"/>
                <w:szCs w:val="18"/>
                <w:color w:val="auto"/>
              </w:rPr>
              <w:t>(3,109)</w:t>
            </w:r>
          </w:p>
        </w:tc>
        <w:tc>
          <w:tcPr>
            <w:tcW w:w="4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1220" w:type="dxa"/>
            <w:vAlign w:val="bottom"/>
            <w:gridSpan w:val="3"/>
            <w:shd w:val="clear" w:color="auto" w:fill="CFF0FC"/>
          </w:tcPr>
          <w:p>
            <w:pPr>
              <w:jc w:val="right"/>
              <w:ind w:right="120"/>
              <w:spacing w:after="0"/>
              <w:rPr>
                <w:sz w:val="20"/>
                <w:szCs w:val="20"/>
                <w:color w:val="auto"/>
              </w:rPr>
            </w:pPr>
            <w:r>
              <w:rPr>
                <w:rFonts w:ascii="Arial" w:cs="Arial" w:eastAsia="Arial" w:hAnsi="Arial"/>
                <w:sz w:val="18"/>
                <w:szCs w:val="18"/>
                <w:color w:val="auto"/>
              </w:rPr>
              <w:t>—</w:t>
            </w:r>
          </w:p>
        </w:tc>
        <w:tc>
          <w:tcPr>
            <w:tcW w:w="4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260" w:type="dxa"/>
            <w:vAlign w:val="bottom"/>
            <w:gridSpan w:val="2"/>
            <w:shd w:val="clear" w:color="auto" w:fill="CFF0FC"/>
          </w:tcPr>
          <w:p>
            <w:pPr>
              <w:jc w:val="right"/>
              <w:ind w:right="40"/>
              <w:spacing w:after="0"/>
              <w:rPr>
                <w:sz w:val="20"/>
                <w:szCs w:val="20"/>
                <w:color w:val="auto"/>
              </w:rPr>
            </w:pPr>
            <w:r>
              <w:rPr>
                <w:rFonts w:ascii="Arial" w:cs="Arial" w:eastAsia="Arial" w:hAnsi="Arial"/>
                <w:sz w:val="18"/>
                <w:szCs w:val="18"/>
                <w:color w:val="auto"/>
              </w:rPr>
              <w:t>(3,109)</w:t>
            </w:r>
          </w:p>
        </w:tc>
        <w:tc>
          <w:tcPr>
            <w:tcW w:w="0" w:type="dxa"/>
            <w:vAlign w:val="bottom"/>
          </w:tcPr>
          <w:p>
            <w:pPr>
              <w:spacing w:after="0"/>
              <w:rPr>
                <w:sz w:val="1"/>
                <w:szCs w:val="1"/>
                <w:color w:val="auto"/>
              </w:rPr>
            </w:pPr>
          </w:p>
        </w:tc>
      </w:tr>
      <w:tr>
        <w:trPr>
          <w:trHeight w:val="229"/>
        </w:trPr>
        <w:tc>
          <w:tcPr>
            <w:tcW w:w="4820" w:type="dxa"/>
            <w:vAlign w:val="bottom"/>
          </w:tcPr>
          <w:p>
            <w:pPr>
              <w:ind w:left="260"/>
              <w:spacing w:after="0"/>
              <w:rPr>
                <w:sz w:val="20"/>
                <w:szCs w:val="20"/>
                <w:color w:val="auto"/>
              </w:rPr>
            </w:pPr>
            <w:r>
              <w:rPr>
                <w:rFonts w:ascii="Arial" w:cs="Arial" w:eastAsia="Arial" w:hAnsi="Arial"/>
                <w:sz w:val="18"/>
                <w:szCs w:val="18"/>
                <w:color w:val="auto"/>
              </w:rPr>
              <w:t>Amounts reclassified from AOCI, net of tax</w:t>
            </w:r>
          </w:p>
        </w:tc>
        <w:tc>
          <w:tcPr>
            <w:tcW w:w="7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300" w:type="dxa"/>
            <w:vAlign w:val="bottom"/>
            <w:gridSpan w:val="3"/>
          </w:tcPr>
          <w:p>
            <w:pPr>
              <w:jc w:val="right"/>
              <w:ind w:right="16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240" w:type="dxa"/>
            <w:vAlign w:val="bottom"/>
            <w:gridSpan w:val="2"/>
          </w:tcPr>
          <w:p>
            <w:pPr>
              <w:jc w:val="right"/>
              <w:ind w:right="60"/>
              <w:spacing w:after="0"/>
              <w:rPr>
                <w:sz w:val="20"/>
                <w:szCs w:val="20"/>
                <w:color w:val="auto"/>
              </w:rPr>
            </w:pPr>
            <w:r>
              <w:rPr>
                <w:rFonts w:ascii="Arial" w:cs="Arial" w:eastAsia="Arial" w:hAnsi="Arial"/>
                <w:sz w:val="18"/>
                <w:szCs w:val="18"/>
                <w:color w:val="auto"/>
                <w:w w:val="88"/>
              </w:rPr>
              <w:t>—</w:t>
            </w:r>
          </w:p>
        </w:tc>
        <w:tc>
          <w:tcPr>
            <w:tcW w:w="14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100" w:type="dxa"/>
            <w:vAlign w:val="bottom"/>
            <w:gridSpan w:val="2"/>
          </w:tcPr>
          <w:p>
            <w:pPr>
              <w:jc w:val="right"/>
              <w:spacing w:after="0"/>
              <w:rPr>
                <w:sz w:val="20"/>
                <w:szCs w:val="20"/>
                <w:color w:val="auto"/>
              </w:rPr>
            </w:pPr>
            <w:r>
              <w:rPr>
                <w:rFonts w:ascii="Arial" w:cs="Arial" w:eastAsia="Arial" w:hAnsi="Arial"/>
                <w:sz w:val="18"/>
                <w:szCs w:val="18"/>
                <w:color w:val="auto"/>
              </w:rPr>
              <w:t>445</w:t>
            </w:r>
          </w:p>
        </w:tc>
        <w:tc>
          <w:tcPr>
            <w:tcW w:w="12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445</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2"/>
        </w:trPr>
        <w:tc>
          <w:tcPr>
            <w:tcW w:w="482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8"/>
                <w:szCs w:val="18"/>
                <w:b w:val="1"/>
                <w:bCs w:val="1"/>
                <w:color w:val="auto"/>
              </w:rPr>
              <w:t>Net other comprehensive income (loss)</w:t>
            </w:r>
          </w:p>
        </w:tc>
        <w:tc>
          <w:tcPr>
            <w:tcW w:w="740" w:type="dxa"/>
            <w:vAlign w:val="bottom"/>
            <w:tcBorders>
              <w:top w:val="single" w:sz="8" w:color="CFF0FC"/>
            </w:tcBorders>
            <w:shd w:val="clear" w:color="auto" w:fill="CFF0FC"/>
          </w:tcPr>
          <w:p>
            <w:pPr>
              <w:spacing w:after="0"/>
              <w:rPr>
                <w:sz w:val="19"/>
                <w:szCs w:val="19"/>
                <w:color w:val="auto"/>
              </w:rPr>
            </w:pPr>
          </w:p>
        </w:tc>
        <w:tc>
          <w:tcPr>
            <w:tcW w:w="100" w:type="dxa"/>
            <w:vAlign w:val="bottom"/>
            <w:tcBorders>
              <w:top w:val="single" w:sz="8" w:color="auto"/>
              <w:bottom w:val="single" w:sz="8" w:color="auto"/>
            </w:tcBorders>
            <w:shd w:val="clear" w:color="auto" w:fill="CFF0FC"/>
          </w:tcPr>
          <w:p>
            <w:pPr>
              <w:spacing w:after="0"/>
              <w:rPr>
                <w:sz w:val="19"/>
                <w:szCs w:val="19"/>
                <w:color w:val="auto"/>
              </w:rPr>
            </w:pPr>
          </w:p>
        </w:tc>
        <w:tc>
          <w:tcPr>
            <w:tcW w:w="1160" w:type="dxa"/>
            <w:vAlign w:val="bottom"/>
            <w:tcBorders>
              <w:top w:val="single" w:sz="8" w:color="auto"/>
              <w:bottom w:val="single" w:sz="8" w:color="auto"/>
            </w:tcBorders>
            <w:gridSpan w:val="2"/>
            <w:shd w:val="clear" w:color="auto" w:fill="CFF0FC"/>
          </w:tcPr>
          <w:p>
            <w:pPr>
              <w:jc w:val="right"/>
              <w:spacing w:after="0"/>
              <w:rPr>
                <w:sz w:val="20"/>
                <w:szCs w:val="20"/>
                <w:color w:val="auto"/>
              </w:rPr>
            </w:pPr>
            <w:r>
              <w:rPr>
                <w:rFonts w:ascii="Arial" w:cs="Arial" w:eastAsia="Arial" w:hAnsi="Arial"/>
                <w:sz w:val="18"/>
                <w:szCs w:val="18"/>
                <w:color w:val="auto"/>
              </w:rPr>
              <w:t>(616)</w:t>
            </w:r>
          </w:p>
        </w:tc>
        <w:tc>
          <w:tcPr>
            <w:tcW w:w="140" w:type="dxa"/>
            <w:vAlign w:val="bottom"/>
            <w:tcBorders>
              <w:top w:val="single" w:sz="8" w:color="CFF0FC"/>
            </w:tcBorders>
            <w:shd w:val="clear" w:color="auto" w:fill="CFF0FC"/>
          </w:tcPr>
          <w:p>
            <w:pPr>
              <w:spacing w:after="0"/>
              <w:rPr>
                <w:sz w:val="19"/>
                <w:szCs w:val="19"/>
                <w:color w:val="auto"/>
              </w:rPr>
            </w:pPr>
          </w:p>
        </w:tc>
        <w:tc>
          <w:tcPr>
            <w:tcW w:w="100" w:type="dxa"/>
            <w:vAlign w:val="bottom"/>
            <w:tcBorders>
              <w:top w:val="single" w:sz="8" w:color="CFF0FC"/>
            </w:tcBorders>
            <w:shd w:val="clear" w:color="auto" w:fill="CFF0FC"/>
          </w:tcPr>
          <w:p>
            <w:pPr>
              <w:spacing w:after="0"/>
              <w:rPr>
                <w:sz w:val="19"/>
                <w:szCs w:val="19"/>
                <w:color w:val="auto"/>
              </w:rPr>
            </w:pPr>
          </w:p>
        </w:tc>
        <w:tc>
          <w:tcPr>
            <w:tcW w:w="120" w:type="dxa"/>
            <w:vAlign w:val="bottom"/>
            <w:tcBorders>
              <w:top w:val="single" w:sz="8" w:color="auto"/>
              <w:bottom w:val="single" w:sz="8" w:color="auto"/>
            </w:tcBorders>
            <w:shd w:val="clear" w:color="auto" w:fill="CFF0FC"/>
          </w:tcPr>
          <w:p>
            <w:pPr>
              <w:spacing w:after="0"/>
              <w:rPr>
                <w:sz w:val="19"/>
                <w:szCs w:val="19"/>
                <w:color w:val="auto"/>
              </w:rPr>
            </w:pPr>
          </w:p>
        </w:tc>
        <w:tc>
          <w:tcPr>
            <w:tcW w:w="1140" w:type="dxa"/>
            <w:vAlign w:val="bottom"/>
            <w:tcBorders>
              <w:top w:val="single" w:sz="8" w:color="auto"/>
              <w:bottom w:val="single" w:sz="8" w:color="auto"/>
            </w:tcBorders>
            <w:gridSpan w:val="2"/>
            <w:shd w:val="clear" w:color="auto" w:fill="CFF0FC"/>
          </w:tcPr>
          <w:p>
            <w:pPr>
              <w:jc w:val="right"/>
              <w:spacing w:after="0"/>
              <w:rPr>
                <w:sz w:val="20"/>
                <w:szCs w:val="20"/>
                <w:color w:val="auto"/>
              </w:rPr>
            </w:pPr>
            <w:r>
              <w:rPr>
                <w:rFonts w:ascii="Arial" w:cs="Arial" w:eastAsia="Arial" w:hAnsi="Arial"/>
                <w:sz w:val="18"/>
                <w:szCs w:val="18"/>
                <w:color w:val="auto"/>
              </w:rPr>
              <w:t>(3,109)</w:t>
            </w:r>
          </w:p>
        </w:tc>
        <w:tc>
          <w:tcPr>
            <w:tcW w:w="180" w:type="dxa"/>
            <w:vAlign w:val="bottom"/>
            <w:tcBorders>
              <w:top w:val="single" w:sz="8" w:color="CFF0FC"/>
            </w:tcBorders>
            <w:gridSpan w:val="2"/>
            <w:shd w:val="clear" w:color="auto" w:fill="CFF0FC"/>
          </w:tcPr>
          <w:p>
            <w:pPr>
              <w:spacing w:after="0"/>
              <w:rPr>
                <w:sz w:val="19"/>
                <w:szCs w:val="19"/>
                <w:color w:val="auto"/>
              </w:rPr>
            </w:pPr>
          </w:p>
        </w:tc>
        <w:tc>
          <w:tcPr>
            <w:tcW w:w="40" w:type="dxa"/>
            <w:vAlign w:val="bottom"/>
            <w:tcBorders>
              <w:top w:val="single" w:sz="8" w:color="CFF0FC"/>
            </w:tcBorders>
            <w:shd w:val="clear" w:color="auto" w:fill="CFF0FC"/>
          </w:tcPr>
          <w:p>
            <w:pPr>
              <w:spacing w:after="0"/>
              <w:rPr>
                <w:sz w:val="19"/>
                <w:szCs w:val="19"/>
                <w:color w:val="auto"/>
              </w:rPr>
            </w:pPr>
          </w:p>
        </w:tc>
        <w:tc>
          <w:tcPr>
            <w:tcW w:w="160" w:type="dxa"/>
            <w:vAlign w:val="bottom"/>
            <w:tcBorders>
              <w:top w:val="single" w:sz="8" w:color="auto"/>
              <w:bottom w:val="single" w:sz="8" w:color="auto"/>
            </w:tcBorders>
            <w:shd w:val="clear" w:color="auto" w:fill="CFF0FC"/>
          </w:tcPr>
          <w:p>
            <w:pPr>
              <w:spacing w:after="0"/>
              <w:rPr>
                <w:sz w:val="19"/>
                <w:szCs w:val="19"/>
                <w:color w:val="auto"/>
              </w:rPr>
            </w:pPr>
          </w:p>
        </w:tc>
        <w:tc>
          <w:tcPr>
            <w:tcW w:w="1100" w:type="dxa"/>
            <w:vAlign w:val="bottom"/>
            <w:tcBorders>
              <w:top w:val="single" w:sz="8" w:color="auto"/>
              <w:bottom w:val="single" w:sz="8" w:color="auto"/>
            </w:tcBorders>
            <w:gridSpan w:val="2"/>
            <w:shd w:val="clear" w:color="auto" w:fill="CFF0FC"/>
          </w:tcPr>
          <w:p>
            <w:pPr>
              <w:jc w:val="right"/>
              <w:spacing w:after="0"/>
              <w:rPr>
                <w:sz w:val="20"/>
                <w:szCs w:val="20"/>
                <w:color w:val="auto"/>
              </w:rPr>
            </w:pPr>
            <w:r>
              <w:rPr>
                <w:rFonts w:ascii="Arial" w:cs="Arial" w:eastAsia="Arial" w:hAnsi="Arial"/>
                <w:sz w:val="18"/>
                <w:szCs w:val="18"/>
                <w:color w:val="auto"/>
              </w:rPr>
              <w:t>445</w:t>
            </w:r>
          </w:p>
        </w:tc>
        <w:tc>
          <w:tcPr>
            <w:tcW w:w="120" w:type="dxa"/>
            <w:vAlign w:val="bottom"/>
            <w:tcBorders>
              <w:top w:val="single" w:sz="8" w:color="CFF0FC"/>
            </w:tcBorders>
            <w:shd w:val="clear" w:color="auto" w:fill="CFF0FC"/>
          </w:tcPr>
          <w:p>
            <w:pPr>
              <w:spacing w:after="0"/>
              <w:rPr>
                <w:sz w:val="19"/>
                <w:szCs w:val="19"/>
                <w:color w:val="auto"/>
              </w:rPr>
            </w:pPr>
          </w:p>
        </w:tc>
        <w:tc>
          <w:tcPr>
            <w:tcW w:w="40" w:type="dxa"/>
            <w:vAlign w:val="bottom"/>
            <w:tcBorders>
              <w:top w:val="single" w:sz="8" w:color="CFF0FC"/>
            </w:tcBorders>
            <w:shd w:val="clear" w:color="auto" w:fill="CFF0FC"/>
          </w:tcPr>
          <w:p>
            <w:pPr>
              <w:spacing w:after="0"/>
              <w:rPr>
                <w:sz w:val="19"/>
                <w:szCs w:val="19"/>
                <w:color w:val="auto"/>
              </w:rPr>
            </w:pPr>
          </w:p>
        </w:tc>
        <w:tc>
          <w:tcPr>
            <w:tcW w:w="80" w:type="dxa"/>
            <w:vAlign w:val="bottom"/>
            <w:tcBorders>
              <w:top w:val="single" w:sz="8" w:color="CFF0FC"/>
            </w:tcBorders>
            <w:shd w:val="clear" w:color="auto" w:fill="CFF0FC"/>
          </w:tcPr>
          <w:p>
            <w:pPr>
              <w:spacing w:after="0"/>
              <w:rPr>
                <w:sz w:val="19"/>
                <w:szCs w:val="19"/>
                <w:color w:val="auto"/>
              </w:rPr>
            </w:pPr>
          </w:p>
        </w:tc>
        <w:tc>
          <w:tcPr>
            <w:tcW w:w="20" w:type="dxa"/>
            <w:vAlign w:val="bottom"/>
            <w:tcBorders>
              <w:top w:val="single" w:sz="8" w:color="CFF0FC"/>
            </w:tcBorders>
            <w:shd w:val="clear" w:color="auto" w:fill="CFF0FC"/>
          </w:tcPr>
          <w:p>
            <w:pPr>
              <w:spacing w:after="0"/>
              <w:rPr>
                <w:sz w:val="19"/>
                <w:szCs w:val="19"/>
                <w:color w:val="auto"/>
              </w:rPr>
            </w:pPr>
          </w:p>
        </w:tc>
        <w:tc>
          <w:tcPr>
            <w:tcW w:w="100" w:type="dxa"/>
            <w:vAlign w:val="bottom"/>
            <w:tcBorders>
              <w:top w:val="single" w:sz="8" w:color="auto"/>
              <w:bottom w:val="single" w:sz="8" w:color="auto"/>
            </w:tcBorders>
            <w:shd w:val="clear" w:color="auto" w:fill="CFF0FC"/>
          </w:tcPr>
          <w:p>
            <w:pPr>
              <w:spacing w:after="0"/>
              <w:rPr>
                <w:sz w:val="19"/>
                <w:szCs w:val="19"/>
                <w:color w:val="auto"/>
              </w:rPr>
            </w:pPr>
          </w:p>
        </w:tc>
        <w:tc>
          <w:tcPr>
            <w:tcW w:w="116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(3,280)</w:t>
            </w:r>
          </w:p>
        </w:tc>
        <w:tc>
          <w:tcPr>
            <w:tcW w:w="100" w:type="dxa"/>
            <w:vAlign w:val="bottom"/>
            <w:tcBorders>
              <w:top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2"/>
        </w:trPr>
        <w:tc>
          <w:tcPr>
            <w:tcW w:w="4820" w:type="dxa"/>
            <w:vAlign w:val="bottom"/>
          </w:tcPr>
          <w:p>
            <w:pPr>
              <w:spacing w:after="0"/>
              <w:rPr>
                <w:sz w:val="20"/>
                <w:szCs w:val="20"/>
                <w:color w:val="auto"/>
              </w:rPr>
            </w:pPr>
            <w:r>
              <w:rPr>
                <w:rFonts w:ascii="Arial" w:cs="Arial" w:eastAsia="Arial" w:hAnsi="Arial"/>
                <w:sz w:val="18"/>
                <w:szCs w:val="18"/>
                <w:b w:val="1"/>
                <w:bCs w:val="1"/>
                <w:color w:val="auto"/>
              </w:rPr>
              <w:t>Balance at March 31, 2018</w:t>
            </w:r>
          </w:p>
        </w:tc>
        <w:tc>
          <w:tcPr>
            <w:tcW w:w="740" w:type="dxa"/>
            <w:vAlign w:val="bottom"/>
          </w:tcPr>
          <w:p>
            <w:pPr>
              <w:spacing w:after="0"/>
              <w:rPr>
                <w:sz w:val="19"/>
                <w:szCs w:val="19"/>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1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140" w:type="dxa"/>
            <w:vAlign w:val="bottom"/>
            <w:gridSpan w:val="2"/>
          </w:tcPr>
          <w:p>
            <w:pPr>
              <w:jc w:val="right"/>
              <w:spacing w:after="0"/>
              <w:rPr>
                <w:sz w:val="20"/>
                <w:szCs w:val="20"/>
                <w:color w:val="auto"/>
              </w:rPr>
            </w:pPr>
            <w:r>
              <w:rPr>
                <w:rFonts w:ascii="Arial" w:cs="Arial" w:eastAsia="Arial" w:hAnsi="Arial"/>
                <w:sz w:val="18"/>
                <w:szCs w:val="18"/>
                <w:color w:val="auto"/>
              </w:rPr>
              <w:t>(15,135)</w:t>
            </w:r>
          </w:p>
        </w:tc>
        <w:tc>
          <w:tcPr>
            <w:tcW w:w="180" w:type="dxa"/>
            <w:vAlign w:val="bottom"/>
            <w:gridSpan w:val="2"/>
          </w:tcPr>
          <w:p>
            <w:pPr>
              <w:spacing w:after="0"/>
              <w:rPr>
                <w:sz w:val="19"/>
                <w:szCs w:val="19"/>
                <w:color w:val="auto"/>
              </w:rPr>
            </w:pPr>
          </w:p>
        </w:tc>
        <w:tc>
          <w:tcPr>
            <w:tcW w:w="40" w:type="dxa"/>
            <w:vAlign w:val="bottom"/>
          </w:tcPr>
          <w:p>
            <w:pPr>
              <w:spacing w:after="0"/>
              <w:rPr>
                <w:sz w:val="19"/>
                <w:szCs w:val="19"/>
                <w:color w:val="auto"/>
              </w:rPr>
            </w:pPr>
          </w:p>
        </w:tc>
        <w:tc>
          <w:tcPr>
            <w:tcW w:w="160" w:type="dxa"/>
            <w:vAlign w:val="bottom"/>
          </w:tcPr>
          <w:p>
            <w:pPr>
              <w:spacing w:after="0"/>
              <w:rPr>
                <w:sz w:val="20"/>
                <w:szCs w:val="20"/>
                <w:color w:val="auto"/>
              </w:rPr>
            </w:pPr>
            <w:r>
              <w:rPr>
                <w:rFonts w:ascii="Arial" w:cs="Arial" w:eastAsia="Arial" w:hAnsi="Arial"/>
                <w:sz w:val="18"/>
                <w:szCs w:val="18"/>
                <w:color w:val="auto"/>
              </w:rPr>
              <w:t>$</w:t>
            </w:r>
          </w:p>
        </w:tc>
        <w:tc>
          <w:tcPr>
            <w:tcW w:w="1100" w:type="dxa"/>
            <w:vAlign w:val="bottom"/>
            <w:gridSpan w:val="2"/>
          </w:tcPr>
          <w:p>
            <w:pPr>
              <w:jc w:val="right"/>
              <w:spacing w:after="0"/>
              <w:rPr>
                <w:sz w:val="20"/>
                <w:szCs w:val="20"/>
                <w:color w:val="auto"/>
              </w:rPr>
            </w:pPr>
            <w:r>
              <w:rPr>
                <w:rFonts w:ascii="Arial" w:cs="Arial" w:eastAsia="Arial" w:hAnsi="Arial"/>
                <w:sz w:val="18"/>
                <w:szCs w:val="18"/>
                <w:color w:val="auto"/>
              </w:rPr>
              <w:t>(10,713)</w:t>
            </w:r>
          </w:p>
        </w:tc>
        <w:tc>
          <w:tcPr>
            <w:tcW w:w="120" w:type="dxa"/>
            <w:vAlign w:val="bottom"/>
          </w:tcPr>
          <w:p>
            <w:pPr>
              <w:spacing w:after="0"/>
              <w:rPr>
                <w:sz w:val="19"/>
                <w:szCs w:val="19"/>
                <w:color w:val="auto"/>
              </w:rPr>
            </w:pPr>
          </w:p>
        </w:tc>
        <w:tc>
          <w:tcPr>
            <w:tcW w:w="140" w:type="dxa"/>
            <w:vAlign w:val="bottom"/>
            <w:gridSpan w:val="3"/>
          </w:tcPr>
          <w:p>
            <w:pPr>
              <w:spacing w:after="0"/>
              <w:rPr>
                <w:sz w:val="19"/>
                <w:szCs w:val="19"/>
                <w:color w:val="auto"/>
              </w:rPr>
            </w:pPr>
          </w:p>
        </w:tc>
        <w:tc>
          <w:tcPr>
            <w:tcW w:w="10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1160" w:type="dxa"/>
            <w:vAlign w:val="bottom"/>
          </w:tcPr>
          <w:p>
            <w:pPr>
              <w:jc w:val="right"/>
              <w:spacing w:after="0"/>
              <w:rPr>
                <w:sz w:val="20"/>
                <w:szCs w:val="20"/>
                <w:color w:val="auto"/>
              </w:rPr>
            </w:pPr>
            <w:r>
              <w:rPr>
                <w:rFonts w:ascii="Arial" w:cs="Arial" w:eastAsia="Arial" w:hAnsi="Arial"/>
                <w:sz w:val="18"/>
                <w:szCs w:val="18"/>
                <w:color w:val="auto"/>
              </w:rPr>
              <w:t>(25,848)</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482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1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1" w:lineRule="exact"/>
        <w:rPr>
          <w:sz w:val="20"/>
          <w:szCs w:val="20"/>
          <w:color w:val="auto"/>
        </w:rPr>
      </w:pPr>
    </w:p>
    <w:p>
      <w:pPr>
        <w:ind w:left="380" w:hanging="372"/>
        <w:spacing w:after="0"/>
        <w:tabs>
          <w:tab w:leader="none" w:pos="380" w:val="left"/>
        </w:tabs>
        <w:numPr>
          <w:ilvl w:val="0"/>
          <w:numId w:val="13"/>
        </w:numPr>
        <w:rPr>
          <w:rFonts w:ascii="Arial" w:cs="Arial" w:eastAsia="Arial" w:hAnsi="Arial"/>
          <w:sz w:val="13"/>
          <w:szCs w:val="13"/>
          <w:color w:val="auto"/>
        </w:rPr>
      </w:pPr>
      <w:r>
        <w:rPr>
          <w:rFonts w:ascii="Arial" w:cs="Arial" w:eastAsia="Arial" w:hAnsi="Arial"/>
          <w:sz w:val="16"/>
          <w:szCs w:val="16"/>
          <w:color w:val="auto"/>
        </w:rPr>
        <w:t>Upon the adoption of ASU 2016-01, we recorded a cumulative-effect adjustment from unrealized gains on investments to beginning retained earnings.</w:t>
      </w:r>
    </w:p>
    <w:p>
      <w:pPr>
        <w:spacing w:after="0" w:line="192" w:lineRule="exact"/>
        <w:rPr>
          <w:sz w:val="20"/>
          <w:szCs w:val="20"/>
          <w:color w:val="auto"/>
        </w:rPr>
      </w:pPr>
    </w:p>
    <w:p>
      <w:pPr>
        <w:jc w:val="both"/>
        <w:spacing w:after="0" w:line="262" w:lineRule="auto"/>
        <w:rPr>
          <w:sz w:val="20"/>
          <w:szCs w:val="20"/>
          <w:color w:val="auto"/>
        </w:rPr>
      </w:pPr>
      <w:r>
        <w:rPr>
          <w:rFonts w:ascii="Arial" w:cs="Arial" w:eastAsia="Arial" w:hAnsi="Arial"/>
          <w:sz w:val="18"/>
          <w:szCs w:val="18"/>
          <w:color w:val="auto"/>
        </w:rPr>
        <w:t>Amounts reclassified that relate to our defined benefit pension and postretirement plans include the amortization of prior service costs and actuarial net losses recognized during the three months ended March 31, 2018 and 2017. These costs are recorded as components of net periodic cost for each period presented. Refer to Note 17 – Pension and Postretirement Benefits for additional information.</w:t>
      </w:r>
    </w:p>
    <w:p>
      <w:pPr>
        <w:spacing w:after="0" w:line="129" w:lineRule="exact"/>
        <w:rPr>
          <w:sz w:val="20"/>
          <w:szCs w:val="20"/>
          <w:color w:val="auto"/>
        </w:rPr>
      </w:pPr>
    </w:p>
    <w:p>
      <w:pPr>
        <w:jc w:val="both"/>
        <w:spacing w:after="0" w:line="262" w:lineRule="auto"/>
        <w:rPr>
          <w:sz w:val="20"/>
          <w:szCs w:val="20"/>
          <w:color w:val="auto"/>
        </w:rPr>
      </w:pPr>
      <w:r>
        <w:rPr>
          <w:rFonts w:ascii="Arial" w:cs="Arial" w:eastAsia="Arial" w:hAnsi="Arial"/>
          <w:sz w:val="18"/>
          <w:szCs w:val="18"/>
          <w:color w:val="auto"/>
        </w:rPr>
        <w:t>Amounts reclassified that relate to unrealized gains on equity securities classified as available-for-sale include $1.0 million ($0.6 million after tax) as of December 31, 2017. Upon the adoption of ASU 2016-01, unrealized gains on equity securities are recognized in net income. Refer to Note 13 – Fair Value Measurements for additional information.</w:t>
      </w:r>
    </w:p>
    <w:p>
      <w:pPr>
        <w:spacing w:after="0" w:line="129" w:lineRule="exact"/>
        <w:rPr>
          <w:sz w:val="20"/>
          <w:szCs w:val="20"/>
          <w:color w:val="auto"/>
        </w:rPr>
      </w:pPr>
    </w:p>
    <w:p>
      <w:pPr>
        <w:jc w:val="both"/>
        <w:spacing w:after="0" w:line="262" w:lineRule="auto"/>
        <w:rPr>
          <w:sz w:val="20"/>
          <w:szCs w:val="20"/>
          <w:color w:val="auto"/>
        </w:rPr>
      </w:pPr>
      <w:r>
        <w:rPr>
          <w:rFonts w:ascii="Arial" w:cs="Arial" w:eastAsia="Arial" w:hAnsi="Arial"/>
          <w:sz w:val="18"/>
          <w:szCs w:val="18"/>
          <w:color w:val="auto"/>
        </w:rPr>
        <w:t>Noncontrolling interests with redemption features that are not solely within our control are considered redeemable noncontrolling interests. Redeemable noncontrolling interest is considered temporary equity and we report it between liabilities and stockholders’ equity in the Condensed Consolidated Balance Sheets. Refer to Note 20 – Redeemable Noncontrolling Interest for additional information.</w:t>
      </w:r>
    </w:p>
    <w:p>
      <w:pPr>
        <w:spacing w:after="0" w:line="200" w:lineRule="exact"/>
        <w:rPr>
          <w:sz w:val="20"/>
          <w:szCs w:val="20"/>
          <w:color w:val="auto"/>
        </w:rPr>
      </w:pPr>
    </w:p>
    <w:p>
      <w:pPr>
        <w:spacing w:after="0" w:line="38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69850</wp:posOffset>
            </wp:positionV>
            <wp:extent cx="7289800" cy="4254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1420"/>
          </w:cols>
          <w:pgMar w:left="240" w:top="332" w:right="239" w:bottom="1440" w:gutter="0" w:footer="0" w:header="0"/>
        </w:sectPr>
      </w:pPr>
    </w:p>
    <w:bookmarkStart w:id="25" w:name="page26"/>
    <w:bookmarkEnd w:id="25"/>
    <w:p>
      <w:pPr>
        <w:spacing w:after="0"/>
        <w:rPr>
          <w:sz w:val="20"/>
          <w:szCs w:val="20"/>
          <w:color w:val="auto"/>
        </w:rPr>
      </w:pPr>
      <w:r>
        <w:rPr>
          <w:rFonts w:ascii="Arial" w:cs="Arial" w:eastAsia="Arial" w:hAnsi="Arial"/>
          <w:sz w:val="18"/>
          <w:szCs w:val="18"/>
          <w:b w:val="1"/>
          <w:bCs w:val="1"/>
          <w:color w:val="auto"/>
        </w:rPr>
        <w:t xml:space="preserve">Note 15. </w:t>
      </w:r>
      <w:r>
        <w:rPr>
          <w:rFonts w:ascii="Arial" w:cs="Arial" w:eastAsia="Arial" w:hAnsi="Arial"/>
          <w:sz w:val="18"/>
          <w:szCs w:val="18"/>
          <w:b w:val="1"/>
          <w:bCs w:val="1"/>
          <w:u w:val="single" w:color="auto"/>
          <w:color w:val="auto"/>
        </w:rPr>
        <w:t>Income Per Share</w:t>
      </w:r>
    </w:p>
    <w:p>
      <w:pPr>
        <w:spacing w:after="0" w:line="120" w:lineRule="exact"/>
        <w:rPr>
          <w:sz w:val="20"/>
          <w:szCs w:val="20"/>
          <w:color w:val="auto"/>
        </w:rPr>
      </w:pPr>
    </w:p>
    <w:p>
      <w:pPr>
        <w:spacing w:after="0"/>
        <w:rPr>
          <w:sz w:val="20"/>
          <w:szCs w:val="20"/>
          <w:color w:val="auto"/>
        </w:rPr>
      </w:pPr>
      <w:r>
        <w:rPr>
          <w:rFonts w:ascii="Arial" w:cs="Arial" w:eastAsia="Arial" w:hAnsi="Arial"/>
          <w:sz w:val="18"/>
          <w:szCs w:val="18"/>
          <w:color w:val="auto"/>
        </w:rPr>
        <w:t>The components of basic and diluted income per share are as follows:</w:t>
      </w:r>
    </w:p>
    <w:p>
      <w:pPr>
        <w:spacing w:after="0" w:line="295"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786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2060" w:type="dxa"/>
            <w:vAlign w:val="bottom"/>
            <w:gridSpan w:val="4"/>
          </w:tcPr>
          <w:p>
            <w:pPr>
              <w:jc w:val="right"/>
              <w:spacing w:after="0"/>
              <w:rPr>
                <w:sz w:val="20"/>
                <w:szCs w:val="20"/>
                <w:color w:val="auto"/>
              </w:rPr>
            </w:pPr>
            <w:r>
              <w:rPr>
                <w:rFonts w:ascii="Arial" w:cs="Arial" w:eastAsia="Arial" w:hAnsi="Arial"/>
                <w:sz w:val="14"/>
                <w:szCs w:val="14"/>
                <w:b w:val="1"/>
                <w:bCs w:val="1"/>
                <w:color w:val="auto"/>
              </w:rPr>
              <w:t>Three Months Ended</w:t>
            </w:r>
          </w:p>
        </w:tc>
        <w:tc>
          <w:tcPr>
            <w:tcW w:w="10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3"/>
        </w:trPr>
        <w:tc>
          <w:tcPr>
            <w:tcW w:w="7860" w:type="dxa"/>
            <w:vAlign w:val="bottom"/>
            <w:vMerge w:val="restart"/>
          </w:tcPr>
          <w:p>
            <w:pPr>
              <w:spacing w:after="0"/>
              <w:rPr>
                <w:sz w:val="20"/>
                <w:szCs w:val="20"/>
                <w:color w:val="auto"/>
              </w:rPr>
            </w:pPr>
            <w:r>
              <w:rPr>
                <w:rFonts w:ascii="Arial" w:cs="Arial" w:eastAsia="Arial" w:hAnsi="Arial"/>
                <w:sz w:val="14"/>
                <w:szCs w:val="14"/>
                <w:i w:val="1"/>
                <w:iCs w:val="1"/>
                <w:color w:val="auto"/>
              </w:rPr>
              <w:t>(in thousands, except per share data)</w:t>
            </w:r>
          </w:p>
        </w:tc>
        <w:tc>
          <w:tcPr>
            <w:tcW w:w="360" w:type="dxa"/>
            <w:vAlign w:val="bottom"/>
            <w:tcBorders>
              <w:bottom w:val="single" w:sz="8" w:color="auto"/>
            </w:tcBorders>
          </w:tcPr>
          <w:p>
            <w:pPr>
              <w:spacing w:after="0"/>
              <w:rPr>
                <w:sz w:val="18"/>
                <w:szCs w:val="18"/>
                <w:color w:val="auto"/>
              </w:rPr>
            </w:pPr>
          </w:p>
        </w:tc>
        <w:tc>
          <w:tcPr>
            <w:tcW w:w="2060" w:type="dxa"/>
            <w:vAlign w:val="bottom"/>
            <w:tcBorders>
              <w:bottom w:val="single" w:sz="8" w:color="auto"/>
            </w:tcBorders>
            <w:gridSpan w:val="4"/>
          </w:tcPr>
          <w:p>
            <w:pPr>
              <w:jc w:val="right"/>
              <w:ind w:right="327"/>
              <w:spacing w:after="0"/>
              <w:rPr>
                <w:sz w:val="20"/>
                <w:szCs w:val="20"/>
                <w:color w:val="auto"/>
              </w:rPr>
            </w:pPr>
            <w:r>
              <w:rPr>
                <w:rFonts w:ascii="Arial" w:cs="Arial" w:eastAsia="Arial" w:hAnsi="Arial"/>
                <w:sz w:val="14"/>
                <w:szCs w:val="14"/>
                <w:b w:val="1"/>
                <w:bCs w:val="1"/>
                <w:color w:val="auto"/>
              </w:rPr>
              <w:t>March 31,</w:t>
            </w:r>
          </w:p>
        </w:tc>
        <w:tc>
          <w:tcPr>
            <w:tcW w:w="1020" w:type="dxa"/>
            <w:vAlign w:val="bottom"/>
            <w:tcBorders>
              <w:bottom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55"/>
        </w:trPr>
        <w:tc>
          <w:tcPr>
            <w:tcW w:w="7860" w:type="dxa"/>
            <w:vAlign w:val="bottom"/>
            <w:tcBorders>
              <w:bottom w:val="single" w:sz="8" w:color="CFF0FC"/>
            </w:tcBorders>
            <w:vMerge w:val="continue"/>
          </w:tcPr>
          <w:p>
            <w:pPr>
              <w:spacing w:after="0"/>
              <w:rPr>
                <w:sz w:val="13"/>
                <w:szCs w:val="13"/>
                <w:color w:val="auto"/>
              </w:rPr>
            </w:pPr>
          </w:p>
        </w:tc>
        <w:tc>
          <w:tcPr>
            <w:tcW w:w="360" w:type="dxa"/>
            <w:vAlign w:val="bottom"/>
            <w:tcBorders>
              <w:bottom w:val="single" w:sz="8" w:color="auto"/>
            </w:tcBorders>
          </w:tcPr>
          <w:p>
            <w:pPr>
              <w:spacing w:after="0"/>
              <w:rPr>
                <w:sz w:val="13"/>
                <w:szCs w:val="13"/>
                <w:color w:val="auto"/>
              </w:rPr>
            </w:pPr>
          </w:p>
        </w:tc>
        <w:tc>
          <w:tcPr>
            <w:tcW w:w="1220" w:type="dxa"/>
            <w:vAlign w:val="bottom"/>
            <w:tcBorders>
              <w:bottom w:val="single" w:sz="8" w:color="auto"/>
            </w:tcBorders>
          </w:tcPr>
          <w:p>
            <w:pPr>
              <w:jc w:val="right"/>
              <w:ind w:right="575"/>
              <w:spacing w:after="0" w:line="155" w:lineRule="exact"/>
              <w:rPr>
                <w:sz w:val="20"/>
                <w:szCs w:val="20"/>
                <w:color w:val="auto"/>
              </w:rPr>
            </w:pPr>
            <w:r>
              <w:rPr>
                <w:rFonts w:ascii="Arial" w:cs="Arial" w:eastAsia="Arial" w:hAnsi="Arial"/>
                <w:sz w:val="14"/>
                <w:szCs w:val="14"/>
                <w:b w:val="1"/>
                <w:bCs w:val="1"/>
                <w:color w:val="auto"/>
              </w:rPr>
              <w:t>2018</w:t>
            </w:r>
          </w:p>
        </w:tc>
        <w:tc>
          <w:tcPr>
            <w:tcW w:w="160" w:type="dxa"/>
            <w:vAlign w:val="bottom"/>
            <w:tcBorders>
              <w:bottom w:val="single" w:sz="8" w:color="CFF0FC"/>
            </w:tcBorders>
          </w:tcPr>
          <w:p>
            <w:pPr>
              <w:spacing w:after="0"/>
              <w:rPr>
                <w:sz w:val="13"/>
                <w:szCs w:val="13"/>
                <w:color w:val="auto"/>
              </w:rPr>
            </w:pPr>
          </w:p>
        </w:tc>
        <w:tc>
          <w:tcPr>
            <w:tcW w:w="120" w:type="dxa"/>
            <w:vAlign w:val="bottom"/>
            <w:tcBorders>
              <w:bottom w:val="single" w:sz="8" w:color="CFF0FC"/>
            </w:tcBorders>
          </w:tcPr>
          <w:p>
            <w:pPr>
              <w:spacing w:after="0"/>
              <w:rPr>
                <w:sz w:val="13"/>
                <w:szCs w:val="13"/>
                <w:color w:val="auto"/>
              </w:rPr>
            </w:pPr>
          </w:p>
        </w:tc>
        <w:tc>
          <w:tcPr>
            <w:tcW w:w="560" w:type="dxa"/>
            <w:vAlign w:val="bottom"/>
            <w:tcBorders>
              <w:bottom w:val="single" w:sz="8" w:color="auto"/>
            </w:tcBorders>
          </w:tcPr>
          <w:p>
            <w:pPr>
              <w:spacing w:after="0"/>
              <w:rPr>
                <w:sz w:val="13"/>
                <w:szCs w:val="13"/>
                <w:color w:val="auto"/>
              </w:rPr>
            </w:pPr>
          </w:p>
        </w:tc>
        <w:tc>
          <w:tcPr>
            <w:tcW w:w="1020" w:type="dxa"/>
            <w:vAlign w:val="bottom"/>
            <w:tcBorders>
              <w:bottom w:val="single" w:sz="8" w:color="auto"/>
            </w:tcBorders>
          </w:tcPr>
          <w:p>
            <w:pPr>
              <w:jc w:val="right"/>
              <w:ind w:right="572"/>
              <w:spacing w:after="0" w:line="155" w:lineRule="exact"/>
              <w:rPr>
                <w:sz w:val="20"/>
                <w:szCs w:val="20"/>
                <w:color w:val="auto"/>
              </w:rPr>
            </w:pPr>
            <w:r>
              <w:rPr>
                <w:rFonts w:ascii="Arial" w:cs="Arial" w:eastAsia="Arial" w:hAnsi="Arial"/>
                <w:sz w:val="14"/>
                <w:szCs w:val="14"/>
                <w:b w:val="1"/>
                <w:bCs w:val="1"/>
                <w:color w:val="auto"/>
              </w:rPr>
              <w:t>2017</w:t>
            </w:r>
          </w:p>
        </w:tc>
        <w:tc>
          <w:tcPr>
            <w:tcW w:w="120" w:type="dxa"/>
            <w:vAlign w:val="bottom"/>
            <w:tcBorders>
              <w:bottom w:val="single" w:sz="8" w:color="CFF0FC"/>
            </w:tcBorders>
          </w:tcPr>
          <w:p>
            <w:pPr>
              <w:spacing w:after="0"/>
              <w:rPr>
                <w:sz w:val="13"/>
                <w:szCs w:val="13"/>
                <w:color w:val="auto"/>
              </w:rPr>
            </w:pPr>
          </w:p>
        </w:tc>
        <w:tc>
          <w:tcPr>
            <w:tcW w:w="0" w:type="dxa"/>
            <w:vAlign w:val="bottom"/>
          </w:tcPr>
          <w:p>
            <w:pPr>
              <w:spacing w:after="0"/>
              <w:rPr>
                <w:sz w:val="1"/>
                <w:szCs w:val="1"/>
                <w:color w:val="auto"/>
              </w:rPr>
            </w:pPr>
          </w:p>
        </w:tc>
      </w:tr>
      <w:tr>
        <w:trPr>
          <w:trHeight w:val="222"/>
        </w:trPr>
        <w:tc>
          <w:tcPr>
            <w:tcW w:w="7860" w:type="dxa"/>
            <w:vAlign w:val="bottom"/>
            <w:shd w:val="clear" w:color="auto" w:fill="CFF0FC"/>
          </w:tcPr>
          <w:p>
            <w:pPr>
              <w:spacing w:after="0"/>
              <w:rPr>
                <w:sz w:val="20"/>
                <w:szCs w:val="20"/>
                <w:color w:val="auto"/>
              </w:rPr>
            </w:pPr>
            <w:r>
              <w:rPr>
                <w:rFonts w:ascii="Arial" w:cs="Arial" w:eastAsia="Arial" w:hAnsi="Arial"/>
                <w:sz w:val="18"/>
                <w:szCs w:val="18"/>
                <w:b w:val="1"/>
                <w:bCs w:val="1"/>
                <w:color w:val="auto"/>
              </w:rPr>
              <w:t>Net income (loss) attributable to Viad (diluted)</w:t>
            </w:r>
          </w:p>
        </w:tc>
        <w:tc>
          <w:tcPr>
            <w:tcW w:w="360" w:type="dxa"/>
            <w:vAlign w:val="bottom"/>
            <w:shd w:val="clear" w:color="auto" w:fill="CFF0FC"/>
          </w:tcPr>
          <w:p>
            <w:pPr>
              <w:jc w:val="right"/>
              <w:ind w:right="207"/>
              <w:spacing w:after="0"/>
              <w:rPr>
                <w:sz w:val="20"/>
                <w:szCs w:val="20"/>
                <w:color w:val="auto"/>
              </w:rPr>
            </w:pPr>
            <w:r>
              <w:rPr>
                <w:rFonts w:ascii="Arial" w:cs="Arial" w:eastAsia="Arial" w:hAnsi="Arial"/>
                <w:sz w:val="15"/>
                <w:szCs w:val="15"/>
                <w:color w:val="auto"/>
                <w:w w:val="71"/>
              </w:rPr>
              <w:t>$</w:t>
            </w:r>
          </w:p>
        </w:tc>
        <w:tc>
          <w:tcPr>
            <w:tcW w:w="12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(9,387)</w:t>
            </w:r>
          </w:p>
        </w:tc>
        <w:tc>
          <w:tcPr>
            <w:tcW w:w="16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560" w:type="dxa"/>
            <w:vAlign w:val="bottom"/>
            <w:shd w:val="clear" w:color="auto" w:fill="CFF0FC"/>
          </w:tcPr>
          <w:p>
            <w:pPr>
              <w:jc w:val="right"/>
              <w:ind w:right="407"/>
              <w:spacing w:after="0"/>
              <w:rPr>
                <w:sz w:val="20"/>
                <w:szCs w:val="20"/>
                <w:color w:val="auto"/>
              </w:rPr>
            </w:pPr>
            <w:r>
              <w:rPr>
                <w:rFonts w:ascii="Arial" w:cs="Arial" w:eastAsia="Arial" w:hAnsi="Arial"/>
                <w:sz w:val="15"/>
                <w:szCs w:val="15"/>
                <w:color w:val="auto"/>
                <w:w w:val="71"/>
              </w:rPr>
              <w:t>$</w:t>
            </w:r>
          </w:p>
        </w:tc>
        <w:tc>
          <w:tcPr>
            <w:tcW w:w="10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6,777</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7860" w:type="dxa"/>
            <w:vAlign w:val="bottom"/>
          </w:tcPr>
          <w:p>
            <w:pPr>
              <w:ind w:left="260"/>
              <w:spacing w:after="0"/>
              <w:rPr>
                <w:sz w:val="20"/>
                <w:szCs w:val="20"/>
                <w:color w:val="auto"/>
              </w:rPr>
            </w:pPr>
            <w:r>
              <w:rPr>
                <w:rFonts w:ascii="Arial" w:cs="Arial" w:eastAsia="Arial" w:hAnsi="Arial"/>
                <w:sz w:val="18"/>
                <w:szCs w:val="18"/>
                <w:color w:val="auto"/>
              </w:rPr>
              <w:t>Less: Allocation to non-vested shares</w:t>
            </w:r>
          </w:p>
        </w:tc>
        <w:tc>
          <w:tcPr>
            <w:tcW w:w="360" w:type="dxa"/>
            <w:vAlign w:val="bottom"/>
          </w:tcPr>
          <w:p>
            <w:pPr>
              <w:spacing w:after="0"/>
              <w:rPr>
                <w:sz w:val="19"/>
                <w:szCs w:val="19"/>
                <w:color w:val="auto"/>
              </w:rPr>
            </w:pPr>
          </w:p>
        </w:tc>
        <w:tc>
          <w:tcPr>
            <w:tcW w:w="138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1140" w:type="dxa"/>
            <w:vAlign w:val="bottom"/>
            <w:gridSpan w:val="2"/>
          </w:tcPr>
          <w:p>
            <w:pPr>
              <w:jc w:val="right"/>
              <w:ind w:right="60"/>
              <w:spacing w:after="0"/>
              <w:rPr>
                <w:sz w:val="20"/>
                <w:szCs w:val="20"/>
                <w:color w:val="auto"/>
              </w:rPr>
            </w:pPr>
            <w:r>
              <w:rPr>
                <w:rFonts w:ascii="Arial" w:cs="Arial" w:eastAsia="Arial" w:hAnsi="Arial"/>
                <w:sz w:val="18"/>
                <w:szCs w:val="18"/>
                <w:color w:val="auto"/>
              </w:rPr>
              <w:t>(89)</w:t>
            </w:r>
          </w:p>
        </w:tc>
        <w:tc>
          <w:tcPr>
            <w:tcW w:w="0" w:type="dxa"/>
            <w:vAlign w:val="bottom"/>
          </w:tcPr>
          <w:p>
            <w:pPr>
              <w:spacing w:after="0"/>
              <w:rPr>
                <w:sz w:val="1"/>
                <w:szCs w:val="1"/>
                <w:color w:val="auto"/>
              </w:rPr>
            </w:pPr>
          </w:p>
        </w:tc>
      </w:tr>
      <w:tr>
        <w:trPr>
          <w:trHeight w:val="229"/>
        </w:trPr>
        <w:tc>
          <w:tcPr>
            <w:tcW w:w="7860" w:type="dxa"/>
            <w:vAlign w:val="bottom"/>
            <w:shd w:val="clear" w:color="auto" w:fill="CFF0FC"/>
          </w:tcPr>
          <w:p>
            <w:pPr>
              <w:ind w:left="260"/>
              <w:spacing w:after="0"/>
              <w:rPr>
                <w:sz w:val="20"/>
                <w:szCs w:val="20"/>
                <w:color w:val="auto"/>
              </w:rPr>
            </w:pPr>
            <w:r>
              <w:rPr>
                <w:rFonts w:ascii="Arial" w:cs="Arial" w:eastAsia="Arial" w:hAnsi="Arial"/>
                <w:sz w:val="18"/>
                <w:szCs w:val="18"/>
                <w:color w:val="auto"/>
              </w:rPr>
              <w:t>Adjustment to the redemption value of redeemable noncontrolling interest</w:t>
            </w:r>
          </w:p>
        </w:tc>
        <w:tc>
          <w:tcPr>
            <w:tcW w:w="360" w:type="dxa"/>
            <w:vAlign w:val="bottom"/>
            <w:shd w:val="clear" w:color="auto" w:fill="CFF0FC"/>
          </w:tcPr>
          <w:p>
            <w:pPr>
              <w:spacing w:after="0"/>
              <w:rPr>
                <w:sz w:val="19"/>
                <w:szCs w:val="19"/>
                <w:color w:val="auto"/>
              </w:rPr>
            </w:pPr>
          </w:p>
        </w:tc>
        <w:tc>
          <w:tcPr>
            <w:tcW w:w="1380" w:type="dxa"/>
            <w:vAlign w:val="bottom"/>
            <w:gridSpan w:val="2"/>
            <w:shd w:val="clear" w:color="auto" w:fill="CFF0FC"/>
          </w:tcPr>
          <w:p>
            <w:pPr>
              <w:jc w:val="right"/>
              <w:ind w:right="100"/>
              <w:spacing w:after="0"/>
              <w:rPr>
                <w:sz w:val="20"/>
                <w:szCs w:val="20"/>
                <w:color w:val="auto"/>
              </w:rPr>
            </w:pPr>
            <w:r>
              <w:rPr>
                <w:rFonts w:ascii="Arial" w:cs="Arial" w:eastAsia="Arial" w:hAnsi="Arial"/>
                <w:sz w:val="18"/>
                <w:szCs w:val="18"/>
                <w:color w:val="auto"/>
              </w:rPr>
              <w:t>(38)</w:t>
            </w:r>
          </w:p>
        </w:tc>
        <w:tc>
          <w:tcPr>
            <w:tcW w:w="120" w:type="dxa"/>
            <w:vAlign w:val="bottom"/>
            <w:shd w:val="clear" w:color="auto" w:fill="CFF0FC"/>
          </w:tcPr>
          <w:p>
            <w:pPr>
              <w:spacing w:after="0"/>
              <w:rPr>
                <w:sz w:val="19"/>
                <w:szCs w:val="19"/>
                <w:color w:val="auto"/>
              </w:rPr>
            </w:pPr>
          </w:p>
        </w:tc>
        <w:tc>
          <w:tcPr>
            <w:tcW w:w="560" w:type="dxa"/>
            <w:vAlign w:val="bottom"/>
            <w:shd w:val="clear" w:color="auto" w:fill="CFF0FC"/>
          </w:tcPr>
          <w:p>
            <w:pPr>
              <w:spacing w:after="0"/>
              <w:rPr>
                <w:sz w:val="19"/>
                <w:szCs w:val="19"/>
                <w:color w:val="auto"/>
              </w:rPr>
            </w:pPr>
          </w:p>
        </w:tc>
        <w:tc>
          <w:tcPr>
            <w:tcW w:w="1140" w:type="dxa"/>
            <w:vAlign w:val="bottom"/>
            <w:gridSpan w:val="2"/>
            <w:shd w:val="clear" w:color="auto" w:fill="CFF0FC"/>
          </w:tcPr>
          <w:p>
            <w:pPr>
              <w:jc w:val="right"/>
              <w:ind w:right="14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62"/>
        </w:trPr>
        <w:tc>
          <w:tcPr>
            <w:tcW w:w="7860" w:type="dxa"/>
            <w:vAlign w:val="bottom"/>
            <w:tcBorders>
              <w:bottom w:val="single" w:sz="8" w:color="CFF0FC"/>
            </w:tcBorders>
          </w:tcPr>
          <w:p>
            <w:pPr>
              <w:spacing w:after="0"/>
              <w:rPr>
                <w:sz w:val="20"/>
                <w:szCs w:val="20"/>
                <w:color w:val="auto"/>
              </w:rPr>
            </w:pPr>
            <w:r>
              <w:rPr>
                <w:rFonts w:ascii="Arial" w:cs="Arial" w:eastAsia="Arial" w:hAnsi="Arial"/>
                <w:sz w:val="18"/>
                <w:szCs w:val="18"/>
                <w:b w:val="1"/>
                <w:bCs w:val="1"/>
                <w:color w:val="auto"/>
              </w:rPr>
              <w:t>Net income (loss) allocated to Viad common stockholders (basic)</w:t>
            </w:r>
          </w:p>
        </w:tc>
        <w:tc>
          <w:tcPr>
            <w:tcW w:w="360" w:type="dxa"/>
            <w:vAlign w:val="bottom"/>
            <w:tcBorders>
              <w:top w:val="single" w:sz="8" w:color="auto"/>
              <w:bottom w:val="single" w:sz="8" w:color="auto"/>
            </w:tcBorders>
          </w:tcPr>
          <w:p>
            <w:pPr>
              <w:jc w:val="right"/>
              <w:ind w:right="207"/>
              <w:spacing w:after="0"/>
              <w:rPr>
                <w:sz w:val="20"/>
                <w:szCs w:val="20"/>
                <w:color w:val="auto"/>
              </w:rPr>
            </w:pPr>
            <w:r>
              <w:rPr>
                <w:rFonts w:ascii="Arial" w:cs="Arial" w:eastAsia="Arial" w:hAnsi="Arial"/>
                <w:sz w:val="15"/>
                <w:szCs w:val="15"/>
                <w:color w:val="auto"/>
                <w:w w:val="71"/>
              </w:rPr>
              <w:t>$</w:t>
            </w:r>
          </w:p>
        </w:tc>
        <w:tc>
          <w:tcPr>
            <w:tcW w:w="12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(9,425)</w:t>
            </w:r>
          </w:p>
        </w:tc>
        <w:tc>
          <w:tcPr>
            <w:tcW w:w="160" w:type="dxa"/>
            <w:vAlign w:val="bottom"/>
            <w:tcBorders>
              <w:bottom w:val="single" w:sz="8" w:color="CFF0FC"/>
            </w:tcBorders>
          </w:tcPr>
          <w:p>
            <w:pPr>
              <w:spacing w:after="0"/>
              <w:rPr>
                <w:sz w:val="22"/>
                <w:szCs w:val="22"/>
                <w:color w:val="auto"/>
              </w:rPr>
            </w:pPr>
          </w:p>
        </w:tc>
        <w:tc>
          <w:tcPr>
            <w:tcW w:w="120" w:type="dxa"/>
            <w:vAlign w:val="bottom"/>
            <w:tcBorders>
              <w:bottom w:val="single" w:sz="8" w:color="CFF0FC"/>
            </w:tcBorders>
          </w:tcPr>
          <w:p>
            <w:pPr>
              <w:spacing w:after="0"/>
              <w:rPr>
                <w:sz w:val="22"/>
                <w:szCs w:val="22"/>
                <w:color w:val="auto"/>
              </w:rPr>
            </w:pPr>
          </w:p>
        </w:tc>
        <w:tc>
          <w:tcPr>
            <w:tcW w:w="560" w:type="dxa"/>
            <w:vAlign w:val="bottom"/>
            <w:tcBorders>
              <w:top w:val="single" w:sz="8" w:color="auto"/>
              <w:bottom w:val="single" w:sz="8" w:color="auto"/>
            </w:tcBorders>
          </w:tcPr>
          <w:p>
            <w:pPr>
              <w:jc w:val="right"/>
              <w:ind w:right="407"/>
              <w:spacing w:after="0"/>
              <w:rPr>
                <w:sz w:val="20"/>
                <w:szCs w:val="20"/>
                <w:color w:val="auto"/>
              </w:rPr>
            </w:pPr>
            <w:r>
              <w:rPr>
                <w:rFonts w:ascii="Arial" w:cs="Arial" w:eastAsia="Arial" w:hAnsi="Arial"/>
                <w:sz w:val="15"/>
                <w:szCs w:val="15"/>
                <w:color w:val="auto"/>
                <w:w w:val="71"/>
              </w:rPr>
              <w:t>$</w:t>
            </w:r>
          </w:p>
        </w:tc>
        <w:tc>
          <w:tcPr>
            <w:tcW w:w="10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6,688</w:t>
            </w:r>
          </w:p>
        </w:tc>
        <w:tc>
          <w:tcPr>
            <w:tcW w:w="120" w:type="dxa"/>
            <w:vAlign w:val="bottom"/>
            <w:tcBorders>
              <w:bottom w:val="single" w:sz="8" w:color="CFF0FC"/>
            </w:tcBorders>
          </w:tcPr>
          <w:p>
            <w:pPr>
              <w:spacing w:after="0"/>
              <w:rPr>
                <w:sz w:val="22"/>
                <w:szCs w:val="22"/>
                <w:color w:val="auto"/>
              </w:rPr>
            </w:pPr>
          </w:p>
        </w:tc>
        <w:tc>
          <w:tcPr>
            <w:tcW w:w="0" w:type="dxa"/>
            <w:vAlign w:val="bottom"/>
          </w:tcPr>
          <w:p>
            <w:pPr>
              <w:spacing w:after="0"/>
              <w:rPr>
                <w:sz w:val="1"/>
                <w:szCs w:val="1"/>
                <w:color w:val="auto"/>
              </w:rPr>
            </w:pPr>
          </w:p>
        </w:tc>
      </w:tr>
      <w:tr>
        <w:trPr>
          <w:trHeight w:val="209"/>
        </w:trPr>
        <w:tc>
          <w:tcPr>
            <w:tcW w:w="7860" w:type="dxa"/>
            <w:vAlign w:val="bottom"/>
            <w:shd w:val="clear" w:color="auto" w:fill="CFF0FC"/>
          </w:tcPr>
          <w:p>
            <w:pPr>
              <w:spacing w:after="0"/>
              <w:rPr>
                <w:sz w:val="20"/>
                <w:szCs w:val="20"/>
                <w:color w:val="auto"/>
              </w:rPr>
            </w:pPr>
            <w:r>
              <w:rPr>
                <w:rFonts w:ascii="Arial" w:cs="Arial" w:eastAsia="Arial" w:hAnsi="Arial"/>
                <w:sz w:val="18"/>
                <w:szCs w:val="18"/>
                <w:b w:val="1"/>
                <w:bCs w:val="1"/>
                <w:color w:val="auto"/>
              </w:rPr>
              <w:t>Basic weighted-average outstanding common shares</w:t>
            </w:r>
          </w:p>
        </w:tc>
        <w:tc>
          <w:tcPr>
            <w:tcW w:w="360" w:type="dxa"/>
            <w:vAlign w:val="bottom"/>
            <w:shd w:val="clear" w:color="auto" w:fill="CFF0FC"/>
          </w:tcPr>
          <w:p>
            <w:pPr>
              <w:spacing w:after="0"/>
              <w:rPr>
                <w:sz w:val="18"/>
                <w:szCs w:val="18"/>
                <w:color w:val="auto"/>
              </w:rPr>
            </w:pPr>
          </w:p>
        </w:tc>
        <w:tc>
          <w:tcPr>
            <w:tcW w:w="12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20,207</w:t>
            </w:r>
          </w:p>
        </w:tc>
        <w:tc>
          <w:tcPr>
            <w:tcW w:w="16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560" w:type="dxa"/>
            <w:vAlign w:val="bottom"/>
            <w:shd w:val="clear" w:color="auto" w:fill="CFF0FC"/>
          </w:tcPr>
          <w:p>
            <w:pPr>
              <w:spacing w:after="0"/>
              <w:rPr>
                <w:sz w:val="18"/>
                <w:szCs w:val="18"/>
                <w:color w:val="auto"/>
              </w:rPr>
            </w:pPr>
          </w:p>
        </w:tc>
        <w:tc>
          <w:tcPr>
            <w:tcW w:w="10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20,083</w:t>
            </w:r>
          </w:p>
        </w:tc>
        <w:tc>
          <w:tcPr>
            <w:tcW w:w="12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29"/>
        </w:trPr>
        <w:tc>
          <w:tcPr>
            <w:tcW w:w="7860" w:type="dxa"/>
            <w:vAlign w:val="bottom"/>
          </w:tcPr>
          <w:p>
            <w:pPr>
              <w:ind w:left="260"/>
              <w:spacing w:after="0"/>
              <w:rPr>
                <w:sz w:val="20"/>
                <w:szCs w:val="20"/>
                <w:color w:val="auto"/>
              </w:rPr>
            </w:pPr>
            <w:r>
              <w:rPr>
                <w:rFonts w:ascii="Arial" w:cs="Arial" w:eastAsia="Arial" w:hAnsi="Arial"/>
                <w:sz w:val="18"/>
                <w:szCs w:val="18"/>
                <w:color w:val="auto"/>
              </w:rPr>
              <w:t>Additional dilutive shares related to share-based compensation</w:t>
            </w:r>
          </w:p>
        </w:tc>
        <w:tc>
          <w:tcPr>
            <w:tcW w:w="360" w:type="dxa"/>
            <w:vAlign w:val="bottom"/>
          </w:tcPr>
          <w:p>
            <w:pPr>
              <w:spacing w:after="0"/>
              <w:rPr>
                <w:sz w:val="19"/>
                <w:szCs w:val="19"/>
                <w:color w:val="auto"/>
              </w:rPr>
            </w:pPr>
          </w:p>
        </w:tc>
        <w:tc>
          <w:tcPr>
            <w:tcW w:w="138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263</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2"/>
        </w:trPr>
        <w:tc>
          <w:tcPr>
            <w:tcW w:w="7860" w:type="dxa"/>
            <w:vAlign w:val="bottom"/>
            <w:tcBorders>
              <w:top w:val="single" w:sz="8" w:color="CFF0FC"/>
              <w:bottom w:val="single" w:sz="8" w:color="CFF0FC"/>
            </w:tcBorders>
            <w:shd w:val="clear" w:color="auto" w:fill="CFF0FC"/>
          </w:tcPr>
          <w:p>
            <w:pPr>
              <w:spacing w:after="0"/>
              <w:rPr>
                <w:sz w:val="20"/>
                <w:szCs w:val="20"/>
                <w:color w:val="auto"/>
              </w:rPr>
            </w:pPr>
            <w:r>
              <w:rPr>
                <w:rFonts w:ascii="Arial" w:cs="Arial" w:eastAsia="Arial" w:hAnsi="Arial"/>
                <w:sz w:val="18"/>
                <w:szCs w:val="18"/>
                <w:b w:val="1"/>
                <w:bCs w:val="1"/>
                <w:color w:val="auto"/>
              </w:rPr>
              <w:t>Diluted weighted-average outstanding shares</w:t>
            </w:r>
          </w:p>
        </w:tc>
        <w:tc>
          <w:tcPr>
            <w:tcW w:w="360" w:type="dxa"/>
            <w:vAlign w:val="bottom"/>
            <w:tcBorders>
              <w:top w:val="single" w:sz="8" w:color="auto"/>
              <w:bottom w:val="single" w:sz="8" w:color="auto"/>
            </w:tcBorders>
            <w:shd w:val="clear" w:color="auto" w:fill="CFF0FC"/>
          </w:tcPr>
          <w:p>
            <w:pPr>
              <w:spacing w:after="0"/>
              <w:rPr>
                <w:sz w:val="19"/>
                <w:szCs w:val="19"/>
                <w:color w:val="auto"/>
              </w:rPr>
            </w:pPr>
          </w:p>
        </w:tc>
        <w:tc>
          <w:tcPr>
            <w:tcW w:w="122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20,207</w:t>
            </w:r>
          </w:p>
        </w:tc>
        <w:tc>
          <w:tcPr>
            <w:tcW w:w="160" w:type="dxa"/>
            <w:vAlign w:val="bottom"/>
            <w:tcBorders>
              <w:top w:val="single" w:sz="8" w:color="CFF0FC"/>
              <w:bottom w:val="single" w:sz="8" w:color="CFF0FC"/>
            </w:tcBorders>
            <w:shd w:val="clear" w:color="auto" w:fill="CFF0FC"/>
          </w:tcPr>
          <w:p>
            <w:pPr>
              <w:spacing w:after="0"/>
              <w:rPr>
                <w:sz w:val="19"/>
                <w:szCs w:val="19"/>
                <w:color w:val="auto"/>
              </w:rPr>
            </w:pPr>
          </w:p>
        </w:tc>
        <w:tc>
          <w:tcPr>
            <w:tcW w:w="120" w:type="dxa"/>
            <w:vAlign w:val="bottom"/>
            <w:tcBorders>
              <w:top w:val="single" w:sz="8" w:color="CFF0FC"/>
              <w:bottom w:val="single" w:sz="8" w:color="CFF0FC"/>
            </w:tcBorders>
            <w:shd w:val="clear" w:color="auto" w:fill="CFF0FC"/>
          </w:tcPr>
          <w:p>
            <w:pPr>
              <w:spacing w:after="0"/>
              <w:rPr>
                <w:sz w:val="19"/>
                <w:szCs w:val="19"/>
                <w:color w:val="auto"/>
              </w:rPr>
            </w:pPr>
          </w:p>
        </w:tc>
        <w:tc>
          <w:tcPr>
            <w:tcW w:w="560" w:type="dxa"/>
            <w:vAlign w:val="bottom"/>
            <w:tcBorders>
              <w:top w:val="single" w:sz="8" w:color="auto"/>
              <w:bottom w:val="single" w:sz="8" w:color="auto"/>
            </w:tcBorders>
            <w:shd w:val="clear" w:color="auto" w:fill="CFF0FC"/>
          </w:tcPr>
          <w:p>
            <w:pPr>
              <w:spacing w:after="0"/>
              <w:rPr>
                <w:sz w:val="19"/>
                <w:szCs w:val="19"/>
                <w:color w:val="auto"/>
              </w:rPr>
            </w:pPr>
          </w:p>
        </w:tc>
        <w:tc>
          <w:tcPr>
            <w:tcW w:w="102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20,346</w:t>
            </w:r>
          </w:p>
        </w:tc>
        <w:tc>
          <w:tcPr>
            <w:tcW w:w="120" w:type="dxa"/>
            <w:vAlign w:val="bottom"/>
            <w:tcBorders>
              <w:top w:val="single" w:sz="8" w:color="CFF0FC"/>
              <w:bottom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7860" w:type="dxa"/>
            <w:vAlign w:val="bottom"/>
            <w:vMerge w:val="restart"/>
          </w:tcPr>
          <w:p>
            <w:pPr>
              <w:spacing w:after="0"/>
              <w:rPr>
                <w:sz w:val="20"/>
                <w:szCs w:val="20"/>
                <w:color w:val="auto"/>
              </w:rPr>
            </w:pPr>
            <w:r>
              <w:rPr>
                <w:rFonts w:ascii="Arial" w:cs="Arial" w:eastAsia="Arial" w:hAnsi="Arial"/>
                <w:sz w:val="18"/>
                <w:szCs w:val="18"/>
                <w:b w:val="1"/>
                <w:bCs w:val="1"/>
                <w:color w:val="auto"/>
              </w:rPr>
              <w:t>Income (loss) per share:</w:t>
            </w:r>
          </w:p>
        </w:tc>
        <w:tc>
          <w:tcPr>
            <w:tcW w:w="36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7860" w:type="dxa"/>
            <w:vAlign w:val="bottom"/>
            <w:vMerge w:val="continue"/>
          </w:tcPr>
          <w:p>
            <w:pPr>
              <w:spacing w:after="0"/>
              <w:rPr>
                <w:sz w:val="18"/>
                <w:szCs w:val="18"/>
                <w:color w:val="auto"/>
              </w:rPr>
            </w:pPr>
          </w:p>
        </w:tc>
        <w:tc>
          <w:tcPr>
            <w:tcW w:w="36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9"/>
        </w:trPr>
        <w:tc>
          <w:tcPr>
            <w:tcW w:w="7860" w:type="dxa"/>
            <w:vAlign w:val="bottom"/>
            <w:shd w:val="clear" w:color="auto" w:fill="CFF0FC"/>
          </w:tcPr>
          <w:p>
            <w:pPr>
              <w:spacing w:after="0"/>
              <w:rPr>
                <w:sz w:val="20"/>
                <w:szCs w:val="20"/>
                <w:color w:val="auto"/>
              </w:rPr>
            </w:pPr>
            <w:r>
              <w:rPr>
                <w:rFonts w:ascii="Arial" w:cs="Arial" w:eastAsia="Arial" w:hAnsi="Arial"/>
                <w:sz w:val="18"/>
                <w:szCs w:val="18"/>
                <w:color w:val="auto"/>
              </w:rPr>
              <w:t>Basic income (loss) attributable to Viad common stockholders</w:t>
            </w:r>
          </w:p>
        </w:tc>
        <w:tc>
          <w:tcPr>
            <w:tcW w:w="360" w:type="dxa"/>
            <w:vAlign w:val="bottom"/>
            <w:shd w:val="clear" w:color="auto" w:fill="CFF0FC"/>
          </w:tcPr>
          <w:p>
            <w:pPr>
              <w:jc w:val="right"/>
              <w:ind w:right="207"/>
              <w:spacing w:after="0"/>
              <w:rPr>
                <w:sz w:val="20"/>
                <w:szCs w:val="20"/>
                <w:color w:val="auto"/>
              </w:rPr>
            </w:pPr>
            <w:r>
              <w:rPr>
                <w:rFonts w:ascii="Arial" w:cs="Arial" w:eastAsia="Arial" w:hAnsi="Arial"/>
                <w:sz w:val="15"/>
                <w:szCs w:val="15"/>
                <w:color w:val="auto"/>
                <w:w w:val="71"/>
              </w:rPr>
              <w:t>$</w:t>
            </w:r>
          </w:p>
        </w:tc>
        <w:tc>
          <w:tcPr>
            <w:tcW w:w="1380" w:type="dxa"/>
            <w:vAlign w:val="bottom"/>
            <w:gridSpan w:val="2"/>
            <w:shd w:val="clear" w:color="auto" w:fill="CFF0FC"/>
          </w:tcPr>
          <w:p>
            <w:pPr>
              <w:jc w:val="right"/>
              <w:ind w:right="100"/>
              <w:spacing w:after="0"/>
              <w:rPr>
                <w:sz w:val="20"/>
                <w:szCs w:val="20"/>
                <w:color w:val="auto"/>
              </w:rPr>
            </w:pPr>
            <w:r>
              <w:rPr>
                <w:rFonts w:ascii="Arial" w:cs="Arial" w:eastAsia="Arial" w:hAnsi="Arial"/>
                <w:sz w:val="18"/>
                <w:szCs w:val="18"/>
                <w:color w:val="auto"/>
              </w:rPr>
              <w:t>(0.47)</w:t>
            </w:r>
          </w:p>
        </w:tc>
        <w:tc>
          <w:tcPr>
            <w:tcW w:w="680" w:type="dxa"/>
            <w:vAlign w:val="bottom"/>
            <w:gridSpan w:val="2"/>
            <w:shd w:val="clear" w:color="auto" w:fill="CFF0FC"/>
          </w:tcPr>
          <w:p>
            <w:pPr>
              <w:jc w:val="right"/>
              <w:ind w:right="407"/>
              <w:spacing w:after="0"/>
              <w:rPr>
                <w:sz w:val="20"/>
                <w:szCs w:val="20"/>
                <w:color w:val="auto"/>
              </w:rPr>
            </w:pPr>
            <w:r>
              <w:rPr>
                <w:rFonts w:ascii="Arial" w:cs="Arial" w:eastAsia="Arial" w:hAnsi="Arial"/>
                <w:sz w:val="18"/>
                <w:szCs w:val="18"/>
                <w:color w:val="auto"/>
              </w:rPr>
              <w:t>$</w:t>
            </w:r>
          </w:p>
        </w:tc>
        <w:tc>
          <w:tcPr>
            <w:tcW w:w="10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0.33</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7860" w:type="dxa"/>
            <w:vAlign w:val="bottom"/>
          </w:tcPr>
          <w:p>
            <w:pPr>
              <w:spacing w:after="0"/>
              <w:rPr>
                <w:sz w:val="20"/>
                <w:szCs w:val="20"/>
                <w:color w:val="auto"/>
              </w:rPr>
            </w:pPr>
            <w:r>
              <w:rPr>
                <w:rFonts w:ascii="Arial" w:cs="Arial" w:eastAsia="Arial" w:hAnsi="Arial"/>
                <w:sz w:val="18"/>
                <w:szCs w:val="18"/>
                <w:color w:val="auto"/>
              </w:rPr>
              <w:t>Diluted income (loss) attributable to Viad common stockholders</w:t>
            </w:r>
            <w:r>
              <w:rPr>
                <w:rFonts w:ascii="Arial" w:cs="Arial" w:eastAsia="Arial" w:hAnsi="Arial"/>
                <w:sz w:val="15"/>
                <w:szCs w:val="15"/>
                <w:color w:val="auto"/>
              </w:rPr>
              <w:t>(1)</w:t>
            </w:r>
          </w:p>
        </w:tc>
        <w:tc>
          <w:tcPr>
            <w:tcW w:w="360" w:type="dxa"/>
            <w:vAlign w:val="bottom"/>
          </w:tcPr>
          <w:p>
            <w:pPr>
              <w:jc w:val="right"/>
              <w:ind w:right="207"/>
              <w:spacing w:after="0"/>
              <w:rPr>
                <w:sz w:val="20"/>
                <w:szCs w:val="20"/>
                <w:color w:val="auto"/>
              </w:rPr>
            </w:pPr>
            <w:r>
              <w:rPr>
                <w:rFonts w:ascii="Arial" w:cs="Arial" w:eastAsia="Arial" w:hAnsi="Arial"/>
                <w:sz w:val="15"/>
                <w:szCs w:val="15"/>
                <w:color w:val="auto"/>
                <w:w w:val="71"/>
              </w:rPr>
              <w:t>$</w:t>
            </w:r>
          </w:p>
        </w:tc>
        <w:tc>
          <w:tcPr>
            <w:tcW w:w="1380" w:type="dxa"/>
            <w:vAlign w:val="bottom"/>
            <w:gridSpan w:val="2"/>
          </w:tcPr>
          <w:p>
            <w:pPr>
              <w:jc w:val="right"/>
              <w:ind w:right="100"/>
              <w:spacing w:after="0"/>
              <w:rPr>
                <w:sz w:val="20"/>
                <w:szCs w:val="20"/>
                <w:color w:val="auto"/>
              </w:rPr>
            </w:pPr>
            <w:r>
              <w:rPr>
                <w:rFonts w:ascii="Arial" w:cs="Arial" w:eastAsia="Arial" w:hAnsi="Arial"/>
                <w:sz w:val="18"/>
                <w:szCs w:val="18"/>
                <w:color w:val="auto"/>
              </w:rPr>
              <w:t>(0.47)</w:t>
            </w:r>
          </w:p>
        </w:tc>
        <w:tc>
          <w:tcPr>
            <w:tcW w:w="680" w:type="dxa"/>
            <w:vAlign w:val="bottom"/>
            <w:gridSpan w:val="2"/>
          </w:tcPr>
          <w:p>
            <w:pPr>
              <w:jc w:val="right"/>
              <w:ind w:right="407"/>
              <w:spacing w:after="0"/>
              <w:rPr>
                <w:sz w:val="20"/>
                <w:szCs w:val="20"/>
                <w:color w:val="auto"/>
              </w:rPr>
            </w:pPr>
            <w:r>
              <w:rPr>
                <w:rFonts w:ascii="Arial" w:cs="Arial" w:eastAsia="Arial" w:hAnsi="Arial"/>
                <w:sz w:val="18"/>
                <w:szCs w:val="18"/>
                <w:color w:val="auto"/>
              </w:rPr>
              <w:t>$</w:t>
            </w:r>
          </w:p>
        </w:tc>
        <w:tc>
          <w:tcPr>
            <w:tcW w:w="1020" w:type="dxa"/>
            <w:vAlign w:val="bottom"/>
          </w:tcPr>
          <w:p>
            <w:pPr>
              <w:jc w:val="right"/>
              <w:spacing w:after="0"/>
              <w:rPr>
                <w:sz w:val="20"/>
                <w:szCs w:val="20"/>
                <w:color w:val="auto"/>
              </w:rPr>
            </w:pPr>
            <w:r>
              <w:rPr>
                <w:rFonts w:ascii="Arial" w:cs="Arial" w:eastAsia="Arial" w:hAnsi="Arial"/>
                <w:sz w:val="18"/>
                <w:szCs w:val="18"/>
                <w:color w:val="auto"/>
              </w:rPr>
              <w:t>0.33</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ind w:left="380" w:hanging="372"/>
        <w:spacing w:after="0"/>
        <w:tabs>
          <w:tab w:leader="none" w:pos="380" w:val="left"/>
        </w:tabs>
        <w:numPr>
          <w:ilvl w:val="0"/>
          <w:numId w:val="14"/>
        </w:numPr>
        <w:rPr>
          <w:rFonts w:ascii="Arial" w:cs="Arial" w:eastAsia="Arial" w:hAnsi="Arial"/>
          <w:sz w:val="15"/>
          <w:szCs w:val="15"/>
          <w:color w:val="auto"/>
        </w:rPr>
      </w:pPr>
      <w:r>
        <w:rPr>
          <w:rFonts w:ascii="Arial" w:cs="Arial" w:eastAsia="Arial" w:hAnsi="Arial"/>
          <w:sz w:val="18"/>
          <w:szCs w:val="18"/>
          <w:color w:val="auto"/>
        </w:rPr>
        <w:t>Diluted income (loss) per share amount cannot exceed basic income (loss) per share.</w:t>
      </w:r>
    </w:p>
    <w:p>
      <w:pPr>
        <w:spacing w:after="0" w:line="36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Note 16. </w:t>
      </w:r>
      <w:r>
        <w:rPr>
          <w:rFonts w:ascii="Arial" w:cs="Arial" w:eastAsia="Arial" w:hAnsi="Arial"/>
          <w:sz w:val="18"/>
          <w:szCs w:val="18"/>
          <w:b w:val="1"/>
          <w:bCs w:val="1"/>
          <w:u w:val="single" w:color="auto"/>
          <w:color w:val="auto"/>
        </w:rPr>
        <w:t>Income Taxes</w:t>
      </w:r>
    </w:p>
    <w:p>
      <w:pPr>
        <w:spacing w:after="0" w:line="120" w:lineRule="exact"/>
        <w:rPr>
          <w:sz w:val="20"/>
          <w:szCs w:val="20"/>
          <w:color w:val="auto"/>
        </w:rPr>
      </w:pPr>
    </w:p>
    <w:p>
      <w:pPr>
        <w:spacing w:after="0"/>
        <w:rPr>
          <w:sz w:val="20"/>
          <w:szCs w:val="20"/>
          <w:color w:val="auto"/>
        </w:rPr>
      </w:pPr>
      <w:r>
        <w:rPr>
          <w:rFonts w:ascii="Arial" w:cs="Arial" w:eastAsia="Arial" w:hAnsi="Arial"/>
          <w:sz w:val="18"/>
          <w:szCs w:val="18"/>
          <w:color w:val="auto"/>
        </w:rPr>
        <w:t>The effective tax rate was 30.1% for the three months ended March 31, 2018 and 27.2% for the three months ended March 31, 2017.</w:t>
      </w:r>
    </w:p>
    <w:p>
      <w:pPr>
        <w:spacing w:after="0" w:line="169" w:lineRule="exact"/>
        <w:rPr>
          <w:sz w:val="20"/>
          <w:szCs w:val="20"/>
          <w:color w:val="auto"/>
        </w:rPr>
      </w:pPr>
    </w:p>
    <w:p>
      <w:pPr>
        <w:jc w:val="both"/>
        <w:ind w:right="20"/>
        <w:spacing w:after="0" w:line="295" w:lineRule="auto"/>
        <w:rPr>
          <w:sz w:val="20"/>
          <w:szCs w:val="20"/>
          <w:color w:val="auto"/>
        </w:rPr>
      </w:pPr>
      <w:r>
        <w:rPr>
          <w:rFonts w:ascii="Arial" w:cs="Arial" w:eastAsia="Arial" w:hAnsi="Arial"/>
          <w:sz w:val="16"/>
          <w:szCs w:val="16"/>
          <w:color w:val="auto"/>
        </w:rPr>
        <w:t>The income tax provision was computed based on the estimated annualized effective tax rate on the full-year forecasted income plus the tax impact of any unusual, infrequent, or non-recurring items during the period. The effective tax rate for the three months ended March 31, 2018 was greater than the federal statutory rate of 21% primarily due to foreign income taxed at higher rates and the impact of U.S. tax reform, specifically the global intangible low-taxed income (“GILTI”) tax on global income, certain non-deductible business expenses and the increase in the effective state tax rate. The effective tax rate for the three months ended March 31, 2017 was less than the federal statutory rate of 35% primarily due to the excess tax benefit on share-based compensation.</w:t>
      </w:r>
    </w:p>
    <w:p>
      <w:pPr>
        <w:spacing w:after="0" w:line="106" w:lineRule="exact"/>
        <w:rPr>
          <w:sz w:val="20"/>
          <w:szCs w:val="20"/>
          <w:color w:val="auto"/>
        </w:rPr>
      </w:pPr>
    </w:p>
    <w:p>
      <w:pPr>
        <w:jc w:val="both"/>
        <w:ind w:right="40"/>
        <w:spacing w:after="0" w:line="340" w:lineRule="auto"/>
        <w:rPr>
          <w:sz w:val="20"/>
          <w:szCs w:val="20"/>
          <w:color w:val="auto"/>
        </w:rPr>
      </w:pPr>
      <w:r>
        <w:rPr>
          <w:rFonts w:ascii="Arial" w:cs="Arial" w:eastAsia="Arial" w:hAnsi="Arial"/>
          <w:sz w:val="16"/>
          <w:szCs w:val="16"/>
          <w:color w:val="auto"/>
        </w:rPr>
        <w:t>As of March 31, 2018, we have not updated any provisional estimates included in the financial statements as of December 31, 2017 for the impact of the Tax Act, but expect to complete the analysis and record any adjustments within the one year period provided under SEC Staff Accounting Bulletin 118.</w:t>
      </w:r>
    </w:p>
    <w:p>
      <w:pPr>
        <w:spacing w:after="0" w:line="70" w:lineRule="exact"/>
        <w:rPr>
          <w:sz w:val="20"/>
          <w:szCs w:val="20"/>
          <w:color w:val="auto"/>
        </w:rPr>
      </w:pPr>
    </w:p>
    <w:p>
      <w:pPr>
        <w:jc w:val="both"/>
        <w:ind w:right="20"/>
        <w:spacing w:after="0" w:line="306" w:lineRule="auto"/>
        <w:rPr>
          <w:sz w:val="20"/>
          <w:szCs w:val="20"/>
          <w:color w:val="auto"/>
        </w:rPr>
      </w:pPr>
      <w:r>
        <w:rPr>
          <w:rFonts w:ascii="Arial" w:cs="Arial" w:eastAsia="Arial" w:hAnsi="Arial"/>
          <w:sz w:val="17"/>
          <w:szCs w:val="17"/>
          <w:color w:val="auto"/>
        </w:rPr>
        <w:t>We updated our current year estimate of the GILTI tax and have included the GILTI tax that cannot be fully offset by foreign tax credits generated in our annualized effective tax rate. The guidance and interpretation of the GILTI tax has not been finalized and it is possible that our estimate will change.</w:t>
      </w:r>
    </w:p>
    <w:p>
      <w:pPr>
        <w:spacing w:after="0" w:line="93" w:lineRule="exact"/>
        <w:rPr>
          <w:sz w:val="20"/>
          <w:szCs w:val="20"/>
          <w:color w:val="auto"/>
        </w:rPr>
      </w:pPr>
    </w:p>
    <w:p>
      <w:pPr>
        <w:spacing w:after="0"/>
        <w:rPr>
          <w:sz w:val="20"/>
          <w:szCs w:val="20"/>
          <w:color w:val="auto"/>
        </w:rPr>
      </w:pPr>
      <w:r>
        <w:rPr>
          <w:rFonts w:ascii="Arial" w:cs="Arial" w:eastAsia="Arial" w:hAnsi="Arial"/>
          <w:sz w:val="17"/>
          <w:szCs w:val="17"/>
          <w:color w:val="auto"/>
        </w:rPr>
        <w:t>Cash paid for income taxes was $9.1 million for the three months ended March 31, 2018 and $2.5 million for the three months ended March 31, 2017.</w:t>
      </w:r>
    </w:p>
    <w:p>
      <w:pPr>
        <w:spacing w:after="0" w:line="37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Note 17. </w:t>
      </w:r>
      <w:r>
        <w:rPr>
          <w:rFonts w:ascii="Arial" w:cs="Arial" w:eastAsia="Arial" w:hAnsi="Arial"/>
          <w:sz w:val="18"/>
          <w:szCs w:val="18"/>
          <w:b w:val="1"/>
          <w:bCs w:val="1"/>
          <w:u w:val="single" w:color="auto"/>
          <w:color w:val="auto"/>
        </w:rPr>
        <w:t>Pension and Postretirement Benefits</w:t>
      </w:r>
    </w:p>
    <w:p>
      <w:pPr>
        <w:spacing w:after="0" w:line="120" w:lineRule="exact"/>
        <w:rPr>
          <w:sz w:val="20"/>
          <w:szCs w:val="20"/>
          <w:color w:val="auto"/>
        </w:rPr>
      </w:pPr>
    </w:p>
    <w:p>
      <w:pPr>
        <w:jc w:val="both"/>
        <w:ind w:right="20"/>
        <w:spacing w:after="0" w:line="275" w:lineRule="auto"/>
        <w:rPr>
          <w:sz w:val="20"/>
          <w:szCs w:val="20"/>
          <w:color w:val="auto"/>
        </w:rPr>
      </w:pPr>
      <w:r>
        <w:rPr>
          <w:rFonts w:ascii="Arial" w:cs="Arial" w:eastAsia="Arial" w:hAnsi="Arial"/>
          <w:sz w:val="18"/>
          <w:szCs w:val="18"/>
          <w:color w:val="auto"/>
        </w:rPr>
        <w:t>The components of net periodic benefit cost of our pension and postretirement benefit plans for the three months ended March 31, 2018 and 2017 consist of the following:</w:t>
      </w:r>
    </w:p>
    <w:p>
      <w:pPr>
        <w:spacing w:after="0" w:line="257"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4760" w:type="dxa"/>
            <w:vAlign w:val="bottom"/>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40" w:type="dxa"/>
            <w:vAlign w:val="bottom"/>
            <w:tcBorders>
              <w:bottom w:val="single" w:sz="8" w:color="auto"/>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2040" w:type="dxa"/>
            <w:vAlign w:val="bottom"/>
            <w:tcBorders>
              <w:bottom w:val="single" w:sz="8" w:color="auto"/>
            </w:tcBorders>
            <w:gridSpan w:val="5"/>
          </w:tcPr>
          <w:p>
            <w:pPr>
              <w:jc w:val="right"/>
              <w:ind w:right="760"/>
              <w:spacing w:after="0"/>
              <w:rPr>
                <w:sz w:val="20"/>
                <w:szCs w:val="20"/>
                <w:color w:val="auto"/>
              </w:rPr>
            </w:pPr>
            <w:r>
              <w:rPr>
                <w:rFonts w:ascii="Arial" w:cs="Arial" w:eastAsia="Arial" w:hAnsi="Arial"/>
                <w:sz w:val="14"/>
                <w:szCs w:val="14"/>
                <w:b w:val="1"/>
                <w:bCs w:val="1"/>
                <w:color w:val="auto"/>
              </w:rPr>
              <w:t>Domestic Plans</w:t>
            </w:r>
          </w:p>
        </w:tc>
        <w:tc>
          <w:tcPr>
            <w:tcW w:w="200" w:type="dxa"/>
            <w:vAlign w:val="bottom"/>
            <w:tcBorders>
              <w:bottom w:val="single" w:sz="8" w:color="auto"/>
            </w:tcBorders>
          </w:tcPr>
          <w:p>
            <w:pPr>
              <w:spacing w:after="0"/>
              <w:rPr>
                <w:sz w:val="14"/>
                <w:szCs w:val="14"/>
                <w:color w:val="auto"/>
              </w:rPr>
            </w:pPr>
          </w:p>
        </w:tc>
        <w:tc>
          <w:tcPr>
            <w:tcW w:w="720" w:type="dxa"/>
            <w:vAlign w:val="bottom"/>
            <w:tcBorders>
              <w:bottom w:val="single" w:sz="8" w:color="auto"/>
            </w:tcBorders>
          </w:tcPr>
          <w:p>
            <w:pPr>
              <w:spacing w:after="0"/>
              <w:rPr>
                <w:sz w:val="14"/>
                <w:szCs w:val="14"/>
                <w:color w:val="auto"/>
              </w:rPr>
            </w:pPr>
          </w:p>
        </w:tc>
        <w:tc>
          <w:tcPr>
            <w:tcW w:w="2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 w:type="dxa"/>
            <w:vAlign w:val="bottom"/>
          </w:tcPr>
          <w:p>
            <w:pPr>
              <w:spacing w:after="0"/>
              <w:rPr>
                <w:sz w:val="14"/>
                <w:szCs w:val="14"/>
                <w:color w:val="auto"/>
              </w:rPr>
            </w:pPr>
          </w:p>
        </w:tc>
      </w:tr>
      <w:tr>
        <w:trPr>
          <w:trHeight w:val="235"/>
        </w:trPr>
        <w:tc>
          <w:tcPr>
            <w:tcW w:w="47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2040" w:type="dxa"/>
            <w:vAlign w:val="bottom"/>
            <w:gridSpan w:val="6"/>
          </w:tcPr>
          <w:p>
            <w:pPr>
              <w:jc w:val="right"/>
              <w:ind w:right="800"/>
              <w:spacing w:after="0"/>
              <w:rPr>
                <w:sz w:val="20"/>
                <w:szCs w:val="20"/>
                <w:color w:val="auto"/>
              </w:rPr>
            </w:pPr>
            <w:r>
              <w:rPr>
                <w:rFonts w:ascii="Arial" w:cs="Arial" w:eastAsia="Arial" w:hAnsi="Arial"/>
                <w:sz w:val="14"/>
                <w:szCs w:val="14"/>
                <w:b w:val="1"/>
                <w:bCs w:val="1"/>
                <w:color w:val="auto"/>
              </w:rPr>
              <w:t>Pension Plans</w:t>
            </w:r>
          </w:p>
        </w:tc>
        <w:tc>
          <w:tcPr>
            <w:tcW w:w="120" w:type="dxa"/>
            <w:vAlign w:val="bottom"/>
          </w:tcPr>
          <w:p>
            <w:pPr>
              <w:spacing w:after="0"/>
              <w:rPr>
                <w:sz w:val="20"/>
                <w:szCs w:val="20"/>
                <w:color w:val="auto"/>
              </w:rPr>
            </w:pPr>
          </w:p>
        </w:tc>
        <w:tc>
          <w:tcPr>
            <w:tcW w:w="2140" w:type="dxa"/>
            <w:vAlign w:val="bottom"/>
            <w:gridSpan w:val="5"/>
          </w:tcPr>
          <w:p>
            <w:pPr>
              <w:jc w:val="right"/>
              <w:ind w:right="380"/>
              <w:spacing w:after="0"/>
              <w:rPr>
                <w:sz w:val="20"/>
                <w:szCs w:val="20"/>
                <w:color w:val="auto"/>
              </w:rPr>
            </w:pPr>
            <w:r>
              <w:rPr>
                <w:rFonts w:ascii="Arial" w:cs="Arial" w:eastAsia="Arial" w:hAnsi="Arial"/>
                <w:sz w:val="14"/>
                <w:szCs w:val="14"/>
                <w:b w:val="1"/>
                <w:bCs w:val="1"/>
                <w:color w:val="auto"/>
                <w:w w:val="90"/>
              </w:rPr>
              <w:t>Postretirement Benefit Plans</w:t>
            </w:r>
          </w:p>
        </w:tc>
        <w:tc>
          <w:tcPr>
            <w:tcW w:w="200" w:type="dxa"/>
            <w:vAlign w:val="bottom"/>
          </w:tcPr>
          <w:p>
            <w:pPr>
              <w:spacing w:after="0"/>
              <w:rPr>
                <w:sz w:val="20"/>
                <w:szCs w:val="20"/>
                <w:color w:val="auto"/>
              </w:rPr>
            </w:pPr>
          </w:p>
        </w:tc>
        <w:tc>
          <w:tcPr>
            <w:tcW w:w="1960" w:type="dxa"/>
            <w:vAlign w:val="bottom"/>
            <w:gridSpan w:val="5"/>
          </w:tcPr>
          <w:p>
            <w:pPr>
              <w:jc w:val="right"/>
              <w:ind w:right="460"/>
              <w:spacing w:after="0"/>
              <w:rPr>
                <w:sz w:val="20"/>
                <w:szCs w:val="20"/>
                <w:color w:val="auto"/>
              </w:rPr>
            </w:pPr>
            <w:r>
              <w:rPr>
                <w:rFonts w:ascii="Arial" w:cs="Arial" w:eastAsia="Arial" w:hAnsi="Arial"/>
                <w:sz w:val="14"/>
                <w:szCs w:val="14"/>
                <w:b w:val="1"/>
                <w:bCs w:val="1"/>
                <w:color w:val="auto"/>
                <w:w w:val="98"/>
              </w:rPr>
              <w:t>Foreign Pension Plans</w:t>
            </w:r>
          </w:p>
        </w:tc>
        <w:tc>
          <w:tcPr>
            <w:tcW w:w="20" w:type="dxa"/>
            <w:vAlign w:val="bottom"/>
          </w:tcPr>
          <w:p>
            <w:pPr>
              <w:spacing w:after="0"/>
              <w:rPr>
                <w:sz w:val="20"/>
                <w:szCs w:val="20"/>
                <w:color w:val="auto"/>
              </w:rPr>
            </w:pPr>
          </w:p>
        </w:tc>
      </w:tr>
      <w:tr>
        <w:trPr>
          <w:trHeight w:val="235"/>
        </w:trPr>
        <w:tc>
          <w:tcPr>
            <w:tcW w:w="4760" w:type="dxa"/>
            <w:vAlign w:val="bottom"/>
            <w:tcBorders>
              <w:bottom w:val="single" w:sz="8" w:color="CFF0FC"/>
            </w:tcBorders>
          </w:tcPr>
          <w:p>
            <w:pPr>
              <w:spacing w:after="0"/>
              <w:rPr>
                <w:sz w:val="20"/>
                <w:szCs w:val="20"/>
                <w:color w:val="auto"/>
              </w:rPr>
            </w:pPr>
            <w:r>
              <w:rPr>
                <w:rFonts w:ascii="Arial" w:cs="Arial" w:eastAsia="Arial" w:hAnsi="Arial"/>
                <w:sz w:val="14"/>
                <w:szCs w:val="14"/>
                <w:i w:val="1"/>
                <w:iCs w:val="1"/>
                <w:color w:val="auto"/>
              </w:rPr>
              <w:t>(in thousands)</w:t>
            </w:r>
          </w:p>
        </w:tc>
        <w:tc>
          <w:tcPr>
            <w:tcW w:w="200" w:type="dxa"/>
            <w:vAlign w:val="bottom"/>
            <w:tcBorders>
              <w:top w:val="single" w:sz="8" w:color="auto"/>
              <w:bottom w:val="single" w:sz="8" w:color="auto"/>
            </w:tcBorders>
          </w:tcPr>
          <w:p>
            <w:pPr>
              <w:spacing w:after="0"/>
              <w:rPr>
                <w:sz w:val="20"/>
                <w:szCs w:val="20"/>
                <w:color w:val="auto"/>
              </w:rPr>
            </w:pPr>
          </w:p>
        </w:tc>
        <w:tc>
          <w:tcPr>
            <w:tcW w:w="700" w:type="dxa"/>
            <w:vAlign w:val="bottom"/>
            <w:tcBorders>
              <w:top w:val="single" w:sz="8" w:color="auto"/>
              <w:bottom w:val="single" w:sz="8" w:color="auto"/>
            </w:tcBorders>
          </w:tcPr>
          <w:p>
            <w:pPr>
              <w:jc w:val="right"/>
              <w:ind w:right="214"/>
              <w:spacing w:after="0"/>
              <w:rPr>
                <w:sz w:val="20"/>
                <w:szCs w:val="20"/>
                <w:color w:val="auto"/>
              </w:rPr>
            </w:pPr>
            <w:r>
              <w:rPr>
                <w:rFonts w:ascii="Arial" w:cs="Arial" w:eastAsia="Arial" w:hAnsi="Arial"/>
                <w:sz w:val="14"/>
                <w:szCs w:val="14"/>
                <w:b w:val="1"/>
                <w:bCs w:val="1"/>
                <w:color w:val="auto"/>
              </w:rPr>
              <w:t>2018</w:t>
            </w:r>
          </w:p>
        </w:tc>
        <w:tc>
          <w:tcPr>
            <w:tcW w:w="180" w:type="dxa"/>
            <w:vAlign w:val="bottom"/>
            <w:tcBorders>
              <w:top w:val="single" w:sz="8" w:color="auto"/>
              <w:bottom w:val="single" w:sz="8" w:color="CFF0FC"/>
            </w:tcBorders>
          </w:tcPr>
          <w:p>
            <w:pPr>
              <w:spacing w:after="0"/>
              <w:rPr>
                <w:sz w:val="20"/>
                <w:szCs w:val="20"/>
                <w:color w:val="auto"/>
              </w:rPr>
            </w:pPr>
          </w:p>
        </w:tc>
        <w:tc>
          <w:tcPr>
            <w:tcW w:w="40" w:type="dxa"/>
            <w:vAlign w:val="bottom"/>
            <w:tcBorders>
              <w:top w:val="single" w:sz="8" w:color="auto"/>
              <w:bottom w:val="single" w:sz="8" w:color="CFF0FC"/>
            </w:tcBorders>
          </w:tcPr>
          <w:p>
            <w:pPr>
              <w:spacing w:after="0"/>
              <w:rPr>
                <w:sz w:val="20"/>
                <w:szCs w:val="20"/>
                <w:color w:val="auto"/>
              </w:rPr>
            </w:pPr>
          </w:p>
        </w:tc>
        <w:tc>
          <w:tcPr>
            <w:tcW w:w="200" w:type="dxa"/>
            <w:vAlign w:val="bottom"/>
            <w:tcBorders>
              <w:top w:val="single" w:sz="8" w:color="auto"/>
              <w:bottom w:val="single" w:sz="8" w:color="auto"/>
            </w:tcBorders>
          </w:tcPr>
          <w:p>
            <w:pPr>
              <w:spacing w:after="0"/>
              <w:rPr>
                <w:sz w:val="20"/>
                <w:szCs w:val="20"/>
                <w:color w:val="auto"/>
              </w:rPr>
            </w:pPr>
          </w:p>
        </w:tc>
        <w:tc>
          <w:tcPr>
            <w:tcW w:w="700" w:type="dxa"/>
            <w:vAlign w:val="bottom"/>
            <w:tcBorders>
              <w:top w:val="single" w:sz="8" w:color="auto"/>
              <w:bottom w:val="single" w:sz="8" w:color="auto"/>
            </w:tcBorders>
          </w:tcPr>
          <w:p>
            <w:pPr>
              <w:jc w:val="right"/>
              <w:ind w:right="235"/>
              <w:spacing w:after="0"/>
              <w:rPr>
                <w:sz w:val="20"/>
                <w:szCs w:val="20"/>
                <w:color w:val="auto"/>
              </w:rPr>
            </w:pPr>
            <w:r>
              <w:rPr>
                <w:rFonts w:ascii="Arial" w:cs="Arial" w:eastAsia="Arial" w:hAnsi="Arial"/>
                <w:sz w:val="14"/>
                <w:szCs w:val="14"/>
                <w:b w:val="1"/>
                <w:bCs w:val="1"/>
                <w:color w:val="auto"/>
              </w:rPr>
              <w:t>2017</w:t>
            </w:r>
          </w:p>
        </w:tc>
        <w:tc>
          <w:tcPr>
            <w:tcW w:w="220" w:type="dxa"/>
            <w:vAlign w:val="bottom"/>
            <w:tcBorders>
              <w:bottom w:val="single" w:sz="8" w:color="CFF0FC"/>
            </w:tcBorders>
          </w:tcPr>
          <w:p>
            <w:pPr>
              <w:spacing w:after="0"/>
              <w:rPr>
                <w:sz w:val="20"/>
                <w:szCs w:val="20"/>
                <w:color w:val="auto"/>
              </w:rPr>
            </w:pPr>
          </w:p>
        </w:tc>
        <w:tc>
          <w:tcPr>
            <w:tcW w:w="120" w:type="dxa"/>
            <w:vAlign w:val="bottom"/>
            <w:tcBorders>
              <w:top w:val="single" w:sz="8" w:color="auto"/>
              <w:bottom w:val="single" w:sz="8" w:color="auto"/>
            </w:tcBorders>
          </w:tcPr>
          <w:p>
            <w:pPr>
              <w:spacing w:after="0"/>
              <w:rPr>
                <w:sz w:val="20"/>
                <w:szCs w:val="20"/>
                <w:color w:val="auto"/>
              </w:rPr>
            </w:pPr>
          </w:p>
        </w:tc>
        <w:tc>
          <w:tcPr>
            <w:tcW w:w="800" w:type="dxa"/>
            <w:vAlign w:val="bottom"/>
            <w:tcBorders>
              <w:top w:val="single" w:sz="8" w:color="auto"/>
              <w:bottom w:val="single" w:sz="8" w:color="auto"/>
            </w:tcBorders>
          </w:tcPr>
          <w:p>
            <w:pPr>
              <w:jc w:val="right"/>
              <w:ind w:right="235"/>
              <w:spacing w:after="0"/>
              <w:rPr>
                <w:sz w:val="20"/>
                <w:szCs w:val="20"/>
                <w:color w:val="auto"/>
              </w:rPr>
            </w:pPr>
            <w:r>
              <w:rPr>
                <w:rFonts w:ascii="Arial" w:cs="Arial" w:eastAsia="Arial" w:hAnsi="Arial"/>
                <w:sz w:val="14"/>
                <w:szCs w:val="14"/>
                <w:b w:val="1"/>
                <w:bCs w:val="1"/>
                <w:color w:val="auto"/>
              </w:rPr>
              <w:t>2018</w:t>
            </w:r>
          </w:p>
        </w:tc>
        <w:tc>
          <w:tcPr>
            <w:tcW w:w="200" w:type="dxa"/>
            <w:vAlign w:val="bottom"/>
            <w:tcBorders>
              <w:top w:val="single" w:sz="8" w:color="auto"/>
              <w:bottom w:val="single" w:sz="8" w:color="CFF0FC"/>
            </w:tcBorders>
          </w:tcPr>
          <w:p>
            <w:pPr>
              <w:spacing w:after="0"/>
              <w:rPr>
                <w:sz w:val="20"/>
                <w:szCs w:val="20"/>
                <w:color w:val="auto"/>
              </w:rPr>
            </w:pPr>
          </w:p>
        </w:tc>
        <w:tc>
          <w:tcPr>
            <w:tcW w:w="200" w:type="dxa"/>
            <w:vAlign w:val="bottom"/>
            <w:tcBorders>
              <w:top w:val="single" w:sz="8" w:color="auto"/>
              <w:bottom w:val="single" w:sz="8" w:color="auto"/>
            </w:tcBorders>
          </w:tcPr>
          <w:p>
            <w:pPr>
              <w:spacing w:after="0"/>
              <w:rPr>
                <w:sz w:val="20"/>
                <w:szCs w:val="20"/>
                <w:color w:val="auto"/>
              </w:rPr>
            </w:pPr>
          </w:p>
        </w:tc>
        <w:tc>
          <w:tcPr>
            <w:tcW w:w="720" w:type="dxa"/>
            <w:vAlign w:val="bottom"/>
            <w:tcBorders>
              <w:top w:val="single" w:sz="8" w:color="auto"/>
              <w:bottom w:val="single" w:sz="8" w:color="auto"/>
            </w:tcBorders>
          </w:tcPr>
          <w:p>
            <w:pPr>
              <w:jc w:val="right"/>
              <w:ind w:right="233"/>
              <w:spacing w:after="0"/>
              <w:rPr>
                <w:sz w:val="20"/>
                <w:szCs w:val="20"/>
                <w:color w:val="auto"/>
              </w:rPr>
            </w:pPr>
            <w:r>
              <w:rPr>
                <w:rFonts w:ascii="Arial" w:cs="Arial" w:eastAsia="Arial" w:hAnsi="Arial"/>
                <w:sz w:val="14"/>
                <w:szCs w:val="14"/>
                <w:b w:val="1"/>
                <w:bCs w:val="1"/>
                <w:color w:val="auto"/>
              </w:rPr>
              <w:t>2017</w:t>
            </w:r>
          </w:p>
        </w:tc>
        <w:tc>
          <w:tcPr>
            <w:tcW w:w="220" w:type="dxa"/>
            <w:vAlign w:val="bottom"/>
            <w:tcBorders>
              <w:bottom w:val="single" w:sz="8" w:color="CFF0FC"/>
            </w:tcBorders>
          </w:tcPr>
          <w:p>
            <w:pPr>
              <w:spacing w:after="0"/>
              <w:rPr>
                <w:sz w:val="20"/>
                <w:szCs w:val="20"/>
                <w:color w:val="auto"/>
              </w:rPr>
            </w:pPr>
          </w:p>
        </w:tc>
        <w:tc>
          <w:tcPr>
            <w:tcW w:w="200" w:type="dxa"/>
            <w:vAlign w:val="bottom"/>
            <w:tcBorders>
              <w:top w:val="single" w:sz="8" w:color="auto"/>
              <w:bottom w:val="single" w:sz="8" w:color="auto"/>
            </w:tcBorders>
          </w:tcPr>
          <w:p>
            <w:pPr>
              <w:spacing w:after="0"/>
              <w:rPr>
                <w:sz w:val="20"/>
                <w:szCs w:val="20"/>
                <w:color w:val="auto"/>
              </w:rPr>
            </w:pPr>
          </w:p>
        </w:tc>
        <w:tc>
          <w:tcPr>
            <w:tcW w:w="720" w:type="dxa"/>
            <w:vAlign w:val="bottom"/>
            <w:tcBorders>
              <w:top w:val="single" w:sz="8" w:color="auto"/>
              <w:bottom w:val="single" w:sz="8" w:color="auto"/>
            </w:tcBorders>
          </w:tcPr>
          <w:p>
            <w:pPr>
              <w:jc w:val="right"/>
              <w:ind w:right="255"/>
              <w:spacing w:after="0"/>
              <w:rPr>
                <w:sz w:val="20"/>
                <w:szCs w:val="20"/>
                <w:color w:val="auto"/>
              </w:rPr>
            </w:pPr>
            <w:r>
              <w:rPr>
                <w:rFonts w:ascii="Arial" w:cs="Arial" w:eastAsia="Arial" w:hAnsi="Arial"/>
                <w:sz w:val="14"/>
                <w:szCs w:val="14"/>
                <w:b w:val="1"/>
                <w:bCs w:val="1"/>
                <w:color w:val="auto"/>
              </w:rPr>
              <w:t>2018</w:t>
            </w:r>
          </w:p>
        </w:tc>
        <w:tc>
          <w:tcPr>
            <w:tcW w:w="200" w:type="dxa"/>
            <w:vAlign w:val="bottom"/>
            <w:tcBorders>
              <w:top w:val="single" w:sz="8" w:color="auto"/>
              <w:bottom w:val="single" w:sz="8" w:color="CFF0FC"/>
            </w:tcBorders>
          </w:tcPr>
          <w:p>
            <w:pPr>
              <w:spacing w:after="0"/>
              <w:rPr>
                <w:sz w:val="20"/>
                <w:szCs w:val="20"/>
                <w:color w:val="auto"/>
              </w:rPr>
            </w:pPr>
          </w:p>
        </w:tc>
        <w:tc>
          <w:tcPr>
            <w:tcW w:w="200" w:type="dxa"/>
            <w:vAlign w:val="bottom"/>
            <w:tcBorders>
              <w:top w:val="single" w:sz="8" w:color="auto"/>
              <w:bottom w:val="single" w:sz="8" w:color="auto"/>
            </w:tcBorders>
          </w:tcPr>
          <w:p>
            <w:pPr>
              <w:spacing w:after="0"/>
              <w:rPr>
                <w:sz w:val="20"/>
                <w:szCs w:val="20"/>
                <w:color w:val="auto"/>
              </w:rPr>
            </w:pPr>
          </w:p>
        </w:tc>
        <w:tc>
          <w:tcPr>
            <w:tcW w:w="740" w:type="dxa"/>
            <w:vAlign w:val="bottom"/>
            <w:tcBorders>
              <w:top w:val="single" w:sz="8" w:color="auto"/>
              <w:bottom w:val="single" w:sz="8" w:color="auto"/>
            </w:tcBorders>
          </w:tcPr>
          <w:p>
            <w:pPr>
              <w:jc w:val="right"/>
              <w:ind w:right="253"/>
              <w:spacing w:after="0"/>
              <w:rPr>
                <w:sz w:val="20"/>
                <w:szCs w:val="20"/>
                <w:color w:val="auto"/>
              </w:rPr>
            </w:pPr>
            <w:r>
              <w:rPr>
                <w:rFonts w:ascii="Arial" w:cs="Arial" w:eastAsia="Arial" w:hAnsi="Arial"/>
                <w:sz w:val="14"/>
                <w:szCs w:val="14"/>
                <w:b w:val="1"/>
                <w:bCs w:val="1"/>
                <w:color w:val="auto"/>
              </w:rPr>
              <w:t>2017</w:t>
            </w:r>
          </w:p>
        </w:tc>
        <w:tc>
          <w:tcPr>
            <w:tcW w:w="100" w:type="dxa"/>
            <w:vAlign w:val="bottom"/>
            <w:tcBorders>
              <w:bottom w:val="single" w:sz="8" w:color="CFF0FC"/>
            </w:tcBorders>
          </w:tcPr>
          <w:p>
            <w:pPr>
              <w:spacing w:after="0"/>
              <w:rPr>
                <w:sz w:val="20"/>
                <w:szCs w:val="20"/>
                <w:color w:val="auto"/>
              </w:rPr>
            </w:pPr>
          </w:p>
        </w:tc>
        <w:tc>
          <w:tcPr>
            <w:tcW w:w="20" w:type="dxa"/>
            <w:vAlign w:val="bottom"/>
          </w:tcPr>
          <w:p>
            <w:pPr>
              <w:spacing w:after="0"/>
              <w:rPr>
                <w:sz w:val="20"/>
                <w:szCs w:val="20"/>
                <w:color w:val="auto"/>
              </w:rPr>
            </w:pPr>
          </w:p>
        </w:tc>
      </w:tr>
      <w:tr>
        <w:trPr>
          <w:trHeight w:val="222"/>
        </w:trPr>
        <w:tc>
          <w:tcPr>
            <w:tcW w:w="4760" w:type="dxa"/>
            <w:vAlign w:val="bottom"/>
            <w:shd w:val="clear" w:color="auto" w:fill="CFF0FC"/>
          </w:tcPr>
          <w:p>
            <w:pPr>
              <w:spacing w:after="0"/>
              <w:rPr>
                <w:sz w:val="20"/>
                <w:szCs w:val="20"/>
                <w:color w:val="auto"/>
              </w:rPr>
            </w:pPr>
            <w:r>
              <w:rPr>
                <w:rFonts w:ascii="Arial" w:cs="Arial" w:eastAsia="Arial" w:hAnsi="Arial"/>
                <w:sz w:val="18"/>
                <w:szCs w:val="18"/>
                <w:color w:val="auto"/>
              </w:rPr>
              <w:t>Service cost</w:t>
            </w:r>
          </w:p>
        </w:tc>
        <w:tc>
          <w:tcPr>
            <w:tcW w:w="200" w:type="dxa"/>
            <w:vAlign w:val="bottom"/>
            <w:shd w:val="clear" w:color="auto" w:fill="CFF0FC"/>
          </w:tcPr>
          <w:p>
            <w:pPr>
              <w:jc w:val="right"/>
              <w:ind w:right="10"/>
              <w:spacing w:after="0"/>
              <w:rPr>
                <w:sz w:val="20"/>
                <w:szCs w:val="20"/>
                <w:color w:val="auto"/>
              </w:rPr>
            </w:pPr>
            <w:r>
              <w:rPr>
                <w:rFonts w:ascii="Arial" w:cs="Arial" w:eastAsia="Arial" w:hAnsi="Arial"/>
                <w:sz w:val="18"/>
                <w:szCs w:val="18"/>
                <w:color w:val="auto"/>
                <w:w w:val="79"/>
              </w:rPr>
              <w:t>$</w:t>
            </w:r>
          </w:p>
        </w:tc>
        <w:tc>
          <w:tcPr>
            <w:tcW w:w="7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w:t>
            </w:r>
          </w:p>
        </w:tc>
        <w:tc>
          <w:tcPr>
            <w:tcW w:w="180" w:type="dxa"/>
            <w:vAlign w:val="bottom"/>
            <w:shd w:val="clear" w:color="auto" w:fill="CFF0FC"/>
          </w:tcPr>
          <w:p>
            <w:pPr>
              <w:spacing w:after="0"/>
              <w:rPr>
                <w:sz w:val="19"/>
                <w:szCs w:val="19"/>
                <w:color w:val="auto"/>
              </w:rPr>
            </w:pPr>
          </w:p>
        </w:tc>
        <w:tc>
          <w:tcPr>
            <w:tcW w:w="40" w:type="dxa"/>
            <w:vAlign w:val="bottom"/>
            <w:shd w:val="clear" w:color="auto" w:fill="CFF0FC"/>
          </w:tcPr>
          <w:p>
            <w:pPr>
              <w:spacing w:after="0"/>
              <w:rPr>
                <w:sz w:val="19"/>
                <w:szCs w:val="19"/>
                <w:color w:val="auto"/>
              </w:rPr>
            </w:pPr>
          </w:p>
        </w:tc>
        <w:tc>
          <w:tcPr>
            <w:tcW w:w="200" w:type="dxa"/>
            <w:vAlign w:val="bottom"/>
            <w:shd w:val="clear" w:color="auto" w:fill="CFF0FC"/>
          </w:tcPr>
          <w:p>
            <w:pPr>
              <w:jc w:val="right"/>
              <w:ind w:right="10"/>
              <w:spacing w:after="0"/>
              <w:rPr>
                <w:sz w:val="20"/>
                <w:szCs w:val="20"/>
                <w:color w:val="auto"/>
              </w:rPr>
            </w:pPr>
            <w:r>
              <w:rPr>
                <w:rFonts w:ascii="Arial" w:cs="Arial" w:eastAsia="Arial" w:hAnsi="Arial"/>
                <w:sz w:val="18"/>
                <w:szCs w:val="18"/>
                <w:color w:val="auto"/>
                <w:w w:val="79"/>
              </w:rPr>
              <w:t>$</w:t>
            </w:r>
          </w:p>
        </w:tc>
        <w:tc>
          <w:tcPr>
            <w:tcW w:w="7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9</w:t>
            </w:r>
          </w:p>
        </w:tc>
        <w:tc>
          <w:tcPr>
            <w:tcW w:w="220" w:type="dxa"/>
            <w:vAlign w:val="bottom"/>
            <w:shd w:val="clear" w:color="auto" w:fill="CFF0FC"/>
          </w:tcPr>
          <w:p>
            <w:pPr>
              <w:spacing w:after="0"/>
              <w:rPr>
                <w:sz w:val="19"/>
                <w:szCs w:val="19"/>
                <w:color w:val="auto"/>
              </w:rPr>
            </w:pPr>
          </w:p>
        </w:tc>
        <w:tc>
          <w:tcPr>
            <w:tcW w:w="120" w:type="dxa"/>
            <w:vAlign w:val="bottom"/>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8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24</w:t>
            </w:r>
          </w:p>
        </w:tc>
        <w:tc>
          <w:tcPr>
            <w:tcW w:w="200" w:type="dxa"/>
            <w:vAlign w:val="bottom"/>
            <w:shd w:val="clear" w:color="auto" w:fill="CFF0FC"/>
          </w:tcPr>
          <w:p>
            <w:pPr>
              <w:spacing w:after="0"/>
              <w:rPr>
                <w:sz w:val="19"/>
                <w:szCs w:val="19"/>
                <w:color w:val="auto"/>
              </w:rPr>
            </w:pPr>
          </w:p>
        </w:tc>
        <w:tc>
          <w:tcPr>
            <w:tcW w:w="200" w:type="dxa"/>
            <w:vAlign w:val="bottom"/>
            <w:shd w:val="clear" w:color="auto" w:fill="CFF0FC"/>
          </w:tcPr>
          <w:p>
            <w:pPr>
              <w:jc w:val="right"/>
              <w:ind w:right="10"/>
              <w:spacing w:after="0"/>
              <w:rPr>
                <w:sz w:val="20"/>
                <w:szCs w:val="20"/>
                <w:color w:val="auto"/>
              </w:rPr>
            </w:pPr>
            <w:r>
              <w:rPr>
                <w:rFonts w:ascii="Arial" w:cs="Arial" w:eastAsia="Arial" w:hAnsi="Arial"/>
                <w:sz w:val="18"/>
                <w:szCs w:val="18"/>
                <w:color w:val="auto"/>
                <w:w w:val="79"/>
              </w:rPr>
              <w:t>$</w:t>
            </w:r>
          </w:p>
        </w:tc>
        <w:tc>
          <w:tcPr>
            <w:tcW w:w="7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30</w:t>
            </w:r>
          </w:p>
        </w:tc>
        <w:tc>
          <w:tcPr>
            <w:tcW w:w="220" w:type="dxa"/>
            <w:vAlign w:val="bottom"/>
            <w:shd w:val="clear" w:color="auto" w:fill="CFF0FC"/>
          </w:tcPr>
          <w:p>
            <w:pPr>
              <w:spacing w:after="0"/>
              <w:rPr>
                <w:sz w:val="19"/>
                <w:szCs w:val="19"/>
                <w:color w:val="auto"/>
              </w:rPr>
            </w:pPr>
          </w:p>
        </w:tc>
        <w:tc>
          <w:tcPr>
            <w:tcW w:w="200" w:type="dxa"/>
            <w:vAlign w:val="bottom"/>
            <w:shd w:val="clear" w:color="auto" w:fill="CFF0FC"/>
          </w:tcPr>
          <w:p>
            <w:pPr>
              <w:jc w:val="right"/>
              <w:ind w:right="47"/>
              <w:spacing w:after="0"/>
              <w:rPr>
                <w:sz w:val="20"/>
                <w:szCs w:val="20"/>
                <w:color w:val="auto"/>
              </w:rPr>
            </w:pPr>
            <w:r>
              <w:rPr>
                <w:rFonts w:ascii="Arial" w:cs="Arial" w:eastAsia="Arial" w:hAnsi="Arial"/>
                <w:sz w:val="15"/>
                <w:szCs w:val="15"/>
                <w:color w:val="auto"/>
                <w:w w:val="71"/>
              </w:rPr>
              <w:t>$</w:t>
            </w:r>
          </w:p>
        </w:tc>
        <w:tc>
          <w:tcPr>
            <w:tcW w:w="7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142</w:t>
            </w:r>
          </w:p>
        </w:tc>
        <w:tc>
          <w:tcPr>
            <w:tcW w:w="200" w:type="dxa"/>
            <w:vAlign w:val="bottom"/>
            <w:shd w:val="clear" w:color="auto" w:fill="CFF0FC"/>
          </w:tcPr>
          <w:p>
            <w:pPr>
              <w:spacing w:after="0"/>
              <w:rPr>
                <w:sz w:val="19"/>
                <w:szCs w:val="19"/>
                <w:color w:val="auto"/>
              </w:rPr>
            </w:pPr>
          </w:p>
        </w:tc>
        <w:tc>
          <w:tcPr>
            <w:tcW w:w="200" w:type="dxa"/>
            <w:vAlign w:val="bottom"/>
            <w:shd w:val="clear" w:color="auto" w:fill="CFF0FC"/>
          </w:tcPr>
          <w:p>
            <w:pPr>
              <w:jc w:val="right"/>
              <w:ind w:right="10"/>
              <w:spacing w:after="0"/>
              <w:rPr>
                <w:sz w:val="20"/>
                <w:szCs w:val="20"/>
                <w:color w:val="auto"/>
              </w:rPr>
            </w:pPr>
            <w:r>
              <w:rPr>
                <w:rFonts w:ascii="Arial" w:cs="Arial" w:eastAsia="Arial" w:hAnsi="Arial"/>
                <w:sz w:val="18"/>
                <w:szCs w:val="18"/>
                <w:color w:val="auto"/>
                <w:w w:val="79"/>
              </w:rPr>
              <w:t>$</w:t>
            </w:r>
          </w:p>
        </w:tc>
        <w:tc>
          <w:tcPr>
            <w:tcW w:w="7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130</w:t>
            </w:r>
          </w:p>
        </w:tc>
        <w:tc>
          <w:tcPr>
            <w:tcW w:w="100" w:type="dxa"/>
            <w:vAlign w:val="bottom"/>
            <w:shd w:val="clear" w:color="auto" w:fill="CFF0FC"/>
          </w:tcPr>
          <w:p>
            <w:pPr>
              <w:spacing w:after="0"/>
              <w:rPr>
                <w:sz w:val="19"/>
                <w:szCs w:val="19"/>
                <w:color w:val="auto"/>
              </w:rPr>
            </w:pPr>
          </w:p>
        </w:tc>
        <w:tc>
          <w:tcPr>
            <w:tcW w:w="20" w:type="dxa"/>
            <w:vAlign w:val="bottom"/>
          </w:tcPr>
          <w:p>
            <w:pPr>
              <w:spacing w:after="0"/>
              <w:rPr>
                <w:sz w:val="19"/>
                <w:szCs w:val="19"/>
                <w:color w:val="auto"/>
              </w:rPr>
            </w:pPr>
          </w:p>
        </w:tc>
      </w:tr>
      <w:tr>
        <w:trPr>
          <w:trHeight w:val="229"/>
        </w:trPr>
        <w:tc>
          <w:tcPr>
            <w:tcW w:w="4760" w:type="dxa"/>
            <w:vAlign w:val="bottom"/>
          </w:tcPr>
          <w:p>
            <w:pPr>
              <w:spacing w:after="0"/>
              <w:rPr>
                <w:sz w:val="20"/>
                <w:szCs w:val="20"/>
                <w:color w:val="auto"/>
              </w:rPr>
            </w:pPr>
            <w:r>
              <w:rPr>
                <w:rFonts w:ascii="Arial" w:cs="Arial" w:eastAsia="Arial" w:hAnsi="Arial"/>
                <w:sz w:val="18"/>
                <w:szCs w:val="18"/>
                <w:color w:val="auto"/>
              </w:rPr>
              <w:t>Interest cost</w:t>
            </w:r>
          </w:p>
        </w:tc>
        <w:tc>
          <w:tcPr>
            <w:tcW w:w="200" w:type="dxa"/>
            <w:vAlign w:val="bottom"/>
          </w:tcPr>
          <w:p>
            <w:pPr>
              <w:spacing w:after="0"/>
              <w:rPr>
                <w:sz w:val="19"/>
                <w:szCs w:val="19"/>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187</w:t>
            </w:r>
          </w:p>
        </w:tc>
        <w:tc>
          <w:tcPr>
            <w:tcW w:w="1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229</w:t>
            </w:r>
          </w:p>
        </w:tc>
        <w:tc>
          <w:tcPr>
            <w:tcW w:w="2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94</w:t>
            </w:r>
          </w:p>
        </w:tc>
        <w:tc>
          <w:tcPr>
            <w:tcW w:w="2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126</w:t>
            </w:r>
          </w:p>
        </w:tc>
        <w:tc>
          <w:tcPr>
            <w:tcW w:w="2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92</w:t>
            </w:r>
          </w:p>
        </w:tc>
        <w:tc>
          <w:tcPr>
            <w:tcW w:w="2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114</w:t>
            </w:r>
          </w:p>
        </w:tc>
        <w:tc>
          <w:tcPr>
            <w:tcW w:w="100" w:type="dxa"/>
            <w:vAlign w:val="bottom"/>
          </w:tcPr>
          <w:p>
            <w:pPr>
              <w:spacing w:after="0"/>
              <w:rPr>
                <w:sz w:val="19"/>
                <w:szCs w:val="19"/>
                <w:color w:val="auto"/>
              </w:rPr>
            </w:pPr>
          </w:p>
        </w:tc>
        <w:tc>
          <w:tcPr>
            <w:tcW w:w="20" w:type="dxa"/>
            <w:vAlign w:val="bottom"/>
          </w:tcPr>
          <w:p>
            <w:pPr>
              <w:spacing w:after="0"/>
              <w:rPr>
                <w:sz w:val="19"/>
                <w:szCs w:val="19"/>
                <w:color w:val="auto"/>
              </w:rPr>
            </w:pPr>
          </w:p>
        </w:tc>
      </w:tr>
      <w:tr>
        <w:trPr>
          <w:trHeight w:val="229"/>
        </w:trPr>
        <w:tc>
          <w:tcPr>
            <w:tcW w:w="4760" w:type="dxa"/>
            <w:vAlign w:val="bottom"/>
            <w:shd w:val="clear" w:color="auto" w:fill="CFF0FC"/>
          </w:tcPr>
          <w:p>
            <w:pPr>
              <w:spacing w:after="0"/>
              <w:rPr>
                <w:sz w:val="20"/>
                <w:szCs w:val="20"/>
                <w:color w:val="auto"/>
              </w:rPr>
            </w:pPr>
            <w:r>
              <w:rPr>
                <w:rFonts w:ascii="Arial" w:cs="Arial" w:eastAsia="Arial" w:hAnsi="Arial"/>
                <w:sz w:val="18"/>
                <w:szCs w:val="18"/>
                <w:color w:val="auto"/>
              </w:rPr>
              <w:t>Expected return on plan assets</w:t>
            </w:r>
          </w:p>
        </w:tc>
        <w:tc>
          <w:tcPr>
            <w:tcW w:w="200" w:type="dxa"/>
            <w:vAlign w:val="bottom"/>
            <w:shd w:val="clear" w:color="auto" w:fill="CFF0FC"/>
          </w:tcPr>
          <w:p>
            <w:pPr>
              <w:spacing w:after="0"/>
              <w:rPr>
                <w:sz w:val="19"/>
                <w:szCs w:val="19"/>
                <w:color w:val="auto"/>
              </w:rPr>
            </w:pPr>
          </w:p>
        </w:tc>
        <w:tc>
          <w:tcPr>
            <w:tcW w:w="880" w:type="dxa"/>
            <w:vAlign w:val="bottom"/>
            <w:gridSpan w:val="2"/>
            <w:shd w:val="clear" w:color="auto" w:fill="CFF0FC"/>
          </w:tcPr>
          <w:p>
            <w:pPr>
              <w:jc w:val="right"/>
              <w:ind w:right="120"/>
              <w:spacing w:after="0"/>
              <w:rPr>
                <w:sz w:val="20"/>
                <w:szCs w:val="20"/>
                <w:color w:val="auto"/>
              </w:rPr>
            </w:pPr>
            <w:r>
              <w:rPr>
                <w:rFonts w:ascii="Arial" w:cs="Arial" w:eastAsia="Arial" w:hAnsi="Arial"/>
                <w:sz w:val="18"/>
                <w:szCs w:val="18"/>
                <w:color w:val="auto"/>
              </w:rPr>
              <w:t>(35)</w:t>
            </w:r>
          </w:p>
        </w:tc>
        <w:tc>
          <w:tcPr>
            <w:tcW w:w="4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920" w:type="dxa"/>
            <w:vAlign w:val="bottom"/>
            <w:gridSpan w:val="2"/>
            <w:shd w:val="clear" w:color="auto" w:fill="CFF0FC"/>
          </w:tcPr>
          <w:p>
            <w:pPr>
              <w:jc w:val="right"/>
              <w:ind w:right="160"/>
              <w:spacing w:after="0"/>
              <w:rPr>
                <w:sz w:val="20"/>
                <w:szCs w:val="20"/>
                <w:color w:val="auto"/>
              </w:rPr>
            </w:pPr>
            <w:r>
              <w:rPr>
                <w:rFonts w:ascii="Arial" w:cs="Arial" w:eastAsia="Arial" w:hAnsi="Arial"/>
                <w:sz w:val="18"/>
                <w:szCs w:val="18"/>
                <w:color w:val="auto"/>
              </w:rPr>
              <w:t>(39)</w:t>
            </w:r>
          </w:p>
        </w:tc>
        <w:tc>
          <w:tcPr>
            <w:tcW w:w="120" w:type="dxa"/>
            <w:vAlign w:val="bottom"/>
            <w:shd w:val="clear" w:color="auto" w:fill="CFF0FC"/>
          </w:tcPr>
          <w:p>
            <w:pPr>
              <w:spacing w:after="0"/>
              <w:rPr>
                <w:sz w:val="19"/>
                <w:szCs w:val="19"/>
                <w:color w:val="auto"/>
              </w:rPr>
            </w:pPr>
          </w:p>
        </w:tc>
        <w:tc>
          <w:tcPr>
            <w:tcW w:w="1000" w:type="dxa"/>
            <w:vAlign w:val="bottom"/>
            <w:gridSpan w:val="2"/>
            <w:shd w:val="clear" w:color="auto" w:fill="CFF0FC"/>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shd w:val="clear" w:color="auto" w:fill="CFF0FC"/>
          </w:tcPr>
          <w:p>
            <w:pPr>
              <w:spacing w:after="0"/>
              <w:rPr>
                <w:sz w:val="19"/>
                <w:szCs w:val="19"/>
                <w:color w:val="auto"/>
              </w:rPr>
            </w:pPr>
          </w:p>
        </w:tc>
        <w:tc>
          <w:tcPr>
            <w:tcW w:w="940" w:type="dxa"/>
            <w:vAlign w:val="bottom"/>
            <w:gridSpan w:val="2"/>
            <w:shd w:val="clear" w:color="auto" w:fill="CFF0FC"/>
          </w:tcPr>
          <w:p>
            <w:pPr>
              <w:jc w:val="right"/>
              <w:ind w:right="240"/>
              <w:spacing w:after="0"/>
              <w:rPr>
                <w:sz w:val="20"/>
                <w:szCs w:val="20"/>
                <w:color w:val="auto"/>
              </w:rPr>
            </w:pPr>
            <w:r>
              <w:rPr>
                <w:rFonts w:ascii="Arial" w:cs="Arial" w:eastAsia="Arial" w:hAnsi="Arial"/>
                <w:sz w:val="18"/>
                <w:szCs w:val="18"/>
                <w:color w:val="auto"/>
              </w:rPr>
              <w:t>—</w:t>
            </w:r>
          </w:p>
        </w:tc>
        <w:tc>
          <w:tcPr>
            <w:tcW w:w="200" w:type="dxa"/>
            <w:vAlign w:val="bottom"/>
            <w:shd w:val="clear" w:color="auto" w:fill="CFF0FC"/>
          </w:tcPr>
          <w:p>
            <w:pPr>
              <w:spacing w:after="0"/>
              <w:rPr>
                <w:sz w:val="19"/>
                <w:szCs w:val="19"/>
                <w:color w:val="auto"/>
              </w:rPr>
            </w:pPr>
          </w:p>
        </w:tc>
        <w:tc>
          <w:tcPr>
            <w:tcW w:w="920" w:type="dxa"/>
            <w:vAlign w:val="bottom"/>
            <w:gridSpan w:val="2"/>
            <w:shd w:val="clear" w:color="auto" w:fill="CFF0FC"/>
          </w:tcPr>
          <w:p>
            <w:pPr>
              <w:jc w:val="right"/>
              <w:ind w:right="140"/>
              <w:spacing w:after="0"/>
              <w:rPr>
                <w:sz w:val="20"/>
                <w:szCs w:val="20"/>
                <w:color w:val="auto"/>
              </w:rPr>
            </w:pPr>
            <w:r>
              <w:rPr>
                <w:rFonts w:ascii="Arial" w:cs="Arial" w:eastAsia="Arial" w:hAnsi="Arial"/>
                <w:sz w:val="18"/>
                <w:szCs w:val="18"/>
                <w:color w:val="auto"/>
              </w:rPr>
              <w:t>(129)</w:t>
            </w:r>
          </w:p>
        </w:tc>
        <w:tc>
          <w:tcPr>
            <w:tcW w:w="200" w:type="dxa"/>
            <w:vAlign w:val="bottom"/>
            <w:shd w:val="clear" w:color="auto" w:fill="CFF0FC"/>
          </w:tcPr>
          <w:p>
            <w:pPr>
              <w:spacing w:after="0"/>
              <w:rPr>
                <w:sz w:val="19"/>
                <w:szCs w:val="19"/>
                <w:color w:val="auto"/>
              </w:rPr>
            </w:pPr>
          </w:p>
        </w:tc>
        <w:tc>
          <w:tcPr>
            <w:tcW w:w="840" w:type="dxa"/>
            <w:vAlign w:val="bottom"/>
            <w:gridSpan w:val="2"/>
            <w:shd w:val="clear" w:color="auto" w:fill="CFF0FC"/>
          </w:tcPr>
          <w:p>
            <w:pPr>
              <w:jc w:val="right"/>
              <w:ind w:right="40"/>
              <w:spacing w:after="0"/>
              <w:rPr>
                <w:sz w:val="20"/>
                <w:szCs w:val="20"/>
                <w:color w:val="auto"/>
              </w:rPr>
            </w:pPr>
            <w:r>
              <w:rPr>
                <w:rFonts w:ascii="Arial" w:cs="Arial" w:eastAsia="Arial" w:hAnsi="Arial"/>
                <w:sz w:val="18"/>
                <w:szCs w:val="18"/>
                <w:color w:val="auto"/>
              </w:rPr>
              <w:t>(148)</w:t>
            </w:r>
          </w:p>
        </w:tc>
        <w:tc>
          <w:tcPr>
            <w:tcW w:w="20" w:type="dxa"/>
            <w:vAlign w:val="bottom"/>
          </w:tcPr>
          <w:p>
            <w:pPr>
              <w:spacing w:after="0"/>
              <w:rPr>
                <w:sz w:val="19"/>
                <w:szCs w:val="19"/>
                <w:color w:val="auto"/>
              </w:rPr>
            </w:pPr>
          </w:p>
        </w:tc>
      </w:tr>
      <w:tr>
        <w:trPr>
          <w:trHeight w:val="229"/>
        </w:trPr>
        <w:tc>
          <w:tcPr>
            <w:tcW w:w="4760" w:type="dxa"/>
            <w:vAlign w:val="bottom"/>
          </w:tcPr>
          <w:p>
            <w:pPr>
              <w:spacing w:after="0"/>
              <w:rPr>
                <w:sz w:val="20"/>
                <w:szCs w:val="20"/>
                <w:color w:val="auto"/>
              </w:rPr>
            </w:pPr>
            <w:r>
              <w:rPr>
                <w:rFonts w:ascii="Arial" w:cs="Arial" w:eastAsia="Arial" w:hAnsi="Arial"/>
                <w:sz w:val="18"/>
                <w:szCs w:val="18"/>
                <w:color w:val="auto"/>
              </w:rPr>
              <w:t>Amortization of prior service credit</w:t>
            </w:r>
          </w:p>
        </w:tc>
        <w:tc>
          <w:tcPr>
            <w:tcW w:w="200" w:type="dxa"/>
            <w:vAlign w:val="bottom"/>
          </w:tcPr>
          <w:p>
            <w:pPr>
              <w:spacing w:after="0"/>
              <w:rPr>
                <w:sz w:val="19"/>
                <w:szCs w:val="19"/>
                <w:color w:val="auto"/>
              </w:rPr>
            </w:pPr>
          </w:p>
        </w:tc>
        <w:tc>
          <w:tcPr>
            <w:tcW w:w="88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92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9"/>
                <w:szCs w:val="19"/>
                <w:color w:val="auto"/>
              </w:rPr>
            </w:pPr>
          </w:p>
        </w:tc>
        <w:tc>
          <w:tcPr>
            <w:tcW w:w="1000" w:type="dxa"/>
            <w:vAlign w:val="bottom"/>
            <w:gridSpan w:val="2"/>
          </w:tcPr>
          <w:p>
            <w:pPr>
              <w:jc w:val="right"/>
              <w:ind w:right="140"/>
              <w:spacing w:after="0"/>
              <w:rPr>
                <w:sz w:val="20"/>
                <w:szCs w:val="20"/>
                <w:color w:val="auto"/>
              </w:rPr>
            </w:pPr>
            <w:r>
              <w:rPr>
                <w:rFonts w:ascii="Arial" w:cs="Arial" w:eastAsia="Arial" w:hAnsi="Arial"/>
                <w:sz w:val="18"/>
                <w:szCs w:val="18"/>
                <w:color w:val="auto"/>
              </w:rPr>
              <w:t>(84)</w:t>
            </w:r>
          </w:p>
        </w:tc>
        <w:tc>
          <w:tcPr>
            <w:tcW w:w="200" w:type="dxa"/>
            <w:vAlign w:val="bottom"/>
          </w:tcPr>
          <w:p>
            <w:pPr>
              <w:spacing w:after="0"/>
              <w:rPr>
                <w:sz w:val="19"/>
                <w:szCs w:val="19"/>
                <w:color w:val="auto"/>
              </w:rPr>
            </w:pPr>
          </w:p>
        </w:tc>
        <w:tc>
          <w:tcPr>
            <w:tcW w:w="940" w:type="dxa"/>
            <w:vAlign w:val="bottom"/>
            <w:gridSpan w:val="2"/>
          </w:tcPr>
          <w:p>
            <w:pPr>
              <w:jc w:val="right"/>
              <w:ind w:right="160"/>
              <w:spacing w:after="0"/>
              <w:rPr>
                <w:sz w:val="20"/>
                <w:szCs w:val="20"/>
                <w:color w:val="auto"/>
              </w:rPr>
            </w:pPr>
            <w:r>
              <w:rPr>
                <w:rFonts w:ascii="Arial" w:cs="Arial" w:eastAsia="Arial" w:hAnsi="Arial"/>
                <w:sz w:val="18"/>
                <w:szCs w:val="18"/>
                <w:color w:val="auto"/>
              </w:rPr>
              <w:t>(111)</w:t>
            </w:r>
          </w:p>
        </w:tc>
        <w:tc>
          <w:tcPr>
            <w:tcW w:w="200" w:type="dxa"/>
            <w:vAlign w:val="bottom"/>
          </w:tcPr>
          <w:p>
            <w:pPr>
              <w:spacing w:after="0"/>
              <w:rPr>
                <w:sz w:val="19"/>
                <w:szCs w:val="19"/>
                <w:color w:val="auto"/>
              </w:rPr>
            </w:pPr>
          </w:p>
        </w:tc>
        <w:tc>
          <w:tcPr>
            <w:tcW w:w="9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9"/>
                <w:szCs w:val="19"/>
                <w:color w:val="auto"/>
              </w:rPr>
            </w:pPr>
          </w:p>
        </w:tc>
        <w:tc>
          <w:tcPr>
            <w:tcW w:w="84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9"/>
                <w:szCs w:val="19"/>
                <w:color w:val="auto"/>
              </w:rPr>
            </w:pPr>
          </w:p>
        </w:tc>
      </w:tr>
      <w:tr>
        <w:trPr>
          <w:trHeight w:val="229"/>
        </w:trPr>
        <w:tc>
          <w:tcPr>
            <w:tcW w:w="4760" w:type="dxa"/>
            <w:vAlign w:val="bottom"/>
            <w:shd w:val="clear" w:color="auto" w:fill="CFF0FC"/>
          </w:tcPr>
          <w:p>
            <w:pPr>
              <w:spacing w:after="0"/>
              <w:rPr>
                <w:sz w:val="20"/>
                <w:szCs w:val="20"/>
                <w:color w:val="auto"/>
              </w:rPr>
            </w:pPr>
            <w:r>
              <w:rPr>
                <w:rFonts w:ascii="Arial" w:cs="Arial" w:eastAsia="Arial" w:hAnsi="Arial"/>
                <w:sz w:val="18"/>
                <w:szCs w:val="18"/>
                <w:color w:val="auto"/>
              </w:rPr>
              <w:t>Recognized net actuarial loss</w:t>
            </w:r>
          </w:p>
        </w:tc>
        <w:tc>
          <w:tcPr>
            <w:tcW w:w="200" w:type="dxa"/>
            <w:vAlign w:val="bottom"/>
            <w:tcBorders>
              <w:bottom w:val="single" w:sz="8" w:color="auto"/>
            </w:tcBorders>
            <w:shd w:val="clear" w:color="auto" w:fill="CFF0FC"/>
          </w:tcPr>
          <w:p>
            <w:pPr>
              <w:spacing w:after="0"/>
              <w:rPr>
                <w:sz w:val="19"/>
                <w:szCs w:val="19"/>
                <w:color w:val="auto"/>
              </w:rPr>
            </w:pPr>
          </w:p>
        </w:tc>
        <w:tc>
          <w:tcPr>
            <w:tcW w:w="7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122</w:t>
            </w:r>
          </w:p>
        </w:tc>
        <w:tc>
          <w:tcPr>
            <w:tcW w:w="180" w:type="dxa"/>
            <w:vAlign w:val="bottom"/>
            <w:shd w:val="clear" w:color="auto" w:fill="CFF0FC"/>
          </w:tcPr>
          <w:p>
            <w:pPr>
              <w:spacing w:after="0"/>
              <w:rPr>
                <w:sz w:val="19"/>
                <w:szCs w:val="19"/>
                <w:color w:val="auto"/>
              </w:rPr>
            </w:pPr>
          </w:p>
        </w:tc>
        <w:tc>
          <w:tcPr>
            <w:tcW w:w="40" w:type="dxa"/>
            <w:vAlign w:val="bottom"/>
            <w:shd w:val="clear" w:color="auto" w:fill="CFF0FC"/>
          </w:tcPr>
          <w:p>
            <w:pPr>
              <w:spacing w:after="0"/>
              <w:rPr>
                <w:sz w:val="19"/>
                <w:szCs w:val="19"/>
                <w:color w:val="auto"/>
              </w:rPr>
            </w:pPr>
          </w:p>
        </w:tc>
        <w:tc>
          <w:tcPr>
            <w:tcW w:w="200" w:type="dxa"/>
            <w:vAlign w:val="bottom"/>
            <w:tcBorders>
              <w:bottom w:val="single" w:sz="8" w:color="auto"/>
            </w:tcBorders>
            <w:shd w:val="clear" w:color="auto" w:fill="CFF0FC"/>
          </w:tcPr>
          <w:p>
            <w:pPr>
              <w:spacing w:after="0"/>
              <w:rPr>
                <w:sz w:val="19"/>
                <w:szCs w:val="19"/>
                <w:color w:val="auto"/>
              </w:rPr>
            </w:pPr>
          </w:p>
        </w:tc>
        <w:tc>
          <w:tcPr>
            <w:tcW w:w="7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136</w:t>
            </w:r>
          </w:p>
        </w:tc>
        <w:tc>
          <w:tcPr>
            <w:tcW w:w="220" w:type="dxa"/>
            <w:vAlign w:val="bottom"/>
            <w:shd w:val="clear" w:color="auto" w:fill="CFF0FC"/>
          </w:tcPr>
          <w:p>
            <w:pPr>
              <w:spacing w:after="0"/>
              <w:rPr>
                <w:sz w:val="19"/>
                <w:szCs w:val="19"/>
                <w:color w:val="auto"/>
              </w:rPr>
            </w:pPr>
          </w:p>
        </w:tc>
        <w:tc>
          <w:tcPr>
            <w:tcW w:w="120" w:type="dxa"/>
            <w:vAlign w:val="bottom"/>
            <w:tcBorders>
              <w:bottom w:val="single" w:sz="8" w:color="auto"/>
            </w:tcBorders>
            <w:shd w:val="clear" w:color="auto" w:fill="CFF0FC"/>
          </w:tcPr>
          <w:p>
            <w:pPr>
              <w:spacing w:after="0"/>
              <w:rPr>
                <w:sz w:val="19"/>
                <w:szCs w:val="19"/>
                <w:color w:val="auto"/>
              </w:rPr>
            </w:pPr>
          </w:p>
        </w:tc>
        <w:tc>
          <w:tcPr>
            <w:tcW w:w="8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52</w:t>
            </w:r>
          </w:p>
        </w:tc>
        <w:tc>
          <w:tcPr>
            <w:tcW w:w="200" w:type="dxa"/>
            <w:vAlign w:val="bottom"/>
            <w:shd w:val="clear" w:color="auto" w:fill="CFF0FC"/>
          </w:tcPr>
          <w:p>
            <w:pPr>
              <w:spacing w:after="0"/>
              <w:rPr>
                <w:sz w:val="19"/>
                <w:szCs w:val="19"/>
                <w:color w:val="auto"/>
              </w:rPr>
            </w:pPr>
          </w:p>
        </w:tc>
        <w:tc>
          <w:tcPr>
            <w:tcW w:w="200" w:type="dxa"/>
            <w:vAlign w:val="bottom"/>
            <w:tcBorders>
              <w:bottom w:val="single" w:sz="8" w:color="auto"/>
            </w:tcBorders>
            <w:shd w:val="clear" w:color="auto" w:fill="CFF0FC"/>
          </w:tcPr>
          <w:p>
            <w:pPr>
              <w:spacing w:after="0"/>
              <w:rPr>
                <w:sz w:val="19"/>
                <w:szCs w:val="19"/>
                <w:color w:val="auto"/>
              </w:rPr>
            </w:pPr>
          </w:p>
        </w:tc>
        <w:tc>
          <w:tcPr>
            <w:tcW w:w="7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100</w:t>
            </w:r>
          </w:p>
        </w:tc>
        <w:tc>
          <w:tcPr>
            <w:tcW w:w="220" w:type="dxa"/>
            <w:vAlign w:val="bottom"/>
            <w:shd w:val="clear" w:color="auto" w:fill="CFF0FC"/>
          </w:tcPr>
          <w:p>
            <w:pPr>
              <w:spacing w:after="0"/>
              <w:rPr>
                <w:sz w:val="19"/>
                <w:szCs w:val="19"/>
                <w:color w:val="auto"/>
              </w:rPr>
            </w:pPr>
          </w:p>
        </w:tc>
        <w:tc>
          <w:tcPr>
            <w:tcW w:w="200" w:type="dxa"/>
            <w:vAlign w:val="bottom"/>
            <w:tcBorders>
              <w:bottom w:val="single" w:sz="8" w:color="auto"/>
            </w:tcBorders>
            <w:shd w:val="clear" w:color="auto" w:fill="CFF0FC"/>
          </w:tcPr>
          <w:p>
            <w:pPr>
              <w:spacing w:after="0"/>
              <w:rPr>
                <w:sz w:val="19"/>
                <w:szCs w:val="19"/>
                <w:color w:val="auto"/>
              </w:rPr>
            </w:pPr>
          </w:p>
        </w:tc>
        <w:tc>
          <w:tcPr>
            <w:tcW w:w="7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41</w:t>
            </w:r>
          </w:p>
        </w:tc>
        <w:tc>
          <w:tcPr>
            <w:tcW w:w="200" w:type="dxa"/>
            <w:vAlign w:val="bottom"/>
            <w:shd w:val="clear" w:color="auto" w:fill="CFF0FC"/>
          </w:tcPr>
          <w:p>
            <w:pPr>
              <w:spacing w:after="0"/>
              <w:rPr>
                <w:sz w:val="19"/>
                <w:szCs w:val="19"/>
                <w:color w:val="auto"/>
              </w:rPr>
            </w:pPr>
          </w:p>
        </w:tc>
        <w:tc>
          <w:tcPr>
            <w:tcW w:w="200" w:type="dxa"/>
            <w:vAlign w:val="bottom"/>
            <w:tcBorders>
              <w:bottom w:val="single" w:sz="8" w:color="auto"/>
            </w:tcBorders>
            <w:shd w:val="clear" w:color="auto" w:fill="CFF0FC"/>
          </w:tcPr>
          <w:p>
            <w:pPr>
              <w:spacing w:after="0"/>
              <w:rPr>
                <w:sz w:val="19"/>
                <w:szCs w:val="19"/>
                <w:color w:val="auto"/>
              </w:rPr>
            </w:pPr>
          </w:p>
        </w:tc>
        <w:tc>
          <w:tcPr>
            <w:tcW w:w="7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45</w:t>
            </w:r>
          </w:p>
        </w:tc>
        <w:tc>
          <w:tcPr>
            <w:tcW w:w="100" w:type="dxa"/>
            <w:vAlign w:val="bottom"/>
            <w:shd w:val="clear" w:color="auto" w:fill="CFF0FC"/>
          </w:tcPr>
          <w:p>
            <w:pPr>
              <w:spacing w:after="0"/>
              <w:rPr>
                <w:sz w:val="19"/>
                <w:szCs w:val="19"/>
                <w:color w:val="auto"/>
              </w:rPr>
            </w:pPr>
          </w:p>
        </w:tc>
        <w:tc>
          <w:tcPr>
            <w:tcW w:w="20" w:type="dxa"/>
            <w:vAlign w:val="bottom"/>
          </w:tcPr>
          <w:p>
            <w:pPr>
              <w:spacing w:after="0"/>
              <w:rPr>
                <w:sz w:val="19"/>
                <w:szCs w:val="19"/>
                <w:color w:val="auto"/>
              </w:rPr>
            </w:pPr>
          </w:p>
        </w:tc>
      </w:tr>
      <w:tr>
        <w:trPr>
          <w:trHeight w:val="222"/>
        </w:trPr>
        <w:tc>
          <w:tcPr>
            <w:tcW w:w="4760" w:type="dxa"/>
            <w:vAlign w:val="bottom"/>
          </w:tcPr>
          <w:p>
            <w:pPr>
              <w:spacing w:after="0"/>
              <w:rPr>
                <w:sz w:val="20"/>
                <w:szCs w:val="20"/>
                <w:color w:val="auto"/>
              </w:rPr>
            </w:pPr>
            <w:r>
              <w:rPr>
                <w:rFonts w:ascii="Arial" w:cs="Arial" w:eastAsia="Arial" w:hAnsi="Arial"/>
                <w:sz w:val="18"/>
                <w:szCs w:val="18"/>
                <w:color w:val="auto"/>
              </w:rPr>
              <w:t>Net periodic benefit cost</w:t>
            </w:r>
          </w:p>
        </w:tc>
        <w:tc>
          <w:tcPr>
            <w:tcW w:w="20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w w:val="79"/>
              </w:rPr>
              <w:t>$</w:t>
            </w: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276</w:t>
            </w:r>
          </w:p>
        </w:tc>
        <w:tc>
          <w:tcPr>
            <w:tcW w:w="1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20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w w:val="79"/>
              </w:rPr>
              <w:t>$</w:t>
            </w: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335</w:t>
            </w:r>
          </w:p>
        </w:tc>
        <w:tc>
          <w:tcPr>
            <w:tcW w:w="220" w:type="dxa"/>
            <w:vAlign w:val="bottom"/>
          </w:tcPr>
          <w:p>
            <w:pPr>
              <w:spacing w:after="0"/>
              <w:rPr>
                <w:sz w:val="19"/>
                <w:szCs w:val="19"/>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86</w:t>
            </w:r>
          </w:p>
        </w:tc>
        <w:tc>
          <w:tcPr>
            <w:tcW w:w="200" w:type="dxa"/>
            <w:vAlign w:val="bottom"/>
          </w:tcPr>
          <w:p>
            <w:pPr>
              <w:spacing w:after="0"/>
              <w:rPr>
                <w:sz w:val="19"/>
                <w:szCs w:val="19"/>
                <w:color w:val="auto"/>
              </w:rPr>
            </w:pPr>
          </w:p>
        </w:tc>
        <w:tc>
          <w:tcPr>
            <w:tcW w:w="20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w w:val="79"/>
              </w:rPr>
              <w:t>$</w:t>
            </w: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145</w:t>
            </w:r>
          </w:p>
        </w:tc>
        <w:tc>
          <w:tcPr>
            <w:tcW w:w="220" w:type="dxa"/>
            <w:vAlign w:val="bottom"/>
          </w:tcPr>
          <w:p>
            <w:pPr>
              <w:spacing w:after="0"/>
              <w:rPr>
                <w:sz w:val="19"/>
                <w:szCs w:val="19"/>
                <w:color w:val="auto"/>
              </w:rPr>
            </w:pPr>
          </w:p>
        </w:tc>
        <w:tc>
          <w:tcPr>
            <w:tcW w:w="200" w:type="dxa"/>
            <w:vAlign w:val="bottom"/>
            <w:tcBorders>
              <w:bottom w:val="single" w:sz="8" w:color="auto"/>
            </w:tcBorders>
          </w:tcPr>
          <w:p>
            <w:pPr>
              <w:jc w:val="right"/>
              <w:ind w:right="47"/>
              <w:spacing w:after="0"/>
              <w:rPr>
                <w:sz w:val="20"/>
                <w:szCs w:val="20"/>
                <w:color w:val="auto"/>
              </w:rPr>
            </w:pPr>
            <w:r>
              <w:rPr>
                <w:rFonts w:ascii="Arial" w:cs="Arial" w:eastAsia="Arial" w:hAnsi="Arial"/>
                <w:sz w:val="15"/>
                <w:szCs w:val="15"/>
                <w:color w:val="auto"/>
                <w:w w:val="71"/>
              </w:rPr>
              <w:t>$</w:t>
            </w: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146</w:t>
            </w:r>
          </w:p>
        </w:tc>
        <w:tc>
          <w:tcPr>
            <w:tcW w:w="200" w:type="dxa"/>
            <w:vAlign w:val="bottom"/>
          </w:tcPr>
          <w:p>
            <w:pPr>
              <w:spacing w:after="0"/>
              <w:rPr>
                <w:sz w:val="19"/>
                <w:szCs w:val="19"/>
                <w:color w:val="auto"/>
              </w:rPr>
            </w:pPr>
          </w:p>
        </w:tc>
        <w:tc>
          <w:tcPr>
            <w:tcW w:w="20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w w:val="79"/>
              </w:rPr>
              <w:t>$</w:t>
            </w: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141</w:t>
            </w:r>
          </w:p>
        </w:tc>
        <w:tc>
          <w:tcPr>
            <w:tcW w:w="100" w:type="dxa"/>
            <w:vAlign w:val="bottom"/>
          </w:tcPr>
          <w:p>
            <w:pPr>
              <w:spacing w:after="0"/>
              <w:rPr>
                <w:sz w:val="19"/>
                <w:szCs w:val="19"/>
                <w:color w:val="auto"/>
              </w:rPr>
            </w:pPr>
          </w:p>
        </w:tc>
        <w:tc>
          <w:tcPr>
            <w:tcW w:w="20" w:type="dxa"/>
            <w:vAlign w:val="bottom"/>
          </w:tcPr>
          <w:p>
            <w:pPr>
              <w:spacing w:after="0"/>
              <w:rPr>
                <w:sz w:val="19"/>
                <w:szCs w:val="19"/>
                <w:color w:val="auto"/>
              </w:rPr>
            </w:pPr>
          </w:p>
        </w:tc>
      </w:tr>
      <w:tr>
        <w:trPr>
          <w:trHeight w:val="20"/>
        </w:trPr>
        <w:tc>
          <w:tcPr>
            <w:tcW w:w="476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532"/>
        </w:trPr>
        <w:tc>
          <w:tcPr>
            <w:tcW w:w="47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80" w:type="dxa"/>
            <w:vAlign w:val="bottom"/>
            <w:gridSpan w:val="2"/>
          </w:tcPr>
          <w:p>
            <w:pPr>
              <w:jc w:val="right"/>
              <w:ind w:right="40"/>
              <w:spacing w:after="0"/>
              <w:rPr>
                <w:sz w:val="20"/>
                <w:szCs w:val="20"/>
                <w:color w:val="auto"/>
              </w:rPr>
            </w:pPr>
            <w:r>
              <w:rPr>
                <w:rFonts w:ascii="Arial" w:cs="Arial" w:eastAsia="Arial" w:hAnsi="Arial"/>
                <w:sz w:val="18"/>
                <w:szCs w:val="18"/>
                <w:color w:val="auto"/>
              </w:rPr>
              <w:t>24</w:t>
            </w:r>
          </w:p>
        </w:tc>
        <w:tc>
          <w:tcPr>
            <w:tcW w:w="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114"/>
        </w:trPr>
        <w:tc>
          <w:tcPr>
            <w:tcW w:w="4760" w:type="dxa"/>
            <w:vAlign w:val="bottom"/>
            <w:tcBorders>
              <w:bottom w:val="single" w:sz="8" w:color="9A9A9A"/>
            </w:tcBorders>
          </w:tcPr>
          <w:p>
            <w:pPr>
              <w:spacing w:after="0"/>
              <w:rPr>
                <w:sz w:val="9"/>
                <w:szCs w:val="9"/>
                <w:color w:val="auto"/>
              </w:rPr>
            </w:pPr>
          </w:p>
        </w:tc>
        <w:tc>
          <w:tcPr>
            <w:tcW w:w="200" w:type="dxa"/>
            <w:vAlign w:val="bottom"/>
            <w:tcBorders>
              <w:bottom w:val="single" w:sz="8" w:color="9A9A9A"/>
            </w:tcBorders>
          </w:tcPr>
          <w:p>
            <w:pPr>
              <w:spacing w:after="0"/>
              <w:rPr>
                <w:sz w:val="9"/>
                <w:szCs w:val="9"/>
                <w:color w:val="auto"/>
              </w:rPr>
            </w:pPr>
          </w:p>
        </w:tc>
        <w:tc>
          <w:tcPr>
            <w:tcW w:w="700" w:type="dxa"/>
            <w:vAlign w:val="bottom"/>
            <w:tcBorders>
              <w:bottom w:val="single" w:sz="8" w:color="9A9A9A"/>
            </w:tcBorders>
          </w:tcPr>
          <w:p>
            <w:pPr>
              <w:spacing w:after="0"/>
              <w:rPr>
                <w:sz w:val="9"/>
                <w:szCs w:val="9"/>
                <w:color w:val="auto"/>
              </w:rPr>
            </w:pPr>
          </w:p>
        </w:tc>
        <w:tc>
          <w:tcPr>
            <w:tcW w:w="180" w:type="dxa"/>
            <w:vAlign w:val="bottom"/>
            <w:tcBorders>
              <w:bottom w:val="single" w:sz="8" w:color="9A9A9A"/>
            </w:tcBorders>
          </w:tcPr>
          <w:p>
            <w:pPr>
              <w:spacing w:after="0"/>
              <w:rPr>
                <w:sz w:val="9"/>
                <w:szCs w:val="9"/>
                <w:color w:val="auto"/>
              </w:rPr>
            </w:pPr>
          </w:p>
        </w:tc>
        <w:tc>
          <w:tcPr>
            <w:tcW w:w="40" w:type="dxa"/>
            <w:vAlign w:val="bottom"/>
            <w:tcBorders>
              <w:bottom w:val="single" w:sz="8" w:color="9A9A9A"/>
            </w:tcBorders>
          </w:tcPr>
          <w:p>
            <w:pPr>
              <w:spacing w:after="0"/>
              <w:rPr>
                <w:sz w:val="9"/>
                <w:szCs w:val="9"/>
                <w:color w:val="auto"/>
              </w:rPr>
            </w:pPr>
          </w:p>
        </w:tc>
        <w:tc>
          <w:tcPr>
            <w:tcW w:w="200" w:type="dxa"/>
            <w:vAlign w:val="bottom"/>
            <w:tcBorders>
              <w:bottom w:val="single" w:sz="8" w:color="9A9A9A"/>
            </w:tcBorders>
          </w:tcPr>
          <w:p>
            <w:pPr>
              <w:spacing w:after="0"/>
              <w:rPr>
                <w:sz w:val="9"/>
                <w:szCs w:val="9"/>
                <w:color w:val="auto"/>
              </w:rPr>
            </w:pPr>
          </w:p>
        </w:tc>
        <w:tc>
          <w:tcPr>
            <w:tcW w:w="700" w:type="dxa"/>
            <w:vAlign w:val="bottom"/>
            <w:tcBorders>
              <w:bottom w:val="single" w:sz="8" w:color="9A9A9A"/>
            </w:tcBorders>
          </w:tcPr>
          <w:p>
            <w:pPr>
              <w:spacing w:after="0"/>
              <w:rPr>
                <w:sz w:val="9"/>
                <w:szCs w:val="9"/>
                <w:color w:val="auto"/>
              </w:rPr>
            </w:pPr>
          </w:p>
        </w:tc>
        <w:tc>
          <w:tcPr>
            <w:tcW w:w="220" w:type="dxa"/>
            <w:vAlign w:val="bottom"/>
            <w:tcBorders>
              <w:bottom w:val="single" w:sz="8" w:color="9A9A9A"/>
            </w:tcBorders>
          </w:tcPr>
          <w:p>
            <w:pPr>
              <w:spacing w:after="0"/>
              <w:rPr>
                <w:sz w:val="9"/>
                <w:szCs w:val="9"/>
                <w:color w:val="auto"/>
              </w:rPr>
            </w:pPr>
          </w:p>
        </w:tc>
        <w:tc>
          <w:tcPr>
            <w:tcW w:w="120" w:type="dxa"/>
            <w:vAlign w:val="bottom"/>
            <w:tcBorders>
              <w:bottom w:val="single" w:sz="8" w:color="9A9A9A"/>
            </w:tcBorders>
          </w:tcPr>
          <w:p>
            <w:pPr>
              <w:spacing w:after="0"/>
              <w:rPr>
                <w:sz w:val="9"/>
                <w:szCs w:val="9"/>
                <w:color w:val="auto"/>
              </w:rPr>
            </w:pPr>
          </w:p>
        </w:tc>
        <w:tc>
          <w:tcPr>
            <w:tcW w:w="800" w:type="dxa"/>
            <w:vAlign w:val="bottom"/>
            <w:tcBorders>
              <w:bottom w:val="single" w:sz="8" w:color="9A9A9A"/>
            </w:tcBorders>
          </w:tcPr>
          <w:p>
            <w:pPr>
              <w:spacing w:after="0"/>
              <w:rPr>
                <w:sz w:val="9"/>
                <w:szCs w:val="9"/>
                <w:color w:val="auto"/>
              </w:rPr>
            </w:pPr>
          </w:p>
        </w:tc>
        <w:tc>
          <w:tcPr>
            <w:tcW w:w="200" w:type="dxa"/>
            <w:vAlign w:val="bottom"/>
            <w:tcBorders>
              <w:bottom w:val="single" w:sz="8" w:color="9A9A9A"/>
            </w:tcBorders>
          </w:tcPr>
          <w:p>
            <w:pPr>
              <w:spacing w:after="0"/>
              <w:rPr>
                <w:sz w:val="9"/>
                <w:szCs w:val="9"/>
                <w:color w:val="auto"/>
              </w:rPr>
            </w:pPr>
          </w:p>
        </w:tc>
        <w:tc>
          <w:tcPr>
            <w:tcW w:w="200" w:type="dxa"/>
            <w:vAlign w:val="bottom"/>
            <w:tcBorders>
              <w:bottom w:val="single" w:sz="8" w:color="9A9A9A"/>
            </w:tcBorders>
          </w:tcPr>
          <w:p>
            <w:pPr>
              <w:spacing w:after="0"/>
              <w:rPr>
                <w:sz w:val="9"/>
                <w:szCs w:val="9"/>
                <w:color w:val="auto"/>
              </w:rPr>
            </w:pPr>
          </w:p>
        </w:tc>
        <w:tc>
          <w:tcPr>
            <w:tcW w:w="720" w:type="dxa"/>
            <w:vAlign w:val="bottom"/>
            <w:tcBorders>
              <w:bottom w:val="single" w:sz="8" w:color="9A9A9A"/>
            </w:tcBorders>
          </w:tcPr>
          <w:p>
            <w:pPr>
              <w:spacing w:after="0"/>
              <w:rPr>
                <w:sz w:val="9"/>
                <w:szCs w:val="9"/>
                <w:color w:val="auto"/>
              </w:rPr>
            </w:pPr>
          </w:p>
        </w:tc>
        <w:tc>
          <w:tcPr>
            <w:tcW w:w="220" w:type="dxa"/>
            <w:vAlign w:val="bottom"/>
            <w:tcBorders>
              <w:bottom w:val="single" w:sz="8" w:color="9A9A9A"/>
            </w:tcBorders>
          </w:tcPr>
          <w:p>
            <w:pPr>
              <w:spacing w:after="0"/>
              <w:rPr>
                <w:sz w:val="9"/>
                <w:szCs w:val="9"/>
                <w:color w:val="auto"/>
              </w:rPr>
            </w:pPr>
          </w:p>
        </w:tc>
        <w:tc>
          <w:tcPr>
            <w:tcW w:w="200" w:type="dxa"/>
            <w:vAlign w:val="bottom"/>
            <w:tcBorders>
              <w:bottom w:val="single" w:sz="8" w:color="9A9A9A"/>
            </w:tcBorders>
          </w:tcPr>
          <w:p>
            <w:pPr>
              <w:spacing w:after="0"/>
              <w:rPr>
                <w:sz w:val="9"/>
                <w:szCs w:val="9"/>
                <w:color w:val="auto"/>
              </w:rPr>
            </w:pPr>
          </w:p>
        </w:tc>
        <w:tc>
          <w:tcPr>
            <w:tcW w:w="720" w:type="dxa"/>
            <w:vAlign w:val="bottom"/>
            <w:tcBorders>
              <w:bottom w:val="single" w:sz="8" w:color="9A9A9A"/>
            </w:tcBorders>
          </w:tcPr>
          <w:p>
            <w:pPr>
              <w:spacing w:after="0"/>
              <w:rPr>
                <w:sz w:val="9"/>
                <w:szCs w:val="9"/>
                <w:color w:val="auto"/>
              </w:rPr>
            </w:pPr>
          </w:p>
        </w:tc>
        <w:tc>
          <w:tcPr>
            <w:tcW w:w="200" w:type="dxa"/>
            <w:vAlign w:val="bottom"/>
            <w:tcBorders>
              <w:bottom w:val="single" w:sz="8" w:color="9A9A9A"/>
            </w:tcBorders>
          </w:tcPr>
          <w:p>
            <w:pPr>
              <w:spacing w:after="0"/>
              <w:rPr>
                <w:sz w:val="9"/>
                <w:szCs w:val="9"/>
                <w:color w:val="auto"/>
              </w:rPr>
            </w:pPr>
          </w:p>
        </w:tc>
        <w:tc>
          <w:tcPr>
            <w:tcW w:w="200" w:type="dxa"/>
            <w:vAlign w:val="bottom"/>
            <w:tcBorders>
              <w:bottom w:val="single" w:sz="8" w:color="9A9A9A"/>
            </w:tcBorders>
          </w:tcPr>
          <w:p>
            <w:pPr>
              <w:spacing w:after="0"/>
              <w:rPr>
                <w:sz w:val="9"/>
                <w:szCs w:val="9"/>
                <w:color w:val="auto"/>
              </w:rPr>
            </w:pPr>
          </w:p>
        </w:tc>
        <w:tc>
          <w:tcPr>
            <w:tcW w:w="740" w:type="dxa"/>
            <w:vAlign w:val="bottom"/>
            <w:tcBorders>
              <w:bottom w:val="single" w:sz="8" w:color="9A9A9A"/>
            </w:tcBorders>
          </w:tcPr>
          <w:p>
            <w:pPr>
              <w:spacing w:after="0"/>
              <w:rPr>
                <w:sz w:val="9"/>
                <w:szCs w:val="9"/>
                <w:color w:val="auto"/>
              </w:rPr>
            </w:pPr>
          </w:p>
        </w:tc>
        <w:tc>
          <w:tcPr>
            <w:tcW w:w="100" w:type="dxa"/>
            <w:vAlign w:val="bottom"/>
            <w:tcBorders>
              <w:bottom w:val="single" w:sz="8" w:color="9A9A9A"/>
            </w:tcBorders>
          </w:tcPr>
          <w:p>
            <w:pPr>
              <w:spacing w:after="0"/>
              <w:rPr>
                <w:sz w:val="9"/>
                <w:szCs w:val="9"/>
                <w:color w:val="auto"/>
              </w:rPr>
            </w:pPr>
          </w:p>
        </w:tc>
        <w:tc>
          <w:tcPr>
            <w:tcW w:w="20" w:type="dxa"/>
            <w:vAlign w:val="bottom"/>
            <w:tcBorders>
              <w:bottom w:val="single" w:sz="8" w:color="9A9A9A"/>
            </w:tcBorders>
          </w:tcPr>
          <w:p>
            <w:pPr>
              <w:spacing w:after="0"/>
              <w:rPr>
                <w:sz w:val="9"/>
                <w:szCs w:val="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7247890</wp:posOffset>
            </wp:positionH>
            <wp:positionV relativeFrom="paragraph">
              <wp:posOffset>-29210</wp:posOffset>
            </wp:positionV>
            <wp:extent cx="33655" cy="4254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3655" cy="4254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33655" cy="42545"/>
                    </a:xfrm>
                    <a:prstGeom prst="rect">
                      <a:avLst/>
                    </a:prstGeom>
                    <a:noFill/>
                  </pic:spPr>
                </pic:pic>
              </a:graphicData>
            </a:graphic>
          </wp:anchor>
        </w:drawing>
      </w:r>
    </w:p>
    <w:p>
      <w:pPr>
        <w:sectPr>
          <w:pgSz w:w="11900" w:h="16838" w:orient="portrait"/>
          <w:cols w:equalWidth="0" w:num="1">
            <w:col w:w="11440"/>
          </w:cols>
          <w:pgMar w:left="240" w:top="336" w:right="219" w:bottom="1440" w:gutter="0" w:footer="0" w:header="0"/>
        </w:sectPr>
      </w:pPr>
    </w:p>
    <w:bookmarkStart w:id="26" w:name="page27"/>
    <w:bookmarkEnd w:id="26"/>
    <w:p>
      <w:pPr>
        <w:jc w:val="both"/>
        <w:spacing w:after="0" w:line="262" w:lineRule="auto"/>
        <w:rPr>
          <w:sz w:val="20"/>
          <w:szCs w:val="20"/>
          <w:color w:val="auto"/>
        </w:rPr>
      </w:pPr>
      <w:r>
        <w:rPr>
          <w:rFonts w:ascii="Arial" w:cs="Arial" w:eastAsia="Arial" w:hAnsi="Arial"/>
          <w:sz w:val="18"/>
          <w:szCs w:val="18"/>
          <w:color w:val="auto"/>
        </w:rPr>
        <w:t>We expect to contribute $1.1 million to our funded pension plans, $1.0 million to our unfunded pension plans, and $1.1 million to our postretirement benefit plans in 2018. During the three months ended March 31, 2018, we contributed $0.2 million to our funded pension plans, $0.2 million to our unfunded pension plans, and $0.3 million to our postretirement benefit plans.</w:t>
      </w:r>
    </w:p>
    <w:p>
      <w:pPr>
        <w:spacing w:after="0" w:line="32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Note 18. </w:t>
      </w:r>
      <w:r>
        <w:rPr>
          <w:rFonts w:ascii="Arial" w:cs="Arial" w:eastAsia="Arial" w:hAnsi="Arial"/>
          <w:sz w:val="18"/>
          <w:szCs w:val="18"/>
          <w:b w:val="1"/>
          <w:bCs w:val="1"/>
          <w:u w:val="single" w:color="auto"/>
          <w:color w:val="auto"/>
        </w:rPr>
        <w:t>Restructuring Charges</w:t>
      </w:r>
    </w:p>
    <w:p>
      <w:pPr>
        <w:spacing w:after="0" w:line="11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GES</w:t>
      </w:r>
    </w:p>
    <w:p>
      <w:pPr>
        <w:spacing w:after="0" w:line="120"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We have taken certain restructuring actions designed to reduce our cost structure primarily within GES. We implemented a strategic reorganization plan in order to consolidate the separate business units within GES U.S. We also consolidated facilities and streamlined our operations in the U.S., Canada, and the United Kingdom. As a result, we recorded restructuring charges primarily consisting of severance and related benefits as a result of workforce reductions and charges related to the consolidation and downsizing of facilities representing the remaining operating lease obligations (net of estimated sublease income) and related costs.</w:t>
      </w:r>
    </w:p>
    <w:p>
      <w:pPr>
        <w:spacing w:after="0" w:line="29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Other Restructurings</w:t>
      </w:r>
    </w:p>
    <w:p>
      <w:pPr>
        <w:spacing w:after="0" w:line="120" w:lineRule="exact"/>
        <w:rPr>
          <w:sz w:val="20"/>
          <w:szCs w:val="20"/>
          <w:color w:val="auto"/>
        </w:rPr>
      </w:pPr>
    </w:p>
    <w:p>
      <w:pPr>
        <w:jc w:val="both"/>
        <w:spacing w:after="0" w:line="275" w:lineRule="auto"/>
        <w:rPr>
          <w:sz w:val="20"/>
          <w:szCs w:val="20"/>
          <w:color w:val="auto"/>
        </w:rPr>
      </w:pPr>
      <w:r>
        <w:rPr>
          <w:rFonts w:ascii="Arial" w:cs="Arial" w:eastAsia="Arial" w:hAnsi="Arial"/>
          <w:sz w:val="18"/>
          <w:szCs w:val="18"/>
          <w:color w:val="auto"/>
        </w:rPr>
        <w:t>We recorded restructuring charges in connection with certain reorganization activities within Pursuit. These charges primarily consist of severance and related benefits due to headcount reductions.</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color w:val="auto"/>
        </w:rPr>
        <w:t>Changes to the restructuring liability by major restructuring activity are as follows:</w:t>
      </w:r>
    </w:p>
    <w:p>
      <w:pPr>
        <w:spacing w:after="0" w:line="215"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9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440" w:type="dxa"/>
            <w:vAlign w:val="bottom"/>
            <w:gridSpan w:val="4"/>
            <w:vMerge w:val="restart"/>
          </w:tcPr>
          <w:p>
            <w:pPr>
              <w:jc w:val="right"/>
              <w:ind w:right="90"/>
              <w:spacing w:after="0"/>
              <w:rPr>
                <w:sz w:val="20"/>
                <w:szCs w:val="20"/>
                <w:color w:val="auto"/>
              </w:rPr>
            </w:pPr>
            <w:r>
              <w:rPr>
                <w:rFonts w:ascii="Arial" w:cs="Arial" w:eastAsia="Arial" w:hAnsi="Arial"/>
                <w:sz w:val="14"/>
                <w:szCs w:val="14"/>
                <w:b w:val="1"/>
                <w:bCs w:val="1"/>
                <w:color w:val="auto"/>
              </w:rPr>
              <w:t>GES</w:t>
            </w:r>
          </w:p>
        </w:tc>
        <w:tc>
          <w:tcPr>
            <w:tcW w:w="96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300" w:type="dxa"/>
            <w:vAlign w:val="bottom"/>
            <w:gridSpan w:val="2"/>
          </w:tcPr>
          <w:p>
            <w:pPr>
              <w:jc w:val="center"/>
              <w:ind w:right="340"/>
              <w:spacing w:after="0"/>
              <w:rPr>
                <w:sz w:val="20"/>
                <w:szCs w:val="20"/>
                <w:color w:val="auto"/>
              </w:rPr>
            </w:pPr>
            <w:r>
              <w:rPr>
                <w:rFonts w:ascii="Arial" w:cs="Arial" w:eastAsia="Arial" w:hAnsi="Arial"/>
                <w:sz w:val="14"/>
                <w:szCs w:val="14"/>
                <w:b w:val="1"/>
                <w:bCs w:val="1"/>
                <w:color w:val="auto"/>
                <w:w w:val="96"/>
              </w:rPr>
              <w:t>Other</w:t>
            </w:r>
          </w:p>
        </w:tc>
        <w:tc>
          <w:tcPr>
            <w:tcW w:w="2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1"/>
        </w:trPr>
        <w:tc>
          <w:tcPr>
            <w:tcW w:w="59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440" w:type="dxa"/>
            <w:vAlign w:val="bottom"/>
            <w:gridSpan w:val="4"/>
            <w:vMerge w:val="continue"/>
          </w:tcPr>
          <w:p>
            <w:pPr>
              <w:spacing w:after="0"/>
              <w:rPr>
                <w:sz w:val="14"/>
                <w:szCs w:val="14"/>
                <w:color w:val="auto"/>
              </w:rPr>
            </w:pPr>
          </w:p>
        </w:tc>
        <w:tc>
          <w:tcPr>
            <w:tcW w:w="96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300" w:type="dxa"/>
            <w:vAlign w:val="bottom"/>
            <w:gridSpan w:val="2"/>
          </w:tcPr>
          <w:p>
            <w:pPr>
              <w:jc w:val="center"/>
              <w:ind w:right="340"/>
              <w:spacing w:after="0"/>
              <w:rPr>
                <w:sz w:val="20"/>
                <w:szCs w:val="20"/>
                <w:color w:val="auto"/>
              </w:rPr>
            </w:pPr>
            <w:r>
              <w:rPr>
                <w:rFonts w:ascii="Arial" w:cs="Arial" w:eastAsia="Arial" w:hAnsi="Arial"/>
                <w:sz w:val="14"/>
                <w:szCs w:val="14"/>
                <w:b w:val="1"/>
                <w:bCs w:val="1"/>
                <w:color w:val="auto"/>
                <w:w w:val="92"/>
              </w:rPr>
              <w:t>Restructurings</w:t>
            </w:r>
          </w:p>
        </w:tc>
        <w:tc>
          <w:tcPr>
            <w:tcW w:w="2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2"/>
        </w:trPr>
        <w:tc>
          <w:tcPr>
            <w:tcW w:w="5960" w:type="dxa"/>
            <w:vAlign w:val="bottom"/>
          </w:tcPr>
          <w:p>
            <w:pPr>
              <w:spacing w:after="0"/>
              <w:rPr>
                <w:sz w:val="11"/>
                <w:szCs w:val="11"/>
                <w:color w:val="auto"/>
              </w:rPr>
            </w:pPr>
          </w:p>
        </w:tc>
        <w:tc>
          <w:tcPr>
            <w:tcW w:w="140" w:type="dxa"/>
            <w:vAlign w:val="bottom"/>
            <w:tcBorders>
              <w:top w:val="single" w:sz="8" w:color="auto"/>
            </w:tcBorders>
          </w:tcPr>
          <w:p>
            <w:pPr>
              <w:spacing w:after="0"/>
              <w:rPr>
                <w:sz w:val="11"/>
                <w:szCs w:val="11"/>
                <w:color w:val="auto"/>
              </w:rPr>
            </w:pPr>
          </w:p>
        </w:tc>
        <w:tc>
          <w:tcPr>
            <w:tcW w:w="1160" w:type="dxa"/>
            <w:vAlign w:val="bottom"/>
            <w:tcBorders>
              <w:top w:val="single" w:sz="8" w:color="auto"/>
            </w:tcBorders>
            <w:gridSpan w:val="2"/>
          </w:tcPr>
          <w:p>
            <w:pPr>
              <w:jc w:val="center"/>
              <w:ind w:right="300"/>
              <w:spacing w:after="0" w:line="132" w:lineRule="exact"/>
              <w:rPr>
                <w:sz w:val="20"/>
                <w:szCs w:val="20"/>
                <w:color w:val="auto"/>
              </w:rPr>
            </w:pPr>
            <w:r>
              <w:rPr>
                <w:rFonts w:ascii="Arial" w:cs="Arial" w:eastAsia="Arial" w:hAnsi="Arial"/>
                <w:sz w:val="14"/>
                <w:szCs w:val="14"/>
                <w:b w:val="1"/>
                <w:bCs w:val="1"/>
                <w:color w:val="auto"/>
                <w:w w:val="92"/>
              </w:rPr>
              <w:t>Severance &amp;</w:t>
            </w:r>
          </w:p>
        </w:tc>
        <w:tc>
          <w:tcPr>
            <w:tcW w:w="80" w:type="dxa"/>
            <w:vAlign w:val="bottom"/>
            <w:tcBorders>
              <w:top w:val="single" w:sz="8" w:color="auto"/>
            </w:tcBorders>
          </w:tcPr>
          <w:p>
            <w:pPr>
              <w:spacing w:after="0"/>
              <w:rPr>
                <w:sz w:val="11"/>
                <w:szCs w:val="11"/>
                <w:color w:val="auto"/>
              </w:rPr>
            </w:pPr>
          </w:p>
        </w:tc>
        <w:tc>
          <w:tcPr>
            <w:tcW w:w="200" w:type="dxa"/>
            <w:vAlign w:val="bottom"/>
            <w:tcBorders>
              <w:top w:val="single" w:sz="8" w:color="auto"/>
            </w:tcBorders>
          </w:tcPr>
          <w:p>
            <w:pPr>
              <w:spacing w:after="0"/>
              <w:rPr>
                <w:sz w:val="11"/>
                <w:szCs w:val="11"/>
                <w:color w:val="auto"/>
              </w:rPr>
            </w:pPr>
          </w:p>
        </w:tc>
        <w:tc>
          <w:tcPr>
            <w:tcW w:w="960" w:type="dxa"/>
            <w:vAlign w:val="bottom"/>
            <w:tcBorders>
              <w:top w:val="single" w:sz="8" w:color="auto"/>
            </w:tcBorders>
          </w:tcPr>
          <w:p>
            <w:pPr>
              <w:spacing w:after="0"/>
              <w:rPr>
                <w:sz w:val="11"/>
                <w:szCs w:val="11"/>
                <w:color w:val="auto"/>
              </w:rPr>
            </w:pPr>
          </w:p>
        </w:tc>
        <w:tc>
          <w:tcPr>
            <w:tcW w:w="240" w:type="dxa"/>
            <w:vAlign w:val="bottom"/>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1060" w:type="dxa"/>
            <w:vAlign w:val="bottom"/>
            <w:tcBorders>
              <w:top w:val="single" w:sz="8" w:color="auto"/>
            </w:tcBorders>
          </w:tcPr>
          <w:p>
            <w:pPr>
              <w:jc w:val="center"/>
              <w:ind w:right="39"/>
              <w:spacing w:after="0" w:line="132" w:lineRule="exact"/>
              <w:rPr>
                <w:sz w:val="20"/>
                <w:szCs w:val="20"/>
                <w:color w:val="auto"/>
              </w:rPr>
            </w:pPr>
            <w:r>
              <w:rPr>
                <w:rFonts w:ascii="Arial" w:cs="Arial" w:eastAsia="Arial" w:hAnsi="Arial"/>
                <w:sz w:val="14"/>
                <w:szCs w:val="14"/>
                <w:b w:val="1"/>
                <w:bCs w:val="1"/>
                <w:color w:val="auto"/>
                <w:w w:val="92"/>
              </w:rPr>
              <w:t>Severance &amp;</w:t>
            </w:r>
          </w:p>
        </w:tc>
        <w:tc>
          <w:tcPr>
            <w:tcW w:w="2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8"/>
        </w:trPr>
        <w:tc>
          <w:tcPr>
            <w:tcW w:w="59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160" w:type="dxa"/>
            <w:vAlign w:val="bottom"/>
            <w:gridSpan w:val="2"/>
          </w:tcPr>
          <w:p>
            <w:pPr>
              <w:jc w:val="center"/>
              <w:ind w:right="320"/>
              <w:spacing w:after="0" w:line="148" w:lineRule="exact"/>
              <w:rPr>
                <w:sz w:val="20"/>
                <w:szCs w:val="20"/>
                <w:color w:val="auto"/>
              </w:rPr>
            </w:pPr>
            <w:r>
              <w:rPr>
                <w:rFonts w:ascii="Arial" w:cs="Arial" w:eastAsia="Arial" w:hAnsi="Arial"/>
                <w:sz w:val="14"/>
                <w:szCs w:val="14"/>
                <w:b w:val="1"/>
                <w:bCs w:val="1"/>
                <w:color w:val="auto"/>
                <w:w w:val="90"/>
              </w:rPr>
              <w:t>Employee</w:t>
            </w:r>
          </w:p>
        </w:tc>
        <w:tc>
          <w:tcPr>
            <w:tcW w:w="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200" w:type="dxa"/>
            <w:vAlign w:val="bottom"/>
            <w:gridSpan w:val="2"/>
            <w:vMerge w:val="restart"/>
          </w:tcPr>
          <w:p>
            <w:pPr>
              <w:jc w:val="right"/>
              <w:ind w:right="540"/>
              <w:spacing w:after="0"/>
              <w:rPr>
                <w:sz w:val="20"/>
                <w:szCs w:val="20"/>
                <w:color w:val="auto"/>
              </w:rPr>
            </w:pPr>
            <w:r>
              <w:rPr>
                <w:rFonts w:ascii="Arial" w:cs="Arial" w:eastAsia="Arial" w:hAnsi="Arial"/>
                <w:sz w:val="14"/>
                <w:szCs w:val="14"/>
                <w:b w:val="1"/>
                <w:bCs w:val="1"/>
                <w:color w:val="auto"/>
              </w:rPr>
              <w:t>Facilities</w:t>
            </w:r>
          </w:p>
        </w:tc>
        <w:tc>
          <w:tcPr>
            <w:tcW w:w="100" w:type="dxa"/>
            <w:vAlign w:val="bottom"/>
          </w:tcPr>
          <w:p>
            <w:pPr>
              <w:spacing w:after="0"/>
              <w:rPr>
                <w:sz w:val="12"/>
                <w:szCs w:val="12"/>
                <w:color w:val="auto"/>
              </w:rPr>
            </w:pPr>
          </w:p>
        </w:tc>
        <w:tc>
          <w:tcPr>
            <w:tcW w:w="1300" w:type="dxa"/>
            <w:vAlign w:val="bottom"/>
            <w:gridSpan w:val="2"/>
          </w:tcPr>
          <w:p>
            <w:pPr>
              <w:jc w:val="center"/>
              <w:ind w:right="340"/>
              <w:spacing w:after="0" w:line="148" w:lineRule="exact"/>
              <w:rPr>
                <w:sz w:val="20"/>
                <w:szCs w:val="20"/>
                <w:color w:val="auto"/>
              </w:rPr>
            </w:pPr>
            <w:r>
              <w:rPr>
                <w:rFonts w:ascii="Arial" w:cs="Arial" w:eastAsia="Arial" w:hAnsi="Arial"/>
                <w:sz w:val="14"/>
                <w:szCs w:val="14"/>
                <w:b w:val="1"/>
                <w:bCs w:val="1"/>
                <w:color w:val="auto"/>
                <w:w w:val="90"/>
              </w:rPr>
              <w:t>Employee</w:t>
            </w:r>
          </w:p>
        </w:tc>
        <w:tc>
          <w:tcPr>
            <w:tcW w:w="260" w:type="dxa"/>
            <w:vAlign w:val="bottom"/>
          </w:tcPr>
          <w:p>
            <w:pPr>
              <w:spacing w:after="0"/>
              <w:rPr>
                <w:sz w:val="12"/>
                <w:szCs w:val="12"/>
                <w:color w:val="auto"/>
              </w:rPr>
            </w:pPr>
          </w:p>
        </w:tc>
        <w:tc>
          <w:tcPr>
            <w:tcW w:w="1020" w:type="dxa"/>
            <w:vAlign w:val="bottom"/>
            <w:gridSpan w:val="2"/>
            <w:vMerge w:val="restart"/>
          </w:tcPr>
          <w:p>
            <w:pPr>
              <w:jc w:val="right"/>
              <w:ind w:right="540"/>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71"/>
        </w:trPr>
        <w:tc>
          <w:tcPr>
            <w:tcW w:w="5960" w:type="dxa"/>
            <w:vAlign w:val="bottom"/>
          </w:tcPr>
          <w:p>
            <w:pPr>
              <w:spacing w:after="0"/>
              <w:rPr>
                <w:sz w:val="20"/>
                <w:szCs w:val="20"/>
                <w:color w:val="auto"/>
              </w:rPr>
            </w:pPr>
            <w:r>
              <w:rPr>
                <w:rFonts w:ascii="Arial" w:cs="Arial" w:eastAsia="Arial" w:hAnsi="Arial"/>
                <w:sz w:val="14"/>
                <w:szCs w:val="14"/>
                <w:i w:val="1"/>
                <w:iCs w:val="1"/>
                <w:color w:val="auto"/>
              </w:rPr>
              <w:t>(in thousands)</w:t>
            </w:r>
          </w:p>
        </w:tc>
        <w:tc>
          <w:tcPr>
            <w:tcW w:w="140" w:type="dxa"/>
            <w:vAlign w:val="bottom"/>
          </w:tcPr>
          <w:p>
            <w:pPr>
              <w:spacing w:after="0"/>
              <w:rPr>
                <w:sz w:val="14"/>
                <w:szCs w:val="14"/>
                <w:color w:val="auto"/>
              </w:rPr>
            </w:pPr>
          </w:p>
        </w:tc>
        <w:tc>
          <w:tcPr>
            <w:tcW w:w="116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90"/>
              </w:rPr>
              <w:t>Benefits</w:t>
            </w:r>
          </w:p>
        </w:tc>
        <w:tc>
          <w:tcPr>
            <w:tcW w:w="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200" w:type="dxa"/>
            <w:vAlign w:val="bottom"/>
            <w:gridSpan w:val="2"/>
            <w:vMerge w:val="continue"/>
          </w:tcPr>
          <w:p>
            <w:pPr>
              <w:spacing w:after="0"/>
              <w:rPr>
                <w:sz w:val="14"/>
                <w:szCs w:val="14"/>
                <w:color w:val="auto"/>
              </w:rPr>
            </w:pPr>
          </w:p>
        </w:tc>
        <w:tc>
          <w:tcPr>
            <w:tcW w:w="100" w:type="dxa"/>
            <w:vAlign w:val="bottom"/>
          </w:tcPr>
          <w:p>
            <w:pPr>
              <w:spacing w:after="0"/>
              <w:rPr>
                <w:sz w:val="14"/>
                <w:szCs w:val="14"/>
                <w:color w:val="auto"/>
              </w:rPr>
            </w:pPr>
          </w:p>
        </w:tc>
        <w:tc>
          <w:tcPr>
            <w:tcW w:w="1300" w:type="dxa"/>
            <w:vAlign w:val="bottom"/>
            <w:gridSpan w:val="2"/>
          </w:tcPr>
          <w:p>
            <w:pPr>
              <w:jc w:val="center"/>
              <w:ind w:right="340"/>
              <w:spacing w:after="0"/>
              <w:rPr>
                <w:sz w:val="20"/>
                <w:szCs w:val="20"/>
                <w:color w:val="auto"/>
              </w:rPr>
            </w:pPr>
            <w:r>
              <w:rPr>
                <w:rFonts w:ascii="Arial" w:cs="Arial" w:eastAsia="Arial" w:hAnsi="Arial"/>
                <w:sz w:val="14"/>
                <w:szCs w:val="14"/>
                <w:b w:val="1"/>
                <w:bCs w:val="1"/>
                <w:color w:val="auto"/>
                <w:w w:val="86"/>
              </w:rPr>
              <w:t>Benefits</w:t>
            </w:r>
          </w:p>
        </w:tc>
        <w:tc>
          <w:tcPr>
            <w:tcW w:w="260" w:type="dxa"/>
            <w:vAlign w:val="bottom"/>
          </w:tcPr>
          <w:p>
            <w:pPr>
              <w:spacing w:after="0"/>
              <w:rPr>
                <w:sz w:val="14"/>
                <w:szCs w:val="14"/>
                <w:color w:val="auto"/>
              </w:rPr>
            </w:pPr>
          </w:p>
        </w:tc>
        <w:tc>
          <w:tcPr>
            <w:tcW w:w="1020" w:type="dxa"/>
            <w:vAlign w:val="bottom"/>
            <w:gridSpan w:val="2"/>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22"/>
        </w:trPr>
        <w:tc>
          <w:tcPr>
            <w:tcW w:w="596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8"/>
                <w:szCs w:val="18"/>
                <w:b w:val="1"/>
                <w:bCs w:val="1"/>
                <w:color w:val="auto"/>
              </w:rPr>
              <w:t>Balance at December 31, 2017</w:t>
            </w:r>
          </w:p>
        </w:tc>
        <w:tc>
          <w:tcPr>
            <w:tcW w:w="14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100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1,551</w:t>
            </w:r>
          </w:p>
        </w:tc>
        <w:tc>
          <w:tcPr>
            <w:tcW w:w="160" w:type="dxa"/>
            <w:vAlign w:val="bottom"/>
            <w:tcBorders>
              <w:top w:val="single" w:sz="8" w:color="CFF0FC"/>
            </w:tcBorders>
            <w:shd w:val="clear" w:color="auto" w:fill="CFF0FC"/>
          </w:tcPr>
          <w:p>
            <w:pPr>
              <w:spacing w:after="0"/>
              <w:rPr>
                <w:sz w:val="19"/>
                <w:szCs w:val="19"/>
                <w:color w:val="auto"/>
              </w:rPr>
            </w:pPr>
          </w:p>
        </w:tc>
        <w:tc>
          <w:tcPr>
            <w:tcW w:w="80" w:type="dxa"/>
            <w:vAlign w:val="bottom"/>
            <w:tcBorders>
              <w:top w:val="single" w:sz="8" w:color="CFF0FC"/>
            </w:tcBorders>
            <w:shd w:val="clear" w:color="auto" w:fill="CFF0FC"/>
          </w:tcPr>
          <w:p>
            <w:pPr>
              <w:spacing w:after="0"/>
              <w:rPr>
                <w:sz w:val="19"/>
                <w:szCs w:val="19"/>
                <w:color w:val="auto"/>
              </w:rPr>
            </w:pPr>
          </w:p>
        </w:tc>
        <w:tc>
          <w:tcPr>
            <w:tcW w:w="200" w:type="dxa"/>
            <w:vAlign w:val="bottom"/>
            <w:tcBorders>
              <w:top w:val="single" w:sz="8" w:color="auto"/>
            </w:tcBorders>
            <w:shd w:val="clear" w:color="auto" w:fill="CFF0FC"/>
          </w:tcPr>
          <w:p>
            <w:pPr>
              <w:jc w:val="right"/>
              <w:ind w:right="10"/>
              <w:spacing w:after="0"/>
              <w:rPr>
                <w:sz w:val="20"/>
                <w:szCs w:val="20"/>
                <w:color w:val="auto"/>
              </w:rPr>
            </w:pPr>
            <w:r>
              <w:rPr>
                <w:rFonts w:ascii="Arial" w:cs="Arial" w:eastAsia="Arial" w:hAnsi="Arial"/>
                <w:sz w:val="18"/>
                <w:szCs w:val="18"/>
                <w:color w:val="auto"/>
                <w:w w:val="79"/>
              </w:rPr>
              <w:t>$</w:t>
            </w:r>
          </w:p>
        </w:tc>
        <w:tc>
          <w:tcPr>
            <w:tcW w:w="96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807</w:t>
            </w:r>
          </w:p>
        </w:tc>
        <w:tc>
          <w:tcPr>
            <w:tcW w:w="240" w:type="dxa"/>
            <w:vAlign w:val="bottom"/>
            <w:tcBorders>
              <w:top w:val="single" w:sz="8" w:color="CFF0FC"/>
            </w:tcBorders>
            <w:shd w:val="clear" w:color="auto" w:fill="CFF0FC"/>
          </w:tcPr>
          <w:p>
            <w:pPr>
              <w:spacing w:after="0"/>
              <w:rPr>
                <w:sz w:val="19"/>
                <w:szCs w:val="19"/>
                <w:color w:val="auto"/>
              </w:rPr>
            </w:pPr>
          </w:p>
        </w:tc>
        <w:tc>
          <w:tcPr>
            <w:tcW w:w="10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106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191</w:t>
            </w:r>
          </w:p>
        </w:tc>
        <w:tc>
          <w:tcPr>
            <w:tcW w:w="240" w:type="dxa"/>
            <w:vAlign w:val="bottom"/>
            <w:tcBorders>
              <w:top w:val="single" w:sz="8" w:color="CFF0FC"/>
            </w:tcBorders>
            <w:shd w:val="clear" w:color="auto" w:fill="CFF0FC"/>
          </w:tcPr>
          <w:p>
            <w:pPr>
              <w:spacing w:after="0"/>
              <w:rPr>
                <w:sz w:val="19"/>
                <w:szCs w:val="19"/>
                <w:color w:val="auto"/>
              </w:rPr>
            </w:pPr>
          </w:p>
        </w:tc>
        <w:tc>
          <w:tcPr>
            <w:tcW w:w="260" w:type="dxa"/>
            <w:vAlign w:val="bottom"/>
            <w:tcBorders>
              <w:top w:val="single" w:sz="8" w:color="auto"/>
            </w:tcBorders>
            <w:shd w:val="clear" w:color="auto" w:fill="CFF0FC"/>
          </w:tcPr>
          <w:p>
            <w:pPr>
              <w:jc w:val="right"/>
              <w:ind w:right="70"/>
              <w:spacing w:after="0"/>
              <w:rPr>
                <w:sz w:val="20"/>
                <w:szCs w:val="20"/>
                <w:color w:val="auto"/>
              </w:rPr>
            </w:pPr>
            <w:r>
              <w:rPr>
                <w:rFonts w:ascii="Arial" w:cs="Arial" w:eastAsia="Arial" w:hAnsi="Arial"/>
                <w:sz w:val="18"/>
                <w:szCs w:val="18"/>
                <w:color w:val="auto"/>
                <w:w w:val="79"/>
              </w:rPr>
              <w:t>$</w:t>
            </w:r>
          </w:p>
        </w:tc>
        <w:tc>
          <w:tcPr>
            <w:tcW w:w="92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2,549</w:t>
            </w:r>
          </w:p>
        </w:tc>
        <w:tc>
          <w:tcPr>
            <w:tcW w:w="100" w:type="dxa"/>
            <w:vAlign w:val="bottom"/>
            <w:tcBorders>
              <w:top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5960" w:type="dxa"/>
            <w:vAlign w:val="bottom"/>
          </w:tcPr>
          <w:p>
            <w:pPr>
              <w:spacing w:after="0"/>
              <w:rPr>
                <w:sz w:val="20"/>
                <w:szCs w:val="20"/>
                <w:color w:val="auto"/>
              </w:rPr>
            </w:pPr>
            <w:r>
              <w:rPr>
                <w:rFonts w:ascii="Arial" w:cs="Arial" w:eastAsia="Arial" w:hAnsi="Arial"/>
                <w:sz w:val="18"/>
                <w:szCs w:val="18"/>
                <w:color w:val="auto"/>
              </w:rPr>
              <w:t>Restructuring charges</w:t>
            </w:r>
          </w:p>
        </w:tc>
        <w:tc>
          <w:tcPr>
            <w:tcW w:w="140" w:type="dxa"/>
            <w:vAlign w:val="bottom"/>
          </w:tcPr>
          <w:p>
            <w:pPr>
              <w:spacing w:after="0"/>
              <w:rPr>
                <w:sz w:val="19"/>
                <w:szCs w:val="19"/>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32</w:t>
            </w:r>
          </w:p>
        </w:tc>
        <w:tc>
          <w:tcPr>
            <w:tcW w:w="1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20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130</w:t>
            </w:r>
          </w:p>
        </w:tc>
        <w:tc>
          <w:tcPr>
            <w:tcW w:w="24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162</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5960" w:type="dxa"/>
            <w:vAlign w:val="bottom"/>
            <w:shd w:val="clear" w:color="auto" w:fill="CFF0FC"/>
          </w:tcPr>
          <w:p>
            <w:pPr>
              <w:spacing w:after="0"/>
              <w:rPr>
                <w:sz w:val="20"/>
                <w:szCs w:val="20"/>
                <w:color w:val="auto"/>
              </w:rPr>
            </w:pPr>
            <w:r>
              <w:rPr>
                <w:rFonts w:ascii="Arial" w:cs="Arial" w:eastAsia="Arial" w:hAnsi="Arial"/>
                <w:sz w:val="18"/>
                <w:szCs w:val="18"/>
                <w:color w:val="auto"/>
              </w:rPr>
              <w:t>Cash payments</w:t>
            </w:r>
          </w:p>
        </w:tc>
        <w:tc>
          <w:tcPr>
            <w:tcW w:w="140" w:type="dxa"/>
            <w:vAlign w:val="bottom"/>
            <w:shd w:val="clear" w:color="auto" w:fill="CFF0FC"/>
          </w:tcPr>
          <w:p>
            <w:pPr>
              <w:spacing w:after="0"/>
              <w:rPr>
                <w:sz w:val="19"/>
                <w:szCs w:val="19"/>
                <w:color w:val="auto"/>
              </w:rPr>
            </w:pPr>
          </w:p>
        </w:tc>
        <w:tc>
          <w:tcPr>
            <w:tcW w:w="1160" w:type="dxa"/>
            <w:vAlign w:val="bottom"/>
            <w:gridSpan w:val="2"/>
            <w:shd w:val="clear" w:color="auto" w:fill="CFF0FC"/>
          </w:tcPr>
          <w:p>
            <w:pPr>
              <w:jc w:val="right"/>
              <w:ind w:right="100"/>
              <w:spacing w:after="0"/>
              <w:rPr>
                <w:sz w:val="20"/>
                <w:szCs w:val="20"/>
                <w:color w:val="auto"/>
              </w:rPr>
            </w:pPr>
            <w:r>
              <w:rPr>
                <w:rFonts w:ascii="Arial" w:cs="Arial" w:eastAsia="Arial" w:hAnsi="Arial"/>
                <w:sz w:val="18"/>
                <w:szCs w:val="18"/>
                <w:color w:val="auto"/>
              </w:rPr>
              <w:t>(167)</w:t>
            </w:r>
          </w:p>
        </w:tc>
        <w:tc>
          <w:tcPr>
            <w:tcW w:w="8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200" w:type="dxa"/>
            <w:vAlign w:val="bottom"/>
            <w:gridSpan w:val="2"/>
            <w:shd w:val="clear" w:color="auto" w:fill="CFF0FC"/>
          </w:tcPr>
          <w:p>
            <w:pPr>
              <w:jc w:val="right"/>
              <w:ind w:right="180"/>
              <w:spacing w:after="0"/>
              <w:rPr>
                <w:sz w:val="20"/>
                <w:szCs w:val="20"/>
                <w:color w:val="auto"/>
              </w:rPr>
            </w:pPr>
            <w:r>
              <w:rPr>
                <w:rFonts w:ascii="Arial" w:cs="Arial" w:eastAsia="Arial" w:hAnsi="Arial"/>
                <w:sz w:val="18"/>
                <w:szCs w:val="18"/>
                <w:color w:val="auto"/>
              </w:rPr>
              <w:t>(20)</w:t>
            </w:r>
          </w:p>
        </w:tc>
        <w:tc>
          <w:tcPr>
            <w:tcW w:w="100" w:type="dxa"/>
            <w:vAlign w:val="bottom"/>
            <w:shd w:val="clear" w:color="auto" w:fill="CFF0FC"/>
          </w:tcPr>
          <w:p>
            <w:pPr>
              <w:spacing w:after="0"/>
              <w:rPr>
                <w:sz w:val="19"/>
                <w:szCs w:val="19"/>
                <w:color w:val="auto"/>
              </w:rPr>
            </w:pPr>
          </w:p>
        </w:tc>
        <w:tc>
          <w:tcPr>
            <w:tcW w:w="1300" w:type="dxa"/>
            <w:vAlign w:val="bottom"/>
            <w:gridSpan w:val="2"/>
            <w:shd w:val="clear" w:color="auto" w:fill="CFF0FC"/>
          </w:tcPr>
          <w:p>
            <w:pPr>
              <w:jc w:val="right"/>
              <w:ind w:right="180"/>
              <w:spacing w:after="0"/>
              <w:rPr>
                <w:sz w:val="20"/>
                <w:szCs w:val="20"/>
                <w:color w:val="auto"/>
              </w:rPr>
            </w:pPr>
            <w:r>
              <w:rPr>
                <w:rFonts w:ascii="Arial" w:cs="Arial" w:eastAsia="Arial" w:hAnsi="Arial"/>
                <w:sz w:val="18"/>
                <w:szCs w:val="18"/>
                <w:color w:val="auto"/>
              </w:rPr>
              <w:t>(295)</w:t>
            </w:r>
          </w:p>
        </w:tc>
        <w:tc>
          <w:tcPr>
            <w:tcW w:w="260" w:type="dxa"/>
            <w:vAlign w:val="bottom"/>
            <w:shd w:val="clear" w:color="auto" w:fill="CFF0FC"/>
          </w:tcPr>
          <w:p>
            <w:pPr>
              <w:spacing w:after="0"/>
              <w:rPr>
                <w:sz w:val="19"/>
                <w:szCs w:val="19"/>
                <w:color w:val="auto"/>
              </w:rPr>
            </w:pPr>
          </w:p>
        </w:tc>
        <w:tc>
          <w:tcPr>
            <w:tcW w:w="1020" w:type="dxa"/>
            <w:vAlign w:val="bottom"/>
            <w:gridSpan w:val="2"/>
            <w:shd w:val="clear" w:color="auto" w:fill="CFF0FC"/>
          </w:tcPr>
          <w:p>
            <w:pPr>
              <w:jc w:val="right"/>
              <w:ind w:right="40"/>
              <w:spacing w:after="0"/>
              <w:rPr>
                <w:sz w:val="20"/>
                <w:szCs w:val="20"/>
                <w:color w:val="auto"/>
              </w:rPr>
            </w:pPr>
            <w:r>
              <w:rPr>
                <w:rFonts w:ascii="Arial" w:cs="Arial" w:eastAsia="Arial" w:hAnsi="Arial"/>
                <w:sz w:val="18"/>
                <w:szCs w:val="18"/>
                <w:color w:val="auto"/>
              </w:rPr>
              <w:t>(482)</w:t>
            </w:r>
          </w:p>
        </w:tc>
        <w:tc>
          <w:tcPr>
            <w:tcW w:w="0" w:type="dxa"/>
            <w:vAlign w:val="bottom"/>
          </w:tcPr>
          <w:p>
            <w:pPr>
              <w:spacing w:after="0"/>
              <w:rPr>
                <w:sz w:val="1"/>
                <w:szCs w:val="1"/>
                <w:color w:val="auto"/>
              </w:rPr>
            </w:pPr>
          </w:p>
        </w:tc>
      </w:tr>
      <w:tr>
        <w:trPr>
          <w:trHeight w:val="229"/>
        </w:trPr>
        <w:tc>
          <w:tcPr>
            <w:tcW w:w="5960" w:type="dxa"/>
            <w:vAlign w:val="bottom"/>
          </w:tcPr>
          <w:p>
            <w:pPr>
              <w:spacing w:after="0"/>
              <w:rPr>
                <w:sz w:val="20"/>
                <w:szCs w:val="20"/>
                <w:color w:val="auto"/>
              </w:rPr>
            </w:pPr>
            <w:r>
              <w:rPr>
                <w:rFonts w:ascii="Arial" w:cs="Arial" w:eastAsia="Arial" w:hAnsi="Arial"/>
                <w:sz w:val="18"/>
                <w:szCs w:val="18"/>
                <w:color w:val="auto"/>
              </w:rPr>
              <w:t>Adjustment to liability</w:t>
            </w:r>
          </w:p>
        </w:tc>
        <w:tc>
          <w:tcPr>
            <w:tcW w:w="140" w:type="dxa"/>
            <w:vAlign w:val="bottom"/>
          </w:tcPr>
          <w:p>
            <w:pPr>
              <w:spacing w:after="0"/>
              <w:rPr>
                <w:sz w:val="19"/>
                <w:szCs w:val="19"/>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451</w:t>
            </w:r>
          </w:p>
        </w:tc>
        <w:tc>
          <w:tcPr>
            <w:tcW w:w="1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200" w:type="dxa"/>
            <w:vAlign w:val="bottom"/>
            <w:gridSpan w:val="2"/>
          </w:tcPr>
          <w:p>
            <w:pPr>
              <w:jc w:val="right"/>
              <w:ind w:right="180"/>
              <w:spacing w:after="0"/>
              <w:rPr>
                <w:sz w:val="20"/>
                <w:szCs w:val="20"/>
                <w:color w:val="auto"/>
              </w:rPr>
            </w:pPr>
            <w:r>
              <w:rPr>
                <w:rFonts w:ascii="Arial" w:cs="Arial" w:eastAsia="Arial" w:hAnsi="Arial"/>
                <w:sz w:val="18"/>
                <w:szCs w:val="18"/>
                <w:color w:val="auto"/>
              </w:rPr>
              <w:t>(451)</w:t>
            </w:r>
          </w:p>
        </w:tc>
        <w:tc>
          <w:tcPr>
            <w:tcW w:w="100" w:type="dxa"/>
            <w:vAlign w:val="bottom"/>
          </w:tcPr>
          <w:p>
            <w:pPr>
              <w:spacing w:after="0"/>
              <w:rPr>
                <w:sz w:val="19"/>
                <w:szCs w:val="19"/>
                <w:color w:val="auto"/>
              </w:rPr>
            </w:pPr>
          </w:p>
        </w:tc>
        <w:tc>
          <w:tcPr>
            <w:tcW w:w="1300" w:type="dxa"/>
            <w:vAlign w:val="bottom"/>
            <w:gridSpan w:val="2"/>
          </w:tcPr>
          <w:p>
            <w:pPr>
              <w:jc w:val="right"/>
              <w:ind w:right="180"/>
              <w:spacing w:after="0"/>
              <w:rPr>
                <w:sz w:val="20"/>
                <w:szCs w:val="20"/>
                <w:color w:val="auto"/>
              </w:rPr>
            </w:pPr>
            <w:r>
              <w:rPr>
                <w:rFonts w:ascii="Arial" w:cs="Arial" w:eastAsia="Arial" w:hAnsi="Arial"/>
                <w:sz w:val="18"/>
                <w:szCs w:val="18"/>
                <w:color w:val="auto"/>
              </w:rPr>
              <w:t>(14)</w:t>
            </w:r>
          </w:p>
        </w:tc>
        <w:tc>
          <w:tcPr>
            <w:tcW w:w="260" w:type="dxa"/>
            <w:vAlign w:val="bottom"/>
          </w:tcPr>
          <w:p>
            <w:pPr>
              <w:spacing w:after="0"/>
              <w:rPr>
                <w:sz w:val="19"/>
                <w:szCs w:val="19"/>
                <w:color w:val="auto"/>
              </w:rPr>
            </w:pPr>
          </w:p>
        </w:tc>
        <w:tc>
          <w:tcPr>
            <w:tcW w:w="1020" w:type="dxa"/>
            <w:vAlign w:val="bottom"/>
            <w:gridSpan w:val="2"/>
          </w:tcPr>
          <w:p>
            <w:pPr>
              <w:jc w:val="right"/>
              <w:ind w:right="40"/>
              <w:spacing w:after="0"/>
              <w:rPr>
                <w:sz w:val="20"/>
                <w:szCs w:val="20"/>
                <w:color w:val="auto"/>
              </w:rPr>
            </w:pPr>
            <w:r>
              <w:rPr>
                <w:rFonts w:ascii="Arial" w:cs="Arial" w:eastAsia="Arial" w:hAnsi="Arial"/>
                <w:sz w:val="18"/>
                <w:szCs w:val="18"/>
                <w:color w:val="auto"/>
              </w:rPr>
              <w:t>(14)</w:t>
            </w:r>
          </w:p>
        </w:tc>
        <w:tc>
          <w:tcPr>
            <w:tcW w:w="0" w:type="dxa"/>
            <w:vAlign w:val="bottom"/>
          </w:tcPr>
          <w:p>
            <w:pPr>
              <w:spacing w:after="0"/>
              <w:rPr>
                <w:sz w:val="1"/>
                <w:szCs w:val="1"/>
                <w:color w:val="auto"/>
              </w:rPr>
            </w:pPr>
          </w:p>
        </w:tc>
      </w:tr>
      <w:tr>
        <w:trPr>
          <w:trHeight w:val="222"/>
        </w:trPr>
        <w:tc>
          <w:tcPr>
            <w:tcW w:w="5960" w:type="dxa"/>
            <w:vAlign w:val="bottom"/>
            <w:tcBorders>
              <w:top w:val="single" w:sz="8" w:color="CFF0FC"/>
              <w:bottom w:val="single" w:sz="8" w:color="CFF0FC"/>
            </w:tcBorders>
            <w:shd w:val="clear" w:color="auto" w:fill="CFF0FC"/>
          </w:tcPr>
          <w:p>
            <w:pPr>
              <w:spacing w:after="0"/>
              <w:rPr>
                <w:sz w:val="20"/>
                <w:szCs w:val="20"/>
                <w:color w:val="auto"/>
              </w:rPr>
            </w:pPr>
            <w:r>
              <w:rPr>
                <w:rFonts w:ascii="Arial" w:cs="Arial" w:eastAsia="Arial" w:hAnsi="Arial"/>
                <w:sz w:val="18"/>
                <w:szCs w:val="18"/>
                <w:b w:val="1"/>
                <w:bCs w:val="1"/>
                <w:color w:val="auto"/>
              </w:rPr>
              <w:t>Balance at March 31, 2018</w:t>
            </w:r>
          </w:p>
        </w:tc>
        <w:tc>
          <w:tcPr>
            <w:tcW w:w="14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100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1,867</w:t>
            </w:r>
          </w:p>
        </w:tc>
        <w:tc>
          <w:tcPr>
            <w:tcW w:w="160" w:type="dxa"/>
            <w:vAlign w:val="bottom"/>
            <w:tcBorders>
              <w:top w:val="single" w:sz="8" w:color="CFF0FC"/>
              <w:bottom w:val="single" w:sz="8" w:color="CFF0FC"/>
            </w:tcBorders>
            <w:shd w:val="clear" w:color="auto" w:fill="CFF0FC"/>
          </w:tcPr>
          <w:p>
            <w:pPr>
              <w:spacing w:after="0"/>
              <w:rPr>
                <w:sz w:val="19"/>
                <w:szCs w:val="19"/>
                <w:color w:val="auto"/>
              </w:rPr>
            </w:pPr>
          </w:p>
        </w:tc>
        <w:tc>
          <w:tcPr>
            <w:tcW w:w="80" w:type="dxa"/>
            <w:vAlign w:val="bottom"/>
            <w:tcBorders>
              <w:top w:val="single" w:sz="8" w:color="CFF0FC"/>
              <w:bottom w:val="single" w:sz="8" w:color="CFF0FC"/>
            </w:tcBorders>
            <w:shd w:val="clear" w:color="auto" w:fill="CFF0FC"/>
          </w:tcPr>
          <w:p>
            <w:pPr>
              <w:spacing w:after="0"/>
              <w:rPr>
                <w:sz w:val="19"/>
                <w:szCs w:val="19"/>
                <w:color w:val="auto"/>
              </w:rPr>
            </w:pPr>
          </w:p>
        </w:tc>
        <w:tc>
          <w:tcPr>
            <w:tcW w:w="200" w:type="dxa"/>
            <w:vAlign w:val="bottom"/>
            <w:tcBorders>
              <w:top w:val="single" w:sz="8" w:color="auto"/>
              <w:bottom w:val="single" w:sz="8" w:color="auto"/>
            </w:tcBorders>
            <w:shd w:val="clear" w:color="auto" w:fill="CFF0FC"/>
          </w:tcPr>
          <w:p>
            <w:pPr>
              <w:jc w:val="right"/>
              <w:ind w:right="10"/>
              <w:spacing w:after="0"/>
              <w:rPr>
                <w:sz w:val="20"/>
                <w:szCs w:val="20"/>
                <w:color w:val="auto"/>
              </w:rPr>
            </w:pPr>
            <w:r>
              <w:rPr>
                <w:rFonts w:ascii="Arial" w:cs="Arial" w:eastAsia="Arial" w:hAnsi="Arial"/>
                <w:sz w:val="18"/>
                <w:szCs w:val="18"/>
                <w:color w:val="auto"/>
                <w:w w:val="79"/>
              </w:rPr>
              <w:t>$</w:t>
            </w:r>
          </w:p>
        </w:tc>
        <w:tc>
          <w:tcPr>
            <w:tcW w:w="96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336</w:t>
            </w:r>
          </w:p>
        </w:tc>
        <w:tc>
          <w:tcPr>
            <w:tcW w:w="240" w:type="dxa"/>
            <w:vAlign w:val="bottom"/>
            <w:tcBorders>
              <w:top w:val="single" w:sz="8" w:color="CFF0FC"/>
              <w:bottom w:val="single" w:sz="8" w:color="CFF0FC"/>
            </w:tcBorders>
            <w:shd w:val="clear" w:color="auto" w:fill="CFF0FC"/>
          </w:tcPr>
          <w:p>
            <w:pPr>
              <w:spacing w:after="0"/>
              <w:rPr>
                <w:sz w:val="19"/>
                <w:szCs w:val="19"/>
                <w:color w:val="auto"/>
              </w:rPr>
            </w:pPr>
          </w:p>
        </w:tc>
        <w:tc>
          <w:tcPr>
            <w:tcW w:w="10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106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12</w:t>
            </w:r>
          </w:p>
        </w:tc>
        <w:tc>
          <w:tcPr>
            <w:tcW w:w="240" w:type="dxa"/>
            <w:vAlign w:val="bottom"/>
            <w:tcBorders>
              <w:top w:val="single" w:sz="8" w:color="CFF0FC"/>
              <w:bottom w:val="single" w:sz="8" w:color="CFF0FC"/>
            </w:tcBorders>
            <w:shd w:val="clear" w:color="auto" w:fill="CFF0FC"/>
          </w:tcPr>
          <w:p>
            <w:pPr>
              <w:spacing w:after="0"/>
              <w:rPr>
                <w:sz w:val="19"/>
                <w:szCs w:val="19"/>
                <w:color w:val="auto"/>
              </w:rPr>
            </w:pPr>
          </w:p>
        </w:tc>
        <w:tc>
          <w:tcPr>
            <w:tcW w:w="260" w:type="dxa"/>
            <w:vAlign w:val="bottom"/>
            <w:tcBorders>
              <w:top w:val="single" w:sz="8" w:color="auto"/>
              <w:bottom w:val="single" w:sz="8" w:color="auto"/>
            </w:tcBorders>
            <w:shd w:val="clear" w:color="auto" w:fill="CFF0FC"/>
          </w:tcPr>
          <w:p>
            <w:pPr>
              <w:jc w:val="right"/>
              <w:ind w:right="70"/>
              <w:spacing w:after="0"/>
              <w:rPr>
                <w:sz w:val="20"/>
                <w:szCs w:val="20"/>
                <w:color w:val="auto"/>
              </w:rPr>
            </w:pPr>
            <w:r>
              <w:rPr>
                <w:rFonts w:ascii="Arial" w:cs="Arial" w:eastAsia="Arial" w:hAnsi="Arial"/>
                <w:sz w:val="18"/>
                <w:szCs w:val="18"/>
                <w:color w:val="auto"/>
                <w:w w:val="79"/>
              </w:rPr>
              <w:t>$</w:t>
            </w:r>
          </w:p>
        </w:tc>
        <w:tc>
          <w:tcPr>
            <w:tcW w:w="92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2,215</w:t>
            </w:r>
          </w:p>
        </w:tc>
        <w:tc>
          <w:tcPr>
            <w:tcW w:w="100" w:type="dxa"/>
            <w:vAlign w:val="bottom"/>
            <w:tcBorders>
              <w:top w:val="single" w:sz="8" w:color="CFF0FC"/>
              <w:bottom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59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07" w:lineRule="exact"/>
        <w:rPr>
          <w:sz w:val="20"/>
          <w:szCs w:val="20"/>
          <w:color w:val="auto"/>
        </w:rPr>
      </w:pPr>
    </w:p>
    <w:p>
      <w:pPr>
        <w:jc w:val="both"/>
        <w:spacing w:after="0" w:line="262" w:lineRule="auto"/>
        <w:rPr>
          <w:sz w:val="20"/>
          <w:szCs w:val="20"/>
          <w:color w:val="auto"/>
        </w:rPr>
      </w:pPr>
      <w:r>
        <w:rPr>
          <w:rFonts w:ascii="Arial" w:cs="Arial" w:eastAsia="Arial" w:hAnsi="Arial"/>
          <w:sz w:val="18"/>
          <w:szCs w:val="18"/>
          <w:color w:val="auto"/>
        </w:rPr>
        <w:t xml:space="preserve">As of March 31, 2018, the liabilities related to severance and employee benefits are expected to be paid by the end of 2020. Additionally, the liability related to future lease payments will be paid over the remaining lease terms for GES. Refer to Note 21 </w:t>
      </w:r>
      <w:r>
        <w:rPr>
          <w:rFonts w:ascii="Arial" w:cs="Arial" w:eastAsia="Arial" w:hAnsi="Arial"/>
          <w:sz w:val="18"/>
          <w:szCs w:val="18"/>
          <w:b w:val="1"/>
          <w:bCs w:val="1"/>
          <w:i w:val="1"/>
          <w:iCs w:val="1"/>
          <w:color w:val="auto"/>
        </w:rPr>
        <w:t>–</w:t>
      </w:r>
      <w:r>
        <w:rPr>
          <w:rFonts w:ascii="Arial" w:cs="Arial" w:eastAsia="Arial" w:hAnsi="Arial"/>
          <w:sz w:val="18"/>
          <w:szCs w:val="18"/>
          <w:color w:val="auto"/>
        </w:rPr>
        <w:t xml:space="preserve"> Segment Information, for information regarding restructuring charges by segment.</w:t>
      </w:r>
    </w:p>
    <w:p>
      <w:pPr>
        <w:spacing w:after="0" w:line="32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Note 19. </w:t>
      </w:r>
      <w:r>
        <w:rPr>
          <w:rFonts w:ascii="Arial" w:cs="Arial" w:eastAsia="Arial" w:hAnsi="Arial"/>
          <w:sz w:val="18"/>
          <w:szCs w:val="18"/>
          <w:b w:val="1"/>
          <w:bCs w:val="1"/>
          <w:u w:val="single" w:color="auto"/>
          <w:color w:val="auto"/>
        </w:rPr>
        <w:t>Litigation, Claims, Contingencies, and Other</w:t>
      </w:r>
    </w:p>
    <w:p>
      <w:pPr>
        <w:spacing w:after="0" w:line="120" w:lineRule="exact"/>
        <w:rPr>
          <w:sz w:val="20"/>
          <w:szCs w:val="20"/>
          <w:color w:val="auto"/>
        </w:rPr>
      </w:pPr>
    </w:p>
    <w:p>
      <w:pPr>
        <w:jc w:val="both"/>
        <w:spacing w:after="0" w:line="300" w:lineRule="auto"/>
        <w:rPr>
          <w:sz w:val="20"/>
          <w:szCs w:val="20"/>
          <w:color w:val="auto"/>
        </w:rPr>
      </w:pPr>
      <w:r>
        <w:rPr>
          <w:rFonts w:ascii="Arial" w:cs="Arial" w:eastAsia="Arial" w:hAnsi="Arial"/>
          <w:sz w:val="16"/>
          <w:szCs w:val="16"/>
          <w:color w:val="auto"/>
        </w:rPr>
        <w:t>We are plaintiffs or defendants to various actions, proceedings, and pending claims, some of which involve, or may involve, compensatory, punitive, or other damages. Litigation is subject to many uncertainties and it is possible that some of the legal actions, proceedings, or claims could be decided against us. Although the amount of liability as of March 31, 2018 with respect to these matters is not ascertainable, we believe that any resulting liability, after taking into consideration amounts already provided for and insurance coverage, will not have a material effect on our business, financial position, or results of operations.</w:t>
      </w:r>
    </w:p>
    <w:p>
      <w:pPr>
        <w:spacing w:after="0" w:line="102" w:lineRule="exact"/>
        <w:rPr>
          <w:sz w:val="20"/>
          <w:szCs w:val="20"/>
          <w:color w:val="auto"/>
        </w:rPr>
      </w:pPr>
    </w:p>
    <w:p>
      <w:pPr>
        <w:jc w:val="both"/>
        <w:spacing w:after="0" w:line="271" w:lineRule="auto"/>
        <w:rPr>
          <w:sz w:val="20"/>
          <w:szCs w:val="20"/>
          <w:color w:val="auto"/>
        </w:rPr>
      </w:pPr>
      <w:r>
        <w:rPr>
          <w:rFonts w:ascii="Arial" w:cs="Arial" w:eastAsia="Arial" w:hAnsi="Arial"/>
          <w:sz w:val="17"/>
          <w:szCs w:val="17"/>
          <w:color w:val="auto"/>
        </w:rPr>
        <w:t>We are subject to various U.S. federal, state, and foreign laws and regulations governing the prevention of pollution and the protection of the environment in the jurisdictions in which we have or had operations. If we fail to comply with these environmental laws and regulations, civil and criminal penalties could be imposed and we could become subject to regulatory enforcement actions in the form of injunctions and cease and desist orders. As is the case with many companies, we also face exposure to actual or potential claims and lawsuits involving environmental matters relating to our past operations. As of March 31, 2018, we had recorded environmental remediation liabilities of $2.3 million related to previously sold operations. Although we are a party to certain environmental disputes, we believe that any resulting liabilities, after taking into consideration amounts already provided for and insurance coverage, will not have a material effect on our financial position or results of operations.</w:t>
      </w:r>
    </w:p>
    <w:p>
      <w:pPr>
        <w:spacing w:after="0" w:line="122" w:lineRule="exact"/>
        <w:rPr>
          <w:sz w:val="20"/>
          <w:szCs w:val="20"/>
          <w:color w:val="auto"/>
        </w:rPr>
      </w:pPr>
    </w:p>
    <w:p>
      <w:pPr>
        <w:jc w:val="both"/>
        <w:spacing w:after="0" w:line="292" w:lineRule="auto"/>
        <w:rPr>
          <w:sz w:val="20"/>
          <w:szCs w:val="20"/>
          <w:color w:val="auto"/>
        </w:rPr>
      </w:pPr>
      <w:r>
        <w:rPr>
          <w:rFonts w:ascii="Arial" w:cs="Arial" w:eastAsia="Arial" w:hAnsi="Arial"/>
          <w:sz w:val="16"/>
          <w:szCs w:val="16"/>
          <w:color w:val="auto"/>
        </w:rPr>
        <w:t>As of March 31, 2018, on behalf of our subsidiaries, we had certain obligations under guarantees to third parties. These guarantees are not subject to liability recognition in the condensed consolidated financial statements and relate to leased facilities entered into by our subsidiary operations. We would generally be required to make payments to the respective third parties under these guarantees in the event that the related subsidiary could not meet its own payment obligations. The maximum potential amount of future payments that we would be required to make under all guarantees existing as of March 31, 2018 would be $19.1 million. These guarantees relate to our leased facilities through October 2027. There are no recourse provisions that would enable us to recover from third parties any payments made under the guarantees. Furthermore, there are no collateral or similar arrangements whereby we could recover payments.</w:t>
      </w:r>
    </w:p>
    <w:p>
      <w:pPr>
        <w:spacing w:after="0" w:line="16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69850</wp:posOffset>
            </wp:positionV>
            <wp:extent cx="7289800" cy="4254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1420"/>
          </w:cols>
          <w:pgMar w:left="240" w:top="340" w:right="239" w:bottom="1440" w:gutter="0" w:footer="0" w:header="0"/>
        </w:sectPr>
      </w:pPr>
    </w:p>
    <w:bookmarkStart w:id="27" w:name="page28"/>
    <w:bookmarkEnd w:id="27"/>
    <w:p>
      <w:pPr>
        <w:jc w:val="both"/>
        <w:spacing w:after="0" w:line="288" w:lineRule="auto"/>
        <w:rPr>
          <w:sz w:val="20"/>
          <w:szCs w:val="20"/>
          <w:color w:val="auto"/>
        </w:rPr>
      </w:pPr>
      <w:r>
        <w:rPr>
          <w:rFonts w:ascii="Arial" w:cs="Arial" w:eastAsia="Arial" w:hAnsi="Arial"/>
          <w:sz w:val="16"/>
          <w:szCs w:val="16"/>
          <w:color w:val="auto"/>
        </w:rPr>
        <w:t>A significant number of our employees are unionized and we are a party to approximately 100 collective-bargaining agreements, with approximately one-third requiring renegotiation each year. If we are unable to reach an agreement with a union during the collective-bargaining process, the union may call for a strike or work stoppage, which may, under certain circumstances, adversely impact our business and results of operations. We believe that relations with our employees are satisfactory and that collective-bargaining agreements expiring in 2018 will be renegotiated in the ordinary course of business without having a material adverse effect on our operations. We entered into showsite and warehouse agreements with the Chicago Teamsters Local 727, effective January 1, 2014, and those agreements contain provisions that allow the parties to re-open negotiation of the agreements on pension-related issues. We are in informal discussions regarding those issues with all relevant parties to resolve those issues in a manner that will be reasonable and equitable to employees, customers, and shareholders. Although our labor relations are currently stable, disruptions pending the outcome of the Chicago Teamsters Local 727 negotiations could occur, as they could with any collective-bargaining agreement negotiation, with the possibility of an adverse impact on the operating results of GES.</w:t>
      </w:r>
    </w:p>
    <w:p>
      <w:pPr>
        <w:spacing w:after="0" w:line="110" w:lineRule="exact"/>
        <w:rPr>
          <w:sz w:val="20"/>
          <w:szCs w:val="20"/>
          <w:color w:val="auto"/>
        </w:rPr>
      </w:pPr>
    </w:p>
    <w:p>
      <w:pPr>
        <w:jc w:val="both"/>
        <w:spacing w:after="0" w:line="253" w:lineRule="auto"/>
        <w:rPr>
          <w:sz w:val="20"/>
          <w:szCs w:val="20"/>
          <w:color w:val="auto"/>
        </w:rPr>
      </w:pPr>
      <w:r>
        <w:rPr>
          <w:rFonts w:ascii="Arial" w:cs="Arial" w:eastAsia="Arial" w:hAnsi="Arial"/>
          <w:sz w:val="18"/>
          <w:szCs w:val="18"/>
          <w:color w:val="auto"/>
        </w:rPr>
        <w:t>Our business contributes to various multi-employer pension plans based on obligations arising under collective-bargaining agreements covering our union-represented employees. Based upon the information available from plan administrators, we believe that several of these multi-employer plans are underfunded. The Pension Protection Act of 2006 requires pension plans underfunded at certain levels to reduce, over defined time periods, the underfunded status. In addition, under current laws, the termination of a plan, or a voluntary withdrawal from a plan by us, or a shrinking contribution base to a plan as a result of the insolvency or withdrawal of other contributing employers to such plan, would require us to make payments to such plan for our proportionate share of the plan’s unfunded vested liabilities. As of March 31, 2018, the amount of additional funding, if any, that we would be required to make related to multi-employer pension plans is not ascertainable.</w:t>
      </w:r>
    </w:p>
    <w:p>
      <w:pPr>
        <w:spacing w:after="0" w:line="140" w:lineRule="exact"/>
        <w:rPr>
          <w:sz w:val="20"/>
          <w:szCs w:val="20"/>
          <w:color w:val="auto"/>
        </w:rPr>
      </w:pPr>
    </w:p>
    <w:p>
      <w:pPr>
        <w:jc w:val="both"/>
        <w:spacing w:after="0" w:line="288" w:lineRule="auto"/>
        <w:rPr>
          <w:sz w:val="20"/>
          <w:szCs w:val="20"/>
          <w:color w:val="auto"/>
        </w:rPr>
      </w:pPr>
      <w:r>
        <w:rPr>
          <w:rFonts w:ascii="Arial" w:cs="Arial" w:eastAsia="Arial" w:hAnsi="Arial"/>
          <w:sz w:val="16"/>
          <w:szCs w:val="16"/>
          <w:color w:val="auto"/>
        </w:rPr>
        <w:t>We are self-insured up to certain limits for workers’ compensation, employee health benefits, automobile, product and general liability, and property loss claims. The aggregate amount of insurance liabilities (up to our retention limit) related to our continuing operations was $19.0 million as of March 31, 2018 which includes $13.6 million related to workers’ compensation liabilities, and $5.4 million related to general/auto liability claims. We have also retained and provided for certain insurance liabilities in conjunction with previously sold businesses of $2.8 million as of March 31, 2018, related to workers’ compensation liabilities. Provisions for losses for claims incurred, including estimated claims incurred but not yet reported, are made based on our historical experience, claims frequency, and other factors. A change in the assumptions used could result in an adjustment to recorded liabilities. We have purchased insurance for amounts in excess of the self-insured levels, which generally range from $0.2 million to $0.5 million on a per claim basis. We do not maintain a self-insured retention pool fund as claims are paid from current cash resources at the time of settlement. Our net cash payments in connection with these insurance liabilities were $1.5 million for the three months ended March 31, 2018 and $1.3 million for the three months ended March 31, 2017.</w:t>
      </w:r>
    </w:p>
    <w:p>
      <w:pPr>
        <w:spacing w:after="0" w:line="110" w:lineRule="exact"/>
        <w:rPr>
          <w:sz w:val="20"/>
          <w:szCs w:val="20"/>
          <w:color w:val="auto"/>
        </w:rPr>
      </w:pPr>
    </w:p>
    <w:p>
      <w:pPr>
        <w:jc w:val="both"/>
        <w:spacing w:after="0" w:line="278" w:lineRule="auto"/>
        <w:rPr>
          <w:sz w:val="20"/>
          <w:szCs w:val="20"/>
          <w:color w:val="auto"/>
        </w:rPr>
      </w:pPr>
      <w:r>
        <w:rPr>
          <w:rFonts w:ascii="Arial" w:cs="Arial" w:eastAsia="Arial" w:hAnsi="Arial"/>
          <w:sz w:val="17"/>
          <w:szCs w:val="17"/>
          <w:color w:val="auto"/>
        </w:rPr>
        <w:t>In addition, as of March 31, 2018, we have recorded insurance liabilities of $10.4 million related to continuing operations, which represents the amount for which we remain the primary obligor after self-insured insurance limits, without taking into consideration the above-referenced insurance coverage. Of this total, $6.9 million related to workers’ compensation liabilities and $3.5 million related to general/auto liability claims which are recorded in other deferred items and liabilities in the Condensed Consolidated Balance Sheets with a corresponding receivable in other investments.</w:t>
      </w:r>
    </w:p>
    <w:p>
      <w:pPr>
        <w:spacing w:after="0" w:line="27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Note 20. </w:t>
      </w:r>
      <w:r>
        <w:rPr>
          <w:rFonts w:ascii="Arial" w:cs="Arial" w:eastAsia="Arial" w:hAnsi="Arial"/>
          <w:sz w:val="18"/>
          <w:szCs w:val="18"/>
          <w:b w:val="1"/>
          <w:bCs w:val="1"/>
          <w:u w:val="single" w:color="auto"/>
          <w:color w:val="auto"/>
        </w:rPr>
        <w:t>Redeemable Noncontrolling Interest</w:t>
      </w:r>
    </w:p>
    <w:p>
      <w:pPr>
        <w:spacing w:after="0" w:line="120" w:lineRule="exact"/>
        <w:rPr>
          <w:sz w:val="20"/>
          <w:szCs w:val="20"/>
          <w:color w:val="auto"/>
        </w:rPr>
      </w:pPr>
    </w:p>
    <w:p>
      <w:pPr>
        <w:jc w:val="both"/>
        <w:spacing w:after="0" w:line="275" w:lineRule="auto"/>
        <w:rPr>
          <w:sz w:val="20"/>
          <w:szCs w:val="20"/>
          <w:color w:val="auto"/>
        </w:rPr>
      </w:pPr>
      <w:r>
        <w:rPr>
          <w:rFonts w:ascii="Arial" w:cs="Arial" w:eastAsia="Arial" w:hAnsi="Arial"/>
          <w:sz w:val="18"/>
          <w:szCs w:val="18"/>
          <w:color w:val="auto"/>
        </w:rPr>
        <w:t>On November 3, 2017, we acquired the controlling interest (54.5% of the common stock) in Esja, a private corporation in Reykjavik, Iceland, which is developing and will operate a new FlyOver Iceland attraction.</w:t>
      </w:r>
    </w:p>
    <w:p>
      <w:pPr>
        <w:spacing w:after="0" w:line="117" w:lineRule="exact"/>
        <w:rPr>
          <w:sz w:val="20"/>
          <w:szCs w:val="20"/>
          <w:color w:val="auto"/>
        </w:rPr>
      </w:pPr>
    </w:p>
    <w:p>
      <w:pPr>
        <w:jc w:val="both"/>
        <w:spacing w:after="0" w:line="270" w:lineRule="auto"/>
        <w:rPr>
          <w:sz w:val="20"/>
          <w:szCs w:val="20"/>
          <w:color w:val="auto"/>
        </w:rPr>
      </w:pPr>
      <w:r>
        <w:rPr>
          <w:rFonts w:ascii="Arial" w:cs="Arial" w:eastAsia="Arial" w:hAnsi="Arial"/>
          <w:sz w:val="17"/>
          <w:szCs w:val="17"/>
          <w:color w:val="auto"/>
        </w:rPr>
        <w:t>The Esja acquisition contains a put option that gives the minority Esja shareholders the right to sell (or “put”) their Esja shares to us based on a multiple of 5.0x EBITDA as calculated on the trailing 12 months from the most recently completed quarter before the put option exercise. The put option is only exercisable after 36 months of business operation (the “Reference Date”) and if the FlyOver Iceland attraction has earned a minimum of €3.25 million in unadjusted EBITDA during the most recent fiscal year and during the trailing 12-month period prior to exercise (the “Put Option Condition”). The put option is exercisable during a period of 12 months following the Reference Date (the “Option Period”) and if the Put Option Condition has been met. If the Put Option Condition has not been met during the first Option Period, the Reference Date will be extended for an additional 12 months up to three times. If after 72 months, the FlyOver Iceland attraction has not achieved the Put Option Condition, the put option expires. If the Put Option Condition is met during any of the Option Periods, yet the shares are not exercised prior to the end of the 12-month Option Period, the put option will expire.</w:t>
      </w:r>
    </w:p>
    <w:p>
      <w:pPr>
        <w:spacing w:after="0" w:line="123" w:lineRule="exact"/>
        <w:rPr>
          <w:sz w:val="20"/>
          <w:szCs w:val="20"/>
          <w:color w:val="auto"/>
        </w:rPr>
      </w:pPr>
    </w:p>
    <w:p>
      <w:pPr>
        <w:jc w:val="both"/>
        <w:spacing w:after="0" w:line="278" w:lineRule="auto"/>
        <w:rPr>
          <w:sz w:val="20"/>
          <w:szCs w:val="20"/>
          <w:color w:val="auto"/>
        </w:rPr>
      </w:pPr>
      <w:r>
        <w:rPr>
          <w:rFonts w:ascii="Arial" w:cs="Arial" w:eastAsia="Arial" w:hAnsi="Arial"/>
          <w:sz w:val="17"/>
          <w:szCs w:val="17"/>
          <w:color w:val="auto"/>
        </w:rPr>
        <w:t>The noncontrolling interest’s carrying value is determined by the fair value of the noncontrolling interest as of the acquisition date, the noncontrolling interest’s share of the subsequent net income or loss. This value is benchmarked against the redemption value of the sellers’ put option. The carrying value is adjusted to the latter, provided that it does not fall below the initial carrying value, as determined by the purchase price allocation. We have made a policy election to reflect any changes caused by such an adjustment to retained earnings, rather than to current earnings.</w:t>
      </w:r>
    </w:p>
    <w:p>
      <w:pPr>
        <w:spacing w:after="0" w:line="1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69850</wp:posOffset>
            </wp:positionV>
            <wp:extent cx="7289800" cy="4254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1420"/>
          </w:cols>
          <w:pgMar w:left="240" w:top="502" w:right="239" w:bottom="1440" w:gutter="0" w:footer="0" w:header="0"/>
        </w:sectPr>
      </w:pPr>
    </w:p>
    <w:bookmarkStart w:id="28" w:name="page29"/>
    <w:bookmarkEnd w:id="28"/>
    <w:p>
      <w:pPr>
        <w:spacing w:after="0"/>
        <w:rPr>
          <w:sz w:val="20"/>
          <w:szCs w:val="20"/>
          <w:color w:val="auto"/>
        </w:rPr>
      </w:pPr>
      <w:r>
        <w:rPr>
          <w:rFonts w:ascii="Arial" w:cs="Arial" w:eastAsia="Arial" w:hAnsi="Arial"/>
          <w:sz w:val="18"/>
          <w:szCs w:val="18"/>
          <w:color w:val="auto"/>
        </w:rPr>
        <w:t>Changes in the redeemable noncontrolling interest is as follows:</w:t>
      </w:r>
    </w:p>
    <w:p>
      <w:pPr>
        <w:spacing w:after="0" w:line="313" w:lineRule="exact"/>
        <w:rPr>
          <w:sz w:val="20"/>
          <w:szCs w:val="20"/>
          <w:color w:val="auto"/>
        </w:rPr>
      </w:pPr>
    </w:p>
    <w:tbl>
      <w:tblPr>
        <w:tblLayout w:type="fixed"/>
        <w:tblInd w:w="0" w:type="dxa"/>
        <w:tblCellMar>
          <w:top w:w="0" w:type="dxa"/>
          <w:left w:w="0" w:type="dxa"/>
          <w:bottom w:w="0" w:type="dxa"/>
          <w:right w:w="0" w:type="dxa"/>
        </w:tblCellMar>
      </w:tblPr>
      <w:tr>
        <w:trPr>
          <w:trHeight w:val="167"/>
        </w:trPr>
        <w:tc>
          <w:tcPr>
            <w:tcW w:w="6860" w:type="dxa"/>
            <w:vAlign w:val="bottom"/>
          </w:tcPr>
          <w:p>
            <w:pPr>
              <w:spacing w:after="0"/>
              <w:rPr>
                <w:sz w:val="20"/>
                <w:szCs w:val="20"/>
                <w:color w:val="auto"/>
              </w:rPr>
            </w:pPr>
            <w:r>
              <w:rPr>
                <w:rFonts w:ascii="Arial" w:cs="Arial" w:eastAsia="Arial" w:hAnsi="Arial"/>
                <w:sz w:val="14"/>
                <w:szCs w:val="14"/>
                <w:i w:val="1"/>
                <w:iCs w:val="1"/>
                <w:color w:val="auto"/>
              </w:rPr>
              <w:t>(in thousands)</w:t>
            </w:r>
          </w:p>
        </w:tc>
        <w:tc>
          <w:tcPr>
            <w:tcW w:w="254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00" w:type="dxa"/>
            <w:vAlign w:val="bottom"/>
          </w:tcPr>
          <w:p>
            <w:pPr>
              <w:spacing w:after="0"/>
              <w:rPr>
                <w:sz w:val="14"/>
                <w:szCs w:val="14"/>
                <w:color w:val="auto"/>
              </w:rPr>
            </w:pPr>
          </w:p>
        </w:tc>
      </w:tr>
      <w:tr>
        <w:trPr>
          <w:trHeight w:val="229"/>
        </w:trPr>
        <w:tc>
          <w:tcPr>
            <w:tcW w:w="6860" w:type="dxa"/>
            <w:vAlign w:val="bottom"/>
            <w:shd w:val="clear" w:color="auto" w:fill="CFF0FC"/>
          </w:tcPr>
          <w:p>
            <w:pPr>
              <w:spacing w:after="0"/>
              <w:rPr>
                <w:sz w:val="20"/>
                <w:szCs w:val="20"/>
                <w:color w:val="auto"/>
              </w:rPr>
            </w:pPr>
            <w:r>
              <w:rPr>
                <w:rFonts w:ascii="Arial" w:cs="Arial" w:eastAsia="Arial" w:hAnsi="Arial"/>
                <w:sz w:val="18"/>
                <w:szCs w:val="18"/>
                <w:b w:val="1"/>
                <w:bCs w:val="1"/>
                <w:color w:val="auto"/>
              </w:rPr>
              <w:t>Balance at December 31, 2017</w:t>
            </w:r>
          </w:p>
        </w:tc>
        <w:tc>
          <w:tcPr>
            <w:tcW w:w="3340" w:type="dxa"/>
            <w:vAlign w:val="bottom"/>
            <w:gridSpan w:val="2"/>
            <w:shd w:val="clear" w:color="auto" w:fill="CFF0FC"/>
          </w:tcPr>
          <w:p>
            <w:pPr>
              <w:jc w:val="right"/>
              <w:ind w:right="610"/>
              <w:spacing w:after="0"/>
              <w:rPr>
                <w:sz w:val="20"/>
                <w:szCs w:val="20"/>
                <w:color w:val="auto"/>
              </w:rPr>
            </w:pPr>
            <w:r>
              <w:rPr>
                <w:rFonts w:ascii="Arial" w:cs="Arial" w:eastAsia="Arial" w:hAnsi="Arial"/>
                <w:sz w:val="18"/>
                <w:szCs w:val="18"/>
                <w:color w:val="auto"/>
              </w:rPr>
              <w:t>$</w:t>
            </w:r>
          </w:p>
        </w:tc>
        <w:tc>
          <w:tcPr>
            <w:tcW w:w="11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6,648</w:t>
            </w:r>
          </w:p>
        </w:tc>
        <w:tc>
          <w:tcPr>
            <w:tcW w:w="100" w:type="dxa"/>
            <w:vAlign w:val="bottom"/>
            <w:shd w:val="clear" w:color="auto" w:fill="CFF0FC"/>
          </w:tcPr>
          <w:p>
            <w:pPr>
              <w:spacing w:after="0"/>
              <w:rPr>
                <w:sz w:val="19"/>
                <w:szCs w:val="19"/>
                <w:color w:val="auto"/>
              </w:rPr>
            </w:pPr>
          </w:p>
        </w:tc>
      </w:tr>
      <w:tr>
        <w:trPr>
          <w:trHeight w:val="229"/>
        </w:trPr>
        <w:tc>
          <w:tcPr>
            <w:tcW w:w="6860" w:type="dxa"/>
            <w:vAlign w:val="bottom"/>
          </w:tcPr>
          <w:p>
            <w:pPr>
              <w:ind w:left="140"/>
              <w:spacing w:after="0"/>
              <w:rPr>
                <w:sz w:val="20"/>
                <w:szCs w:val="20"/>
                <w:color w:val="auto"/>
              </w:rPr>
            </w:pPr>
            <w:r>
              <w:rPr>
                <w:rFonts w:ascii="Arial" w:cs="Arial" w:eastAsia="Arial" w:hAnsi="Arial"/>
                <w:sz w:val="18"/>
                <w:szCs w:val="18"/>
                <w:color w:val="auto"/>
              </w:rPr>
              <w:t>Net loss attributable to redeemable noncontrolling interest</w:t>
            </w:r>
          </w:p>
        </w:tc>
        <w:tc>
          <w:tcPr>
            <w:tcW w:w="254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220" w:type="dxa"/>
            <w:vAlign w:val="bottom"/>
            <w:gridSpan w:val="2"/>
          </w:tcPr>
          <w:p>
            <w:pPr>
              <w:jc w:val="right"/>
              <w:ind w:right="40"/>
              <w:spacing w:after="0"/>
              <w:rPr>
                <w:sz w:val="20"/>
                <w:szCs w:val="20"/>
                <w:color w:val="auto"/>
              </w:rPr>
            </w:pPr>
            <w:r>
              <w:rPr>
                <w:rFonts w:ascii="Arial" w:cs="Arial" w:eastAsia="Arial" w:hAnsi="Arial"/>
                <w:sz w:val="18"/>
                <w:szCs w:val="18"/>
                <w:color w:val="auto"/>
              </w:rPr>
              <w:t>(84)</w:t>
            </w:r>
          </w:p>
        </w:tc>
      </w:tr>
      <w:tr>
        <w:trPr>
          <w:trHeight w:val="229"/>
        </w:trPr>
        <w:tc>
          <w:tcPr>
            <w:tcW w:w="6860" w:type="dxa"/>
            <w:vAlign w:val="bottom"/>
            <w:shd w:val="clear" w:color="auto" w:fill="CFF0FC"/>
          </w:tcPr>
          <w:p>
            <w:pPr>
              <w:ind w:left="140"/>
              <w:spacing w:after="0"/>
              <w:rPr>
                <w:sz w:val="20"/>
                <w:szCs w:val="20"/>
                <w:color w:val="auto"/>
              </w:rPr>
            </w:pPr>
            <w:r>
              <w:rPr>
                <w:rFonts w:ascii="Arial" w:cs="Arial" w:eastAsia="Arial" w:hAnsi="Arial"/>
                <w:sz w:val="18"/>
                <w:szCs w:val="18"/>
                <w:color w:val="auto"/>
              </w:rPr>
              <w:t>Adjustment to the redemption value</w:t>
            </w:r>
          </w:p>
        </w:tc>
        <w:tc>
          <w:tcPr>
            <w:tcW w:w="2540" w:type="dxa"/>
            <w:vAlign w:val="bottom"/>
            <w:shd w:val="clear" w:color="auto" w:fill="CFF0FC"/>
          </w:tcPr>
          <w:p>
            <w:pPr>
              <w:spacing w:after="0"/>
              <w:rPr>
                <w:sz w:val="19"/>
                <w:szCs w:val="19"/>
                <w:color w:val="auto"/>
              </w:rPr>
            </w:pPr>
          </w:p>
        </w:tc>
        <w:tc>
          <w:tcPr>
            <w:tcW w:w="800" w:type="dxa"/>
            <w:vAlign w:val="bottom"/>
            <w:shd w:val="clear" w:color="auto" w:fill="CFF0FC"/>
          </w:tcPr>
          <w:p>
            <w:pPr>
              <w:spacing w:after="0"/>
              <w:rPr>
                <w:sz w:val="19"/>
                <w:szCs w:val="19"/>
                <w:color w:val="auto"/>
              </w:rPr>
            </w:pPr>
          </w:p>
        </w:tc>
        <w:tc>
          <w:tcPr>
            <w:tcW w:w="11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38</w:t>
            </w:r>
          </w:p>
        </w:tc>
        <w:tc>
          <w:tcPr>
            <w:tcW w:w="100" w:type="dxa"/>
            <w:vAlign w:val="bottom"/>
            <w:shd w:val="clear" w:color="auto" w:fill="CFF0FC"/>
          </w:tcPr>
          <w:p>
            <w:pPr>
              <w:spacing w:after="0"/>
              <w:rPr>
                <w:sz w:val="19"/>
                <w:szCs w:val="19"/>
                <w:color w:val="auto"/>
              </w:rPr>
            </w:pPr>
          </w:p>
        </w:tc>
      </w:tr>
      <w:tr>
        <w:trPr>
          <w:trHeight w:val="229"/>
        </w:trPr>
        <w:tc>
          <w:tcPr>
            <w:tcW w:w="6860" w:type="dxa"/>
            <w:vAlign w:val="bottom"/>
            <w:tcBorders>
              <w:bottom w:val="single" w:sz="8" w:color="CFF0FC"/>
            </w:tcBorders>
          </w:tcPr>
          <w:p>
            <w:pPr>
              <w:ind w:left="140"/>
              <w:spacing w:after="0"/>
              <w:rPr>
                <w:sz w:val="20"/>
                <w:szCs w:val="20"/>
                <w:color w:val="auto"/>
              </w:rPr>
            </w:pPr>
            <w:r>
              <w:rPr>
                <w:rFonts w:ascii="Arial" w:cs="Arial" w:eastAsia="Arial" w:hAnsi="Arial"/>
                <w:sz w:val="18"/>
                <w:szCs w:val="18"/>
                <w:color w:val="auto"/>
              </w:rPr>
              <w:t>Foreign currency translation adjustment</w:t>
            </w:r>
          </w:p>
        </w:tc>
        <w:tc>
          <w:tcPr>
            <w:tcW w:w="2540" w:type="dxa"/>
            <w:vAlign w:val="bottom"/>
            <w:tcBorders>
              <w:bottom w:val="single" w:sz="8" w:color="CFF0FC"/>
            </w:tcBorders>
          </w:tcPr>
          <w:p>
            <w:pPr>
              <w:spacing w:after="0"/>
              <w:rPr>
                <w:sz w:val="19"/>
                <w:szCs w:val="19"/>
                <w:color w:val="auto"/>
              </w:rPr>
            </w:pPr>
          </w:p>
        </w:tc>
        <w:tc>
          <w:tcPr>
            <w:tcW w:w="800" w:type="dxa"/>
            <w:vAlign w:val="bottom"/>
            <w:tcBorders>
              <w:bottom w:val="single" w:sz="8" w:color="auto"/>
            </w:tcBorders>
          </w:tcPr>
          <w:p>
            <w:pPr>
              <w:spacing w:after="0"/>
              <w:rPr>
                <w:sz w:val="19"/>
                <w:szCs w:val="19"/>
                <w:color w:val="auto"/>
              </w:rPr>
            </w:pP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348</w:t>
            </w:r>
          </w:p>
        </w:tc>
        <w:tc>
          <w:tcPr>
            <w:tcW w:w="100" w:type="dxa"/>
            <w:vAlign w:val="bottom"/>
            <w:tcBorders>
              <w:bottom w:val="single" w:sz="8" w:color="CFF0FC"/>
            </w:tcBorders>
          </w:tcPr>
          <w:p>
            <w:pPr>
              <w:spacing w:after="0"/>
              <w:rPr>
                <w:sz w:val="19"/>
                <w:szCs w:val="19"/>
                <w:color w:val="auto"/>
              </w:rPr>
            </w:pPr>
          </w:p>
        </w:tc>
      </w:tr>
      <w:tr>
        <w:trPr>
          <w:trHeight w:val="222"/>
        </w:trPr>
        <w:tc>
          <w:tcPr>
            <w:tcW w:w="6860" w:type="dxa"/>
            <w:vAlign w:val="bottom"/>
            <w:tcBorders>
              <w:bottom w:val="single" w:sz="8" w:color="CFF0FC"/>
            </w:tcBorders>
            <w:shd w:val="clear" w:color="auto" w:fill="CFF0FC"/>
          </w:tcPr>
          <w:p>
            <w:pPr>
              <w:spacing w:after="0"/>
              <w:rPr>
                <w:sz w:val="20"/>
                <w:szCs w:val="20"/>
                <w:color w:val="auto"/>
              </w:rPr>
            </w:pPr>
            <w:r>
              <w:rPr>
                <w:rFonts w:ascii="Arial" w:cs="Arial" w:eastAsia="Arial" w:hAnsi="Arial"/>
                <w:sz w:val="18"/>
                <w:szCs w:val="18"/>
                <w:b w:val="1"/>
                <w:bCs w:val="1"/>
                <w:color w:val="auto"/>
              </w:rPr>
              <w:t>Balance at March 31, 2018</w:t>
            </w:r>
          </w:p>
        </w:tc>
        <w:tc>
          <w:tcPr>
            <w:tcW w:w="2540" w:type="dxa"/>
            <w:vAlign w:val="bottom"/>
            <w:tcBorders>
              <w:bottom w:val="single" w:sz="8" w:color="CFF0FC"/>
            </w:tcBorders>
            <w:shd w:val="clear" w:color="auto" w:fill="CFF0FC"/>
          </w:tcPr>
          <w:p>
            <w:pPr>
              <w:spacing w:after="0"/>
              <w:rPr>
                <w:sz w:val="19"/>
                <w:szCs w:val="19"/>
                <w:color w:val="auto"/>
              </w:rPr>
            </w:pPr>
          </w:p>
        </w:tc>
        <w:tc>
          <w:tcPr>
            <w:tcW w:w="800" w:type="dxa"/>
            <w:vAlign w:val="bottom"/>
            <w:tcBorders>
              <w:bottom w:val="single" w:sz="8" w:color="auto"/>
            </w:tcBorders>
            <w:shd w:val="clear" w:color="auto" w:fill="CFF0FC"/>
          </w:tcPr>
          <w:p>
            <w:pPr>
              <w:jc w:val="right"/>
              <w:ind w:right="610"/>
              <w:spacing w:after="0"/>
              <w:rPr>
                <w:sz w:val="20"/>
                <w:szCs w:val="20"/>
                <w:color w:val="auto"/>
              </w:rPr>
            </w:pPr>
            <w:r>
              <w:rPr>
                <w:rFonts w:ascii="Arial" w:cs="Arial" w:eastAsia="Arial" w:hAnsi="Arial"/>
                <w:sz w:val="18"/>
                <w:szCs w:val="18"/>
                <w:color w:val="auto"/>
                <w:w w:val="79"/>
              </w:rPr>
              <w:t>$</w:t>
            </w:r>
          </w:p>
        </w:tc>
        <w:tc>
          <w:tcPr>
            <w:tcW w:w="11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6,950</w:t>
            </w:r>
          </w:p>
        </w:tc>
        <w:tc>
          <w:tcPr>
            <w:tcW w:w="100" w:type="dxa"/>
            <w:vAlign w:val="bottom"/>
            <w:tcBorders>
              <w:bottom w:val="single" w:sz="8" w:color="CFF0FC"/>
            </w:tcBorders>
            <w:shd w:val="clear" w:color="auto" w:fill="CFF0FC"/>
          </w:tcPr>
          <w:p>
            <w:pPr>
              <w:spacing w:after="0"/>
              <w:rPr>
                <w:sz w:val="19"/>
                <w:szCs w:val="19"/>
                <w:color w:val="auto"/>
              </w:rPr>
            </w:pPr>
          </w:p>
        </w:tc>
      </w:tr>
      <w:tr>
        <w:trPr>
          <w:trHeight w:val="20"/>
        </w:trPr>
        <w:tc>
          <w:tcPr>
            <w:tcW w:w="6860" w:type="dxa"/>
            <w:vAlign w:val="bottom"/>
          </w:tcPr>
          <w:p>
            <w:pPr>
              <w:spacing w:after="0" w:line="20" w:lineRule="exact"/>
              <w:rPr>
                <w:sz w:val="1"/>
                <w:szCs w:val="1"/>
                <w:color w:val="auto"/>
              </w:rPr>
            </w:pPr>
          </w:p>
        </w:tc>
        <w:tc>
          <w:tcPr>
            <w:tcW w:w="2540" w:type="dxa"/>
            <w:vAlign w:val="bottom"/>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37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Note 21. </w:t>
      </w:r>
      <w:r>
        <w:rPr>
          <w:rFonts w:ascii="Arial" w:cs="Arial" w:eastAsia="Arial" w:hAnsi="Arial"/>
          <w:sz w:val="18"/>
          <w:szCs w:val="18"/>
          <w:b w:val="1"/>
          <w:bCs w:val="1"/>
          <w:u w:val="single" w:color="auto"/>
          <w:color w:val="auto"/>
        </w:rPr>
        <w:t>Segment Information</w:t>
      </w:r>
    </w:p>
    <w:p>
      <w:pPr>
        <w:spacing w:after="0" w:line="120" w:lineRule="exact"/>
        <w:rPr>
          <w:sz w:val="20"/>
          <w:szCs w:val="20"/>
          <w:color w:val="auto"/>
        </w:rPr>
      </w:pPr>
    </w:p>
    <w:p>
      <w:pPr>
        <w:jc w:val="both"/>
        <w:spacing w:after="0" w:line="258" w:lineRule="auto"/>
        <w:rPr>
          <w:sz w:val="20"/>
          <w:szCs w:val="20"/>
          <w:color w:val="auto"/>
        </w:rPr>
      </w:pPr>
      <w:r>
        <w:rPr>
          <w:rFonts w:ascii="Arial" w:cs="Arial" w:eastAsia="Arial" w:hAnsi="Arial"/>
          <w:sz w:val="18"/>
          <w:szCs w:val="18"/>
          <w:color w:val="auto"/>
        </w:rPr>
        <w:t>We measure the profit and performance of our operations on the basis of segment operating income (loss) which excludes restructuring charges and recoveries and impairment charges and recoveries. Intersegment sales are eliminated in consolidation and intersegment transfers are not significant. Corporate activities include expenses not allocated to operations. Depreciation and amortization and share-based compensation expense are the only significant non-cash items for the reportable segments.</w:t>
      </w:r>
    </w:p>
    <w:p>
      <w:pPr>
        <w:spacing w:after="0" w:line="132" w:lineRule="exact"/>
        <w:rPr>
          <w:sz w:val="20"/>
          <w:szCs w:val="20"/>
          <w:color w:val="auto"/>
        </w:rPr>
      </w:pPr>
    </w:p>
    <w:p>
      <w:pPr>
        <w:spacing w:after="0"/>
        <w:rPr>
          <w:sz w:val="20"/>
          <w:szCs w:val="20"/>
          <w:color w:val="auto"/>
        </w:rPr>
      </w:pPr>
      <w:r>
        <w:rPr>
          <w:rFonts w:ascii="Arial" w:cs="Arial" w:eastAsia="Arial" w:hAnsi="Arial"/>
          <w:sz w:val="18"/>
          <w:szCs w:val="18"/>
          <w:color w:val="auto"/>
        </w:rPr>
        <w:t>Our reportable segments, with reconciliations to consolidated totals, are as follows:</w:t>
      </w:r>
    </w:p>
    <w:p>
      <w:pPr>
        <w:spacing w:after="0" w:line="295"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786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2060" w:type="dxa"/>
            <w:vAlign w:val="bottom"/>
            <w:gridSpan w:val="4"/>
          </w:tcPr>
          <w:p>
            <w:pPr>
              <w:jc w:val="right"/>
              <w:spacing w:after="0"/>
              <w:rPr>
                <w:sz w:val="20"/>
                <w:szCs w:val="20"/>
                <w:color w:val="auto"/>
              </w:rPr>
            </w:pPr>
            <w:r>
              <w:rPr>
                <w:rFonts w:ascii="Arial" w:cs="Arial" w:eastAsia="Arial" w:hAnsi="Arial"/>
                <w:sz w:val="14"/>
                <w:szCs w:val="14"/>
                <w:b w:val="1"/>
                <w:bCs w:val="1"/>
                <w:color w:val="auto"/>
              </w:rPr>
              <w:t>Three Months Ended</w:t>
            </w:r>
          </w:p>
        </w:tc>
        <w:tc>
          <w:tcPr>
            <w:tcW w:w="10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1"/>
        </w:trPr>
        <w:tc>
          <w:tcPr>
            <w:tcW w:w="7860" w:type="dxa"/>
            <w:vAlign w:val="bottom"/>
            <w:vMerge w:val="restart"/>
          </w:tcPr>
          <w:p>
            <w:pPr>
              <w:spacing w:after="0"/>
              <w:rPr>
                <w:sz w:val="20"/>
                <w:szCs w:val="20"/>
                <w:color w:val="auto"/>
              </w:rPr>
            </w:pPr>
            <w:r>
              <w:rPr>
                <w:rFonts w:ascii="Arial" w:cs="Arial" w:eastAsia="Arial" w:hAnsi="Arial"/>
                <w:sz w:val="14"/>
                <w:szCs w:val="14"/>
                <w:i w:val="1"/>
                <w:iCs w:val="1"/>
                <w:color w:val="auto"/>
              </w:rPr>
              <w:t>(in thousands)</w:t>
            </w:r>
          </w:p>
        </w:tc>
        <w:tc>
          <w:tcPr>
            <w:tcW w:w="360" w:type="dxa"/>
            <w:vAlign w:val="bottom"/>
            <w:tcBorders>
              <w:bottom w:val="single" w:sz="8" w:color="auto"/>
            </w:tcBorders>
          </w:tcPr>
          <w:p>
            <w:pPr>
              <w:spacing w:after="0"/>
              <w:rPr>
                <w:sz w:val="14"/>
                <w:szCs w:val="14"/>
                <w:color w:val="auto"/>
              </w:rPr>
            </w:pPr>
          </w:p>
        </w:tc>
        <w:tc>
          <w:tcPr>
            <w:tcW w:w="2060" w:type="dxa"/>
            <w:vAlign w:val="bottom"/>
            <w:tcBorders>
              <w:bottom w:val="single" w:sz="8" w:color="auto"/>
            </w:tcBorders>
            <w:gridSpan w:val="4"/>
          </w:tcPr>
          <w:p>
            <w:pPr>
              <w:jc w:val="right"/>
              <w:ind w:right="327"/>
              <w:spacing w:after="0"/>
              <w:rPr>
                <w:sz w:val="20"/>
                <w:szCs w:val="20"/>
                <w:color w:val="auto"/>
              </w:rPr>
            </w:pPr>
            <w:r>
              <w:rPr>
                <w:rFonts w:ascii="Arial" w:cs="Arial" w:eastAsia="Arial" w:hAnsi="Arial"/>
                <w:sz w:val="14"/>
                <w:szCs w:val="14"/>
                <w:b w:val="1"/>
                <w:bCs w:val="1"/>
                <w:color w:val="auto"/>
              </w:rPr>
              <w:t>March 31,</w:t>
            </w:r>
          </w:p>
        </w:tc>
        <w:tc>
          <w:tcPr>
            <w:tcW w:w="1020" w:type="dxa"/>
            <w:vAlign w:val="bottom"/>
            <w:tcBorders>
              <w:bottom w:val="single" w:sz="8" w:color="auto"/>
            </w:tcBorders>
          </w:tcPr>
          <w:p>
            <w:pPr>
              <w:spacing w:after="0"/>
              <w:rPr>
                <w:sz w:val="14"/>
                <w:szCs w:val="14"/>
                <w:color w:val="auto"/>
              </w:rPr>
            </w:pP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5"/>
        </w:trPr>
        <w:tc>
          <w:tcPr>
            <w:tcW w:w="7860" w:type="dxa"/>
            <w:vAlign w:val="bottom"/>
            <w:tcBorders>
              <w:bottom w:val="single" w:sz="8" w:color="CFF0FC"/>
            </w:tcBorders>
            <w:vMerge w:val="continue"/>
          </w:tcPr>
          <w:p>
            <w:pPr>
              <w:spacing w:after="0"/>
              <w:rPr>
                <w:sz w:val="13"/>
                <w:szCs w:val="13"/>
                <w:color w:val="auto"/>
              </w:rPr>
            </w:pPr>
          </w:p>
        </w:tc>
        <w:tc>
          <w:tcPr>
            <w:tcW w:w="360" w:type="dxa"/>
            <w:vAlign w:val="bottom"/>
            <w:tcBorders>
              <w:bottom w:val="single" w:sz="8" w:color="auto"/>
            </w:tcBorders>
          </w:tcPr>
          <w:p>
            <w:pPr>
              <w:spacing w:after="0"/>
              <w:rPr>
                <w:sz w:val="13"/>
                <w:szCs w:val="13"/>
                <w:color w:val="auto"/>
              </w:rPr>
            </w:pPr>
          </w:p>
        </w:tc>
        <w:tc>
          <w:tcPr>
            <w:tcW w:w="1220" w:type="dxa"/>
            <w:vAlign w:val="bottom"/>
            <w:tcBorders>
              <w:bottom w:val="single" w:sz="8" w:color="auto"/>
            </w:tcBorders>
          </w:tcPr>
          <w:p>
            <w:pPr>
              <w:jc w:val="right"/>
              <w:ind w:right="572"/>
              <w:spacing w:after="0" w:line="155" w:lineRule="exact"/>
              <w:rPr>
                <w:sz w:val="20"/>
                <w:szCs w:val="20"/>
                <w:color w:val="auto"/>
              </w:rPr>
            </w:pPr>
            <w:r>
              <w:rPr>
                <w:rFonts w:ascii="Arial" w:cs="Arial" w:eastAsia="Arial" w:hAnsi="Arial"/>
                <w:sz w:val="14"/>
                <w:szCs w:val="14"/>
                <w:b w:val="1"/>
                <w:bCs w:val="1"/>
                <w:color w:val="auto"/>
              </w:rPr>
              <w:t>2018</w:t>
            </w:r>
          </w:p>
        </w:tc>
        <w:tc>
          <w:tcPr>
            <w:tcW w:w="160" w:type="dxa"/>
            <w:vAlign w:val="bottom"/>
            <w:tcBorders>
              <w:bottom w:val="single" w:sz="8" w:color="CFF0FC"/>
            </w:tcBorders>
          </w:tcPr>
          <w:p>
            <w:pPr>
              <w:spacing w:after="0"/>
              <w:rPr>
                <w:sz w:val="13"/>
                <w:szCs w:val="13"/>
                <w:color w:val="auto"/>
              </w:rPr>
            </w:pPr>
          </w:p>
        </w:tc>
        <w:tc>
          <w:tcPr>
            <w:tcW w:w="120" w:type="dxa"/>
            <w:vAlign w:val="bottom"/>
            <w:tcBorders>
              <w:bottom w:val="single" w:sz="8" w:color="CFF0FC"/>
            </w:tcBorders>
          </w:tcPr>
          <w:p>
            <w:pPr>
              <w:spacing w:after="0"/>
              <w:rPr>
                <w:sz w:val="13"/>
                <w:szCs w:val="13"/>
                <w:color w:val="auto"/>
              </w:rPr>
            </w:pPr>
          </w:p>
        </w:tc>
        <w:tc>
          <w:tcPr>
            <w:tcW w:w="560" w:type="dxa"/>
            <w:vAlign w:val="bottom"/>
            <w:tcBorders>
              <w:bottom w:val="single" w:sz="8" w:color="auto"/>
            </w:tcBorders>
          </w:tcPr>
          <w:p>
            <w:pPr>
              <w:spacing w:after="0"/>
              <w:rPr>
                <w:sz w:val="13"/>
                <w:szCs w:val="13"/>
                <w:color w:val="auto"/>
              </w:rPr>
            </w:pPr>
          </w:p>
        </w:tc>
        <w:tc>
          <w:tcPr>
            <w:tcW w:w="1020" w:type="dxa"/>
            <w:vAlign w:val="bottom"/>
            <w:tcBorders>
              <w:bottom w:val="single" w:sz="8" w:color="auto"/>
            </w:tcBorders>
          </w:tcPr>
          <w:p>
            <w:pPr>
              <w:jc w:val="right"/>
              <w:ind w:right="571"/>
              <w:spacing w:after="0" w:line="155" w:lineRule="exact"/>
              <w:rPr>
                <w:sz w:val="20"/>
                <w:szCs w:val="20"/>
                <w:color w:val="auto"/>
              </w:rPr>
            </w:pPr>
            <w:r>
              <w:rPr>
                <w:rFonts w:ascii="Arial" w:cs="Arial" w:eastAsia="Arial" w:hAnsi="Arial"/>
                <w:sz w:val="14"/>
                <w:szCs w:val="14"/>
                <w:b w:val="1"/>
                <w:bCs w:val="1"/>
                <w:color w:val="auto"/>
              </w:rPr>
              <w:t>2017</w:t>
            </w:r>
          </w:p>
        </w:tc>
        <w:tc>
          <w:tcPr>
            <w:tcW w:w="120" w:type="dxa"/>
            <w:vAlign w:val="bottom"/>
            <w:tcBorders>
              <w:bottom w:val="single" w:sz="8" w:color="CFF0FC"/>
            </w:tcBorders>
          </w:tcPr>
          <w:p>
            <w:pPr>
              <w:spacing w:after="0"/>
              <w:rPr>
                <w:sz w:val="13"/>
                <w:szCs w:val="13"/>
                <w:color w:val="auto"/>
              </w:rPr>
            </w:pPr>
          </w:p>
        </w:tc>
        <w:tc>
          <w:tcPr>
            <w:tcW w:w="0" w:type="dxa"/>
            <w:vAlign w:val="bottom"/>
          </w:tcPr>
          <w:p>
            <w:pPr>
              <w:spacing w:after="0"/>
              <w:rPr>
                <w:sz w:val="1"/>
                <w:szCs w:val="1"/>
                <w:color w:val="auto"/>
              </w:rPr>
            </w:pPr>
          </w:p>
        </w:tc>
      </w:tr>
      <w:tr>
        <w:trPr>
          <w:trHeight w:val="222"/>
        </w:trPr>
        <w:tc>
          <w:tcPr>
            <w:tcW w:w="7860" w:type="dxa"/>
            <w:vAlign w:val="bottom"/>
            <w:shd w:val="clear" w:color="auto" w:fill="CFF0FC"/>
          </w:tcPr>
          <w:p>
            <w:pPr>
              <w:spacing w:after="0"/>
              <w:rPr>
                <w:sz w:val="20"/>
                <w:szCs w:val="20"/>
                <w:color w:val="auto"/>
              </w:rPr>
            </w:pPr>
            <w:r>
              <w:rPr>
                <w:rFonts w:ascii="Arial" w:cs="Arial" w:eastAsia="Arial" w:hAnsi="Arial"/>
                <w:sz w:val="18"/>
                <w:szCs w:val="18"/>
                <w:b w:val="1"/>
                <w:bCs w:val="1"/>
                <w:color w:val="auto"/>
              </w:rPr>
              <w:t>Revenue:</w:t>
            </w:r>
          </w:p>
        </w:tc>
        <w:tc>
          <w:tcPr>
            <w:tcW w:w="360" w:type="dxa"/>
            <w:vAlign w:val="bottom"/>
            <w:shd w:val="clear" w:color="auto" w:fill="CFF0FC"/>
          </w:tcPr>
          <w:p>
            <w:pPr>
              <w:spacing w:after="0"/>
              <w:rPr>
                <w:sz w:val="19"/>
                <w:szCs w:val="19"/>
                <w:color w:val="auto"/>
              </w:rPr>
            </w:pPr>
          </w:p>
        </w:tc>
        <w:tc>
          <w:tcPr>
            <w:tcW w:w="122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560" w:type="dxa"/>
            <w:vAlign w:val="bottom"/>
            <w:shd w:val="clear" w:color="auto" w:fill="CFF0FC"/>
          </w:tcPr>
          <w:p>
            <w:pPr>
              <w:spacing w:after="0"/>
              <w:rPr>
                <w:sz w:val="19"/>
                <w:szCs w:val="19"/>
                <w:color w:val="auto"/>
              </w:rPr>
            </w:pPr>
          </w:p>
        </w:tc>
        <w:tc>
          <w:tcPr>
            <w:tcW w:w="10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7860" w:type="dxa"/>
            <w:vAlign w:val="bottom"/>
          </w:tcPr>
          <w:p>
            <w:pPr>
              <w:spacing w:after="0"/>
              <w:rPr>
                <w:sz w:val="20"/>
                <w:szCs w:val="20"/>
                <w:color w:val="auto"/>
              </w:rPr>
            </w:pPr>
            <w:r>
              <w:rPr>
                <w:rFonts w:ascii="Arial" w:cs="Arial" w:eastAsia="Arial" w:hAnsi="Arial"/>
                <w:sz w:val="18"/>
                <w:szCs w:val="18"/>
                <w:color w:val="auto"/>
              </w:rPr>
              <w:t>GES:</w:t>
            </w:r>
          </w:p>
        </w:tc>
        <w:tc>
          <w:tcPr>
            <w:tcW w:w="36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7860" w:type="dxa"/>
            <w:vAlign w:val="bottom"/>
            <w:shd w:val="clear" w:color="auto" w:fill="CFF0FC"/>
          </w:tcPr>
          <w:p>
            <w:pPr>
              <w:ind w:left="260"/>
              <w:spacing w:after="0"/>
              <w:rPr>
                <w:sz w:val="20"/>
                <w:szCs w:val="20"/>
                <w:color w:val="auto"/>
              </w:rPr>
            </w:pPr>
            <w:r>
              <w:rPr>
                <w:rFonts w:ascii="Arial" w:cs="Arial" w:eastAsia="Arial" w:hAnsi="Arial"/>
                <w:sz w:val="18"/>
                <w:szCs w:val="18"/>
                <w:color w:val="auto"/>
              </w:rPr>
              <w:t>U.S.</w:t>
            </w:r>
          </w:p>
        </w:tc>
        <w:tc>
          <w:tcPr>
            <w:tcW w:w="360" w:type="dxa"/>
            <w:vAlign w:val="bottom"/>
            <w:shd w:val="clear" w:color="auto" w:fill="CFF0FC"/>
          </w:tcPr>
          <w:p>
            <w:pPr>
              <w:jc w:val="right"/>
              <w:ind w:right="207"/>
              <w:spacing w:after="0"/>
              <w:rPr>
                <w:sz w:val="20"/>
                <w:szCs w:val="20"/>
                <w:color w:val="auto"/>
              </w:rPr>
            </w:pPr>
            <w:r>
              <w:rPr>
                <w:rFonts w:ascii="Arial" w:cs="Arial" w:eastAsia="Arial" w:hAnsi="Arial"/>
                <w:sz w:val="15"/>
                <w:szCs w:val="15"/>
                <w:color w:val="auto"/>
                <w:w w:val="71"/>
              </w:rPr>
              <w:t>$</w:t>
            </w:r>
          </w:p>
        </w:tc>
        <w:tc>
          <w:tcPr>
            <w:tcW w:w="12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203,868</w:t>
            </w:r>
          </w:p>
        </w:tc>
        <w:tc>
          <w:tcPr>
            <w:tcW w:w="160" w:type="dxa"/>
            <w:vAlign w:val="bottom"/>
            <w:shd w:val="clear" w:color="auto" w:fill="CFF0FC"/>
          </w:tcPr>
          <w:p>
            <w:pPr>
              <w:spacing w:after="0"/>
              <w:rPr>
                <w:sz w:val="19"/>
                <w:szCs w:val="19"/>
                <w:color w:val="auto"/>
              </w:rPr>
            </w:pPr>
          </w:p>
        </w:tc>
        <w:tc>
          <w:tcPr>
            <w:tcW w:w="680" w:type="dxa"/>
            <w:vAlign w:val="bottom"/>
            <w:gridSpan w:val="2"/>
            <w:shd w:val="clear" w:color="auto" w:fill="CFF0FC"/>
          </w:tcPr>
          <w:p>
            <w:pPr>
              <w:jc w:val="right"/>
              <w:ind w:right="407"/>
              <w:spacing w:after="0"/>
              <w:rPr>
                <w:sz w:val="20"/>
                <w:szCs w:val="20"/>
                <w:color w:val="auto"/>
              </w:rPr>
            </w:pPr>
            <w:r>
              <w:rPr>
                <w:rFonts w:ascii="Arial" w:cs="Arial" w:eastAsia="Arial" w:hAnsi="Arial"/>
                <w:sz w:val="18"/>
                <w:szCs w:val="18"/>
                <w:color w:val="auto"/>
              </w:rPr>
              <w:t>$</w:t>
            </w:r>
          </w:p>
        </w:tc>
        <w:tc>
          <w:tcPr>
            <w:tcW w:w="10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257,211</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7860" w:type="dxa"/>
            <w:vAlign w:val="bottom"/>
          </w:tcPr>
          <w:p>
            <w:pPr>
              <w:ind w:left="260"/>
              <w:spacing w:after="0"/>
              <w:rPr>
                <w:sz w:val="20"/>
                <w:szCs w:val="20"/>
                <w:color w:val="auto"/>
              </w:rPr>
            </w:pPr>
            <w:r>
              <w:rPr>
                <w:rFonts w:ascii="Arial" w:cs="Arial" w:eastAsia="Arial" w:hAnsi="Arial"/>
                <w:sz w:val="18"/>
                <w:szCs w:val="18"/>
                <w:color w:val="auto"/>
              </w:rPr>
              <w:t>International</w:t>
            </w:r>
          </w:p>
        </w:tc>
        <w:tc>
          <w:tcPr>
            <w:tcW w:w="360" w:type="dxa"/>
            <w:vAlign w:val="bottom"/>
          </w:tcPr>
          <w:p>
            <w:pPr>
              <w:spacing w:after="0"/>
              <w:rPr>
                <w:sz w:val="19"/>
                <w:szCs w:val="19"/>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67,186</w:t>
            </w:r>
          </w:p>
        </w:tc>
        <w:tc>
          <w:tcPr>
            <w:tcW w:w="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63,899</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7860" w:type="dxa"/>
            <w:vAlign w:val="bottom"/>
            <w:shd w:val="clear" w:color="auto" w:fill="CFF0FC"/>
          </w:tcPr>
          <w:p>
            <w:pPr>
              <w:ind w:left="260"/>
              <w:spacing w:after="0"/>
              <w:rPr>
                <w:sz w:val="20"/>
                <w:szCs w:val="20"/>
                <w:color w:val="auto"/>
              </w:rPr>
            </w:pPr>
            <w:r>
              <w:rPr>
                <w:rFonts w:ascii="Arial" w:cs="Arial" w:eastAsia="Arial" w:hAnsi="Arial"/>
                <w:sz w:val="18"/>
                <w:szCs w:val="18"/>
                <w:color w:val="auto"/>
              </w:rPr>
              <w:t>Intersegment eliminations</w:t>
            </w:r>
          </w:p>
        </w:tc>
        <w:tc>
          <w:tcPr>
            <w:tcW w:w="360" w:type="dxa"/>
            <w:vAlign w:val="bottom"/>
            <w:shd w:val="clear" w:color="auto" w:fill="CFF0FC"/>
          </w:tcPr>
          <w:p>
            <w:pPr>
              <w:spacing w:after="0"/>
              <w:rPr>
                <w:sz w:val="19"/>
                <w:szCs w:val="19"/>
                <w:color w:val="auto"/>
              </w:rPr>
            </w:pPr>
          </w:p>
        </w:tc>
        <w:tc>
          <w:tcPr>
            <w:tcW w:w="1380" w:type="dxa"/>
            <w:vAlign w:val="bottom"/>
            <w:gridSpan w:val="2"/>
            <w:shd w:val="clear" w:color="auto" w:fill="CFF0FC"/>
          </w:tcPr>
          <w:p>
            <w:pPr>
              <w:jc w:val="right"/>
              <w:ind w:right="100"/>
              <w:spacing w:after="0"/>
              <w:rPr>
                <w:sz w:val="20"/>
                <w:szCs w:val="20"/>
                <w:color w:val="auto"/>
              </w:rPr>
            </w:pPr>
            <w:r>
              <w:rPr>
                <w:rFonts w:ascii="Arial" w:cs="Arial" w:eastAsia="Arial" w:hAnsi="Arial"/>
                <w:sz w:val="18"/>
                <w:szCs w:val="18"/>
                <w:color w:val="auto"/>
              </w:rPr>
              <w:t>(3,348)</w:t>
            </w:r>
          </w:p>
        </w:tc>
        <w:tc>
          <w:tcPr>
            <w:tcW w:w="120" w:type="dxa"/>
            <w:vAlign w:val="bottom"/>
            <w:shd w:val="clear" w:color="auto" w:fill="CFF0FC"/>
          </w:tcPr>
          <w:p>
            <w:pPr>
              <w:spacing w:after="0"/>
              <w:rPr>
                <w:sz w:val="19"/>
                <w:szCs w:val="19"/>
                <w:color w:val="auto"/>
              </w:rPr>
            </w:pPr>
          </w:p>
        </w:tc>
        <w:tc>
          <w:tcPr>
            <w:tcW w:w="560" w:type="dxa"/>
            <w:vAlign w:val="bottom"/>
            <w:shd w:val="clear" w:color="auto" w:fill="CFF0FC"/>
          </w:tcPr>
          <w:p>
            <w:pPr>
              <w:spacing w:after="0"/>
              <w:rPr>
                <w:sz w:val="19"/>
                <w:szCs w:val="19"/>
                <w:color w:val="auto"/>
              </w:rPr>
            </w:pPr>
          </w:p>
        </w:tc>
        <w:tc>
          <w:tcPr>
            <w:tcW w:w="1140" w:type="dxa"/>
            <w:vAlign w:val="bottom"/>
            <w:gridSpan w:val="2"/>
            <w:shd w:val="clear" w:color="auto" w:fill="CFF0FC"/>
          </w:tcPr>
          <w:p>
            <w:pPr>
              <w:jc w:val="right"/>
              <w:ind w:right="60"/>
              <w:spacing w:after="0"/>
              <w:rPr>
                <w:sz w:val="20"/>
                <w:szCs w:val="20"/>
                <w:color w:val="auto"/>
              </w:rPr>
            </w:pPr>
            <w:r>
              <w:rPr>
                <w:rFonts w:ascii="Arial" w:cs="Arial" w:eastAsia="Arial" w:hAnsi="Arial"/>
                <w:sz w:val="18"/>
                <w:szCs w:val="18"/>
                <w:color w:val="auto"/>
              </w:rPr>
              <w:t>(3,239)</w:t>
            </w:r>
          </w:p>
        </w:tc>
        <w:tc>
          <w:tcPr>
            <w:tcW w:w="0" w:type="dxa"/>
            <w:vAlign w:val="bottom"/>
          </w:tcPr>
          <w:p>
            <w:pPr>
              <w:spacing w:after="0"/>
              <w:rPr>
                <w:sz w:val="1"/>
                <w:szCs w:val="1"/>
                <w:color w:val="auto"/>
              </w:rPr>
            </w:pPr>
          </w:p>
        </w:tc>
      </w:tr>
      <w:tr>
        <w:trPr>
          <w:trHeight w:val="222"/>
        </w:trPr>
        <w:tc>
          <w:tcPr>
            <w:tcW w:w="7860" w:type="dxa"/>
            <w:vAlign w:val="bottom"/>
          </w:tcPr>
          <w:p>
            <w:pPr>
              <w:spacing w:after="0"/>
              <w:rPr>
                <w:sz w:val="20"/>
                <w:szCs w:val="20"/>
                <w:color w:val="auto"/>
              </w:rPr>
            </w:pPr>
            <w:r>
              <w:rPr>
                <w:rFonts w:ascii="Arial" w:cs="Arial" w:eastAsia="Arial" w:hAnsi="Arial"/>
                <w:sz w:val="18"/>
                <w:szCs w:val="18"/>
                <w:color w:val="auto"/>
              </w:rPr>
              <w:t>Total GES</w:t>
            </w:r>
          </w:p>
        </w:tc>
        <w:tc>
          <w:tcPr>
            <w:tcW w:w="360" w:type="dxa"/>
            <w:vAlign w:val="bottom"/>
            <w:tcBorders>
              <w:top w:val="single" w:sz="8" w:color="auto"/>
            </w:tcBorders>
          </w:tcPr>
          <w:p>
            <w:pPr>
              <w:spacing w:after="0"/>
              <w:rPr>
                <w:sz w:val="19"/>
                <w:szCs w:val="19"/>
                <w:color w:val="auto"/>
              </w:rPr>
            </w:pPr>
          </w:p>
        </w:tc>
        <w:tc>
          <w:tcPr>
            <w:tcW w:w="12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267,706</w:t>
            </w:r>
          </w:p>
        </w:tc>
        <w:tc>
          <w:tcPr>
            <w:tcW w:w="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560" w:type="dxa"/>
            <w:vAlign w:val="bottom"/>
            <w:tcBorders>
              <w:top w:val="single" w:sz="8" w:color="auto"/>
            </w:tcBorders>
          </w:tcPr>
          <w:p>
            <w:pPr>
              <w:spacing w:after="0"/>
              <w:rPr>
                <w:sz w:val="19"/>
                <w:szCs w:val="19"/>
                <w:color w:val="auto"/>
              </w:rPr>
            </w:pPr>
          </w:p>
        </w:tc>
        <w:tc>
          <w:tcPr>
            <w:tcW w:w="10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317,871</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7860" w:type="dxa"/>
            <w:vAlign w:val="bottom"/>
            <w:shd w:val="clear" w:color="auto" w:fill="CFF0FC"/>
          </w:tcPr>
          <w:p>
            <w:pPr>
              <w:spacing w:after="0"/>
              <w:rPr>
                <w:sz w:val="20"/>
                <w:szCs w:val="20"/>
                <w:color w:val="auto"/>
              </w:rPr>
            </w:pPr>
            <w:r>
              <w:rPr>
                <w:rFonts w:ascii="Arial" w:cs="Arial" w:eastAsia="Arial" w:hAnsi="Arial"/>
                <w:sz w:val="18"/>
                <w:szCs w:val="18"/>
                <w:color w:val="auto"/>
              </w:rPr>
              <w:t>Pursuit</w:t>
            </w:r>
          </w:p>
        </w:tc>
        <w:tc>
          <w:tcPr>
            <w:tcW w:w="360" w:type="dxa"/>
            <w:vAlign w:val="bottom"/>
            <w:tcBorders>
              <w:bottom w:val="single" w:sz="8" w:color="auto"/>
            </w:tcBorders>
            <w:shd w:val="clear" w:color="auto" w:fill="CFF0FC"/>
          </w:tcPr>
          <w:p>
            <w:pPr>
              <w:spacing w:after="0"/>
              <w:rPr>
                <w:sz w:val="19"/>
                <w:szCs w:val="19"/>
                <w:color w:val="auto"/>
              </w:rPr>
            </w:pPr>
          </w:p>
        </w:tc>
        <w:tc>
          <w:tcPr>
            <w:tcW w:w="12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9,722</w:t>
            </w:r>
          </w:p>
        </w:tc>
        <w:tc>
          <w:tcPr>
            <w:tcW w:w="16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560" w:type="dxa"/>
            <w:vAlign w:val="bottom"/>
            <w:tcBorders>
              <w:bottom w:val="single" w:sz="8" w:color="auto"/>
            </w:tcBorders>
            <w:shd w:val="clear" w:color="auto" w:fill="CFF0FC"/>
          </w:tcPr>
          <w:p>
            <w:pPr>
              <w:spacing w:after="0"/>
              <w:rPr>
                <w:sz w:val="19"/>
                <w:szCs w:val="19"/>
                <w:color w:val="auto"/>
              </w:rPr>
            </w:pPr>
          </w:p>
        </w:tc>
        <w:tc>
          <w:tcPr>
            <w:tcW w:w="10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7,936</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62"/>
        </w:trPr>
        <w:tc>
          <w:tcPr>
            <w:tcW w:w="7860" w:type="dxa"/>
            <w:vAlign w:val="bottom"/>
            <w:tcBorders>
              <w:bottom w:val="single" w:sz="8" w:color="CFF0FC"/>
            </w:tcBorders>
          </w:tcPr>
          <w:p>
            <w:pPr>
              <w:spacing w:after="0"/>
              <w:rPr>
                <w:sz w:val="20"/>
                <w:szCs w:val="20"/>
                <w:color w:val="auto"/>
              </w:rPr>
            </w:pPr>
            <w:r>
              <w:rPr>
                <w:rFonts w:ascii="Arial" w:cs="Arial" w:eastAsia="Arial" w:hAnsi="Arial"/>
                <w:sz w:val="18"/>
                <w:szCs w:val="18"/>
                <w:b w:val="1"/>
                <w:bCs w:val="1"/>
                <w:color w:val="auto"/>
              </w:rPr>
              <w:t>Total revenue</w:t>
            </w:r>
          </w:p>
        </w:tc>
        <w:tc>
          <w:tcPr>
            <w:tcW w:w="360" w:type="dxa"/>
            <w:vAlign w:val="bottom"/>
            <w:tcBorders>
              <w:bottom w:val="single" w:sz="8" w:color="auto"/>
            </w:tcBorders>
          </w:tcPr>
          <w:p>
            <w:pPr>
              <w:jc w:val="right"/>
              <w:ind w:right="207"/>
              <w:spacing w:after="0"/>
              <w:rPr>
                <w:sz w:val="20"/>
                <w:szCs w:val="20"/>
                <w:color w:val="auto"/>
              </w:rPr>
            </w:pPr>
            <w:r>
              <w:rPr>
                <w:rFonts w:ascii="Arial" w:cs="Arial" w:eastAsia="Arial" w:hAnsi="Arial"/>
                <w:sz w:val="15"/>
                <w:szCs w:val="15"/>
                <w:color w:val="auto"/>
                <w:w w:val="71"/>
              </w:rPr>
              <w:t>$</w:t>
            </w: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277,428</w:t>
            </w:r>
          </w:p>
        </w:tc>
        <w:tc>
          <w:tcPr>
            <w:tcW w:w="160" w:type="dxa"/>
            <w:vAlign w:val="bottom"/>
            <w:tcBorders>
              <w:bottom w:val="single" w:sz="8" w:color="CFF0FC"/>
            </w:tcBorders>
          </w:tcPr>
          <w:p>
            <w:pPr>
              <w:spacing w:after="0"/>
              <w:rPr>
                <w:sz w:val="22"/>
                <w:szCs w:val="22"/>
                <w:color w:val="auto"/>
              </w:rPr>
            </w:pPr>
          </w:p>
        </w:tc>
        <w:tc>
          <w:tcPr>
            <w:tcW w:w="120" w:type="dxa"/>
            <w:vAlign w:val="bottom"/>
            <w:tcBorders>
              <w:bottom w:val="single" w:sz="8" w:color="CFF0FC"/>
            </w:tcBorders>
          </w:tcPr>
          <w:p>
            <w:pPr>
              <w:spacing w:after="0"/>
              <w:rPr>
                <w:sz w:val="22"/>
                <w:szCs w:val="22"/>
                <w:color w:val="auto"/>
              </w:rPr>
            </w:pPr>
          </w:p>
        </w:tc>
        <w:tc>
          <w:tcPr>
            <w:tcW w:w="560" w:type="dxa"/>
            <w:vAlign w:val="bottom"/>
            <w:tcBorders>
              <w:bottom w:val="single" w:sz="8" w:color="auto"/>
            </w:tcBorders>
          </w:tcPr>
          <w:p>
            <w:pPr>
              <w:jc w:val="right"/>
              <w:ind w:right="407"/>
              <w:spacing w:after="0"/>
              <w:rPr>
                <w:sz w:val="20"/>
                <w:szCs w:val="20"/>
                <w:color w:val="auto"/>
              </w:rPr>
            </w:pPr>
            <w:r>
              <w:rPr>
                <w:rFonts w:ascii="Arial" w:cs="Arial" w:eastAsia="Arial" w:hAnsi="Arial"/>
                <w:sz w:val="15"/>
                <w:szCs w:val="15"/>
                <w:color w:val="auto"/>
                <w:w w:val="71"/>
              </w:rPr>
              <w:t>$</w:t>
            </w: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325,807</w:t>
            </w:r>
          </w:p>
        </w:tc>
        <w:tc>
          <w:tcPr>
            <w:tcW w:w="120" w:type="dxa"/>
            <w:vAlign w:val="bottom"/>
            <w:tcBorders>
              <w:bottom w:val="single" w:sz="8" w:color="CFF0FC"/>
            </w:tcBorders>
          </w:tcPr>
          <w:p>
            <w:pPr>
              <w:spacing w:after="0"/>
              <w:rPr>
                <w:sz w:val="22"/>
                <w:szCs w:val="22"/>
                <w:color w:val="auto"/>
              </w:rPr>
            </w:pPr>
          </w:p>
        </w:tc>
        <w:tc>
          <w:tcPr>
            <w:tcW w:w="0" w:type="dxa"/>
            <w:vAlign w:val="bottom"/>
          </w:tcPr>
          <w:p>
            <w:pPr>
              <w:spacing w:after="0"/>
              <w:rPr>
                <w:sz w:val="1"/>
                <w:szCs w:val="1"/>
                <w:color w:val="auto"/>
              </w:rPr>
            </w:pPr>
          </w:p>
        </w:tc>
      </w:tr>
      <w:tr>
        <w:trPr>
          <w:trHeight w:val="209"/>
        </w:trPr>
        <w:tc>
          <w:tcPr>
            <w:tcW w:w="7860" w:type="dxa"/>
            <w:vAlign w:val="bottom"/>
            <w:shd w:val="clear" w:color="auto" w:fill="CFF0FC"/>
          </w:tcPr>
          <w:p>
            <w:pPr>
              <w:spacing w:after="0"/>
              <w:rPr>
                <w:sz w:val="20"/>
                <w:szCs w:val="20"/>
                <w:color w:val="auto"/>
              </w:rPr>
            </w:pPr>
            <w:r>
              <w:rPr>
                <w:rFonts w:ascii="Arial" w:cs="Arial" w:eastAsia="Arial" w:hAnsi="Arial"/>
                <w:sz w:val="18"/>
                <w:szCs w:val="18"/>
                <w:b w:val="1"/>
                <w:bCs w:val="1"/>
                <w:color w:val="auto"/>
              </w:rPr>
              <w:t>Segment operating income (loss):</w:t>
            </w:r>
          </w:p>
        </w:tc>
        <w:tc>
          <w:tcPr>
            <w:tcW w:w="360" w:type="dxa"/>
            <w:vAlign w:val="bottom"/>
            <w:shd w:val="clear" w:color="auto" w:fill="CFF0FC"/>
          </w:tcPr>
          <w:p>
            <w:pPr>
              <w:spacing w:after="0"/>
              <w:rPr>
                <w:sz w:val="18"/>
                <w:szCs w:val="18"/>
                <w:color w:val="auto"/>
              </w:rPr>
            </w:pPr>
          </w:p>
        </w:tc>
        <w:tc>
          <w:tcPr>
            <w:tcW w:w="1220" w:type="dxa"/>
            <w:vAlign w:val="bottom"/>
            <w:shd w:val="clear" w:color="auto" w:fill="CFF0FC"/>
          </w:tcPr>
          <w:p>
            <w:pPr>
              <w:spacing w:after="0"/>
              <w:rPr>
                <w:sz w:val="18"/>
                <w:szCs w:val="18"/>
                <w:color w:val="auto"/>
              </w:rPr>
            </w:pPr>
          </w:p>
        </w:tc>
        <w:tc>
          <w:tcPr>
            <w:tcW w:w="16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560" w:type="dxa"/>
            <w:vAlign w:val="bottom"/>
            <w:shd w:val="clear" w:color="auto" w:fill="CFF0FC"/>
          </w:tcPr>
          <w:p>
            <w:pPr>
              <w:spacing w:after="0"/>
              <w:rPr>
                <w:sz w:val="18"/>
                <w:szCs w:val="18"/>
                <w:color w:val="auto"/>
              </w:rPr>
            </w:pPr>
          </w:p>
        </w:tc>
        <w:tc>
          <w:tcPr>
            <w:tcW w:w="102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29"/>
        </w:trPr>
        <w:tc>
          <w:tcPr>
            <w:tcW w:w="7860" w:type="dxa"/>
            <w:vAlign w:val="bottom"/>
          </w:tcPr>
          <w:p>
            <w:pPr>
              <w:spacing w:after="0"/>
              <w:rPr>
                <w:sz w:val="20"/>
                <w:szCs w:val="20"/>
                <w:color w:val="auto"/>
              </w:rPr>
            </w:pPr>
            <w:r>
              <w:rPr>
                <w:rFonts w:ascii="Arial" w:cs="Arial" w:eastAsia="Arial" w:hAnsi="Arial"/>
                <w:sz w:val="18"/>
                <w:szCs w:val="18"/>
                <w:color w:val="auto"/>
              </w:rPr>
              <w:t>GES:</w:t>
            </w:r>
          </w:p>
        </w:tc>
        <w:tc>
          <w:tcPr>
            <w:tcW w:w="36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7860" w:type="dxa"/>
            <w:vAlign w:val="bottom"/>
            <w:shd w:val="clear" w:color="auto" w:fill="CFF0FC"/>
          </w:tcPr>
          <w:p>
            <w:pPr>
              <w:ind w:left="260"/>
              <w:spacing w:after="0"/>
              <w:rPr>
                <w:sz w:val="20"/>
                <w:szCs w:val="20"/>
                <w:color w:val="auto"/>
              </w:rPr>
            </w:pPr>
            <w:r>
              <w:rPr>
                <w:rFonts w:ascii="Arial" w:cs="Arial" w:eastAsia="Arial" w:hAnsi="Arial"/>
                <w:sz w:val="18"/>
                <w:szCs w:val="18"/>
                <w:color w:val="auto"/>
              </w:rPr>
              <w:t>U.S.</w:t>
            </w:r>
          </w:p>
        </w:tc>
        <w:tc>
          <w:tcPr>
            <w:tcW w:w="360" w:type="dxa"/>
            <w:vAlign w:val="bottom"/>
            <w:shd w:val="clear" w:color="auto" w:fill="CFF0FC"/>
          </w:tcPr>
          <w:p>
            <w:pPr>
              <w:jc w:val="right"/>
              <w:ind w:right="207"/>
              <w:spacing w:after="0"/>
              <w:rPr>
                <w:sz w:val="20"/>
                <w:szCs w:val="20"/>
                <w:color w:val="auto"/>
              </w:rPr>
            </w:pPr>
            <w:r>
              <w:rPr>
                <w:rFonts w:ascii="Arial" w:cs="Arial" w:eastAsia="Arial" w:hAnsi="Arial"/>
                <w:sz w:val="15"/>
                <w:szCs w:val="15"/>
                <w:color w:val="auto"/>
                <w:w w:val="71"/>
              </w:rPr>
              <w:t>$</w:t>
            </w:r>
          </w:p>
        </w:tc>
        <w:tc>
          <w:tcPr>
            <w:tcW w:w="1380" w:type="dxa"/>
            <w:vAlign w:val="bottom"/>
            <w:gridSpan w:val="2"/>
            <w:shd w:val="clear" w:color="auto" w:fill="CFF0FC"/>
          </w:tcPr>
          <w:p>
            <w:pPr>
              <w:jc w:val="right"/>
              <w:ind w:right="100"/>
              <w:spacing w:after="0"/>
              <w:rPr>
                <w:sz w:val="20"/>
                <w:szCs w:val="20"/>
                <w:color w:val="auto"/>
              </w:rPr>
            </w:pPr>
            <w:r>
              <w:rPr>
                <w:rFonts w:ascii="Arial" w:cs="Arial" w:eastAsia="Arial" w:hAnsi="Arial"/>
                <w:sz w:val="18"/>
                <w:szCs w:val="18"/>
                <w:color w:val="auto"/>
              </w:rPr>
              <w:t>(1,556)</w:t>
            </w:r>
          </w:p>
        </w:tc>
        <w:tc>
          <w:tcPr>
            <w:tcW w:w="680" w:type="dxa"/>
            <w:vAlign w:val="bottom"/>
            <w:gridSpan w:val="2"/>
            <w:shd w:val="clear" w:color="auto" w:fill="CFF0FC"/>
          </w:tcPr>
          <w:p>
            <w:pPr>
              <w:jc w:val="right"/>
              <w:ind w:right="407"/>
              <w:spacing w:after="0"/>
              <w:rPr>
                <w:sz w:val="20"/>
                <w:szCs w:val="20"/>
                <w:color w:val="auto"/>
              </w:rPr>
            </w:pPr>
            <w:r>
              <w:rPr>
                <w:rFonts w:ascii="Arial" w:cs="Arial" w:eastAsia="Arial" w:hAnsi="Arial"/>
                <w:sz w:val="18"/>
                <w:szCs w:val="18"/>
                <w:color w:val="auto"/>
              </w:rPr>
              <w:t>$</w:t>
            </w:r>
          </w:p>
        </w:tc>
        <w:tc>
          <w:tcPr>
            <w:tcW w:w="10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21,346</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7860" w:type="dxa"/>
            <w:vAlign w:val="bottom"/>
            <w:tcBorders>
              <w:bottom w:val="single" w:sz="8" w:color="CFF0FC"/>
            </w:tcBorders>
          </w:tcPr>
          <w:p>
            <w:pPr>
              <w:ind w:left="260"/>
              <w:spacing w:after="0"/>
              <w:rPr>
                <w:sz w:val="20"/>
                <w:szCs w:val="20"/>
                <w:color w:val="auto"/>
              </w:rPr>
            </w:pPr>
            <w:r>
              <w:rPr>
                <w:rFonts w:ascii="Arial" w:cs="Arial" w:eastAsia="Arial" w:hAnsi="Arial"/>
                <w:sz w:val="18"/>
                <w:szCs w:val="18"/>
                <w:color w:val="auto"/>
              </w:rPr>
              <w:t>International</w:t>
            </w:r>
          </w:p>
        </w:tc>
        <w:tc>
          <w:tcPr>
            <w:tcW w:w="360" w:type="dxa"/>
            <w:vAlign w:val="bottom"/>
            <w:tcBorders>
              <w:bottom w:val="single" w:sz="8" w:color="auto"/>
            </w:tcBorders>
          </w:tcPr>
          <w:p>
            <w:pPr>
              <w:spacing w:after="0"/>
              <w:rPr>
                <w:sz w:val="19"/>
                <w:szCs w:val="19"/>
                <w:color w:val="auto"/>
              </w:rPr>
            </w:pP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2,136</w:t>
            </w:r>
          </w:p>
        </w:tc>
        <w:tc>
          <w:tcPr>
            <w:tcW w:w="160" w:type="dxa"/>
            <w:vAlign w:val="bottom"/>
            <w:tcBorders>
              <w:bottom w:val="single" w:sz="8" w:color="CFF0FC"/>
            </w:tcBorders>
          </w:tcPr>
          <w:p>
            <w:pPr>
              <w:spacing w:after="0"/>
              <w:rPr>
                <w:sz w:val="19"/>
                <w:szCs w:val="19"/>
                <w:color w:val="auto"/>
              </w:rPr>
            </w:pPr>
          </w:p>
        </w:tc>
        <w:tc>
          <w:tcPr>
            <w:tcW w:w="120" w:type="dxa"/>
            <w:vAlign w:val="bottom"/>
            <w:tcBorders>
              <w:bottom w:val="single" w:sz="8" w:color="CFF0FC"/>
            </w:tcBorders>
          </w:tcPr>
          <w:p>
            <w:pPr>
              <w:spacing w:after="0"/>
              <w:rPr>
                <w:sz w:val="19"/>
                <w:szCs w:val="19"/>
                <w:color w:val="auto"/>
              </w:rPr>
            </w:pPr>
          </w:p>
        </w:tc>
        <w:tc>
          <w:tcPr>
            <w:tcW w:w="560" w:type="dxa"/>
            <w:vAlign w:val="bottom"/>
            <w:tcBorders>
              <w:bottom w:val="single" w:sz="8" w:color="auto"/>
            </w:tcBorders>
          </w:tcPr>
          <w:p>
            <w:pPr>
              <w:spacing w:after="0"/>
              <w:rPr>
                <w:sz w:val="19"/>
                <w:szCs w:val="19"/>
                <w:color w:val="auto"/>
              </w:rPr>
            </w:pP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2,033</w:t>
            </w:r>
          </w:p>
        </w:tc>
        <w:tc>
          <w:tcPr>
            <w:tcW w:w="120" w:type="dxa"/>
            <w:vAlign w:val="bottom"/>
            <w:tcBorders>
              <w:bottom w:val="single" w:sz="8" w:color="CFF0FC"/>
            </w:tcBorders>
          </w:tcPr>
          <w:p>
            <w:pPr>
              <w:spacing w:after="0"/>
              <w:rPr>
                <w:sz w:val="19"/>
                <w:szCs w:val="19"/>
                <w:color w:val="auto"/>
              </w:rPr>
            </w:pPr>
          </w:p>
        </w:tc>
        <w:tc>
          <w:tcPr>
            <w:tcW w:w="0" w:type="dxa"/>
            <w:vAlign w:val="bottom"/>
          </w:tcPr>
          <w:p>
            <w:pPr>
              <w:spacing w:after="0"/>
              <w:rPr>
                <w:sz w:val="1"/>
                <w:szCs w:val="1"/>
                <w:color w:val="auto"/>
              </w:rPr>
            </w:pPr>
          </w:p>
        </w:tc>
      </w:tr>
      <w:tr>
        <w:trPr>
          <w:trHeight w:val="222"/>
        </w:trPr>
        <w:tc>
          <w:tcPr>
            <w:tcW w:w="7860" w:type="dxa"/>
            <w:vAlign w:val="bottom"/>
            <w:shd w:val="clear" w:color="auto" w:fill="CFF0FC"/>
          </w:tcPr>
          <w:p>
            <w:pPr>
              <w:spacing w:after="0"/>
              <w:rPr>
                <w:sz w:val="20"/>
                <w:szCs w:val="20"/>
                <w:color w:val="auto"/>
              </w:rPr>
            </w:pPr>
            <w:r>
              <w:rPr>
                <w:rFonts w:ascii="Arial" w:cs="Arial" w:eastAsia="Arial" w:hAnsi="Arial"/>
                <w:sz w:val="18"/>
                <w:szCs w:val="18"/>
                <w:color w:val="auto"/>
              </w:rPr>
              <w:t>Total GES</w:t>
            </w:r>
          </w:p>
        </w:tc>
        <w:tc>
          <w:tcPr>
            <w:tcW w:w="360" w:type="dxa"/>
            <w:vAlign w:val="bottom"/>
            <w:shd w:val="clear" w:color="auto" w:fill="CFF0FC"/>
          </w:tcPr>
          <w:p>
            <w:pPr>
              <w:spacing w:after="0"/>
              <w:rPr>
                <w:sz w:val="19"/>
                <w:szCs w:val="19"/>
                <w:color w:val="auto"/>
              </w:rPr>
            </w:pPr>
          </w:p>
        </w:tc>
        <w:tc>
          <w:tcPr>
            <w:tcW w:w="12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580</w:t>
            </w:r>
          </w:p>
        </w:tc>
        <w:tc>
          <w:tcPr>
            <w:tcW w:w="16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560" w:type="dxa"/>
            <w:vAlign w:val="bottom"/>
            <w:shd w:val="clear" w:color="auto" w:fill="CFF0FC"/>
          </w:tcPr>
          <w:p>
            <w:pPr>
              <w:spacing w:after="0"/>
              <w:rPr>
                <w:sz w:val="19"/>
                <w:szCs w:val="19"/>
                <w:color w:val="auto"/>
              </w:rPr>
            </w:pPr>
          </w:p>
        </w:tc>
        <w:tc>
          <w:tcPr>
            <w:tcW w:w="10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23,379</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7860" w:type="dxa"/>
            <w:vAlign w:val="bottom"/>
          </w:tcPr>
          <w:p>
            <w:pPr>
              <w:spacing w:after="0"/>
              <w:rPr>
                <w:sz w:val="20"/>
                <w:szCs w:val="20"/>
                <w:color w:val="auto"/>
              </w:rPr>
            </w:pPr>
            <w:r>
              <w:rPr>
                <w:rFonts w:ascii="Arial" w:cs="Arial" w:eastAsia="Arial" w:hAnsi="Arial"/>
                <w:sz w:val="18"/>
                <w:szCs w:val="18"/>
                <w:color w:val="auto"/>
              </w:rPr>
              <w:t>Pursuit</w:t>
            </w:r>
          </w:p>
        </w:tc>
        <w:tc>
          <w:tcPr>
            <w:tcW w:w="360" w:type="dxa"/>
            <w:vAlign w:val="bottom"/>
          </w:tcPr>
          <w:p>
            <w:pPr>
              <w:spacing w:after="0"/>
              <w:rPr>
                <w:sz w:val="19"/>
                <w:szCs w:val="19"/>
                <w:color w:val="auto"/>
              </w:rPr>
            </w:pPr>
          </w:p>
        </w:tc>
        <w:tc>
          <w:tcPr>
            <w:tcW w:w="1380" w:type="dxa"/>
            <w:vAlign w:val="bottom"/>
            <w:gridSpan w:val="2"/>
          </w:tcPr>
          <w:p>
            <w:pPr>
              <w:jc w:val="right"/>
              <w:ind w:right="100"/>
              <w:spacing w:after="0"/>
              <w:rPr>
                <w:sz w:val="20"/>
                <w:szCs w:val="20"/>
                <w:color w:val="auto"/>
              </w:rPr>
            </w:pPr>
            <w:r>
              <w:rPr>
                <w:rFonts w:ascii="Arial" w:cs="Arial" w:eastAsia="Arial" w:hAnsi="Arial"/>
                <w:sz w:val="18"/>
                <w:szCs w:val="18"/>
                <w:color w:val="auto"/>
              </w:rPr>
              <w:t>(11,395)</w:t>
            </w:r>
          </w:p>
        </w:tc>
        <w:tc>
          <w:tcPr>
            <w:tcW w:w="12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1140" w:type="dxa"/>
            <w:vAlign w:val="bottom"/>
            <w:gridSpan w:val="2"/>
          </w:tcPr>
          <w:p>
            <w:pPr>
              <w:jc w:val="right"/>
              <w:ind w:right="60"/>
              <w:spacing w:after="0"/>
              <w:rPr>
                <w:sz w:val="20"/>
                <w:szCs w:val="20"/>
                <w:color w:val="auto"/>
              </w:rPr>
            </w:pPr>
            <w:r>
              <w:rPr>
                <w:rFonts w:ascii="Arial" w:cs="Arial" w:eastAsia="Arial" w:hAnsi="Arial"/>
                <w:sz w:val="18"/>
                <w:szCs w:val="18"/>
                <w:color w:val="auto"/>
              </w:rPr>
              <w:t>(10,275)</w:t>
            </w:r>
          </w:p>
        </w:tc>
        <w:tc>
          <w:tcPr>
            <w:tcW w:w="0" w:type="dxa"/>
            <w:vAlign w:val="bottom"/>
          </w:tcPr>
          <w:p>
            <w:pPr>
              <w:spacing w:after="0"/>
              <w:rPr>
                <w:sz w:val="1"/>
                <w:szCs w:val="1"/>
                <w:color w:val="auto"/>
              </w:rPr>
            </w:pPr>
          </w:p>
        </w:tc>
      </w:tr>
      <w:tr>
        <w:trPr>
          <w:trHeight w:val="222"/>
        </w:trPr>
        <w:tc>
          <w:tcPr>
            <w:tcW w:w="786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8"/>
                <w:szCs w:val="18"/>
                <w:b w:val="1"/>
                <w:bCs w:val="1"/>
                <w:color w:val="auto"/>
              </w:rPr>
              <w:t>Segment operating income (loss)</w:t>
            </w:r>
          </w:p>
        </w:tc>
        <w:tc>
          <w:tcPr>
            <w:tcW w:w="360" w:type="dxa"/>
            <w:vAlign w:val="bottom"/>
            <w:tcBorders>
              <w:top w:val="single" w:sz="8" w:color="auto"/>
            </w:tcBorders>
            <w:shd w:val="clear" w:color="auto" w:fill="CFF0FC"/>
          </w:tcPr>
          <w:p>
            <w:pPr>
              <w:spacing w:after="0"/>
              <w:rPr>
                <w:sz w:val="19"/>
                <w:szCs w:val="19"/>
                <w:color w:val="auto"/>
              </w:rPr>
            </w:pPr>
          </w:p>
        </w:tc>
        <w:tc>
          <w:tcPr>
            <w:tcW w:w="122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(10,815)</w:t>
            </w:r>
          </w:p>
        </w:tc>
        <w:tc>
          <w:tcPr>
            <w:tcW w:w="160" w:type="dxa"/>
            <w:vAlign w:val="bottom"/>
            <w:tcBorders>
              <w:top w:val="single" w:sz="8" w:color="CFF0FC"/>
            </w:tcBorders>
            <w:shd w:val="clear" w:color="auto" w:fill="CFF0FC"/>
          </w:tcPr>
          <w:p>
            <w:pPr>
              <w:spacing w:after="0"/>
              <w:rPr>
                <w:sz w:val="19"/>
                <w:szCs w:val="19"/>
                <w:color w:val="auto"/>
              </w:rPr>
            </w:pPr>
          </w:p>
        </w:tc>
        <w:tc>
          <w:tcPr>
            <w:tcW w:w="120" w:type="dxa"/>
            <w:vAlign w:val="bottom"/>
            <w:tcBorders>
              <w:top w:val="single" w:sz="8" w:color="CFF0FC"/>
            </w:tcBorders>
            <w:shd w:val="clear" w:color="auto" w:fill="CFF0FC"/>
          </w:tcPr>
          <w:p>
            <w:pPr>
              <w:spacing w:after="0"/>
              <w:rPr>
                <w:sz w:val="19"/>
                <w:szCs w:val="19"/>
                <w:color w:val="auto"/>
              </w:rPr>
            </w:pPr>
          </w:p>
        </w:tc>
        <w:tc>
          <w:tcPr>
            <w:tcW w:w="560" w:type="dxa"/>
            <w:vAlign w:val="bottom"/>
            <w:tcBorders>
              <w:top w:val="single" w:sz="8" w:color="auto"/>
            </w:tcBorders>
            <w:shd w:val="clear" w:color="auto" w:fill="CFF0FC"/>
          </w:tcPr>
          <w:p>
            <w:pPr>
              <w:spacing w:after="0"/>
              <w:rPr>
                <w:sz w:val="19"/>
                <w:szCs w:val="19"/>
                <w:color w:val="auto"/>
              </w:rPr>
            </w:pPr>
          </w:p>
        </w:tc>
        <w:tc>
          <w:tcPr>
            <w:tcW w:w="102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13,104</w:t>
            </w:r>
          </w:p>
        </w:tc>
        <w:tc>
          <w:tcPr>
            <w:tcW w:w="120" w:type="dxa"/>
            <w:vAlign w:val="bottom"/>
            <w:tcBorders>
              <w:top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7860" w:type="dxa"/>
            <w:vAlign w:val="bottom"/>
          </w:tcPr>
          <w:p>
            <w:pPr>
              <w:ind w:left="260"/>
              <w:spacing w:after="0"/>
              <w:rPr>
                <w:sz w:val="20"/>
                <w:szCs w:val="20"/>
                <w:color w:val="auto"/>
              </w:rPr>
            </w:pPr>
            <w:r>
              <w:rPr>
                <w:rFonts w:ascii="Arial" w:cs="Arial" w:eastAsia="Arial" w:hAnsi="Arial"/>
                <w:sz w:val="18"/>
                <w:szCs w:val="18"/>
                <w:color w:val="auto"/>
              </w:rPr>
              <w:t xml:space="preserve">Corporate eliminations </w:t>
            </w:r>
            <w:r>
              <w:rPr>
                <w:rFonts w:ascii="Arial" w:cs="Arial" w:eastAsia="Arial" w:hAnsi="Arial"/>
                <w:sz w:val="15"/>
                <w:szCs w:val="15"/>
                <w:color w:val="auto"/>
              </w:rPr>
              <w:t>(1)</w:t>
            </w:r>
          </w:p>
        </w:tc>
        <w:tc>
          <w:tcPr>
            <w:tcW w:w="360" w:type="dxa"/>
            <w:vAlign w:val="bottom"/>
          </w:tcPr>
          <w:p>
            <w:pPr>
              <w:spacing w:after="0"/>
              <w:rPr>
                <w:sz w:val="19"/>
                <w:szCs w:val="19"/>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16</w:t>
            </w:r>
          </w:p>
        </w:tc>
        <w:tc>
          <w:tcPr>
            <w:tcW w:w="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16</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7860" w:type="dxa"/>
            <w:vAlign w:val="bottom"/>
            <w:shd w:val="clear" w:color="auto" w:fill="CFF0FC"/>
          </w:tcPr>
          <w:p>
            <w:pPr>
              <w:ind w:left="260"/>
              <w:spacing w:after="0"/>
              <w:rPr>
                <w:sz w:val="20"/>
                <w:szCs w:val="20"/>
                <w:color w:val="auto"/>
              </w:rPr>
            </w:pPr>
            <w:r>
              <w:rPr>
                <w:rFonts w:ascii="Arial" w:cs="Arial" w:eastAsia="Arial" w:hAnsi="Arial"/>
                <w:sz w:val="18"/>
                <w:szCs w:val="18"/>
                <w:color w:val="auto"/>
              </w:rPr>
              <w:t>Corporate activities</w:t>
            </w:r>
          </w:p>
        </w:tc>
        <w:tc>
          <w:tcPr>
            <w:tcW w:w="360" w:type="dxa"/>
            <w:vAlign w:val="bottom"/>
            <w:shd w:val="clear" w:color="auto" w:fill="CFF0FC"/>
          </w:tcPr>
          <w:p>
            <w:pPr>
              <w:spacing w:after="0"/>
              <w:rPr>
                <w:sz w:val="19"/>
                <w:szCs w:val="19"/>
                <w:color w:val="auto"/>
              </w:rPr>
            </w:pPr>
          </w:p>
        </w:tc>
        <w:tc>
          <w:tcPr>
            <w:tcW w:w="1380" w:type="dxa"/>
            <w:vAlign w:val="bottom"/>
            <w:gridSpan w:val="2"/>
            <w:shd w:val="clear" w:color="auto" w:fill="CFF0FC"/>
          </w:tcPr>
          <w:p>
            <w:pPr>
              <w:jc w:val="right"/>
              <w:ind w:right="100"/>
              <w:spacing w:after="0"/>
              <w:rPr>
                <w:sz w:val="20"/>
                <w:szCs w:val="20"/>
                <w:color w:val="auto"/>
              </w:rPr>
            </w:pPr>
            <w:r>
              <w:rPr>
                <w:rFonts w:ascii="Arial" w:cs="Arial" w:eastAsia="Arial" w:hAnsi="Arial"/>
                <w:sz w:val="18"/>
                <w:szCs w:val="18"/>
                <w:color w:val="auto"/>
              </w:rPr>
              <w:t>(2,217)</w:t>
            </w:r>
          </w:p>
        </w:tc>
        <w:tc>
          <w:tcPr>
            <w:tcW w:w="120" w:type="dxa"/>
            <w:vAlign w:val="bottom"/>
            <w:shd w:val="clear" w:color="auto" w:fill="CFF0FC"/>
          </w:tcPr>
          <w:p>
            <w:pPr>
              <w:spacing w:after="0"/>
              <w:rPr>
                <w:sz w:val="19"/>
                <w:szCs w:val="19"/>
                <w:color w:val="auto"/>
              </w:rPr>
            </w:pPr>
          </w:p>
        </w:tc>
        <w:tc>
          <w:tcPr>
            <w:tcW w:w="560" w:type="dxa"/>
            <w:vAlign w:val="bottom"/>
            <w:shd w:val="clear" w:color="auto" w:fill="CFF0FC"/>
          </w:tcPr>
          <w:p>
            <w:pPr>
              <w:spacing w:after="0"/>
              <w:rPr>
                <w:sz w:val="19"/>
                <w:szCs w:val="19"/>
                <w:color w:val="auto"/>
              </w:rPr>
            </w:pPr>
          </w:p>
        </w:tc>
        <w:tc>
          <w:tcPr>
            <w:tcW w:w="1140" w:type="dxa"/>
            <w:vAlign w:val="bottom"/>
            <w:gridSpan w:val="2"/>
            <w:shd w:val="clear" w:color="auto" w:fill="CFF0FC"/>
          </w:tcPr>
          <w:p>
            <w:pPr>
              <w:jc w:val="right"/>
              <w:ind w:right="60"/>
              <w:spacing w:after="0"/>
              <w:rPr>
                <w:sz w:val="20"/>
                <w:szCs w:val="20"/>
                <w:color w:val="auto"/>
              </w:rPr>
            </w:pPr>
            <w:r>
              <w:rPr>
                <w:rFonts w:ascii="Arial" w:cs="Arial" w:eastAsia="Arial" w:hAnsi="Arial"/>
                <w:sz w:val="18"/>
                <w:szCs w:val="18"/>
                <w:color w:val="auto"/>
              </w:rPr>
              <w:t>(2,541)</w:t>
            </w:r>
          </w:p>
        </w:tc>
        <w:tc>
          <w:tcPr>
            <w:tcW w:w="0" w:type="dxa"/>
            <w:vAlign w:val="bottom"/>
          </w:tcPr>
          <w:p>
            <w:pPr>
              <w:spacing w:after="0"/>
              <w:rPr>
                <w:sz w:val="1"/>
                <w:szCs w:val="1"/>
                <w:color w:val="auto"/>
              </w:rPr>
            </w:pPr>
          </w:p>
        </w:tc>
      </w:tr>
      <w:tr>
        <w:trPr>
          <w:trHeight w:val="222"/>
        </w:trPr>
        <w:tc>
          <w:tcPr>
            <w:tcW w:w="7860" w:type="dxa"/>
            <w:vAlign w:val="bottom"/>
          </w:tcPr>
          <w:p>
            <w:pPr>
              <w:spacing w:after="0"/>
              <w:rPr>
                <w:sz w:val="20"/>
                <w:szCs w:val="20"/>
                <w:color w:val="auto"/>
              </w:rPr>
            </w:pPr>
            <w:r>
              <w:rPr>
                <w:rFonts w:ascii="Arial" w:cs="Arial" w:eastAsia="Arial" w:hAnsi="Arial"/>
                <w:sz w:val="18"/>
                <w:szCs w:val="18"/>
                <w:b w:val="1"/>
                <w:bCs w:val="1"/>
                <w:color w:val="auto"/>
              </w:rPr>
              <w:t>Operating income (loss)</w:t>
            </w:r>
          </w:p>
        </w:tc>
        <w:tc>
          <w:tcPr>
            <w:tcW w:w="360" w:type="dxa"/>
            <w:vAlign w:val="bottom"/>
            <w:tcBorders>
              <w:top w:val="single" w:sz="8" w:color="auto"/>
            </w:tcBorders>
          </w:tcPr>
          <w:p>
            <w:pPr>
              <w:spacing w:after="0"/>
              <w:rPr>
                <w:sz w:val="19"/>
                <w:szCs w:val="19"/>
                <w:color w:val="auto"/>
              </w:rPr>
            </w:pPr>
          </w:p>
        </w:tc>
        <w:tc>
          <w:tcPr>
            <w:tcW w:w="12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(13,016)</w:t>
            </w:r>
          </w:p>
        </w:tc>
        <w:tc>
          <w:tcPr>
            <w:tcW w:w="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560" w:type="dxa"/>
            <w:vAlign w:val="bottom"/>
            <w:tcBorders>
              <w:top w:val="single" w:sz="8" w:color="auto"/>
            </w:tcBorders>
          </w:tcPr>
          <w:p>
            <w:pPr>
              <w:spacing w:after="0"/>
              <w:rPr>
                <w:sz w:val="19"/>
                <w:szCs w:val="19"/>
                <w:color w:val="auto"/>
              </w:rPr>
            </w:pPr>
          </w:p>
        </w:tc>
        <w:tc>
          <w:tcPr>
            <w:tcW w:w="10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10,579</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7860" w:type="dxa"/>
            <w:vAlign w:val="bottom"/>
            <w:shd w:val="clear" w:color="auto" w:fill="CFF0FC"/>
          </w:tcPr>
          <w:p>
            <w:pPr>
              <w:ind w:left="260"/>
              <w:spacing w:after="0"/>
              <w:rPr>
                <w:sz w:val="20"/>
                <w:szCs w:val="20"/>
                <w:color w:val="auto"/>
              </w:rPr>
            </w:pPr>
            <w:r>
              <w:rPr>
                <w:rFonts w:ascii="Arial" w:cs="Arial" w:eastAsia="Arial" w:hAnsi="Arial"/>
                <w:sz w:val="18"/>
                <w:szCs w:val="18"/>
                <w:color w:val="auto"/>
              </w:rPr>
              <w:t>Interest income</w:t>
            </w:r>
          </w:p>
        </w:tc>
        <w:tc>
          <w:tcPr>
            <w:tcW w:w="360" w:type="dxa"/>
            <w:vAlign w:val="bottom"/>
            <w:shd w:val="clear" w:color="auto" w:fill="CFF0FC"/>
          </w:tcPr>
          <w:p>
            <w:pPr>
              <w:spacing w:after="0"/>
              <w:rPr>
                <w:sz w:val="19"/>
                <w:szCs w:val="19"/>
                <w:color w:val="auto"/>
              </w:rPr>
            </w:pPr>
          </w:p>
        </w:tc>
        <w:tc>
          <w:tcPr>
            <w:tcW w:w="12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84</w:t>
            </w:r>
          </w:p>
        </w:tc>
        <w:tc>
          <w:tcPr>
            <w:tcW w:w="16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560" w:type="dxa"/>
            <w:vAlign w:val="bottom"/>
            <w:shd w:val="clear" w:color="auto" w:fill="CFF0FC"/>
          </w:tcPr>
          <w:p>
            <w:pPr>
              <w:spacing w:after="0"/>
              <w:rPr>
                <w:sz w:val="19"/>
                <w:szCs w:val="19"/>
                <w:color w:val="auto"/>
              </w:rPr>
            </w:pPr>
          </w:p>
        </w:tc>
        <w:tc>
          <w:tcPr>
            <w:tcW w:w="10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58</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7860" w:type="dxa"/>
            <w:vAlign w:val="bottom"/>
          </w:tcPr>
          <w:p>
            <w:pPr>
              <w:ind w:left="260"/>
              <w:spacing w:after="0"/>
              <w:rPr>
                <w:sz w:val="20"/>
                <w:szCs w:val="20"/>
                <w:color w:val="auto"/>
              </w:rPr>
            </w:pPr>
            <w:r>
              <w:rPr>
                <w:rFonts w:ascii="Arial" w:cs="Arial" w:eastAsia="Arial" w:hAnsi="Arial"/>
                <w:sz w:val="18"/>
                <w:szCs w:val="18"/>
                <w:color w:val="auto"/>
              </w:rPr>
              <w:t>Interest expense</w:t>
            </w:r>
          </w:p>
        </w:tc>
        <w:tc>
          <w:tcPr>
            <w:tcW w:w="360" w:type="dxa"/>
            <w:vAlign w:val="bottom"/>
          </w:tcPr>
          <w:p>
            <w:pPr>
              <w:spacing w:after="0"/>
              <w:rPr>
                <w:sz w:val="19"/>
                <w:szCs w:val="19"/>
                <w:color w:val="auto"/>
              </w:rPr>
            </w:pPr>
          </w:p>
        </w:tc>
        <w:tc>
          <w:tcPr>
            <w:tcW w:w="1380" w:type="dxa"/>
            <w:vAlign w:val="bottom"/>
            <w:gridSpan w:val="2"/>
          </w:tcPr>
          <w:p>
            <w:pPr>
              <w:jc w:val="right"/>
              <w:ind w:right="100"/>
              <w:spacing w:after="0"/>
              <w:rPr>
                <w:sz w:val="20"/>
                <w:szCs w:val="20"/>
                <w:color w:val="auto"/>
              </w:rPr>
            </w:pPr>
            <w:r>
              <w:rPr>
                <w:rFonts w:ascii="Arial" w:cs="Arial" w:eastAsia="Arial" w:hAnsi="Arial"/>
                <w:sz w:val="18"/>
                <w:szCs w:val="18"/>
                <w:color w:val="auto"/>
              </w:rPr>
              <w:t>(2,069)</w:t>
            </w:r>
          </w:p>
        </w:tc>
        <w:tc>
          <w:tcPr>
            <w:tcW w:w="12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1140" w:type="dxa"/>
            <w:vAlign w:val="bottom"/>
            <w:gridSpan w:val="2"/>
          </w:tcPr>
          <w:p>
            <w:pPr>
              <w:jc w:val="right"/>
              <w:ind w:right="60"/>
              <w:spacing w:after="0"/>
              <w:rPr>
                <w:sz w:val="20"/>
                <w:szCs w:val="20"/>
                <w:color w:val="auto"/>
              </w:rPr>
            </w:pPr>
            <w:r>
              <w:rPr>
                <w:rFonts w:ascii="Arial" w:cs="Arial" w:eastAsia="Arial" w:hAnsi="Arial"/>
                <w:sz w:val="18"/>
                <w:szCs w:val="18"/>
                <w:color w:val="auto"/>
              </w:rPr>
              <w:t>(2,105)</w:t>
            </w:r>
          </w:p>
        </w:tc>
        <w:tc>
          <w:tcPr>
            <w:tcW w:w="0" w:type="dxa"/>
            <w:vAlign w:val="bottom"/>
          </w:tcPr>
          <w:p>
            <w:pPr>
              <w:spacing w:after="0"/>
              <w:rPr>
                <w:sz w:val="1"/>
                <w:szCs w:val="1"/>
                <w:color w:val="auto"/>
              </w:rPr>
            </w:pPr>
          </w:p>
        </w:tc>
      </w:tr>
      <w:tr>
        <w:trPr>
          <w:trHeight w:val="229"/>
        </w:trPr>
        <w:tc>
          <w:tcPr>
            <w:tcW w:w="7860" w:type="dxa"/>
            <w:vAlign w:val="bottom"/>
            <w:shd w:val="clear" w:color="auto" w:fill="CFF0FC"/>
          </w:tcPr>
          <w:p>
            <w:pPr>
              <w:ind w:left="260"/>
              <w:spacing w:after="0"/>
              <w:rPr>
                <w:sz w:val="20"/>
                <w:szCs w:val="20"/>
                <w:color w:val="auto"/>
              </w:rPr>
            </w:pPr>
            <w:r>
              <w:rPr>
                <w:rFonts w:ascii="Arial" w:cs="Arial" w:eastAsia="Arial" w:hAnsi="Arial"/>
                <w:sz w:val="18"/>
                <w:szCs w:val="18"/>
                <w:color w:val="auto"/>
              </w:rPr>
              <w:t xml:space="preserve">Other expense </w:t>
            </w:r>
            <w:r>
              <w:rPr>
                <w:rFonts w:ascii="Arial" w:cs="Arial" w:eastAsia="Arial" w:hAnsi="Arial"/>
                <w:sz w:val="15"/>
                <w:szCs w:val="15"/>
                <w:color w:val="auto"/>
              </w:rPr>
              <w:t>(2)</w:t>
            </w:r>
          </w:p>
        </w:tc>
        <w:tc>
          <w:tcPr>
            <w:tcW w:w="360" w:type="dxa"/>
            <w:vAlign w:val="bottom"/>
            <w:shd w:val="clear" w:color="auto" w:fill="CFF0FC"/>
          </w:tcPr>
          <w:p>
            <w:pPr>
              <w:spacing w:after="0"/>
              <w:rPr>
                <w:sz w:val="19"/>
                <w:szCs w:val="19"/>
                <w:color w:val="auto"/>
              </w:rPr>
            </w:pPr>
          </w:p>
        </w:tc>
        <w:tc>
          <w:tcPr>
            <w:tcW w:w="1380" w:type="dxa"/>
            <w:vAlign w:val="bottom"/>
            <w:gridSpan w:val="2"/>
            <w:shd w:val="clear" w:color="auto" w:fill="CFF0FC"/>
          </w:tcPr>
          <w:p>
            <w:pPr>
              <w:jc w:val="right"/>
              <w:ind w:right="100"/>
              <w:spacing w:after="0"/>
              <w:rPr>
                <w:sz w:val="20"/>
                <w:szCs w:val="20"/>
                <w:color w:val="auto"/>
              </w:rPr>
            </w:pPr>
            <w:r>
              <w:rPr>
                <w:rFonts w:ascii="Arial" w:cs="Arial" w:eastAsia="Arial" w:hAnsi="Arial"/>
                <w:sz w:val="18"/>
                <w:szCs w:val="18"/>
                <w:color w:val="auto"/>
              </w:rPr>
              <w:t>(238)</w:t>
            </w:r>
          </w:p>
        </w:tc>
        <w:tc>
          <w:tcPr>
            <w:tcW w:w="120" w:type="dxa"/>
            <w:vAlign w:val="bottom"/>
            <w:shd w:val="clear" w:color="auto" w:fill="CFF0FC"/>
          </w:tcPr>
          <w:p>
            <w:pPr>
              <w:spacing w:after="0"/>
              <w:rPr>
                <w:sz w:val="19"/>
                <w:szCs w:val="19"/>
                <w:color w:val="auto"/>
              </w:rPr>
            </w:pPr>
          </w:p>
        </w:tc>
        <w:tc>
          <w:tcPr>
            <w:tcW w:w="560" w:type="dxa"/>
            <w:vAlign w:val="bottom"/>
            <w:shd w:val="clear" w:color="auto" w:fill="CFF0FC"/>
          </w:tcPr>
          <w:p>
            <w:pPr>
              <w:spacing w:after="0"/>
              <w:rPr>
                <w:sz w:val="19"/>
                <w:szCs w:val="19"/>
                <w:color w:val="auto"/>
              </w:rPr>
            </w:pPr>
          </w:p>
        </w:tc>
        <w:tc>
          <w:tcPr>
            <w:tcW w:w="1140" w:type="dxa"/>
            <w:vAlign w:val="bottom"/>
            <w:gridSpan w:val="2"/>
            <w:shd w:val="clear" w:color="auto" w:fill="CFF0FC"/>
          </w:tcPr>
          <w:p>
            <w:pPr>
              <w:jc w:val="right"/>
              <w:ind w:right="60"/>
              <w:spacing w:after="0"/>
              <w:rPr>
                <w:sz w:val="20"/>
                <w:szCs w:val="20"/>
                <w:color w:val="auto"/>
              </w:rPr>
            </w:pPr>
            <w:r>
              <w:rPr>
                <w:rFonts w:ascii="Arial" w:cs="Arial" w:eastAsia="Arial" w:hAnsi="Arial"/>
                <w:sz w:val="18"/>
                <w:szCs w:val="18"/>
                <w:color w:val="auto"/>
              </w:rPr>
              <w:t>(452)</w:t>
            </w:r>
          </w:p>
        </w:tc>
        <w:tc>
          <w:tcPr>
            <w:tcW w:w="0" w:type="dxa"/>
            <w:vAlign w:val="bottom"/>
          </w:tcPr>
          <w:p>
            <w:pPr>
              <w:spacing w:after="0"/>
              <w:rPr>
                <w:sz w:val="1"/>
                <w:szCs w:val="1"/>
                <w:color w:val="auto"/>
              </w:rPr>
            </w:pPr>
          </w:p>
        </w:tc>
      </w:tr>
      <w:tr>
        <w:trPr>
          <w:trHeight w:val="229"/>
        </w:trPr>
        <w:tc>
          <w:tcPr>
            <w:tcW w:w="7860" w:type="dxa"/>
            <w:vAlign w:val="bottom"/>
          </w:tcPr>
          <w:p>
            <w:pPr>
              <w:spacing w:after="0"/>
              <w:rPr>
                <w:sz w:val="20"/>
                <w:szCs w:val="20"/>
                <w:color w:val="auto"/>
              </w:rPr>
            </w:pPr>
            <w:r>
              <w:rPr>
                <w:rFonts w:ascii="Arial" w:cs="Arial" w:eastAsia="Arial" w:hAnsi="Arial"/>
                <w:sz w:val="18"/>
                <w:szCs w:val="18"/>
                <w:b w:val="1"/>
                <w:bCs w:val="1"/>
                <w:color w:val="auto"/>
              </w:rPr>
              <w:t>Restructuring recoveries (charges):</w:t>
            </w:r>
          </w:p>
        </w:tc>
        <w:tc>
          <w:tcPr>
            <w:tcW w:w="36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7860" w:type="dxa"/>
            <w:vAlign w:val="bottom"/>
            <w:shd w:val="clear" w:color="auto" w:fill="CFF0FC"/>
          </w:tcPr>
          <w:p>
            <w:pPr>
              <w:ind w:left="260"/>
              <w:spacing w:after="0"/>
              <w:rPr>
                <w:sz w:val="20"/>
                <w:szCs w:val="20"/>
                <w:color w:val="auto"/>
              </w:rPr>
            </w:pPr>
            <w:r>
              <w:rPr>
                <w:rFonts w:ascii="Arial" w:cs="Arial" w:eastAsia="Arial" w:hAnsi="Arial"/>
                <w:sz w:val="18"/>
                <w:szCs w:val="18"/>
                <w:color w:val="auto"/>
              </w:rPr>
              <w:t>GES U.S.</w:t>
            </w:r>
          </w:p>
        </w:tc>
        <w:tc>
          <w:tcPr>
            <w:tcW w:w="360" w:type="dxa"/>
            <w:vAlign w:val="bottom"/>
            <w:shd w:val="clear" w:color="auto" w:fill="CFF0FC"/>
          </w:tcPr>
          <w:p>
            <w:pPr>
              <w:spacing w:after="0"/>
              <w:rPr>
                <w:sz w:val="19"/>
                <w:szCs w:val="19"/>
                <w:color w:val="auto"/>
              </w:rPr>
            </w:pPr>
          </w:p>
        </w:tc>
        <w:tc>
          <w:tcPr>
            <w:tcW w:w="1380" w:type="dxa"/>
            <w:vAlign w:val="bottom"/>
            <w:gridSpan w:val="2"/>
            <w:shd w:val="clear" w:color="auto" w:fill="CFF0FC"/>
          </w:tcPr>
          <w:p>
            <w:pPr>
              <w:jc w:val="right"/>
              <w:ind w:right="180"/>
              <w:spacing w:after="0"/>
              <w:rPr>
                <w:sz w:val="20"/>
                <w:szCs w:val="20"/>
                <w:color w:val="auto"/>
              </w:rPr>
            </w:pPr>
            <w:r>
              <w:rPr>
                <w:rFonts w:ascii="Arial" w:cs="Arial" w:eastAsia="Arial" w:hAnsi="Arial"/>
                <w:sz w:val="18"/>
                <w:szCs w:val="18"/>
                <w:color w:val="auto"/>
              </w:rPr>
              <w:t>—</w:t>
            </w:r>
          </w:p>
        </w:tc>
        <w:tc>
          <w:tcPr>
            <w:tcW w:w="120" w:type="dxa"/>
            <w:vAlign w:val="bottom"/>
            <w:shd w:val="clear" w:color="auto" w:fill="CFF0FC"/>
          </w:tcPr>
          <w:p>
            <w:pPr>
              <w:spacing w:after="0"/>
              <w:rPr>
                <w:sz w:val="19"/>
                <w:szCs w:val="19"/>
                <w:color w:val="auto"/>
              </w:rPr>
            </w:pPr>
          </w:p>
        </w:tc>
        <w:tc>
          <w:tcPr>
            <w:tcW w:w="560" w:type="dxa"/>
            <w:vAlign w:val="bottom"/>
            <w:shd w:val="clear" w:color="auto" w:fill="CFF0FC"/>
          </w:tcPr>
          <w:p>
            <w:pPr>
              <w:spacing w:after="0"/>
              <w:rPr>
                <w:sz w:val="19"/>
                <w:szCs w:val="19"/>
                <w:color w:val="auto"/>
              </w:rPr>
            </w:pPr>
          </w:p>
        </w:tc>
        <w:tc>
          <w:tcPr>
            <w:tcW w:w="1140" w:type="dxa"/>
            <w:vAlign w:val="bottom"/>
            <w:gridSpan w:val="2"/>
            <w:shd w:val="clear" w:color="auto" w:fill="CFF0FC"/>
          </w:tcPr>
          <w:p>
            <w:pPr>
              <w:jc w:val="right"/>
              <w:ind w:right="60"/>
              <w:spacing w:after="0"/>
              <w:rPr>
                <w:sz w:val="20"/>
                <w:szCs w:val="20"/>
                <w:color w:val="auto"/>
              </w:rPr>
            </w:pPr>
            <w:r>
              <w:rPr>
                <w:rFonts w:ascii="Arial" w:cs="Arial" w:eastAsia="Arial" w:hAnsi="Arial"/>
                <w:sz w:val="18"/>
                <w:szCs w:val="18"/>
                <w:color w:val="auto"/>
              </w:rPr>
              <w:t>(24)</w:t>
            </w:r>
          </w:p>
        </w:tc>
        <w:tc>
          <w:tcPr>
            <w:tcW w:w="0" w:type="dxa"/>
            <w:vAlign w:val="bottom"/>
          </w:tcPr>
          <w:p>
            <w:pPr>
              <w:spacing w:after="0"/>
              <w:rPr>
                <w:sz w:val="1"/>
                <w:szCs w:val="1"/>
                <w:color w:val="auto"/>
              </w:rPr>
            </w:pPr>
          </w:p>
        </w:tc>
      </w:tr>
      <w:tr>
        <w:trPr>
          <w:trHeight w:val="229"/>
        </w:trPr>
        <w:tc>
          <w:tcPr>
            <w:tcW w:w="7860" w:type="dxa"/>
            <w:vAlign w:val="bottom"/>
          </w:tcPr>
          <w:p>
            <w:pPr>
              <w:ind w:left="260"/>
              <w:spacing w:after="0"/>
              <w:rPr>
                <w:sz w:val="20"/>
                <w:szCs w:val="20"/>
                <w:color w:val="auto"/>
              </w:rPr>
            </w:pPr>
            <w:r>
              <w:rPr>
                <w:rFonts w:ascii="Arial" w:cs="Arial" w:eastAsia="Arial" w:hAnsi="Arial"/>
                <w:sz w:val="18"/>
                <w:szCs w:val="18"/>
                <w:color w:val="auto"/>
              </w:rPr>
              <w:t>GES International</w:t>
            </w:r>
          </w:p>
        </w:tc>
        <w:tc>
          <w:tcPr>
            <w:tcW w:w="360" w:type="dxa"/>
            <w:vAlign w:val="bottom"/>
          </w:tcPr>
          <w:p>
            <w:pPr>
              <w:spacing w:after="0"/>
              <w:rPr>
                <w:sz w:val="19"/>
                <w:szCs w:val="19"/>
                <w:color w:val="auto"/>
              </w:rPr>
            </w:pPr>
          </w:p>
        </w:tc>
        <w:tc>
          <w:tcPr>
            <w:tcW w:w="1380" w:type="dxa"/>
            <w:vAlign w:val="bottom"/>
            <w:gridSpan w:val="2"/>
          </w:tcPr>
          <w:p>
            <w:pPr>
              <w:jc w:val="right"/>
              <w:ind w:right="100"/>
              <w:spacing w:after="0"/>
              <w:rPr>
                <w:sz w:val="20"/>
                <w:szCs w:val="20"/>
                <w:color w:val="auto"/>
              </w:rPr>
            </w:pPr>
            <w:r>
              <w:rPr>
                <w:rFonts w:ascii="Arial" w:cs="Arial" w:eastAsia="Arial" w:hAnsi="Arial"/>
                <w:sz w:val="18"/>
                <w:szCs w:val="18"/>
                <w:color w:val="auto"/>
              </w:rPr>
              <w:t>(32)</w:t>
            </w:r>
          </w:p>
        </w:tc>
        <w:tc>
          <w:tcPr>
            <w:tcW w:w="12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1140" w:type="dxa"/>
            <w:vAlign w:val="bottom"/>
            <w:gridSpan w:val="2"/>
          </w:tcPr>
          <w:p>
            <w:pPr>
              <w:jc w:val="right"/>
              <w:ind w:right="60"/>
              <w:spacing w:after="0"/>
              <w:rPr>
                <w:sz w:val="20"/>
                <w:szCs w:val="20"/>
                <w:color w:val="auto"/>
              </w:rPr>
            </w:pPr>
            <w:r>
              <w:rPr>
                <w:rFonts w:ascii="Arial" w:cs="Arial" w:eastAsia="Arial" w:hAnsi="Arial"/>
                <w:sz w:val="18"/>
                <w:szCs w:val="18"/>
                <w:color w:val="auto"/>
              </w:rPr>
              <w:t>(233)</w:t>
            </w:r>
          </w:p>
        </w:tc>
        <w:tc>
          <w:tcPr>
            <w:tcW w:w="0" w:type="dxa"/>
            <w:vAlign w:val="bottom"/>
          </w:tcPr>
          <w:p>
            <w:pPr>
              <w:spacing w:after="0"/>
              <w:rPr>
                <w:sz w:val="1"/>
                <w:szCs w:val="1"/>
                <w:color w:val="auto"/>
              </w:rPr>
            </w:pPr>
          </w:p>
        </w:tc>
      </w:tr>
      <w:tr>
        <w:trPr>
          <w:trHeight w:val="229"/>
        </w:trPr>
        <w:tc>
          <w:tcPr>
            <w:tcW w:w="7860" w:type="dxa"/>
            <w:vAlign w:val="bottom"/>
            <w:shd w:val="clear" w:color="auto" w:fill="CFF0FC"/>
          </w:tcPr>
          <w:p>
            <w:pPr>
              <w:ind w:left="260"/>
              <w:spacing w:after="0"/>
              <w:rPr>
                <w:sz w:val="20"/>
                <w:szCs w:val="20"/>
                <w:color w:val="auto"/>
              </w:rPr>
            </w:pPr>
            <w:r>
              <w:rPr>
                <w:rFonts w:ascii="Arial" w:cs="Arial" w:eastAsia="Arial" w:hAnsi="Arial"/>
                <w:sz w:val="18"/>
                <w:szCs w:val="18"/>
                <w:color w:val="auto"/>
              </w:rPr>
              <w:t>Pursuit</w:t>
            </w:r>
          </w:p>
        </w:tc>
        <w:tc>
          <w:tcPr>
            <w:tcW w:w="360" w:type="dxa"/>
            <w:vAlign w:val="bottom"/>
            <w:shd w:val="clear" w:color="auto" w:fill="CFF0FC"/>
          </w:tcPr>
          <w:p>
            <w:pPr>
              <w:spacing w:after="0"/>
              <w:rPr>
                <w:sz w:val="19"/>
                <w:szCs w:val="19"/>
                <w:color w:val="auto"/>
              </w:rPr>
            </w:pPr>
          </w:p>
        </w:tc>
        <w:tc>
          <w:tcPr>
            <w:tcW w:w="1380" w:type="dxa"/>
            <w:vAlign w:val="bottom"/>
            <w:gridSpan w:val="2"/>
            <w:shd w:val="clear" w:color="auto" w:fill="CFF0FC"/>
          </w:tcPr>
          <w:p>
            <w:pPr>
              <w:jc w:val="right"/>
              <w:ind w:right="100"/>
              <w:spacing w:after="0"/>
              <w:rPr>
                <w:sz w:val="20"/>
                <w:szCs w:val="20"/>
                <w:color w:val="auto"/>
              </w:rPr>
            </w:pPr>
            <w:r>
              <w:rPr>
                <w:rFonts w:ascii="Arial" w:cs="Arial" w:eastAsia="Arial" w:hAnsi="Arial"/>
                <w:sz w:val="18"/>
                <w:szCs w:val="18"/>
                <w:color w:val="auto"/>
              </w:rPr>
              <w:t>(140)</w:t>
            </w:r>
          </w:p>
        </w:tc>
        <w:tc>
          <w:tcPr>
            <w:tcW w:w="120" w:type="dxa"/>
            <w:vAlign w:val="bottom"/>
            <w:shd w:val="clear" w:color="auto" w:fill="CFF0FC"/>
          </w:tcPr>
          <w:p>
            <w:pPr>
              <w:spacing w:after="0"/>
              <w:rPr>
                <w:sz w:val="19"/>
                <w:szCs w:val="19"/>
                <w:color w:val="auto"/>
              </w:rPr>
            </w:pPr>
          </w:p>
        </w:tc>
        <w:tc>
          <w:tcPr>
            <w:tcW w:w="560" w:type="dxa"/>
            <w:vAlign w:val="bottom"/>
            <w:shd w:val="clear" w:color="auto" w:fill="CFF0FC"/>
          </w:tcPr>
          <w:p>
            <w:pPr>
              <w:spacing w:after="0"/>
              <w:rPr>
                <w:sz w:val="19"/>
                <w:szCs w:val="19"/>
                <w:color w:val="auto"/>
              </w:rPr>
            </w:pPr>
          </w:p>
        </w:tc>
        <w:tc>
          <w:tcPr>
            <w:tcW w:w="1140" w:type="dxa"/>
            <w:vAlign w:val="bottom"/>
            <w:gridSpan w:val="2"/>
            <w:shd w:val="clear" w:color="auto" w:fill="CFF0FC"/>
          </w:tcPr>
          <w:p>
            <w:pPr>
              <w:jc w:val="right"/>
              <w:ind w:right="14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9"/>
        </w:trPr>
        <w:tc>
          <w:tcPr>
            <w:tcW w:w="7860" w:type="dxa"/>
            <w:vAlign w:val="bottom"/>
          </w:tcPr>
          <w:p>
            <w:pPr>
              <w:ind w:left="260"/>
              <w:spacing w:after="0"/>
              <w:rPr>
                <w:sz w:val="20"/>
                <w:szCs w:val="20"/>
                <w:color w:val="auto"/>
              </w:rPr>
            </w:pPr>
            <w:r>
              <w:rPr>
                <w:rFonts w:ascii="Arial" w:cs="Arial" w:eastAsia="Arial" w:hAnsi="Arial"/>
                <w:sz w:val="18"/>
                <w:szCs w:val="18"/>
                <w:color w:val="auto"/>
              </w:rPr>
              <w:t>Corporate</w:t>
            </w:r>
          </w:p>
        </w:tc>
        <w:tc>
          <w:tcPr>
            <w:tcW w:w="360" w:type="dxa"/>
            <w:vAlign w:val="bottom"/>
          </w:tcPr>
          <w:p>
            <w:pPr>
              <w:spacing w:after="0"/>
              <w:rPr>
                <w:sz w:val="19"/>
                <w:szCs w:val="19"/>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10</w:t>
            </w:r>
          </w:p>
        </w:tc>
        <w:tc>
          <w:tcPr>
            <w:tcW w:w="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1140" w:type="dxa"/>
            <w:vAlign w:val="bottom"/>
            <w:gridSpan w:val="2"/>
          </w:tcPr>
          <w:p>
            <w:pPr>
              <w:jc w:val="right"/>
              <w:ind w:right="60"/>
              <w:spacing w:after="0"/>
              <w:rPr>
                <w:sz w:val="20"/>
                <w:szCs w:val="20"/>
                <w:color w:val="auto"/>
              </w:rPr>
            </w:pPr>
            <w:r>
              <w:rPr>
                <w:rFonts w:ascii="Arial" w:cs="Arial" w:eastAsia="Arial" w:hAnsi="Arial"/>
                <w:sz w:val="18"/>
                <w:szCs w:val="18"/>
                <w:color w:val="auto"/>
              </w:rPr>
              <w:t>(137)</w:t>
            </w:r>
          </w:p>
        </w:tc>
        <w:tc>
          <w:tcPr>
            <w:tcW w:w="0" w:type="dxa"/>
            <w:vAlign w:val="bottom"/>
          </w:tcPr>
          <w:p>
            <w:pPr>
              <w:spacing w:after="0"/>
              <w:rPr>
                <w:sz w:val="1"/>
                <w:szCs w:val="1"/>
                <w:color w:val="auto"/>
              </w:rPr>
            </w:pPr>
          </w:p>
        </w:tc>
      </w:tr>
      <w:tr>
        <w:trPr>
          <w:trHeight w:val="229"/>
        </w:trPr>
        <w:tc>
          <w:tcPr>
            <w:tcW w:w="7860" w:type="dxa"/>
            <w:vAlign w:val="bottom"/>
            <w:shd w:val="clear" w:color="auto" w:fill="CFF0FC"/>
          </w:tcPr>
          <w:p>
            <w:pPr>
              <w:spacing w:after="0"/>
              <w:rPr>
                <w:sz w:val="20"/>
                <w:szCs w:val="20"/>
                <w:color w:val="auto"/>
              </w:rPr>
            </w:pPr>
            <w:r>
              <w:rPr>
                <w:rFonts w:ascii="Arial" w:cs="Arial" w:eastAsia="Arial" w:hAnsi="Arial"/>
                <w:sz w:val="18"/>
                <w:szCs w:val="18"/>
                <w:b w:val="1"/>
                <w:bCs w:val="1"/>
                <w:color w:val="auto"/>
              </w:rPr>
              <w:t>Impairment recoveries:</w:t>
            </w:r>
          </w:p>
        </w:tc>
        <w:tc>
          <w:tcPr>
            <w:tcW w:w="360" w:type="dxa"/>
            <w:vAlign w:val="bottom"/>
            <w:shd w:val="clear" w:color="auto" w:fill="CFF0FC"/>
          </w:tcPr>
          <w:p>
            <w:pPr>
              <w:spacing w:after="0"/>
              <w:rPr>
                <w:sz w:val="19"/>
                <w:szCs w:val="19"/>
                <w:color w:val="auto"/>
              </w:rPr>
            </w:pPr>
          </w:p>
        </w:tc>
        <w:tc>
          <w:tcPr>
            <w:tcW w:w="122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560" w:type="dxa"/>
            <w:vAlign w:val="bottom"/>
            <w:shd w:val="clear" w:color="auto" w:fill="CFF0FC"/>
          </w:tcPr>
          <w:p>
            <w:pPr>
              <w:spacing w:after="0"/>
              <w:rPr>
                <w:sz w:val="19"/>
                <w:szCs w:val="19"/>
                <w:color w:val="auto"/>
              </w:rPr>
            </w:pPr>
          </w:p>
        </w:tc>
        <w:tc>
          <w:tcPr>
            <w:tcW w:w="10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7860" w:type="dxa"/>
            <w:vAlign w:val="bottom"/>
          </w:tcPr>
          <w:p>
            <w:pPr>
              <w:ind w:left="260"/>
              <w:spacing w:after="0"/>
              <w:rPr>
                <w:sz w:val="20"/>
                <w:szCs w:val="20"/>
                <w:color w:val="auto"/>
              </w:rPr>
            </w:pPr>
            <w:r>
              <w:rPr>
                <w:rFonts w:ascii="Arial" w:cs="Arial" w:eastAsia="Arial" w:hAnsi="Arial"/>
                <w:sz w:val="18"/>
                <w:szCs w:val="18"/>
                <w:color w:val="auto"/>
              </w:rPr>
              <w:t>Pursuit</w:t>
            </w:r>
          </w:p>
        </w:tc>
        <w:tc>
          <w:tcPr>
            <w:tcW w:w="360" w:type="dxa"/>
            <w:vAlign w:val="bottom"/>
          </w:tcPr>
          <w:p>
            <w:pPr>
              <w:spacing w:after="0"/>
              <w:rPr>
                <w:sz w:val="19"/>
                <w:szCs w:val="19"/>
                <w:color w:val="auto"/>
              </w:rPr>
            </w:pPr>
          </w:p>
        </w:tc>
        <w:tc>
          <w:tcPr>
            <w:tcW w:w="138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2,384</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2"/>
        </w:trPr>
        <w:tc>
          <w:tcPr>
            <w:tcW w:w="7860" w:type="dxa"/>
            <w:vAlign w:val="bottom"/>
            <w:tcBorders>
              <w:top w:val="single" w:sz="8" w:color="CFF0FC"/>
              <w:bottom w:val="single" w:sz="8" w:color="CFF0FC"/>
            </w:tcBorders>
            <w:shd w:val="clear" w:color="auto" w:fill="CFF0FC"/>
          </w:tcPr>
          <w:p>
            <w:pPr>
              <w:spacing w:after="0"/>
              <w:rPr>
                <w:sz w:val="20"/>
                <w:szCs w:val="20"/>
                <w:color w:val="auto"/>
              </w:rPr>
            </w:pPr>
            <w:r>
              <w:rPr>
                <w:rFonts w:ascii="Arial" w:cs="Arial" w:eastAsia="Arial" w:hAnsi="Arial"/>
                <w:sz w:val="18"/>
                <w:szCs w:val="18"/>
                <w:b w:val="1"/>
                <w:bCs w:val="1"/>
                <w:color w:val="auto"/>
              </w:rPr>
              <w:t>Income (loss) from continuing operations before income taxes</w:t>
            </w:r>
          </w:p>
        </w:tc>
        <w:tc>
          <w:tcPr>
            <w:tcW w:w="360" w:type="dxa"/>
            <w:vAlign w:val="bottom"/>
            <w:tcBorders>
              <w:top w:val="single" w:sz="8" w:color="auto"/>
              <w:bottom w:val="single" w:sz="8" w:color="auto"/>
            </w:tcBorders>
            <w:shd w:val="clear" w:color="auto" w:fill="CFF0FC"/>
          </w:tcPr>
          <w:p>
            <w:pPr>
              <w:jc w:val="right"/>
              <w:ind w:right="207"/>
              <w:spacing w:after="0"/>
              <w:rPr>
                <w:sz w:val="20"/>
                <w:szCs w:val="20"/>
                <w:color w:val="auto"/>
              </w:rPr>
            </w:pPr>
            <w:r>
              <w:rPr>
                <w:rFonts w:ascii="Arial" w:cs="Arial" w:eastAsia="Arial" w:hAnsi="Arial"/>
                <w:sz w:val="15"/>
                <w:szCs w:val="15"/>
                <w:color w:val="auto"/>
                <w:w w:val="71"/>
              </w:rPr>
              <w:t>$</w:t>
            </w:r>
          </w:p>
        </w:tc>
        <w:tc>
          <w:tcPr>
            <w:tcW w:w="122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(15,401)</w:t>
            </w:r>
          </w:p>
        </w:tc>
        <w:tc>
          <w:tcPr>
            <w:tcW w:w="160" w:type="dxa"/>
            <w:vAlign w:val="bottom"/>
            <w:tcBorders>
              <w:top w:val="single" w:sz="8" w:color="CFF0FC"/>
              <w:bottom w:val="single" w:sz="8" w:color="CFF0FC"/>
            </w:tcBorders>
            <w:shd w:val="clear" w:color="auto" w:fill="CFF0FC"/>
          </w:tcPr>
          <w:p>
            <w:pPr>
              <w:spacing w:after="0"/>
              <w:rPr>
                <w:sz w:val="19"/>
                <w:szCs w:val="19"/>
                <w:color w:val="auto"/>
              </w:rPr>
            </w:pPr>
          </w:p>
        </w:tc>
        <w:tc>
          <w:tcPr>
            <w:tcW w:w="120" w:type="dxa"/>
            <w:vAlign w:val="bottom"/>
            <w:tcBorders>
              <w:top w:val="single" w:sz="8" w:color="CFF0FC"/>
              <w:bottom w:val="single" w:sz="8" w:color="CFF0FC"/>
            </w:tcBorders>
            <w:shd w:val="clear" w:color="auto" w:fill="CFF0FC"/>
          </w:tcPr>
          <w:p>
            <w:pPr>
              <w:spacing w:after="0"/>
              <w:rPr>
                <w:sz w:val="19"/>
                <w:szCs w:val="19"/>
                <w:color w:val="auto"/>
              </w:rPr>
            </w:pPr>
          </w:p>
        </w:tc>
        <w:tc>
          <w:tcPr>
            <w:tcW w:w="560" w:type="dxa"/>
            <w:vAlign w:val="bottom"/>
            <w:tcBorders>
              <w:top w:val="single" w:sz="8" w:color="auto"/>
              <w:bottom w:val="single" w:sz="8" w:color="auto"/>
            </w:tcBorders>
            <w:shd w:val="clear" w:color="auto" w:fill="CFF0FC"/>
          </w:tcPr>
          <w:p>
            <w:pPr>
              <w:jc w:val="right"/>
              <w:ind w:right="407"/>
              <w:spacing w:after="0"/>
              <w:rPr>
                <w:sz w:val="20"/>
                <w:szCs w:val="20"/>
                <w:color w:val="auto"/>
              </w:rPr>
            </w:pPr>
            <w:r>
              <w:rPr>
                <w:rFonts w:ascii="Arial" w:cs="Arial" w:eastAsia="Arial" w:hAnsi="Arial"/>
                <w:sz w:val="15"/>
                <w:szCs w:val="15"/>
                <w:color w:val="auto"/>
                <w:w w:val="71"/>
              </w:rPr>
              <w:t>$</w:t>
            </w:r>
          </w:p>
        </w:tc>
        <w:tc>
          <w:tcPr>
            <w:tcW w:w="102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10,070</w:t>
            </w:r>
          </w:p>
        </w:tc>
        <w:tc>
          <w:tcPr>
            <w:tcW w:w="120" w:type="dxa"/>
            <w:vAlign w:val="bottom"/>
            <w:tcBorders>
              <w:top w:val="single" w:sz="8" w:color="CFF0FC"/>
              <w:bottom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bl>
    <w:p>
      <w:pPr>
        <w:spacing w:after="0" w:line="13" w:lineRule="exact"/>
        <w:rPr>
          <w:sz w:val="20"/>
          <w:szCs w:val="20"/>
          <w:color w:val="auto"/>
        </w:rPr>
      </w:pPr>
    </w:p>
    <w:p>
      <w:pPr>
        <w:ind w:left="380" w:hanging="372"/>
        <w:spacing w:after="0" w:line="257" w:lineRule="auto"/>
        <w:tabs>
          <w:tab w:leader="none" w:pos="380" w:val="left"/>
        </w:tabs>
        <w:numPr>
          <w:ilvl w:val="0"/>
          <w:numId w:val="15"/>
        </w:numPr>
        <w:rPr>
          <w:rFonts w:ascii="Arial" w:cs="Arial" w:eastAsia="Arial" w:hAnsi="Arial"/>
          <w:sz w:val="15"/>
          <w:szCs w:val="15"/>
          <w:color w:val="auto"/>
        </w:rPr>
      </w:pPr>
      <w:r>
        <w:rPr>
          <w:rFonts w:ascii="Arial" w:cs="Arial" w:eastAsia="Arial" w:hAnsi="Arial"/>
          <w:sz w:val="18"/>
          <w:szCs w:val="18"/>
          <w:color w:val="auto"/>
        </w:rPr>
        <w:t>Corporate eliminations represent the elimination of depreciation expense recorded by Pursuit associated with previously eliminated intercompany profit realized by GES for renovations to Pursuit’s Banff Gondola.</w:t>
      </w:r>
    </w:p>
    <w:p>
      <w:pPr>
        <w:spacing w:after="0" w:line="1" w:lineRule="exact"/>
        <w:rPr>
          <w:rFonts w:ascii="Arial" w:cs="Arial" w:eastAsia="Arial" w:hAnsi="Arial"/>
          <w:sz w:val="15"/>
          <w:szCs w:val="15"/>
          <w:color w:val="auto"/>
        </w:rPr>
      </w:pPr>
    </w:p>
    <w:p>
      <w:pPr>
        <w:jc w:val="both"/>
        <w:ind w:left="380" w:hanging="372"/>
        <w:spacing w:after="0" w:line="272" w:lineRule="auto"/>
        <w:tabs>
          <w:tab w:leader="none" w:pos="380" w:val="left"/>
        </w:tabs>
        <w:numPr>
          <w:ilvl w:val="0"/>
          <w:numId w:val="15"/>
        </w:numPr>
        <w:rPr>
          <w:rFonts w:ascii="Arial" w:cs="Arial" w:eastAsia="Arial" w:hAnsi="Arial"/>
          <w:sz w:val="14"/>
          <w:szCs w:val="14"/>
          <w:color w:val="auto"/>
        </w:rPr>
      </w:pPr>
      <w:r>
        <w:rPr>
          <w:rFonts w:ascii="Arial" w:cs="Arial" w:eastAsia="Arial" w:hAnsi="Arial"/>
          <w:sz w:val="17"/>
          <w:szCs w:val="17"/>
          <w:color w:val="auto"/>
        </w:rPr>
        <w:t>We adopted ASU 2017-07 on January 1, 2018, which requires retrospective adoption. As a result, we recorded the nonservice cost component of net periodic benefit cost within other expense for the three months ended March 31, 2018, and we reclassified $0.5 million from operating expenses to other expense for the three months ended March 31, 2017 to conform with current period presentation. Refer to Note 1 – Overview and Basis of Presentation for additional details on the impact of this adoption on our Condensed Consolidated Statements of Operations.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4989830</wp:posOffset>
            </wp:positionH>
            <wp:positionV relativeFrom="paragraph">
              <wp:posOffset>-843915</wp:posOffset>
            </wp:positionV>
            <wp:extent cx="2185035" cy="825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2185035" cy="8255"/>
                    </a:xfrm>
                    <a:prstGeom prst="rect">
                      <a:avLst/>
                    </a:prstGeom>
                    <a:noFill/>
                  </pic:spPr>
                </pic:pic>
              </a:graphicData>
            </a:graphic>
          </wp:anchor>
        </w:drawing>
      </w:r>
    </w:p>
    <w:p>
      <w:pPr>
        <w:spacing w:after="0" w:line="3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69850</wp:posOffset>
            </wp:positionV>
            <wp:extent cx="7289800" cy="4254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1420"/>
          </w:cols>
          <w:pgMar w:left="240" w:top="502" w:right="239" w:bottom="1440" w:gutter="0" w:footer="0" w:header="0"/>
        </w:sectPr>
      </w:pPr>
    </w:p>
    <w:bookmarkStart w:id="29" w:name="page30"/>
    <w:bookmarkEnd w:id="29"/>
    <w:p>
      <w:pPr>
        <w:ind w:right="1560"/>
        <w:spacing w:after="0" w:line="376" w:lineRule="auto"/>
        <w:rPr>
          <w:sz w:val="20"/>
          <w:szCs w:val="20"/>
          <w:color w:val="auto"/>
        </w:rPr>
      </w:pPr>
      <w:r>
        <w:rPr>
          <w:rFonts w:ascii="Arial" w:cs="Arial" w:eastAsia="Arial" w:hAnsi="Arial"/>
          <w:sz w:val="18"/>
          <w:szCs w:val="18"/>
          <w:b w:val="1"/>
          <w:bCs w:val="1"/>
          <w:color w:val="auto"/>
        </w:rPr>
        <w:t>Item 2. MANAGEMENT’S DISCUSSION AND ANALYSIS OF FINANCIAL CONDITION AND RESULTS OF OPERATIONS Forward-Looking Statements</w:t>
      </w:r>
    </w:p>
    <w:p>
      <w:pPr>
        <w:spacing w:after="0" w:line="1" w:lineRule="exact"/>
        <w:rPr>
          <w:sz w:val="20"/>
          <w:szCs w:val="20"/>
          <w:color w:val="auto"/>
        </w:rPr>
      </w:pPr>
    </w:p>
    <w:p>
      <w:pPr>
        <w:jc w:val="both"/>
        <w:spacing w:after="0" w:line="274" w:lineRule="auto"/>
        <w:rPr>
          <w:sz w:val="20"/>
          <w:szCs w:val="20"/>
          <w:color w:val="auto"/>
        </w:rPr>
      </w:pPr>
      <w:r>
        <w:rPr>
          <w:rFonts w:ascii="Arial" w:cs="Arial" w:eastAsia="Arial" w:hAnsi="Arial"/>
          <w:sz w:val="17"/>
          <w:szCs w:val="17"/>
          <w:color w:val="auto"/>
        </w:rPr>
        <w:t>This Form 10-Q contains a number of forward-looking statements. Words, and variations of words, such as “will,” “may,” “expect,” “would,” “could,” “might,” “intend,” “plan,” “believe,” “estimate,” “anticipate,” “deliver,” “seek,” “aim,” “potential,” “target,” “outlook,” and similar expressions are intended to identify our forward-looking statements. Similarly, statements that describe our business strategy, outlook, objectives, plans, intentions or goals also are forward-looking statements. These forward-looking statements are not historical facts, and are subject to a host of risks and uncertainties, many of which are beyond our control, that could cause actual results to differ materially from those in the forward-looking statements.</w:t>
      </w:r>
    </w:p>
    <w:p>
      <w:pPr>
        <w:spacing w:after="0" w:line="121"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Important factors that could cause actual results to differ materially from those described in our forward-looking statements include, but are not limited to, the following:</w:t>
      </w:r>
    </w:p>
    <w:p>
      <w:pPr>
        <w:spacing w:after="0" w:line="1" w:lineRule="exact"/>
        <w:rPr>
          <w:sz w:val="20"/>
          <w:szCs w:val="20"/>
          <w:color w:val="auto"/>
        </w:rPr>
      </w:pPr>
    </w:p>
    <w:p>
      <w:pPr>
        <w:ind w:left="760" w:hanging="376"/>
        <w:spacing w:after="0"/>
        <w:tabs>
          <w:tab w:leader="none" w:pos="760" w:val="left"/>
        </w:tabs>
        <w:numPr>
          <w:ilvl w:val="0"/>
          <w:numId w:val="16"/>
        </w:numPr>
        <w:rPr>
          <w:rFonts w:ascii="Arial" w:cs="Arial" w:eastAsia="Arial" w:hAnsi="Arial"/>
          <w:sz w:val="18"/>
          <w:szCs w:val="18"/>
          <w:color w:val="auto"/>
        </w:rPr>
      </w:pPr>
      <w:r>
        <w:rPr>
          <w:rFonts w:ascii="Arial" w:cs="Arial" w:eastAsia="Arial" w:hAnsi="Arial"/>
          <w:sz w:val="18"/>
          <w:szCs w:val="18"/>
          <w:color w:val="auto"/>
        </w:rPr>
        <w:t>our ability to successfully integrate and achieve established financial and strategic goals from acquisitions;</w:t>
      </w:r>
    </w:p>
    <w:p>
      <w:pPr>
        <w:spacing w:after="0" w:line="8" w:lineRule="exact"/>
        <w:rPr>
          <w:rFonts w:ascii="Arial" w:cs="Arial" w:eastAsia="Arial" w:hAnsi="Arial"/>
          <w:sz w:val="18"/>
          <w:szCs w:val="18"/>
          <w:color w:val="auto"/>
        </w:rPr>
      </w:pPr>
    </w:p>
    <w:p>
      <w:pPr>
        <w:ind w:left="760" w:hanging="376"/>
        <w:spacing w:after="0"/>
        <w:tabs>
          <w:tab w:leader="none" w:pos="760" w:val="left"/>
        </w:tabs>
        <w:numPr>
          <w:ilvl w:val="0"/>
          <w:numId w:val="16"/>
        </w:numPr>
        <w:rPr>
          <w:rFonts w:ascii="Arial" w:cs="Arial" w:eastAsia="Arial" w:hAnsi="Arial"/>
          <w:sz w:val="18"/>
          <w:szCs w:val="18"/>
          <w:color w:val="auto"/>
        </w:rPr>
      </w:pPr>
      <w:r>
        <w:rPr>
          <w:rFonts w:ascii="Arial" w:cs="Arial" w:eastAsia="Arial" w:hAnsi="Arial"/>
          <w:sz w:val="18"/>
          <w:szCs w:val="18"/>
          <w:color w:val="auto"/>
        </w:rPr>
        <w:t>our dependence on large exhibition event clients;</w:t>
      </w:r>
    </w:p>
    <w:p>
      <w:pPr>
        <w:spacing w:after="0" w:line="8" w:lineRule="exact"/>
        <w:rPr>
          <w:rFonts w:ascii="Arial" w:cs="Arial" w:eastAsia="Arial" w:hAnsi="Arial"/>
          <w:sz w:val="18"/>
          <w:szCs w:val="18"/>
          <w:color w:val="auto"/>
        </w:rPr>
      </w:pPr>
    </w:p>
    <w:p>
      <w:pPr>
        <w:ind w:left="760" w:hanging="376"/>
        <w:spacing w:after="0"/>
        <w:tabs>
          <w:tab w:leader="none" w:pos="760" w:val="left"/>
        </w:tabs>
        <w:numPr>
          <w:ilvl w:val="0"/>
          <w:numId w:val="16"/>
        </w:numPr>
        <w:rPr>
          <w:rFonts w:ascii="Arial" w:cs="Arial" w:eastAsia="Arial" w:hAnsi="Arial"/>
          <w:sz w:val="18"/>
          <w:szCs w:val="18"/>
          <w:color w:val="auto"/>
        </w:rPr>
      </w:pPr>
      <w:r>
        <w:rPr>
          <w:rFonts w:ascii="Arial" w:cs="Arial" w:eastAsia="Arial" w:hAnsi="Arial"/>
          <w:sz w:val="18"/>
          <w:szCs w:val="18"/>
          <w:color w:val="auto"/>
        </w:rPr>
        <w:t>the importance of key members of our account teams to our business relationships;</w:t>
      </w:r>
    </w:p>
    <w:p>
      <w:pPr>
        <w:spacing w:after="0" w:line="8" w:lineRule="exact"/>
        <w:rPr>
          <w:rFonts w:ascii="Arial" w:cs="Arial" w:eastAsia="Arial" w:hAnsi="Arial"/>
          <w:sz w:val="18"/>
          <w:szCs w:val="18"/>
          <w:color w:val="auto"/>
        </w:rPr>
      </w:pPr>
    </w:p>
    <w:p>
      <w:pPr>
        <w:ind w:left="760" w:hanging="376"/>
        <w:spacing w:after="0"/>
        <w:tabs>
          <w:tab w:leader="none" w:pos="760" w:val="left"/>
        </w:tabs>
        <w:numPr>
          <w:ilvl w:val="0"/>
          <w:numId w:val="16"/>
        </w:numPr>
        <w:rPr>
          <w:rFonts w:ascii="Arial" w:cs="Arial" w:eastAsia="Arial" w:hAnsi="Arial"/>
          <w:sz w:val="18"/>
          <w:szCs w:val="18"/>
          <w:color w:val="auto"/>
        </w:rPr>
      </w:pPr>
      <w:r>
        <w:rPr>
          <w:rFonts w:ascii="Arial" w:cs="Arial" w:eastAsia="Arial" w:hAnsi="Arial"/>
          <w:sz w:val="18"/>
          <w:szCs w:val="18"/>
          <w:color w:val="auto"/>
        </w:rPr>
        <w:t>the competitive nature of the industries in which we operate;</w:t>
      </w:r>
    </w:p>
    <w:p>
      <w:pPr>
        <w:spacing w:after="0" w:line="8" w:lineRule="exact"/>
        <w:rPr>
          <w:rFonts w:ascii="Arial" w:cs="Arial" w:eastAsia="Arial" w:hAnsi="Arial"/>
          <w:sz w:val="18"/>
          <w:szCs w:val="18"/>
          <w:color w:val="auto"/>
        </w:rPr>
      </w:pPr>
    </w:p>
    <w:p>
      <w:pPr>
        <w:ind w:left="760" w:hanging="376"/>
        <w:spacing w:after="0"/>
        <w:tabs>
          <w:tab w:leader="none" w:pos="760" w:val="left"/>
        </w:tabs>
        <w:numPr>
          <w:ilvl w:val="0"/>
          <w:numId w:val="16"/>
        </w:numPr>
        <w:rPr>
          <w:rFonts w:ascii="Arial" w:cs="Arial" w:eastAsia="Arial" w:hAnsi="Arial"/>
          <w:sz w:val="18"/>
          <w:szCs w:val="18"/>
          <w:color w:val="auto"/>
        </w:rPr>
      </w:pPr>
      <w:r>
        <w:rPr>
          <w:rFonts w:ascii="Arial" w:cs="Arial" w:eastAsia="Arial" w:hAnsi="Arial"/>
          <w:sz w:val="18"/>
          <w:szCs w:val="18"/>
          <w:color w:val="auto"/>
        </w:rPr>
        <w:t>travel industry disruptions;</w:t>
      </w:r>
    </w:p>
    <w:p>
      <w:pPr>
        <w:spacing w:after="0" w:line="8" w:lineRule="exact"/>
        <w:rPr>
          <w:rFonts w:ascii="Arial" w:cs="Arial" w:eastAsia="Arial" w:hAnsi="Arial"/>
          <w:sz w:val="18"/>
          <w:szCs w:val="18"/>
          <w:color w:val="auto"/>
        </w:rPr>
      </w:pPr>
    </w:p>
    <w:p>
      <w:pPr>
        <w:ind w:left="760" w:hanging="376"/>
        <w:spacing w:after="0"/>
        <w:tabs>
          <w:tab w:leader="none" w:pos="760" w:val="left"/>
        </w:tabs>
        <w:numPr>
          <w:ilvl w:val="0"/>
          <w:numId w:val="16"/>
        </w:numPr>
        <w:rPr>
          <w:rFonts w:ascii="Arial" w:cs="Arial" w:eastAsia="Arial" w:hAnsi="Arial"/>
          <w:sz w:val="18"/>
          <w:szCs w:val="18"/>
          <w:color w:val="auto"/>
        </w:rPr>
      </w:pPr>
      <w:r>
        <w:rPr>
          <w:rFonts w:ascii="Arial" w:cs="Arial" w:eastAsia="Arial" w:hAnsi="Arial"/>
          <w:sz w:val="18"/>
          <w:szCs w:val="18"/>
          <w:color w:val="auto"/>
        </w:rPr>
        <w:t>transportation disruptions and increases in transportation costs;</w:t>
      </w:r>
    </w:p>
    <w:p>
      <w:pPr>
        <w:spacing w:after="0" w:line="8" w:lineRule="exact"/>
        <w:rPr>
          <w:rFonts w:ascii="Arial" w:cs="Arial" w:eastAsia="Arial" w:hAnsi="Arial"/>
          <w:sz w:val="18"/>
          <w:szCs w:val="18"/>
          <w:color w:val="auto"/>
        </w:rPr>
      </w:pPr>
    </w:p>
    <w:p>
      <w:pPr>
        <w:ind w:left="760" w:hanging="376"/>
        <w:spacing w:after="0"/>
        <w:tabs>
          <w:tab w:leader="none" w:pos="760" w:val="left"/>
        </w:tabs>
        <w:numPr>
          <w:ilvl w:val="0"/>
          <w:numId w:val="16"/>
        </w:numPr>
        <w:rPr>
          <w:rFonts w:ascii="Arial" w:cs="Arial" w:eastAsia="Arial" w:hAnsi="Arial"/>
          <w:sz w:val="18"/>
          <w:szCs w:val="18"/>
          <w:color w:val="auto"/>
        </w:rPr>
      </w:pPr>
      <w:r>
        <w:rPr>
          <w:rFonts w:ascii="Arial" w:cs="Arial" w:eastAsia="Arial" w:hAnsi="Arial"/>
          <w:sz w:val="18"/>
          <w:szCs w:val="18"/>
          <w:color w:val="auto"/>
        </w:rPr>
        <w:t>seasonality of our businesses;</w:t>
      </w:r>
    </w:p>
    <w:p>
      <w:pPr>
        <w:spacing w:after="0" w:line="8" w:lineRule="exact"/>
        <w:rPr>
          <w:rFonts w:ascii="Arial" w:cs="Arial" w:eastAsia="Arial" w:hAnsi="Arial"/>
          <w:sz w:val="18"/>
          <w:szCs w:val="18"/>
          <w:color w:val="auto"/>
        </w:rPr>
      </w:pPr>
    </w:p>
    <w:p>
      <w:pPr>
        <w:ind w:left="760" w:hanging="376"/>
        <w:spacing w:after="0"/>
        <w:tabs>
          <w:tab w:leader="none" w:pos="760" w:val="left"/>
        </w:tabs>
        <w:numPr>
          <w:ilvl w:val="0"/>
          <w:numId w:val="16"/>
        </w:numPr>
        <w:rPr>
          <w:rFonts w:ascii="Arial" w:cs="Arial" w:eastAsia="Arial" w:hAnsi="Arial"/>
          <w:sz w:val="18"/>
          <w:szCs w:val="18"/>
          <w:color w:val="auto"/>
        </w:rPr>
      </w:pPr>
      <w:r>
        <w:rPr>
          <w:rFonts w:ascii="Arial" w:cs="Arial" w:eastAsia="Arial" w:hAnsi="Arial"/>
          <w:sz w:val="18"/>
          <w:szCs w:val="18"/>
          <w:color w:val="auto"/>
        </w:rPr>
        <w:t>terrorist attacks, natural disasters and other catastrophic events;</w:t>
      </w:r>
    </w:p>
    <w:p>
      <w:pPr>
        <w:spacing w:after="0" w:line="8" w:lineRule="exact"/>
        <w:rPr>
          <w:rFonts w:ascii="Arial" w:cs="Arial" w:eastAsia="Arial" w:hAnsi="Arial"/>
          <w:sz w:val="18"/>
          <w:szCs w:val="18"/>
          <w:color w:val="auto"/>
        </w:rPr>
      </w:pPr>
    </w:p>
    <w:p>
      <w:pPr>
        <w:ind w:left="760" w:hanging="376"/>
        <w:spacing w:after="0"/>
        <w:tabs>
          <w:tab w:leader="none" w:pos="760" w:val="left"/>
        </w:tabs>
        <w:numPr>
          <w:ilvl w:val="0"/>
          <w:numId w:val="16"/>
        </w:numPr>
        <w:rPr>
          <w:rFonts w:ascii="Arial" w:cs="Arial" w:eastAsia="Arial" w:hAnsi="Arial"/>
          <w:sz w:val="18"/>
          <w:szCs w:val="18"/>
          <w:color w:val="auto"/>
        </w:rPr>
      </w:pPr>
      <w:r>
        <w:rPr>
          <w:rFonts w:ascii="Arial" w:cs="Arial" w:eastAsia="Arial" w:hAnsi="Arial"/>
          <w:sz w:val="18"/>
          <w:szCs w:val="18"/>
          <w:color w:val="auto"/>
        </w:rPr>
        <w:t>fluctuations in general economic conditions;</w:t>
      </w:r>
    </w:p>
    <w:p>
      <w:pPr>
        <w:spacing w:after="0" w:line="8" w:lineRule="exact"/>
        <w:rPr>
          <w:rFonts w:ascii="Arial" w:cs="Arial" w:eastAsia="Arial" w:hAnsi="Arial"/>
          <w:sz w:val="18"/>
          <w:szCs w:val="18"/>
          <w:color w:val="auto"/>
        </w:rPr>
      </w:pPr>
    </w:p>
    <w:p>
      <w:pPr>
        <w:ind w:left="760" w:hanging="376"/>
        <w:spacing w:after="0"/>
        <w:tabs>
          <w:tab w:leader="none" w:pos="760" w:val="left"/>
        </w:tabs>
        <w:numPr>
          <w:ilvl w:val="0"/>
          <w:numId w:val="16"/>
        </w:numPr>
        <w:rPr>
          <w:rFonts w:ascii="Arial" w:cs="Arial" w:eastAsia="Arial" w:hAnsi="Arial"/>
          <w:sz w:val="18"/>
          <w:szCs w:val="18"/>
          <w:color w:val="auto"/>
        </w:rPr>
      </w:pPr>
      <w:r>
        <w:rPr>
          <w:rFonts w:ascii="Arial" w:cs="Arial" w:eastAsia="Arial" w:hAnsi="Arial"/>
          <w:sz w:val="18"/>
          <w:szCs w:val="18"/>
          <w:color w:val="auto"/>
        </w:rPr>
        <w:t>the impact of recent U.S. tax legislation;</w:t>
      </w:r>
    </w:p>
    <w:p>
      <w:pPr>
        <w:spacing w:after="0" w:line="8" w:lineRule="exact"/>
        <w:rPr>
          <w:rFonts w:ascii="Arial" w:cs="Arial" w:eastAsia="Arial" w:hAnsi="Arial"/>
          <w:sz w:val="18"/>
          <w:szCs w:val="18"/>
          <w:color w:val="auto"/>
        </w:rPr>
      </w:pPr>
    </w:p>
    <w:p>
      <w:pPr>
        <w:ind w:left="760" w:hanging="376"/>
        <w:spacing w:after="0"/>
        <w:tabs>
          <w:tab w:leader="none" w:pos="760" w:val="left"/>
        </w:tabs>
        <w:numPr>
          <w:ilvl w:val="0"/>
          <w:numId w:val="16"/>
        </w:numPr>
        <w:rPr>
          <w:rFonts w:ascii="Arial" w:cs="Arial" w:eastAsia="Arial" w:hAnsi="Arial"/>
          <w:sz w:val="18"/>
          <w:szCs w:val="18"/>
          <w:color w:val="auto"/>
        </w:rPr>
      </w:pPr>
      <w:r>
        <w:rPr>
          <w:rFonts w:ascii="Arial" w:cs="Arial" w:eastAsia="Arial" w:hAnsi="Arial"/>
          <w:sz w:val="18"/>
          <w:szCs w:val="18"/>
          <w:color w:val="auto"/>
        </w:rPr>
        <w:t>our exposure to currency exchange rate fluctuations;</w:t>
      </w:r>
    </w:p>
    <w:p>
      <w:pPr>
        <w:spacing w:after="0" w:line="8" w:lineRule="exact"/>
        <w:rPr>
          <w:rFonts w:ascii="Arial" w:cs="Arial" w:eastAsia="Arial" w:hAnsi="Arial"/>
          <w:sz w:val="18"/>
          <w:szCs w:val="18"/>
          <w:color w:val="auto"/>
        </w:rPr>
      </w:pPr>
    </w:p>
    <w:p>
      <w:pPr>
        <w:ind w:left="760" w:hanging="376"/>
        <w:spacing w:after="0"/>
        <w:tabs>
          <w:tab w:leader="none" w:pos="760" w:val="left"/>
        </w:tabs>
        <w:numPr>
          <w:ilvl w:val="0"/>
          <w:numId w:val="16"/>
        </w:numPr>
        <w:rPr>
          <w:rFonts w:ascii="Arial" w:cs="Arial" w:eastAsia="Arial" w:hAnsi="Arial"/>
          <w:sz w:val="18"/>
          <w:szCs w:val="18"/>
          <w:color w:val="auto"/>
        </w:rPr>
      </w:pPr>
      <w:r>
        <w:rPr>
          <w:rFonts w:ascii="Arial" w:cs="Arial" w:eastAsia="Arial" w:hAnsi="Arial"/>
          <w:sz w:val="18"/>
          <w:szCs w:val="18"/>
          <w:color w:val="auto"/>
        </w:rPr>
        <w:t>our multi-employer pension plan funding obligations;</w:t>
      </w:r>
    </w:p>
    <w:p>
      <w:pPr>
        <w:spacing w:after="0" w:line="8" w:lineRule="exact"/>
        <w:rPr>
          <w:rFonts w:ascii="Arial" w:cs="Arial" w:eastAsia="Arial" w:hAnsi="Arial"/>
          <w:sz w:val="18"/>
          <w:szCs w:val="18"/>
          <w:color w:val="auto"/>
        </w:rPr>
      </w:pPr>
    </w:p>
    <w:p>
      <w:pPr>
        <w:ind w:left="760" w:hanging="376"/>
        <w:spacing w:after="0"/>
        <w:tabs>
          <w:tab w:leader="none" w:pos="760" w:val="left"/>
        </w:tabs>
        <w:numPr>
          <w:ilvl w:val="0"/>
          <w:numId w:val="16"/>
        </w:numPr>
        <w:rPr>
          <w:rFonts w:ascii="Arial" w:cs="Arial" w:eastAsia="Arial" w:hAnsi="Arial"/>
          <w:sz w:val="18"/>
          <w:szCs w:val="18"/>
          <w:color w:val="auto"/>
        </w:rPr>
      </w:pPr>
      <w:r>
        <w:rPr>
          <w:rFonts w:ascii="Arial" w:cs="Arial" w:eastAsia="Arial" w:hAnsi="Arial"/>
          <w:sz w:val="18"/>
          <w:szCs w:val="18"/>
          <w:color w:val="auto"/>
        </w:rPr>
        <w:t>our exposure to labor cost increases and work stoppages related to unionized employees;</w:t>
      </w:r>
    </w:p>
    <w:p>
      <w:pPr>
        <w:spacing w:after="0" w:line="8" w:lineRule="exact"/>
        <w:rPr>
          <w:rFonts w:ascii="Arial" w:cs="Arial" w:eastAsia="Arial" w:hAnsi="Arial"/>
          <w:sz w:val="18"/>
          <w:szCs w:val="18"/>
          <w:color w:val="auto"/>
        </w:rPr>
      </w:pPr>
    </w:p>
    <w:p>
      <w:pPr>
        <w:ind w:left="760" w:hanging="376"/>
        <w:spacing w:after="0"/>
        <w:tabs>
          <w:tab w:leader="none" w:pos="760" w:val="left"/>
        </w:tabs>
        <w:numPr>
          <w:ilvl w:val="0"/>
          <w:numId w:val="16"/>
        </w:numPr>
        <w:rPr>
          <w:rFonts w:ascii="Arial" w:cs="Arial" w:eastAsia="Arial" w:hAnsi="Arial"/>
          <w:sz w:val="18"/>
          <w:szCs w:val="18"/>
          <w:color w:val="auto"/>
        </w:rPr>
      </w:pPr>
      <w:r>
        <w:rPr>
          <w:rFonts w:ascii="Arial" w:cs="Arial" w:eastAsia="Arial" w:hAnsi="Arial"/>
          <w:sz w:val="18"/>
          <w:szCs w:val="18"/>
          <w:color w:val="auto"/>
        </w:rPr>
        <w:t>our exposure to cybersecurity attacks and threats;</w:t>
      </w:r>
    </w:p>
    <w:p>
      <w:pPr>
        <w:spacing w:after="0" w:line="8" w:lineRule="exact"/>
        <w:rPr>
          <w:rFonts w:ascii="Arial" w:cs="Arial" w:eastAsia="Arial" w:hAnsi="Arial"/>
          <w:sz w:val="18"/>
          <w:szCs w:val="18"/>
          <w:color w:val="auto"/>
        </w:rPr>
      </w:pPr>
    </w:p>
    <w:p>
      <w:pPr>
        <w:ind w:left="760" w:hanging="376"/>
        <w:spacing w:after="0" w:line="249" w:lineRule="auto"/>
        <w:tabs>
          <w:tab w:leader="none" w:pos="760" w:val="left"/>
        </w:tabs>
        <w:numPr>
          <w:ilvl w:val="0"/>
          <w:numId w:val="16"/>
        </w:numPr>
        <w:rPr>
          <w:rFonts w:ascii="Arial" w:cs="Arial" w:eastAsia="Arial" w:hAnsi="Arial"/>
          <w:sz w:val="18"/>
          <w:szCs w:val="18"/>
          <w:color w:val="auto"/>
        </w:rPr>
      </w:pPr>
      <w:r>
        <w:rPr>
          <w:rFonts w:ascii="Arial" w:cs="Arial" w:eastAsia="Arial" w:hAnsi="Arial"/>
          <w:sz w:val="18"/>
          <w:szCs w:val="18"/>
          <w:color w:val="auto"/>
        </w:rPr>
        <w:t>compliance with laws governing the collection, storage, handling and transfer of personal data and our exposure to legal claims and fines for data breaches or improper handling of such data;</w:t>
      </w:r>
    </w:p>
    <w:p>
      <w:pPr>
        <w:ind w:left="760" w:hanging="376"/>
        <w:spacing w:after="0"/>
        <w:tabs>
          <w:tab w:leader="none" w:pos="760" w:val="left"/>
        </w:tabs>
        <w:numPr>
          <w:ilvl w:val="0"/>
          <w:numId w:val="16"/>
        </w:numPr>
        <w:rPr>
          <w:rFonts w:ascii="Arial" w:cs="Arial" w:eastAsia="Arial" w:hAnsi="Arial"/>
          <w:sz w:val="16"/>
          <w:szCs w:val="16"/>
          <w:color w:val="auto"/>
        </w:rPr>
      </w:pPr>
      <w:r>
        <w:rPr>
          <w:rFonts w:ascii="Arial" w:cs="Arial" w:eastAsia="Arial" w:hAnsi="Arial"/>
          <w:sz w:val="16"/>
          <w:szCs w:val="16"/>
          <w:color w:val="auto"/>
        </w:rPr>
        <w:t>unanticipated delays and cost overruns of our capital projects, and our ability to achieve established financial and strategic goals of such projects;</w:t>
      </w:r>
    </w:p>
    <w:p>
      <w:pPr>
        <w:spacing w:after="0" w:line="31" w:lineRule="exact"/>
        <w:rPr>
          <w:rFonts w:ascii="Arial" w:cs="Arial" w:eastAsia="Arial" w:hAnsi="Arial"/>
          <w:sz w:val="16"/>
          <w:szCs w:val="16"/>
          <w:color w:val="auto"/>
        </w:rPr>
      </w:pPr>
    </w:p>
    <w:p>
      <w:pPr>
        <w:ind w:left="760" w:hanging="376"/>
        <w:spacing w:after="0"/>
        <w:tabs>
          <w:tab w:leader="none" w:pos="760" w:val="left"/>
        </w:tabs>
        <w:numPr>
          <w:ilvl w:val="0"/>
          <w:numId w:val="16"/>
        </w:numPr>
        <w:rPr>
          <w:rFonts w:ascii="Arial" w:cs="Arial" w:eastAsia="Arial" w:hAnsi="Arial"/>
          <w:sz w:val="18"/>
          <w:szCs w:val="18"/>
          <w:color w:val="auto"/>
        </w:rPr>
      </w:pPr>
      <w:r>
        <w:rPr>
          <w:rFonts w:ascii="Arial" w:cs="Arial" w:eastAsia="Arial" w:hAnsi="Arial"/>
          <w:sz w:val="18"/>
          <w:szCs w:val="18"/>
          <w:color w:val="auto"/>
        </w:rPr>
        <w:t>adverse effects of show rotation on our periodic results and operating margins;</w:t>
      </w:r>
    </w:p>
    <w:p>
      <w:pPr>
        <w:spacing w:after="0" w:line="8" w:lineRule="exact"/>
        <w:rPr>
          <w:rFonts w:ascii="Arial" w:cs="Arial" w:eastAsia="Arial" w:hAnsi="Arial"/>
          <w:sz w:val="18"/>
          <w:szCs w:val="18"/>
          <w:color w:val="auto"/>
        </w:rPr>
      </w:pPr>
    </w:p>
    <w:p>
      <w:pPr>
        <w:ind w:left="760" w:hanging="376"/>
        <w:spacing w:after="0"/>
        <w:tabs>
          <w:tab w:leader="none" w:pos="760" w:val="left"/>
        </w:tabs>
        <w:numPr>
          <w:ilvl w:val="0"/>
          <w:numId w:val="16"/>
        </w:numPr>
        <w:rPr>
          <w:rFonts w:ascii="Arial" w:cs="Arial" w:eastAsia="Arial" w:hAnsi="Arial"/>
          <w:sz w:val="18"/>
          <w:szCs w:val="18"/>
          <w:color w:val="auto"/>
        </w:rPr>
      </w:pPr>
      <w:r>
        <w:rPr>
          <w:rFonts w:ascii="Arial" w:cs="Arial" w:eastAsia="Arial" w:hAnsi="Arial"/>
          <w:sz w:val="18"/>
          <w:szCs w:val="18"/>
          <w:color w:val="auto"/>
        </w:rPr>
        <w:t>the effects of the United Kingdom’s exit from the European Union;</w:t>
      </w:r>
    </w:p>
    <w:p>
      <w:pPr>
        <w:spacing w:after="0" w:line="8" w:lineRule="exact"/>
        <w:rPr>
          <w:rFonts w:ascii="Arial" w:cs="Arial" w:eastAsia="Arial" w:hAnsi="Arial"/>
          <w:sz w:val="18"/>
          <w:szCs w:val="18"/>
          <w:color w:val="auto"/>
        </w:rPr>
      </w:pPr>
    </w:p>
    <w:p>
      <w:pPr>
        <w:ind w:left="760" w:hanging="376"/>
        <w:spacing w:after="0"/>
        <w:tabs>
          <w:tab w:leader="none" w:pos="760" w:val="left"/>
        </w:tabs>
        <w:numPr>
          <w:ilvl w:val="0"/>
          <w:numId w:val="16"/>
        </w:numPr>
        <w:rPr>
          <w:rFonts w:ascii="Arial" w:cs="Arial" w:eastAsia="Arial" w:hAnsi="Arial"/>
          <w:sz w:val="18"/>
          <w:szCs w:val="18"/>
          <w:color w:val="auto"/>
        </w:rPr>
      </w:pPr>
      <w:r>
        <w:rPr>
          <w:rFonts w:ascii="Arial" w:cs="Arial" w:eastAsia="Arial" w:hAnsi="Arial"/>
          <w:sz w:val="18"/>
          <w:szCs w:val="18"/>
          <w:color w:val="auto"/>
        </w:rPr>
        <w:t>liabilities relating to prior and discontinued operations; and</w:t>
      </w:r>
    </w:p>
    <w:p>
      <w:pPr>
        <w:spacing w:after="0" w:line="8" w:lineRule="exact"/>
        <w:rPr>
          <w:rFonts w:ascii="Arial" w:cs="Arial" w:eastAsia="Arial" w:hAnsi="Arial"/>
          <w:sz w:val="18"/>
          <w:szCs w:val="18"/>
          <w:color w:val="auto"/>
        </w:rPr>
      </w:pPr>
    </w:p>
    <w:p>
      <w:pPr>
        <w:ind w:left="760" w:hanging="376"/>
        <w:spacing w:after="0"/>
        <w:tabs>
          <w:tab w:leader="none" w:pos="760" w:val="left"/>
        </w:tabs>
        <w:numPr>
          <w:ilvl w:val="0"/>
          <w:numId w:val="16"/>
        </w:numPr>
        <w:rPr>
          <w:rFonts w:ascii="Arial" w:cs="Arial" w:eastAsia="Arial" w:hAnsi="Arial"/>
          <w:sz w:val="18"/>
          <w:szCs w:val="18"/>
          <w:color w:val="auto"/>
        </w:rPr>
      </w:pPr>
      <w:r>
        <w:rPr>
          <w:rFonts w:ascii="Arial" w:cs="Arial" w:eastAsia="Arial" w:hAnsi="Arial"/>
          <w:sz w:val="18"/>
          <w:szCs w:val="18"/>
          <w:color w:val="auto"/>
        </w:rPr>
        <w:t>those risks discussed in Item IA, “Risk Factors,” included in the 2017 Form 10-K.</w:t>
      </w:r>
    </w:p>
    <w:p>
      <w:pPr>
        <w:spacing w:after="0" w:line="155" w:lineRule="exact"/>
        <w:rPr>
          <w:sz w:val="20"/>
          <w:szCs w:val="20"/>
          <w:color w:val="auto"/>
        </w:rPr>
      </w:pPr>
    </w:p>
    <w:p>
      <w:pPr>
        <w:jc w:val="both"/>
        <w:ind w:right="20"/>
        <w:spacing w:after="0" w:line="275" w:lineRule="auto"/>
        <w:rPr>
          <w:sz w:val="20"/>
          <w:szCs w:val="20"/>
          <w:color w:val="auto"/>
        </w:rPr>
      </w:pPr>
      <w:r>
        <w:rPr>
          <w:rFonts w:ascii="Arial" w:cs="Arial" w:eastAsia="Arial" w:hAnsi="Arial"/>
          <w:sz w:val="18"/>
          <w:szCs w:val="18"/>
          <w:color w:val="auto"/>
        </w:rPr>
        <w:t>Please see our most recent annual report on Form 10-K filed with the SEC on February 28, 2018. We disclaim and do not undertake any obligation to update or revise any forward-looking statement except as required by applicable law or regulation.</w:t>
      </w:r>
    </w:p>
    <w:p>
      <w:pPr>
        <w:spacing w:after="0" w:line="117" w:lineRule="exact"/>
        <w:rPr>
          <w:sz w:val="20"/>
          <w:szCs w:val="20"/>
          <w:color w:val="auto"/>
        </w:rPr>
      </w:pPr>
    </w:p>
    <w:p>
      <w:pPr>
        <w:jc w:val="both"/>
        <w:spacing w:after="0" w:line="262" w:lineRule="auto"/>
        <w:rPr>
          <w:sz w:val="20"/>
          <w:szCs w:val="20"/>
          <w:color w:val="auto"/>
        </w:rPr>
      </w:pPr>
      <w:r>
        <w:rPr>
          <w:rFonts w:ascii="Arial" w:cs="Arial" w:eastAsia="Arial" w:hAnsi="Arial"/>
          <w:sz w:val="18"/>
          <w:szCs w:val="18"/>
          <w:color w:val="auto"/>
        </w:rPr>
        <w:t>The following Management’s Discussion and Analysis (“MD&amp;A”) should be read in conjunction with our 2017 Form 10-K and the condensed consolidated financial statements and related notes included in this Form 10-Q. The MD&amp;A is intended to assist in understanding our financial condition and results of operations.</w:t>
      </w:r>
    </w:p>
    <w:p>
      <w:pPr>
        <w:spacing w:after="0" w:line="28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Overview</w:t>
      </w:r>
    </w:p>
    <w:p>
      <w:pPr>
        <w:spacing w:after="0" w:line="120" w:lineRule="exact"/>
        <w:rPr>
          <w:sz w:val="20"/>
          <w:szCs w:val="20"/>
          <w:color w:val="auto"/>
        </w:rPr>
      </w:pPr>
    </w:p>
    <w:p>
      <w:pPr>
        <w:jc w:val="both"/>
        <w:spacing w:after="0" w:line="262" w:lineRule="auto"/>
        <w:rPr>
          <w:sz w:val="20"/>
          <w:szCs w:val="20"/>
          <w:color w:val="auto"/>
        </w:rPr>
      </w:pPr>
      <w:r>
        <w:rPr>
          <w:rFonts w:ascii="Arial" w:cs="Arial" w:eastAsia="Arial" w:hAnsi="Arial"/>
          <w:sz w:val="18"/>
          <w:szCs w:val="18"/>
          <w:color w:val="auto"/>
        </w:rPr>
        <w:t>We are an international experiential services company with operations principally in the United States, Canada, the United Kingdom, continental Europe, and the United Arab Emirates. We are committed to providing unforgettable experiences to our clients and guests. We operate through three reportable business segments: GES U.S., GES International, (collectively, “GES”), and Pursuit.</w:t>
      </w:r>
    </w:p>
    <w:p>
      <w:pPr>
        <w:spacing w:after="0" w:line="28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GES</w:t>
      </w:r>
    </w:p>
    <w:p>
      <w:pPr>
        <w:spacing w:after="0" w:line="120" w:lineRule="exact"/>
        <w:rPr>
          <w:sz w:val="20"/>
          <w:szCs w:val="20"/>
          <w:color w:val="auto"/>
        </w:rPr>
      </w:pPr>
    </w:p>
    <w:p>
      <w:pPr>
        <w:jc w:val="both"/>
        <w:spacing w:after="0" w:line="262" w:lineRule="auto"/>
        <w:rPr>
          <w:sz w:val="20"/>
          <w:szCs w:val="20"/>
          <w:color w:val="auto"/>
        </w:rPr>
      </w:pPr>
      <w:r>
        <w:rPr>
          <w:rFonts w:ascii="Arial" w:cs="Arial" w:eastAsia="Arial" w:hAnsi="Arial"/>
          <w:sz w:val="18"/>
          <w:szCs w:val="18"/>
          <w:color w:val="auto"/>
        </w:rPr>
        <w:t>GES is a global, full-service provider for live events that produces exhibitions, conferences, corporate events, and consumer events. GES offers a comprehensive range of live event services including a full suite of audio-visual services from creative and technology to content and design, along with online tools powered by next generation technologies that help clients easily manage the complexities of their events.</w:t>
      </w:r>
    </w:p>
    <w:p>
      <w:pPr>
        <w:spacing w:after="0" w:line="129" w:lineRule="exact"/>
        <w:rPr>
          <w:sz w:val="20"/>
          <w:szCs w:val="20"/>
          <w:color w:val="auto"/>
        </w:rPr>
      </w:pPr>
    </w:p>
    <w:p>
      <w:pPr>
        <w:jc w:val="both"/>
        <w:spacing w:after="0" w:line="258" w:lineRule="auto"/>
        <w:rPr>
          <w:sz w:val="20"/>
          <w:szCs w:val="20"/>
          <w:color w:val="auto"/>
        </w:rPr>
      </w:pPr>
      <w:r>
        <w:rPr>
          <w:rFonts w:ascii="Arial" w:cs="Arial" w:eastAsia="Arial" w:hAnsi="Arial"/>
          <w:sz w:val="18"/>
          <w:szCs w:val="18"/>
          <w:color w:val="auto"/>
        </w:rPr>
        <w:t>GES’ clients include event organizers and corporate brand marketers. Event organizers schedule and run the event from start to finish. Corporate brand marketers include exhibitors and domestic and international corporations that want to promote their brands, services and innovations, feature new products, and build business relationships. GES serves corporate brand marketers when they exhibit at events and when GES is engaged to manage their global exhibit program or produce their proprietary corporate events.</w:t>
      </w:r>
    </w:p>
    <w:p>
      <w:pPr>
        <w:spacing w:after="0" w:line="18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69850</wp:posOffset>
            </wp:positionV>
            <wp:extent cx="7289800" cy="4254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1420"/>
          </w:cols>
          <w:pgMar w:left="240" w:top="336" w:right="239" w:bottom="1440" w:gutter="0" w:footer="0" w:header="0"/>
        </w:sectPr>
      </w:pPr>
    </w:p>
    <w:bookmarkStart w:id="30" w:name="page31"/>
    <w:bookmarkEnd w:id="30"/>
    <w:p>
      <w:pPr>
        <w:spacing w:after="0"/>
        <w:rPr>
          <w:sz w:val="20"/>
          <w:szCs w:val="20"/>
          <w:color w:val="auto"/>
        </w:rPr>
      </w:pPr>
      <w:r>
        <w:rPr>
          <w:rFonts w:ascii="Arial" w:cs="Arial" w:eastAsia="Arial" w:hAnsi="Arial"/>
          <w:sz w:val="18"/>
          <w:szCs w:val="18"/>
          <w:b w:val="1"/>
          <w:bCs w:val="1"/>
          <w:color w:val="auto"/>
        </w:rPr>
        <w:t>Seasonality</w:t>
      </w:r>
    </w:p>
    <w:p>
      <w:pPr>
        <w:spacing w:after="0" w:line="120" w:lineRule="exact"/>
        <w:rPr>
          <w:sz w:val="20"/>
          <w:szCs w:val="20"/>
          <w:color w:val="auto"/>
        </w:rPr>
      </w:pPr>
    </w:p>
    <w:p>
      <w:pPr>
        <w:jc w:val="both"/>
        <w:spacing w:after="0" w:line="306" w:lineRule="auto"/>
        <w:rPr>
          <w:sz w:val="20"/>
          <w:szCs w:val="20"/>
          <w:color w:val="auto"/>
        </w:rPr>
      </w:pPr>
      <w:r>
        <w:rPr>
          <w:rFonts w:ascii="Arial" w:cs="Arial" w:eastAsia="Arial" w:hAnsi="Arial"/>
          <w:sz w:val="17"/>
          <w:szCs w:val="17"/>
          <w:color w:val="auto"/>
        </w:rPr>
        <w:t>GES’ show rotation refers to shows that occur less frequently than annually, as well as annual shows that shift quarters from one year to the next. GES’ exhibition and event activity can vary significantly from quarter to quarter and year to year depending on the frequency and timing of shows.</w:t>
      </w:r>
    </w:p>
    <w:p>
      <w:pPr>
        <w:spacing w:after="0" w:line="25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Pursuit</w:t>
      </w:r>
    </w:p>
    <w:p>
      <w:pPr>
        <w:spacing w:after="0" w:line="120" w:lineRule="exact"/>
        <w:rPr>
          <w:sz w:val="20"/>
          <w:szCs w:val="20"/>
          <w:color w:val="auto"/>
        </w:rPr>
      </w:pPr>
    </w:p>
    <w:p>
      <w:pPr>
        <w:jc w:val="both"/>
        <w:spacing w:after="0" w:line="340" w:lineRule="auto"/>
        <w:rPr>
          <w:sz w:val="20"/>
          <w:szCs w:val="20"/>
          <w:color w:val="auto"/>
        </w:rPr>
      </w:pPr>
      <w:r>
        <w:rPr>
          <w:rFonts w:ascii="Arial" w:cs="Arial" w:eastAsia="Arial" w:hAnsi="Arial"/>
          <w:sz w:val="16"/>
          <w:szCs w:val="16"/>
          <w:color w:val="auto"/>
        </w:rPr>
        <w:t>Pursuit is a collection of iconic natural and cultural destination travel experiences that enjoy perennial demand. Pursuit offers guests distinctive and world renowned experiences through its collection of unique hotels, lodges, world-class recreational attractions, and sightseeing and ground transportation services.</w:t>
      </w:r>
    </w:p>
    <w:p>
      <w:pPr>
        <w:spacing w:after="0" w:line="124" w:lineRule="exact"/>
        <w:rPr>
          <w:sz w:val="20"/>
          <w:szCs w:val="20"/>
          <w:color w:val="auto"/>
        </w:rPr>
      </w:pPr>
    </w:p>
    <w:p>
      <w:pPr>
        <w:jc w:val="both"/>
        <w:spacing w:after="0" w:line="258" w:lineRule="auto"/>
        <w:rPr>
          <w:sz w:val="20"/>
          <w:szCs w:val="20"/>
          <w:color w:val="auto"/>
        </w:rPr>
      </w:pPr>
      <w:r>
        <w:rPr>
          <w:rFonts w:ascii="Arial" w:cs="Arial" w:eastAsia="Arial" w:hAnsi="Arial"/>
          <w:sz w:val="18"/>
          <w:szCs w:val="18"/>
          <w:color w:val="auto"/>
        </w:rPr>
        <w:t>Pursuit comprises four lines of business: Attractions, including food and beverage services and retail operations; Hospitality, including food and beverage services and retail operations; Transportation, and Travel Planning. These four lines of business work together, driving economies of scope and meaningful scale in and around the iconic destinations of Banff, Jasper, and Waterton Lakes National Parks and Vancouver in Canada, and Glacier, Denali, and Kenai Fjords National Parks in the United States.</w:t>
      </w:r>
    </w:p>
    <w:p>
      <w:pPr>
        <w:spacing w:after="0" w:line="28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Seasonality</w:t>
      </w:r>
    </w:p>
    <w:p>
      <w:pPr>
        <w:spacing w:after="0" w:line="120" w:lineRule="exact"/>
        <w:rPr>
          <w:sz w:val="20"/>
          <w:szCs w:val="20"/>
          <w:color w:val="auto"/>
        </w:rPr>
      </w:pPr>
    </w:p>
    <w:p>
      <w:pPr>
        <w:spacing w:after="0"/>
        <w:rPr>
          <w:sz w:val="20"/>
          <w:szCs w:val="20"/>
          <w:color w:val="auto"/>
        </w:rPr>
      </w:pPr>
      <w:r>
        <w:rPr>
          <w:rFonts w:ascii="Arial" w:cs="Arial" w:eastAsia="Arial" w:hAnsi="Arial"/>
          <w:sz w:val="17"/>
          <w:szCs w:val="17"/>
          <w:color w:val="auto"/>
        </w:rPr>
        <w:t>Pursuit experiences peak activity during the summer months. During 2017, 87% of Pursuit’s revenue was earned in the second and third quarters.</w:t>
      </w:r>
    </w:p>
    <w:p>
      <w:pPr>
        <w:spacing w:after="0" w:line="33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Results of Operations</w:t>
      </w:r>
    </w:p>
    <w:p>
      <w:pPr>
        <w:spacing w:after="0" w:line="11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Financial Highlights</w:t>
      </w:r>
    </w:p>
    <w:p>
      <w:pPr>
        <w:spacing w:after="0" w:line="299"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66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2180" w:type="dxa"/>
            <w:vAlign w:val="bottom"/>
            <w:gridSpan w:val="3"/>
          </w:tcPr>
          <w:p>
            <w:pPr>
              <w:jc w:val="right"/>
              <w:ind w:right="10"/>
              <w:spacing w:after="0"/>
              <w:rPr>
                <w:sz w:val="20"/>
                <w:szCs w:val="20"/>
                <w:color w:val="auto"/>
              </w:rPr>
            </w:pPr>
            <w:r>
              <w:rPr>
                <w:rFonts w:ascii="Arial" w:cs="Arial" w:eastAsia="Arial" w:hAnsi="Arial"/>
                <w:sz w:val="14"/>
                <w:szCs w:val="14"/>
                <w:b w:val="1"/>
                <w:bCs w:val="1"/>
                <w:color w:val="auto"/>
              </w:rPr>
              <w:t>Three Months Ended</w:t>
            </w:r>
          </w:p>
        </w:tc>
        <w:tc>
          <w:tcPr>
            <w:tcW w:w="108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6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1"/>
        </w:trPr>
        <w:tc>
          <w:tcPr>
            <w:tcW w:w="466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380" w:type="dxa"/>
            <w:vAlign w:val="bottom"/>
            <w:tcBorders>
              <w:bottom w:val="single" w:sz="8" w:color="auto"/>
            </w:tcBorders>
          </w:tcPr>
          <w:p>
            <w:pPr>
              <w:spacing w:after="0"/>
              <w:rPr>
                <w:sz w:val="14"/>
                <w:szCs w:val="14"/>
                <w:color w:val="auto"/>
              </w:rPr>
            </w:pPr>
          </w:p>
        </w:tc>
        <w:tc>
          <w:tcPr>
            <w:tcW w:w="2180" w:type="dxa"/>
            <w:vAlign w:val="bottom"/>
            <w:tcBorders>
              <w:bottom w:val="single" w:sz="8" w:color="auto"/>
            </w:tcBorders>
            <w:gridSpan w:val="3"/>
          </w:tcPr>
          <w:p>
            <w:pPr>
              <w:jc w:val="right"/>
              <w:ind w:right="350"/>
              <w:spacing w:after="0"/>
              <w:rPr>
                <w:sz w:val="20"/>
                <w:szCs w:val="20"/>
                <w:color w:val="auto"/>
              </w:rPr>
            </w:pPr>
            <w:r>
              <w:rPr>
                <w:rFonts w:ascii="Arial" w:cs="Arial" w:eastAsia="Arial" w:hAnsi="Arial"/>
                <w:sz w:val="14"/>
                <w:szCs w:val="14"/>
                <w:b w:val="1"/>
                <w:bCs w:val="1"/>
                <w:color w:val="auto"/>
              </w:rPr>
              <w:t>March 31,</w:t>
            </w:r>
          </w:p>
        </w:tc>
        <w:tc>
          <w:tcPr>
            <w:tcW w:w="1080" w:type="dxa"/>
            <w:vAlign w:val="bottom"/>
            <w:tcBorders>
              <w:bottom w:val="single" w:sz="8" w:color="auto"/>
            </w:tcBorders>
          </w:tcPr>
          <w:p>
            <w:pPr>
              <w:spacing w:after="0"/>
              <w:rPr>
                <w:sz w:val="14"/>
                <w:szCs w:val="14"/>
                <w:color w:val="auto"/>
              </w:rPr>
            </w:pPr>
          </w:p>
        </w:tc>
        <w:tc>
          <w:tcPr>
            <w:tcW w:w="340" w:type="dxa"/>
            <w:vAlign w:val="bottom"/>
          </w:tcPr>
          <w:p>
            <w:pPr>
              <w:spacing w:after="0"/>
              <w:rPr>
                <w:sz w:val="14"/>
                <w:szCs w:val="14"/>
                <w:color w:val="auto"/>
              </w:rPr>
            </w:pPr>
          </w:p>
        </w:tc>
        <w:tc>
          <w:tcPr>
            <w:tcW w:w="1880" w:type="dxa"/>
            <w:vAlign w:val="bottom"/>
            <w:gridSpan w:val="2"/>
            <w:vMerge w:val="restart"/>
          </w:tcPr>
          <w:p>
            <w:pPr>
              <w:jc w:val="right"/>
              <w:ind w:right="720"/>
              <w:spacing w:after="0"/>
              <w:rPr>
                <w:sz w:val="20"/>
                <w:szCs w:val="20"/>
                <w:color w:val="auto"/>
              </w:rPr>
            </w:pPr>
            <w:r>
              <w:rPr>
                <w:rFonts w:ascii="Arial" w:cs="Arial" w:eastAsia="Arial" w:hAnsi="Arial"/>
                <w:sz w:val="14"/>
                <w:szCs w:val="14"/>
                <w:b w:val="1"/>
                <w:bCs w:val="1"/>
                <w:color w:val="auto"/>
              </w:rPr>
              <w:t>Percentage</w:t>
            </w:r>
          </w:p>
        </w:tc>
        <w:tc>
          <w:tcPr>
            <w:tcW w:w="0" w:type="dxa"/>
            <w:vAlign w:val="bottom"/>
          </w:tcPr>
          <w:p>
            <w:pPr>
              <w:spacing w:after="0"/>
              <w:rPr>
                <w:sz w:val="1"/>
                <w:szCs w:val="1"/>
                <w:color w:val="auto"/>
              </w:rPr>
            </w:pPr>
          </w:p>
        </w:tc>
      </w:tr>
      <w:tr>
        <w:trPr>
          <w:trHeight w:val="119"/>
        </w:trPr>
        <w:tc>
          <w:tcPr>
            <w:tcW w:w="4660" w:type="dxa"/>
            <w:vAlign w:val="bottom"/>
          </w:tcPr>
          <w:p>
            <w:pPr>
              <w:spacing w:after="0"/>
              <w:rPr>
                <w:sz w:val="10"/>
                <w:szCs w:val="10"/>
                <w:color w:val="auto"/>
              </w:rPr>
            </w:pPr>
          </w:p>
        </w:tc>
        <w:tc>
          <w:tcPr>
            <w:tcW w:w="900" w:type="dxa"/>
            <w:vAlign w:val="bottom"/>
          </w:tcPr>
          <w:p>
            <w:pPr>
              <w:spacing w:after="0"/>
              <w:rPr>
                <w:sz w:val="10"/>
                <w:szCs w:val="10"/>
                <w:color w:val="auto"/>
              </w:rPr>
            </w:pPr>
          </w:p>
        </w:tc>
        <w:tc>
          <w:tcPr>
            <w:tcW w:w="380" w:type="dxa"/>
            <w:vAlign w:val="bottom"/>
          </w:tcPr>
          <w:p>
            <w:pPr>
              <w:spacing w:after="0"/>
              <w:rPr>
                <w:sz w:val="10"/>
                <w:szCs w:val="10"/>
                <w:color w:val="auto"/>
              </w:rPr>
            </w:pPr>
          </w:p>
        </w:tc>
        <w:tc>
          <w:tcPr>
            <w:tcW w:w="1280" w:type="dxa"/>
            <w:vAlign w:val="bottom"/>
            <w:vMerge w:val="restart"/>
          </w:tcPr>
          <w:p>
            <w:pPr>
              <w:jc w:val="right"/>
              <w:ind w:right="618"/>
              <w:spacing w:after="0"/>
              <w:rPr>
                <w:sz w:val="20"/>
                <w:szCs w:val="20"/>
                <w:color w:val="auto"/>
              </w:rPr>
            </w:pPr>
            <w:r>
              <w:rPr>
                <w:rFonts w:ascii="Arial" w:cs="Arial" w:eastAsia="Arial" w:hAnsi="Arial"/>
                <w:sz w:val="14"/>
                <w:szCs w:val="14"/>
                <w:b w:val="1"/>
                <w:bCs w:val="1"/>
                <w:color w:val="auto"/>
              </w:rPr>
              <w:t>2018</w:t>
            </w:r>
          </w:p>
        </w:tc>
        <w:tc>
          <w:tcPr>
            <w:tcW w:w="32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1080" w:type="dxa"/>
            <w:vAlign w:val="bottom"/>
            <w:vMerge w:val="restart"/>
          </w:tcPr>
          <w:p>
            <w:pPr>
              <w:jc w:val="right"/>
              <w:ind w:right="594"/>
              <w:spacing w:after="0"/>
              <w:rPr>
                <w:sz w:val="20"/>
                <w:szCs w:val="20"/>
                <w:color w:val="auto"/>
              </w:rPr>
            </w:pPr>
            <w:r>
              <w:rPr>
                <w:rFonts w:ascii="Arial" w:cs="Arial" w:eastAsia="Arial" w:hAnsi="Arial"/>
                <w:sz w:val="14"/>
                <w:szCs w:val="14"/>
                <w:b w:val="1"/>
                <w:bCs w:val="1"/>
                <w:color w:val="auto"/>
              </w:rPr>
              <w:t>2017</w:t>
            </w:r>
          </w:p>
        </w:tc>
        <w:tc>
          <w:tcPr>
            <w:tcW w:w="340" w:type="dxa"/>
            <w:vAlign w:val="bottom"/>
          </w:tcPr>
          <w:p>
            <w:pPr>
              <w:spacing w:after="0"/>
              <w:rPr>
                <w:sz w:val="10"/>
                <w:szCs w:val="10"/>
                <w:color w:val="auto"/>
              </w:rPr>
            </w:pPr>
          </w:p>
        </w:tc>
        <w:tc>
          <w:tcPr>
            <w:tcW w:w="1880" w:type="dxa"/>
            <w:vAlign w:val="bottom"/>
            <w:gridSpan w:val="2"/>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71"/>
        </w:trPr>
        <w:tc>
          <w:tcPr>
            <w:tcW w:w="4660" w:type="dxa"/>
            <w:vAlign w:val="bottom"/>
            <w:tcBorders>
              <w:bottom w:val="single" w:sz="8" w:color="CFF0FC"/>
            </w:tcBorders>
          </w:tcPr>
          <w:p>
            <w:pPr>
              <w:spacing w:after="0"/>
              <w:rPr>
                <w:sz w:val="20"/>
                <w:szCs w:val="20"/>
                <w:color w:val="auto"/>
              </w:rPr>
            </w:pPr>
            <w:r>
              <w:rPr>
                <w:rFonts w:ascii="Arial" w:cs="Arial" w:eastAsia="Arial" w:hAnsi="Arial"/>
                <w:sz w:val="14"/>
                <w:szCs w:val="14"/>
                <w:i w:val="1"/>
                <w:iCs w:val="1"/>
                <w:color w:val="auto"/>
              </w:rPr>
              <w:t>(in thousands, except per share data)</w:t>
            </w:r>
          </w:p>
        </w:tc>
        <w:tc>
          <w:tcPr>
            <w:tcW w:w="900" w:type="dxa"/>
            <w:vAlign w:val="bottom"/>
            <w:tcBorders>
              <w:bottom w:val="single" w:sz="8" w:color="CFF0FC"/>
            </w:tcBorders>
          </w:tcPr>
          <w:p>
            <w:pPr>
              <w:spacing w:after="0"/>
              <w:rPr>
                <w:sz w:val="14"/>
                <w:szCs w:val="14"/>
                <w:color w:val="auto"/>
              </w:rPr>
            </w:pPr>
          </w:p>
        </w:tc>
        <w:tc>
          <w:tcPr>
            <w:tcW w:w="380" w:type="dxa"/>
            <w:vAlign w:val="bottom"/>
            <w:tcBorders>
              <w:bottom w:val="single" w:sz="8" w:color="auto"/>
            </w:tcBorders>
          </w:tcPr>
          <w:p>
            <w:pPr>
              <w:spacing w:after="0"/>
              <w:rPr>
                <w:sz w:val="14"/>
                <w:szCs w:val="14"/>
                <w:color w:val="auto"/>
              </w:rPr>
            </w:pPr>
          </w:p>
        </w:tc>
        <w:tc>
          <w:tcPr>
            <w:tcW w:w="1280" w:type="dxa"/>
            <w:vAlign w:val="bottom"/>
            <w:tcBorders>
              <w:bottom w:val="single" w:sz="8" w:color="auto"/>
            </w:tcBorders>
            <w:vMerge w:val="continue"/>
          </w:tcPr>
          <w:p>
            <w:pPr>
              <w:spacing w:after="0"/>
              <w:rPr>
                <w:sz w:val="14"/>
                <w:szCs w:val="14"/>
                <w:color w:val="auto"/>
              </w:rPr>
            </w:pPr>
          </w:p>
        </w:tc>
        <w:tc>
          <w:tcPr>
            <w:tcW w:w="320" w:type="dxa"/>
            <w:vAlign w:val="bottom"/>
            <w:tcBorders>
              <w:bottom w:val="single" w:sz="8" w:color="CFF0FC"/>
            </w:tcBorders>
          </w:tcPr>
          <w:p>
            <w:pPr>
              <w:spacing w:after="0"/>
              <w:rPr>
                <w:sz w:val="14"/>
                <w:szCs w:val="14"/>
                <w:color w:val="auto"/>
              </w:rPr>
            </w:pPr>
          </w:p>
        </w:tc>
        <w:tc>
          <w:tcPr>
            <w:tcW w:w="580" w:type="dxa"/>
            <w:vAlign w:val="bottom"/>
            <w:tcBorders>
              <w:bottom w:val="single" w:sz="8" w:color="auto"/>
            </w:tcBorders>
          </w:tcPr>
          <w:p>
            <w:pPr>
              <w:spacing w:after="0"/>
              <w:rPr>
                <w:sz w:val="14"/>
                <w:szCs w:val="14"/>
                <w:color w:val="auto"/>
              </w:rPr>
            </w:pPr>
          </w:p>
        </w:tc>
        <w:tc>
          <w:tcPr>
            <w:tcW w:w="1080" w:type="dxa"/>
            <w:vAlign w:val="bottom"/>
            <w:tcBorders>
              <w:bottom w:val="single" w:sz="8" w:color="auto"/>
            </w:tcBorders>
            <w:vMerge w:val="continue"/>
          </w:tcPr>
          <w:p>
            <w:pPr>
              <w:spacing w:after="0"/>
              <w:rPr>
                <w:sz w:val="14"/>
                <w:szCs w:val="14"/>
                <w:color w:val="auto"/>
              </w:rPr>
            </w:pPr>
          </w:p>
        </w:tc>
        <w:tc>
          <w:tcPr>
            <w:tcW w:w="340" w:type="dxa"/>
            <w:vAlign w:val="bottom"/>
            <w:tcBorders>
              <w:bottom w:val="single" w:sz="8" w:color="CFF0FC"/>
            </w:tcBorders>
          </w:tcPr>
          <w:p>
            <w:pPr>
              <w:spacing w:after="0"/>
              <w:rPr>
                <w:sz w:val="14"/>
                <w:szCs w:val="14"/>
                <w:color w:val="auto"/>
              </w:rPr>
            </w:pPr>
          </w:p>
        </w:tc>
        <w:tc>
          <w:tcPr>
            <w:tcW w:w="1660" w:type="dxa"/>
            <w:vAlign w:val="bottom"/>
            <w:tcBorders>
              <w:bottom w:val="single" w:sz="8" w:color="auto"/>
            </w:tcBorders>
          </w:tcPr>
          <w:p>
            <w:pPr>
              <w:jc w:val="right"/>
              <w:ind w:right="516"/>
              <w:spacing w:after="0"/>
              <w:rPr>
                <w:sz w:val="20"/>
                <w:szCs w:val="20"/>
                <w:color w:val="auto"/>
              </w:rPr>
            </w:pPr>
            <w:r>
              <w:rPr>
                <w:rFonts w:ascii="Arial" w:cs="Arial" w:eastAsia="Arial" w:hAnsi="Arial"/>
                <w:sz w:val="14"/>
                <w:szCs w:val="14"/>
                <w:b w:val="1"/>
                <w:bCs w:val="1"/>
                <w:color w:val="auto"/>
              </w:rPr>
              <w:t>Change</w:t>
            </w:r>
          </w:p>
        </w:tc>
        <w:tc>
          <w:tcPr>
            <w:tcW w:w="220" w:type="dxa"/>
            <w:vAlign w:val="bottom"/>
            <w:tcBorders>
              <w:bottom w:val="single" w:sz="8" w:color="CFF0FC"/>
            </w:tcBorders>
          </w:tcPr>
          <w:p>
            <w:pPr>
              <w:spacing w:after="0"/>
              <w:rPr>
                <w:sz w:val="14"/>
                <w:szCs w:val="14"/>
                <w:color w:val="auto"/>
              </w:rPr>
            </w:pPr>
          </w:p>
        </w:tc>
        <w:tc>
          <w:tcPr>
            <w:tcW w:w="0" w:type="dxa"/>
            <w:vAlign w:val="bottom"/>
          </w:tcPr>
          <w:p>
            <w:pPr>
              <w:spacing w:after="0"/>
              <w:rPr>
                <w:sz w:val="1"/>
                <w:szCs w:val="1"/>
                <w:color w:val="auto"/>
              </w:rPr>
            </w:pPr>
          </w:p>
        </w:tc>
      </w:tr>
      <w:tr>
        <w:trPr>
          <w:trHeight w:val="222"/>
        </w:trPr>
        <w:tc>
          <w:tcPr>
            <w:tcW w:w="4660" w:type="dxa"/>
            <w:vAlign w:val="bottom"/>
            <w:shd w:val="clear" w:color="auto" w:fill="CFF0FC"/>
          </w:tcPr>
          <w:p>
            <w:pPr>
              <w:spacing w:after="0"/>
              <w:rPr>
                <w:sz w:val="20"/>
                <w:szCs w:val="20"/>
                <w:color w:val="auto"/>
              </w:rPr>
            </w:pPr>
            <w:r>
              <w:rPr>
                <w:rFonts w:ascii="Arial" w:cs="Arial" w:eastAsia="Arial" w:hAnsi="Arial"/>
                <w:sz w:val="18"/>
                <w:szCs w:val="18"/>
                <w:color w:val="auto"/>
              </w:rPr>
              <w:t>Revenue</w:t>
            </w:r>
          </w:p>
        </w:tc>
        <w:tc>
          <w:tcPr>
            <w:tcW w:w="900" w:type="dxa"/>
            <w:vAlign w:val="bottom"/>
            <w:shd w:val="clear" w:color="auto" w:fill="CFF0FC"/>
          </w:tcPr>
          <w:p>
            <w:pPr>
              <w:spacing w:after="0"/>
              <w:rPr>
                <w:sz w:val="19"/>
                <w:szCs w:val="19"/>
                <w:color w:val="auto"/>
              </w:rPr>
            </w:pPr>
          </w:p>
        </w:tc>
        <w:tc>
          <w:tcPr>
            <w:tcW w:w="380" w:type="dxa"/>
            <w:vAlign w:val="bottom"/>
            <w:shd w:val="clear" w:color="auto" w:fill="CFF0FC"/>
          </w:tcPr>
          <w:p>
            <w:pPr>
              <w:jc w:val="right"/>
              <w:ind w:right="227"/>
              <w:spacing w:after="0"/>
              <w:rPr>
                <w:sz w:val="20"/>
                <w:szCs w:val="20"/>
                <w:color w:val="auto"/>
              </w:rPr>
            </w:pPr>
            <w:r>
              <w:rPr>
                <w:rFonts w:ascii="Arial" w:cs="Arial" w:eastAsia="Arial" w:hAnsi="Arial"/>
                <w:sz w:val="15"/>
                <w:szCs w:val="15"/>
                <w:color w:val="auto"/>
                <w:w w:val="71"/>
              </w:rPr>
              <w:t>$</w:t>
            </w:r>
          </w:p>
        </w:tc>
        <w:tc>
          <w:tcPr>
            <w:tcW w:w="12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277,428</w:t>
            </w:r>
          </w:p>
        </w:tc>
        <w:tc>
          <w:tcPr>
            <w:tcW w:w="320" w:type="dxa"/>
            <w:vAlign w:val="bottom"/>
            <w:shd w:val="clear" w:color="auto" w:fill="CFF0FC"/>
          </w:tcPr>
          <w:p>
            <w:pPr>
              <w:spacing w:after="0"/>
              <w:rPr>
                <w:sz w:val="19"/>
                <w:szCs w:val="19"/>
                <w:color w:val="auto"/>
              </w:rPr>
            </w:pPr>
          </w:p>
        </w:tc>
        <w:tc>
          <w:tcPr>
            <w:tcW w:w="580" w:type="dxa"/>
            <w:vAlign w:val="bottom"/>
            <w:shd w:val="clear" w:color="auto" w:fill="CFF0FC"/>
          </w:tcPr>
          <w:p>
            <w:pPr>
              <w:jc w:val="right"/>
              <w:ind w:right="390"/>
              <w:spacing w:after="0"/>
              <w:rPr>
                <w:sz w:val="20"/>
                <w:szCs w:val="20"/>
                <w:color w:val="auto"/>
              </w:rPr>
            </w:pPr>
            <w:r>
              <w:rPr>
                <w:rFonts w:ascii="Arial" w:cs="Arial" w:eastAsia="Arial" w:hAnsi="Arial"/>
                <w:sz w:val="18"/>
                <w:szCs w:val="18"/>
                <w:color w:val="auto"/>
                <w:w w:val="79"/>
              </w:rPr>
              <w:t>$</w:t>
            </w:r>
          </w:p>
        </w:tc>
        <w:tc>
          <w:tcPr>
            <w:tcW w:w="10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325,807</w:t>
            </w:r>
          </w:p>
        </w:tc>
        <w:tc>
          <w:tcPr>
            <w:tcW w:w="340" w:type="dxa"/>
            <w:vAlign w:val="bottom"/>
            <w:shd w:val="clear" w:color="auto" w:fill="CFF0FC"/>
          </w:tcPr>
          <w:p>
            <w:pPr>
              <w:spacing w:after="0"/>
              <w:rPr>
                <w:sz w:val="19"/>
                <w:szCs w:val="19"/>
                <w:color w:val="auto"/>
              </w:rPr>
            </w:pPr>
          </w:p>
        </w:tc>
        <w:tc>
          <w:tcPr>
            <w:tcW w:w="1880" w:type="dxa"/>
            <w:vAlign w:val="bottom"/>
            <w:gridSpan w:val="2"/>
            <w:shd w:val="clear" w:color="auto" w:fill="CFF0FC"/>
          </w:tcPr>
          <w:p>
            <w:pPr>
              <w:jc w:val="right"/>
              <w:ind w:right="20"/>
              <w:spacing w:after="0"/>
              <w:rPr>
                <w:sz w:val="20"/>
                <w:szCs w:val="20"/>
                <w:color w:val="auto"/>
              </w:rPr>
            </w:pPr>
            <w:r>
              <w:rPr>
                <w:rFonts w:ascii="Arial" w:cs="Arial" w:eastAsia="Arial" w:hAnsi="Arial"/>
                <w:sz w:val="18"/>
                <w:szCs w:val="18"/>
                <w:color w:val="auto"/>
              </w:rPr>
              <w:t>(14.8)%</w:t>
            </w:r>
          </w:p>
        </w:tc>
        <w:tc>
          <w:tcPr>
            <w:tcW w:w="0" w:type="dxa"/>
            <w:vAlign w:val="bottom"/>
          </w:tcPr>
          <w:p>
            <w:pPr>
              <w:spacing w:after="0"/>
              <w:rPr>
                <w:sz w:val="1"/>
                <w:szCs w:val="1"/>
                <w:color w:val="auto"/>
              </w:rPr>
            </w:pPr>
          </w:p>
        </w:tc>
      </w:tr>
      <w:tr>
        <w:trPr>
          <w:trHeight w:val="229"/>
        </w:trPr>
        <w:tc>
          <w:tcPr>
            <w:tcW w:w="4660" w:type="dxa"/>
            <w:vAlign w:val="bottom"/>
          </w:tcPr>
          <w:p>
            <w:pPr>
              <w:spacing w:after="0"/>
              <w:rPr>
                <w:sz w:val="20"/>
                <w:szCs w:val="20"/>
                <w:color w:val="auto"/>
              </w:rPr>
            </w:pPr>
            <w:r>
              <w:rPr>
                <w:rFonts w:ascii="Arial" w:cs="Arial" w:eastAsia="Arial" w:hAnsi="Arial"/>
                <w:sz w:val="18"/>
                <w:szCs w:val="18"/>
                <w:color w:val="auto"/>
              </w:rPr>
              <w:t>Net income (loss) attributable to Viad</w:t>
            </w:r>
          </w:p>
        </w:tc>
        <w:tc>
          <w:tcPr>
            <w:tcW w:w="1280" w:type="dxa"/>
            <w:vAlign w:val="bottom"/>
            <w:gridSpan w:val="2"/>
          </w:tcPr>
          <w:p>
            <w:pPr>
              <w:jc w:val="right"/>
              <w:ind w:right="227"/>
              <w:spacing w:after="0"/>
              <w:rPr>
                <w:sz w:val="20"/>
                <w:szCs w:val="20"/>
                <w:color w:val="auto"/>
              </w:rPr>
            </w:pPr>
            <w:r>
              <w:rPr>
                <w:rFonts w:ascii="Arial" w:cs="Arial" w:eastAsia="Arial" w:hAnsi="Arial"/>
                <w:sz w:val="18"/>
                <w:szCs w:val="18"/>
                <w:color w:val="auto"/>
              </w:rPr>
              <w:t>$</w:t>
            </w:r>
          </w:p>
        </w:tc>
        <w:tc>
          <w:tcPr>
            <w:tcW w:w="1600" w:type="dxa"/>
            <w:vAlign w:val="bottom"/>
            <w:gridSpan w:val="2"/>
          </w:tcPr>
          <w:p>
            <w:pPr>
              <w:jc w:val="right"/>
              <w:ind w:right="260"/>
              <w:spacing w:after="0"/>
              <w:rPr>
                <w:sz w:val="20"/>
                <w:szCs w:val="20"/>
                <w:color w:val="auto"/>
              </w:rPr>
            </w:pPr>
            <w:r>
              <w:rPr>
                <w:rFonts w:ascii="Arial" w:cs="Arial" w:eastAsia="Arial" w:hAnsi="Arial"/>
                <w:sz w:val="18"/>
                <w:szCs w:val="18"/>
                <w:color w:val="auto"/>
              </w:rPr>
              <w:t>(9,387)</w:t>
            </w:r>
          </w:p>
        </w:tc>
        <w:tc>
          <w:tcPr>
            <w:tcW w:w="580" w:type="dxa"/>
            <w:vAlign w:val="bottom"/>
          </w:tcPr>
          <w:p>
            <w:pPr>
              <w:jc w:val="right"/>
              <w:ind w:right="390"/>
              <w:spacing w:after="0"/>
              <w:rPr>
                <w:sz w:val="20"/>
                <w:szCs w:val="20"/>
                <w:color w:val="auto"/>
              </w:rPr>
            </w:pPr>
            <w:r>
              <w:rPr>
                <w:rFonts w:ascii="Arial" w:cs="Arial" w:eastAsia="Arial" w:hAnsi="Arial"/>
                <w:sz w:val="18"/>
                <w:szCs w:val="18"/>
                <w:color w:val="auto"/>
                <w:w w:val="79"/>
              </w:rPr>
              <w:t>$</w:t>
            </w:r>
          </w:p>
        </w:tc>
        <w:tc>
          <w:tcPr>
            <w:tcW w:w="1080" w:type="dxa"/>
            <w:vAlign w:val="bottom"/>
          </w:tcPr>
          <w:p>
            <w:pPr>
              <w:jc w:val="right"/>
              <w:spacing w:after="0"/>
              <w:rPr>
                <w:sz w:val="20"/>
                <w:szCs w:val="20"/>
                <w:color w:val="auto"/>
              </w:rPr>
            </w:pPr>
            <w:r>
              <w:rPr>
                <w:rFonts w:ascii="Arial" w:cs="Arial" w:eastAsia="Arial" w:hAnsi="Arial"/>
                <w:sz w:val="18"/>
                <w:szCs w:val="18"/>
                <w:color w:val="auto"/>
              </w:rPr>
              <w:t>6,777</w:t>
            </w:r>
          </w:p>
        </w:tc>
        <w:tc>
          <w:tcPr>
            <w:tcW w:w="340" w:type="dxa"/>
            <w:vAlign w:val="bottom"/>
          </w:tcPr>
          <w:p>
            <w:pPr>
              <w:spacing w:after="0"/>
              <w:rPr>
                <w:sz w:val="19"/>
                <w:szCs w:val="19"/>
                <w:color w:val="auto"/>
              </w:rPr>
            </w:pPr>
          </w:p>
        </w:tc>
        <w:tc>
          <w:tcPr>
            <w:tcW w:w="166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4660" w:type="dxa"/>
            <w:vAlign w:val="bottom"/>
            <w:shd w:val="clear" w:color="auto" w:fill="CFF0FC"/>
          </w:tcPr>
          <w:p>
            <w:pPr>
              <w:spacing w:after="0"/>
              <w:rPr>
                <w:sz w:val="20"/>
                <w:szCs w:val="20"/>
                <w:color w:val="auto"/>
              </w:rPr>
            </w:pPr>
            <w:r>
              <w:rPr>
                <w:rFonts w:ascii="Arial" w:cs="Arial" w:eastAsia="Arial" w:hAnsi="Arial"/>
                <w:sz w:val="18"/>
                <w:szCs w:val="18"/>
                <w:color w:val="auto"/>
              </w:rPr>
              <w:t xml:space="preserve">Segment operating income (loss) </w:t>
            </w:r>
            <w:r>
              <w:rPr>
                <w:rFonts w:ascii="Arial" w:cs="Arial" w:eastAsia="Arial" w:hAnsi="Arial"/>
                <w:sz w:val="15"/>
                <w:szCs w:val="15"/>
                <w:color w:val="auto"/>
              </w:rPr>
              <w:t>(1)</w:t>
            </w:r>
          </w:p>
        </w:tc>
        <w:tc>
          <w:tcPr>
            <w:tcW w:w="1280" w:type="dxa"/>
            <w:vAlign w:val="bottom"/>
            <w:gridSpan w:val="2"/>
            <w:shd w:val="clear" w:color="auto" w:fill="CFF0FC"/>
          </w:tcPr>
          <w:p>
            <w:pPr>
              <w:jc w:val="right"/>
              <w:ind w:right="227"/>
              <w:spacing w:after="0"/>
              <w:rPr>
                <w:sz w:val="20"/>
                <w:szCs w:val="20"/>
                <w:color w:val="auto"/>
              </w:rPr>
            </w:pPr>
            <w:r>
              <w:rPr>
                <w:rFonts w:ascii="Arial" w:cs="Arial" w:eastAsia="Arial" w:hAnsi="Arial"/>
                <w:sz w:val="18"/>
                <w:szCs w:val="18"/>
                <w:color w:val="auto"/>
              </w:rPr>
              <w:t>$</w:t>
            </w:r>
          </w:p>
        </w:tc>
        <w:tc>
          <w:tcPr>
            <w:tcW w:w="1600" w:type="dxa"/>
            <w:vAlign w:val="bottom"/>
            <w:gridSpan w:val="2"/>
            <w:shd w:val="clear" w:color="auto" w:fill="CFF0FC"/>
          </w:tcPr>
          <w:p>
            <w:pPr>
              <w:jc w:val="right"/>
              <w:ind w:right="260"/>
              <w:spacing w:after="0"/>
              <w:rPr>
                <w:sz w:val="20"/>
                <w:szCs w:val="20"/>
                <w:color w:val="auto"/>
              </w:rPr>
            </w:pPr>
            <w:r>
              <w:rPr>
                <w:rFonts w:ascii="Arial" w:cs="Arial" w:eastAsia="Arial" w:hAnsi="Arial"/>
                <w:sz w:val="18"/>
                <w:szCs w:val="18"/>
                <w:color w:val="auto"/>
              </w:rPr>
              <w:t>(10,815)</w:t>
            </w:r>
          </w:p>
        </w:tc>
        <w:tc>
          <w:tcPr>
            <w:tcW w:w="580" w:type="dxa"/>
            <w:vAlign w:val="bottom"/>
            <w:shd w:val="clear" w:color="auto" w:fill="CFF0FC"/>
          </w:tcPr>
          <w:p>
            <w:pPr>
              <w:jc w:val="right"/>
              <w:ind w:right="390"/>
              <w:spacing w:after="0"/>
              <w:rPr>
                <w:sz w:val="20"/>
                <w:szCs w:val="20"/>
                <w:color w:val="auto"/>
              </w:rPr>
            </w:pPr>
            <w:r>
              <w:rPr>
                <w:rFonts w:ascii="Arial" w:cs="Arial" w:eastAsia="Arial" w:hAnsi="Arial"/>
                <w:sz w:val="18"/>
                <w:szCs w:val="18"/>
                <w:color w:val="auto"/>
                <w:w w:val="79"/>
              </w:rPr>
              <w:t>$</w:t>
            </w:r>
          </w:p>
        </w:tc>
        <w:tc>
          <w:tcPr>
            <w:tcW w:w="10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13,104</w:t>
            </w:r>
          </w:p>
        </w:tc>
        <w:tc>
          <w:tcPr>
            <w:tcW w:w="340" w:type="dxa"/>
            <w:vAlign w:val="bottom"/>
            <w:shd w:val="clear" w:color="auto" w:fill="CFF0FC"/>
          </w:tcPr>
          <w:p>
            <w:pPr>
              <w:spacing w:after="0"/>
              <w:rPr>
                <w:sz w:val="19"/>
                <w:szCs w:val="19"/>
                <w:color w:val="auto"/>
              </w:rPr>
            </w:pPr>
          </w:p>
        </w:tc>
        <w:tc>
          <w:tcPr>
            <w:tcW w:w="16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14"/>
        </w:trPr>
        <w:tc>
          <w:tcPr>
            <w:tcW w:w="4660" w:type="dxa"/>
            <w:vAlign w:val="bottom"/>
          </w:tcPr>
          <w:p>
            <w:pPr>
              <w:spacing w:after="0"/>
              <w:rPr>
                <w:sz w:val="20"/>
                <w:szCs w:val="20"/>
                <w:color w:val="auto"/>
              </w:rPr>
            </w:pPr>
            <w:r>
              <w:rPr>
                <w:rFonts w:ascii="Arial" w:cs="Arial" w:eastAsia="Arial" w:hAnsi="Arial"/>
                <w:sz w:val="18"/>
                <w:szCs w:val="18"/>
                <w:color w:val="auto"/>
              </w:rPr>
              <w:t>Diluted income (loss) per common share from</w:t>
            </w:r>
          </w:p>
        </w:tc>
        <w:tc>
          <w:tcPr>
            <w:tcW w:w="9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6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4660" w:type="dxa"/>
            <w:vAlign w:val="bottom"/>
          </w:tcPr>
          <w:p>
            <w:pPr>
              <w:ind w:left="100"/>
              <w:spacing w:after="0"/>
              <w:rPr>
                <w:sz w:val="20"/>
                <w:szCs w:val="20"/>
                <w:color w:val="auto"/>
              </w:rPr>
            </w:pPr>
            <w:r>
              <w:rPr>
                <w:rFonts w:ascii="Arial" w:cs="Arial" w:eastAsia="Arial" w:hAnsi="Arial"/>
                <w:sz w:val="18"/>
                <w:szCs w:val="18"/>
                <w:color w:val="auto"/>
              </w:rPr>
              <w:t>continuing operations attributable to Viad common</w:t>
            </w:r>
          </w:p>
        </w:tc>
        <w:tc>
          <w:tcPr>
            <w:tcW w:w="9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6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4660" w:type="dxa"/>
            <w:vAlign w:val="bottom"/>
          </w:tcPr>
          <w:p>
            <w:pPr>
              <w:ind w:left="100"/>
              <w:spacing w:after="0"/>
              <w:rPr>
                <w:sz w:val="20"/>
                <w:szCs w:val="20"/>
                <w:color w:val="auto"/>
              </w:rPr>
            </w:pPr>
            <w:r>
              <w:rPr>
                <w:rFonts w:ascii="Arial" w:cs="Arial" w:eastAsia="Arial" w:hAnsi="Arial"/>
                <w:sz w:val="18"/>
                <w:szCs w:val="18"/>
                <w:color w:val="auto"/>
              </w:rPr>
              <w:t>stockholders</w:t>
            </w:r>
          </w:p>
        </w:tc>
        <w:tc>
          <w:tcPr>
            <w:tcW w:w="1280" w:type="dxa"/>
            <w:vAlign w:val="bottom"/>
            <w:gridSpan w:val="2"/>
          </w:tcPr>
          <w:p>
            <w:pPr>
              <w:jc w:val="right"/>
              <w:ind w:right="227"/>
              <w:spacing w:after="0"/>
              <w:rPr>
                <w:sz w:val="20"/>
                <w:szCs w:val="20"/>
                <w:color w:val="auto"/>
              </w:rPr>
            </w:pPr>
            <w:r>
              <w:rPr>
                <w:rFonts w:ascii="Arial" w:cs="Arial" w:eastAsia="Arial" w:hAnsi="Arial"/>
                <w:sz w:val="18"/>
                <w:szCs w:val="18"/>
                <w:color w:val="auto"/>
              </w:rPr>
              <w:t>$</w:t>
            </w:r>
          </w:p>
        </w:tc>
        <w:tc>
          <w:tcPr>
            <w:tcW w:w="1600" w:type="dxa"/>
            <w:vAlign w:val="bottom"/>
            <w:gridSpan w:val="2"/>
          </w:tcPr>
          <w:p>
            <w:pPr>
              <w:jc w:val="right"/>
              <w:ind w:right="260"/>
              <w:spacing w:after="0"/>
              <w:rPr>
                <w:sz w:val="20"/>
                <w:szCs w:val="20"/>
                <w:color w:val="auto"/>
              </w:rPr>
            </w:pPr>
            <w:r>
              <w:rPr>
                <w:rFonts w:ascii="Arial" w:cs="Arial" w:eastAsia="Arial" w:hAnsi="Arial"/>
                <w:sz w:val="18"/>
                <w:szCs w:val="18"/>
                <w:color w:val="auto"/>
              </w:rPr>
              <w:t>(0.51)</w:t>
            </w:r>
          </w:p>
        </w:tc>
        <w:tc>
          <w:tcPr>
            <w:tcW w:w="580" w:type="dxa"/>
            <w:vAlign w:val="bottom"/>
          </w:tcPr>
          <w:p>
            <w:pPr>
              <w:jc w:val="right"/>
              <w:ind w:right="390"/>
              <w:spacing w:after="0"/>
              <w:rPr>
                <w:sz w:val="20"/>
                <w:szCs w:val="20"/>
                <w:color w:val="auto"/>
              </w:rPr>
            </w:pPr>
            <w:r>
              <w:rPr>
                <w:rFonts w:ascii="Arial" w:cs="Arial" w:eastAsia="Arial" w:hAnsi="Arial"/>
                <w:sz w:val="18"/>
                <w:szCs w:val="18"/>
                <w:color w:val="auto"/>
                <w:w w:val="79"/>
              </w:rPr>
              <w:t>$</w:t>
            </w:r>
          </w:p>
        </w:tc>
        <w:tc>
          <w:tcPr>
            <w:tcW w:w="1080" w:type="dxa"/>
            <w:vAlign w:val="bottom"/>
          </w:tcPr>
          <w:p>
            <w:pPr>
              <w:jc w:val="right"/>
              <w:spacing w:after="0"/>
              <w:rPr>
                <w:sz w:val="20"/>
                <w:szCs w:val="20"/>
                <w:color w:val="auto"/>
              </w:rPr>
            </w:pPr>
            <w:r>
              <w:rPr>
                <w:rFonts w:ascii="Arial" w:cs="Arial" w:eastAsia="Arial" w:hAnsi="Arial"/>
                <w:sz w:val="18"/>
                <w:szCs w:val="18"/>
                <w:color w:val="auto"/>
              </w:rPr>
              <w:t>0.37</w:t>
            </w:r>
          </w:p>
        </w:tc>
        <w:tc>
          <w:tcPr>
            <w:tcW w:w="340" w:type="dxa"/>
            <w:vAlign w:val="bottom"/>
          </w:tcPr>
          <w:p>
            <w:pPr>
              <w:spacing w:after="0"/>
              <w:rPr>
                <w:sz w:val="19"/>
                <w:szCs w:val="19"/>
                <w:color w:val="auto"/>
              </w:rPr>
            </w:pPr>
          </w:p>
        </w:tc>
        <w:tc>
          <w:tcPr>
            <w:tcW w:w="166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93" w:lineRule="exact"/>
        <w:rPr>
          <w:sz w:val="20"/>
          <w:szCs w:val="20"/>
          <w:color w:val="auto"/>
        </w:rPr>
      </w:pPr>
    </w:p>
    <w:p>
      <w:pPr>
        <w:ind w:left="240" w:hanging="232"/>
        <w:spacing w:after="0"/>
        <w:tabs>
          <w:tab w:leader="none" w:pos="240" w:val="left"/>
        </w:tabs>
        <w:numPr>
          <w:ilvl w:val="0"/>
          <w:numId w:val="17"/>
        </w:numPr>
        <w:rPr>
          <w:rFonts w:ascii="Arial" w:cs="Arial" w:eastAsia="Arial" w:hAnsi="Arial"/>
          <w:sz w:val="18"/>
          <w:szCs w:val="18"/>
          <w:color w:val="auto"/>
        </w:rPr>
      </w:pPr>
      <w:r>
        <w:rPr>
          <w:rFonts w:ascii="Arial" w:cs="Arial" w:eastAsia="Arial" w:hAnsi="Arial"/>
          <w:sz w:val="18"/>
          <w:szCs w:val="18"/>
          <w:color w:val="auto"/>
        </w:rPr>
        <w:t>Change is greater than +/- 100%</w:t>
      </w:r>
    </w:p>
    <w:p>
      <w:pPr>
        <w:spacing w:after="0" w:line="22" w:lineRule="exact"/>
        <w:rPr>
          <w:rFonts w:ascii="Arial" w:cs="Arial" w:eastAsia="Arial" w:hAnsi="Arial"/>
          <w:sz w:val="18"/>
          <w:szCs w:val="18"/>
          <w:color w:val="auto"/>
        </w:rPr>
      </w:pPr>
    </w:p>
    <w:p>
      <w:pPr>
        <w:ind w:left="760" w:hanging="376"/>
        <w:spacing w:after="0" w:line="249" w:lineRule="auto"/>
        <w:tabs>
          <w:tab w:leader="none" w:pos="760" w:val="left"/>
        </w:tabs>
        <w:numPr>
          <w:ilvl w:val="1"/>
          <w:numId w:val="17"/>
        </w:numPr>
        <w:rPr>
          <w:rFonts w:ascii="Arial" w:cs="Arial" w:eastAsia="Arial" w:hAnsi="Arial"/>
          <w:sz w:val="18"/>
          <w:szCs w:val="18"/>
          <w:color w:val="auto"/>
        </w:rPr>
      </w:pPr>
      <w:r>
        <w:rPr>
          <w:rFonts w:ascii="Arial" w:cs="Arial" w:eastAsia="Arial" w:hAnsi="Arial"/>
          <w:sz w:val="18"/>
          <w:szCs w:val="18"/>
          <w:b w:val="1"/>
          <w:bCs w:val="1"/>
          <w:color w:val="auto"/>
        </w:rPr>
        <w:t xml:space="preserve">Total revenue </w:t>
      </w:r>
      <w:r>
        <w:rPr>
          <w:rFonts w:ascii="Arial" w:cs="Arial" w:eastAsia="Arial" w:hAnsi="Arial"/>
          <w:sz w:val="18"/>
          <w:szCs w:val="18"/>
          <w:color w:val="auto"/>
        </w:rPr>
        <w:t>decreased $48.4 million or 14.8%, primarily due to negative show rotation of approximately $56 million at GES, offset in part by a</w:t>
      </w:r>
      <w:r>
        <w:rPr>
          <w:rFonts w:ascii="Arial" w:cs="Arial" w:eastAsia="Arial" w:hAnsi="Arial"/>
          <w:sz w:val="18"/>
          <w:szCs w:val="18"/>
          <w:b w:val="1"/>
          <w:bCs w:val="1"/>
          <w:color w:val="auto"/>
        </w:rPr>
        <w:t xml:space="preserve"> </w:t>
      </w:r>
      <w:r>
        <w:rPr>
          <w:rFonts w:ascii="Arial" w:cs="Arial" w:eastAsia="Arial" w:hAnsi="Arial"/>
          <w:sz w:val="18"/>
          <w:szCs w:val="18"/>
          <w:color w:val="auto"/>
        </w:rPr>
        <w:t>favorable foreign exchange impact of $6.2 million.</w:t>
      </w:r>
    </w:p>
    <w:p>
      <w:pPr>
        <w:ind w:left="760" w:hanging="376"/>
        <w:spacing w:after="0" w:line="249" w:lineRule="auto"/>
        <w:tabs>
          <w:tab w:leader="none" w:pos="760" w:val="left"/>
        </w:tabs>
        <w:numPr>
          <w:ilvl w:val="1"/>
          <w:numId w:val="17"/>
        </w:numPr>
        <w:rPr>
          <w:rFonts w:ascii="Arial" w:cs="Arial" w:eastAsia="Arial" w:hAnsi="Arial"/>
          <w:sz w:val="18"/>
          <w:szCs w:val="18"/>
          <w:color w:val="auto"/>
        </w:rPr>
      </w:pPr>
      <w:r>
        <w:rPr>
          <w:rFonts w:ascii="Arial" w:cs="Arial" w:eastAsia="Arial" w:hAnsi="Arial"/>
          <w:sz w:val="18"/>
          <w:szCs w:val="18"/>
          <w:b w:val="1"/>
          <w:bCs w:val="1"/>
          <w:color w:val="auto"/>
        </w:rPr>
        <w:t xml:space="preserve">Net income (loss) attributable to Viad </w:t>
      </w:r>
      <w:r>
        <w:rPr>
          <w:rFonts w:ascii="Arial" w:cs="Arial" w:eastAsia="Arial" w:hAnsi="Arial"/>
          <w:sz w:val="18"/>
          <w:szCs w:val="18"/>
          <w:color w:val="auto"/>
        </w:rPr>
        <w:t>decreased $16.2 million, primarily due to lower segment operating results as well as an impairment</w:t>
      </w:r>
      <w:r>
        <w:rPr>
          <w:rFonts w:ascii="Arial" w:cs="Arial" w:eastAsia="Arial" w:hAnsi="Arial"/>
          <w:sz w:val="18"/>
          <w:szCs w:val="18"/>
          <w:b w:val="1"/>
          <w:bCs w:val="1"/>
          <w:color w:val="auto"/>
        </w:rPr>
        <w:t xml:space="preserve"> </w:t>
      </w:r>
      <w:r>
        <w:rPr>
          <w:rFonts w:ascii="Arial" w:cs="Arial" w:eastAsia="Arial" w:hAnsi="Arial"/>
          <w:sz w:val="18"/>
          <w:szCs w:val="18"/>
          <w:color w:val="auto"/>
        </w:rPr>
        <w:t>recovery in 2017.</w:t>
      </w:r>
    </w:p>
    <w:p>
      <w:pPr>
        <w:ind w:left="760" w:hanging="376"/>
        <w:spacing w:after="0"/>
        <w:tabs>
          <w:tab w:leader="none" w:pos="760" w:val="left"/>
        </w:tabs>
        <w:numPr>
          <w:ilvl w:val="1"/>
          <w:numId w:val="17"/>
        </w:numPr>
        <w:rPr>
          <w:rFonts w:ascii="Arial" w:cs="Arial" w:eastAsia="Arial" w:hAnsi="Arial"/>
          <w:sz w:val="18"/>
          <w:szCs w:val="18"/>
          <w:color w:val="auto"/>
        </w:rPr>
      </w:pPr>
      <w:r>
        <w:rPr>
          <w:rFonts w:ascii="Arial" w:cs="Arial" w:eastAsia="Arial" w:hAnsi="Arial"/>
          <w:sz w:val="18"/>
          <w:szCs w:val="18"/>
          <w:b w:val="1"/>
          <w:bCs w:val="1"/>
          <w:color w:val="auto"/>
        </w:rPr>
        <w:t>Total segment operating results</w:t>
      </w:r>
      <w:r>
        <w:rPr>
          <w:rFonts w:ascii="Arial" w:cs="Arial" w:eastAsia="Arial" w:hAnsi="Arial"/>
          <w:sz w:val="15"/>
          <w:szCs w:val="15"/>
          <w:b w:val="1"/>
          <w:bCs w:val="1"/>
          <w:color w:val="auto"/>
        </w:rPr>
        <w:t>(1)</w:t>
      </w:r>
      <w:r>
        <w:rPr>
          <w:rFonts w:ascii="Arial" w:cs="Arial" w:eastAsia="Arial" w:hAnsi="Arial"/>
          <w:sz w:val="18"/>
          <w:szCs w:val="18"/>
          <w:b w:val="1"/>
          <w:bCs w:val="1"/>
          <w:color w:val="auto"/>
        </w:rPr>
        <w:t xml:space="preserve"> </w:t>
      </w:r>
      <w:r>
        <w:rPr>
          <w:rFonts w:ascii="Arial" w:cs="Arial" w:eastAsia="Arial" w:hAnsi="Arial"/>
          <w:sz w:val="18"/>
          <w:szCs w:val="18"/>
          <w:color w:val="auto"/>
        </w:rPr>
        <w:t>decreased $23.9 million, primarily due to negative show rotation at GES.</w:t>
      </w:r>
    </w:p>
    <w:p>
      <w:pPr>
        <w:spacing w:after="0" w:line="101" w:lineRule="exact"/>
        <w:rPr>
          <w:sz w:val="20"/>
          <w:szCs w:val="20"/>
          <w:color w:val="auto"/>
        </w:rPr>
      </w:pPr>
    </w:p>
    <w:p>
      <w:pPr>
        <w:ind w:left="380" w:right="20" w:hanging="372"/>
        <w:spacing w:after="0" w:line="275" w:lineRule="auto"/>
        <w:tabs>
          <w:tab w:leader="none" w:pos="380" w:val="left"/>
        </w:tabs>
        <w:numPr>
          <w:ilvl w:val="0"/>
          <w:numId w:val="18"/>
        </w:numPr>
        <w:rPr>
          <w:rFonts w:ascii="Arial" w:cs="Arial" w:eastAsia="Arial" w:hAnsi="Arial"/>
          <w:sz w:val="15"/>
          <w:szCs w:val="15"/>
          <w:color w:val="auto"/>
        </w:rPr>
      </w:pPr>
      <w:r>
        <w:rPr>
          <w:rFonts w:ascii="Arial" w:cs="Arial" w:eastAsia="Arial" w:hAnsi="Arial"/>
          <w:sz w:val="18"/>
          <w:szCs w:val="18"/>
          <w:color w:val="auto"/>
        </w:rPr>
        <w:t xml:space="preserve">Refer to Note 21 </w:t>
      </w:r>
      <w:r>
        <w:rPr>
          <w:rFonts w:ascii="Arial" w:cs="Arial" w:eastAsia="Arial" w:hAnsi="Arial"/>
          <w:sz w:val="18"/>
          <w:szCs w:val="18"/>
          <w:b w:val="1"/>
          <w:bCs w:val="1"/>
          <w:i w:val="1"/>
          <w:iCs w:val="1"/>
          <w:color w:val="auto"/>
        </w:rPr>
        <w:t>–</w:t>
      </w:r>
      <w:r>
        <w:rPr>
          <w:rFonts w:ascii="Arial" w:cs="Arial" w:eastAsia="Arial" w:hAnsi="Arial"/>
          <w:sz w:val="18"/>
          <w:szCs w:val="18"/>
          <w:color w:val="auto"/>
        </w:rPr>
        <w:t xml:space="preserve"> Segment Information of the Notes to Condensed Consolidated Financial Statements for a reconciliation of the non-GAAP financial measure, segment operating income (loss), to the most directly comparable GAAP measure.</w:t>
      </w:r>
    </w:p>
    <w:p>
      <w:pPr>
        <w:spacing w:after="0" w:line="17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69850</wp:posOffset>
            </wp:positionV>
            <wp:extent cx="7289800" cy="42545"/>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1420"/>
          </w:cols>
          <w:pgMar w:left="240" w:top="659" w:right="239" w:bottom="1440" w:gutter="0" w:footer="0" w:header="0"/>
        </w:sectPr>
      </w:pPr>
    </w:p>
    <w:bookmarkStart w:id="31" w:name="page32"/>
    <w:bookmarkEnd w:id="31"/>
    <w:p>
      <w:pPr>
        <w:spacing w:after="0"/>
        <w:rPr>
          <w:sz w:val="20"/>
          <w:szCs w:val="20"/>
          <w:color w:val="auto"/>
        </w:rPr>
      </w:pPr>
      <w:r>
        <w:rPr>
          <w:rFonts w:ascii="Arial" w:cs="Arial" w:eastAsia="Arial" w:hAnsi="Arial"/>
          <w:sz w:val="18"/>
          <w:szCs w:val="18"/>
          <w:b w:val="1"/>
          <w:bCs w:val="1"/>
          <w:color w:val="auto"/>
        </w:rPr>
        <w:t>Foreign Exchange Rate Variances</w:t>
      </w:r>
    </w:p>
    <w:p>
      <w:pPr>
        <w:spacing w:after="0" w:line="120" w:lineRule="exact"/>
        <w:rPr>
          <w:sz w:val="20"/>
          <w:szCs w:val="20"/>
          <w:color w:val="auto"/>
        </w:rPr>
      </w:pPr>
    </w:p>
    <w:p>
      <w:pPr>
        <w:spacing w:after="0"/>
        <w:rPr>
          <w:sz w:val="20"/>
          <w:szCs w:val="20"/>
          <w:color w:val="auto"/>
        </w:rPr>
      </w:pPr>
      <w:r>
        <w:rPr>
          <w:rFonts w:ascii="Arial" w:cs="Arial" w:eastAsia="Arial" w:hAnsi="Arial"/>
          <w:sz w:val="16"/>
          <w:szCs w:val="16"/>
          <w:color w:val="auto"/>
        </w:rPr>
        <w:t>We conduct our foreign operations primarily in Canada, the United Kingdom, the Netherlands, Germany, and to a lesser extent, in certain other countries.</w:t>
      </w:r>
    </w:p>
    <w:p>
      <w:pPr>
        <w:spacing w:after="0" w:line="192" w:lineRule="exact"/>
        <w:rPr>
          <w:sz w:val="20"/>
          <w:szCs w:val="20"/>
          <w:color w:val="auto"/>
        </w:rPr>
      </w:pPr>
    </w:p>
    <w:p>
      <w:pPr>
        <w:jc w:val="both"/>
        <w:spacing w:after="0" w:line="275" w:lineRule="auto"/>
        <w:rPr>
          <w:sz w:val="20"/>
          <w:szCs w:val="20"/>
          <w:color w:val="auto"/>
        </w:rPr>
      </w:pPr>
      <w:r>
        <w:rPr>
          <w:rFonts w:ascii="Arial" w:cs="Arial" w:eastAsia="Arial" w:hAnsi="Arial"/>
          <w:sz w:val="18"/>
          <w:szCs w:val="18"/>
          <w:color w:val="auto"/>
        </w:rPr>
        <w:t>The following table summarizes the foreign exchange rate variance effects (or “FX Impact”) on revenue and segment operating results from our significant international operations for the three months ended March 31, 2018 and 2017:</w:t>
      </w:r>
    </w:p>
    <w:p>
      <w:pPr>
        <w:spacing w:after="0" w:line="351"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3380" w:type="dxa"/>
            <w:vAlign w:val="bottom"/>
          </w:tcPr>
          <w:p>
            <w:pPr>
              <w:spacing w:after="0"/>
              <w:rPr>
                <w:sz w:val="14"/>
                <w:szCs w:val="14"/>
                <w:color w:val="auto"/>
              </w:rPr>
            </w:pPr>
          </w:p>
        </w:tc>
        <w:tc>
          <w:tcPr>
            <w:tcW w:w="1380" w:type="dxa"/>
            <w:vAlign w:val="bottom"/>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980" w:type="dxa"/>
            <w:vAlign w:val="bottom"/>
            <w:tcBorders>
              <w:bottom w:val="single" w:sz="8" w:color="auto"/>
            </w:tcBorders>
            <w:gridSpan w:val="2"/>
          </w:tcPr>
          <w:p>
            <w:pPr>
              <w:ind w:left="40"/>
              <w:spacing w:after="0"/>
              <w:rPr>
                <w:sz w:val="20"/>
                <w:szCs w:val="20"/>
                <w:color w:val="auto"/>
              </w:rPr>
            </w:pPr>
            <w:r>
              <w:rPr>
                <w:rFonts w:ascii="Arial" w:cs="Arial" w:eastAsia="Arial" w:hAnsi="Arial"/>
                <w:sz w:val="14"/>
                <w:szCs w:val="14"/>
                <w:b w:val="1"/>
                <w:bCs w:val="1"/>
                <w:color w:val="auto"/>
              </w:rPr>
              <w:t>Revenue</w:t>
            </w:r>
          </w:p>
        </w:tc>
        <w:tc>
          <w:tcPr>
            <w:tcW w:w="100" w:type="dxa"/>
            <w:vAlign w:val="bottom"/>
            <w:tcBorders>
              <w:bottom w:val="single" w:sz="8" w:color="auto"/>
            </w:tcBorders>
          </w:tcPr>
          <w:p>
            <w:pPr>
              <w:spacing w:after="0"/>
              <w:rPr>
                <w:sz w:val="14"/>
                <w:szCs w:val="14"/>
                <w:color w:val="auto"/>
              </w:rPr>
            </w:pPr>
          </w:p>
        </w:tc>
        <w:tc>
          <w:tcPr>
            <w:tcW w:w="820" w:type="dxa"/>
            <w:vAlign w:val="bottom"/>
            <w:tcBorders>
              <w:bottom w:val="single" w:sz="8" w:color="auto"/>
            </w:tcBorders>
          </w:tcPr>
          <w:p>
            <w:pPr>
              <w:spacing w:after="0"/>
              <w:rPr>
                <w:sz w:val="14"/>
                <w:szCs w:val="14"/>
                <w:color w:val="auto"/>
              </w:rPr>
            </w:pPr>
          </w:p>
        </w:tc>
        <w:tc>
          <w:tcPr>
            <w:tcW w:w="200" w:type="dxa"/>
            <w:vAlign w:val="bottom"/>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3000" w:type="dxa"/>
            <w:vAlign w:val="bottom"/>
            <w:tcBorders>
              <w:bottom w:val="single" w:sz="8" w:color="auto"/>
            </w:tcBorders>
            <w:gridSpan w:val="7"/>
          </w:tcPr>
          <w:p>
            <w:pPr>
              <w:jc w:val="right"/>
              <w:ind w:right="693"/>
              <w:spacing w:after="0"/>
              <w:rPr>
                <w:sz w:val="20"/>
                <w:szCs w:val="20"/>
                <w:color w:val="auto"/>
              </w:rPr>
            </w:pPr>
            <w:r>
              <w:rPr>
                <w:rFonts w:ascii="Arial" w:cs="Arial" w:eastAsia="Arial" w:hAnsi="Arial"/>
                <w:sz w:val="14"/>
                <w:szCs w:val="14"/>
                <w:b w:val="1"/>
                <w:bCs w:val="1"/>
                <w:color w:val="auto"/>
              </w:rPr>
              <w:t>Segment Operating Results</w:t>
            </w: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2"/>
        </w:trPr>
        <w:tc>
          <w:tcPr>
            <w:tcW w:w="3380" w:type="dxa"/>
            <w:vAlign w:val="bottom"/>
          </w:tcPr>
          <w:p>
            <w:pPr>
              <w:spacing w:after="0"/>
              <w:rPr>
                <w:sz w:val="11"/>
                <w:szCs w:val="11"/>
                <w:color w:val="auto"/>
              </w:rPr>
            </w:pPr>
          </w:p>
        </w:tc>
        <w:tc>
          <w:tcPr>
            <w:tcW w:w="13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2040" w:type="dxa"/>
            <w:vAlign w:val="bottom"/>
            <w:gridSpan w:val="5"/>
          </w:tcPr>
          <w:p>
            <w:pPr>
              <w:jc w:val="center"/>
              <w:ind w:right="420"/>
              <w:spacing w:after="0" w:line="132" w:lineRule="exact"/>
              <w:rPr>
                <w:sz w:val="20"/>
                <w:szCs w:val="20"/>
                <w:color w:val="auto"/>
              </w:rPr>
            </w:pPr>
            <w:r>
              <w:rPr>
                <w:rFonts w:ascii="Arial" w:cs="Arial" w:eastAsia="Arial" w:hAnsi="Arial"/>
                <w:sz w:val="14"/>
                <w:szCs w:val="14"/>
                <w:b w:val="1"/>
                <w:bCs w:val="1"/>
                <w:color w:val="auto"/>
                <w:w w:val="92"/>
              </w:rPr>
              <w:t>Weighted-Average</w:t>
            </w:r>
          </w:p>
        </w:tc>
        <w:tc>
          <w:tcPr>
            <w:tcW w:w="100" w:type="dxa"/>
            <w:vAlign w:val="bottom"/>
          </w:tcPr>
          <w:p>
            <w:pPr>
              <w:spacing w:after="0"/>
              <w:rPr>
                <w:sz w:val="11"/>
                <w:szCs w:val="11"/>
                <w:color w:val="auto"/>
              </w:rPr>
            </w:pPr>
          </w:p>
        </w:tc>
        <w:tc>
          <w:tcPr>
            <w:tcW w:w="820" w:type="dxa"/>
            <w:vAlign w:val="bottom"/>
            <w:vMerge w:val="restart"/>
          </w:tcPr>
          <w:p>
            <w:pPr>
              <w:jc w:val="right"/>
              <w:ind w:right="53"/>
              <w:spacing w:after="0"/>
              <w:rPr>
                <w:sz w:val="20"/>
                <w:szCs w:val="20"/>
                <w:color w:val="auto"/>
              </w:rPr>
            </w:pPr>
            <w:r>
              <w:rPr>
                <w:rFonts w:ascii="Arial" w:cs="Arial" w:eastAsia="Arial" w:hAnsi="Arial"/>
                <w:sz w:val="14"/>
                <w:szCs w:val="14"/>
                <w:b w:val="1"/>
                <w:bCs w:val="1"/>
                <w:color w:val="auto"/>
                <w:w w:val="98"/>
              </w:rPr>
              <w:t>FX Impact</w:t>
            </w:r>
          </w:p>
        </w:tc>
        <w:tc>
          <w:tcPr>
            <w:tcW w:w="2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2060" w:type="dxa"/>
            <w:vAlign w:val="bottom"/>
            <w:gridSpan w:val="5"/>
          </w:tcPr>
          <w:p>
            <w:pPr>
              <w:jc w:val="center"/>
              <w:ind w:right="420"/>
              <w:spacing w:after="0" w:line="132" w:lineRule="exact"/>
              <w:rPr>
                <w:sz w:val="20"/>
                <w:szCs w:val="20"/>
                <w:color w:val="auto"/>
              </w:rPr>
            </w:pPr>
            <w:r>
              <w:rPr>
                <w:rFonts w:ascii="Arial" w:cs="Arial" w:eastAsia="Arial" w:hAnsi="Arial"/>
                <w:sz w:val="14"/>
                <w:szCs w:val="14"/>
                <w:b w:val="1"/>
                <w:bCs w:val="1"/>
                <w:color w:val="auto"/>
                <w:w w:val="91"/>
              </w:rPr>
              <w:t>Weighted-Average</w:t>
            </w:r>
          </w:p>
        </w:tc>
        <w:tc>
          <w:tcPr>
            <w:tcW w:w="120" w:type="dxa"/>
            <w:vAlign w:val="bottom"/>
          </w:tcPr>
          <w:p>
            <w:pPr>
              <w:spacing w:after="0"/>
              <w:rPr>
                <w:sz w:val="11"/>
                <w:szCs w:val="11"/>
                <w:color w:val="auto"/>
              </w:rPr>
            </w:pPr>
          </w:p>
        </w:tc>
        <w:tc>
          <w:tcPr>
            <w:tcW w:w="920" w:type="dxa"/>
            <w:vAlign w:val="bottom"/>
            <w:gridSpan w:val="2"/>
            <w:vMerge w:val="restart"/>
          </w:tcPr>
          <w:p>
            <w:pPr>
              <w:jc w:val="right"/>
              <w:ind w:right="240"/>
              <w:spacing w:after="0"/>
              <w:rPr>
                <w:sz w:val="20"/>
                <w:szCs w:val="20"/>
                <w:color w:val="auto"/>
              </w:rPr>
            </w:pPr>
            <w:r>
              <w:rPr>
                <w:rFonts w:ascii="Arial" w:cs="Arial" w:eastAsia="Arial" w:hAnsi="Arial"/>
                <w:sz w:val="14"/>
                <w:szCs w:val="14"/>
                <w:b w:val="1"/>
                <w:bCs w:val="1"/>
                <w:color w:val="auto"/>
                <w:w w:val="98"/>
              </w:rPr>
              <w:t>FX Impact</w:t>
            </w:r>
          </w:p>
        </w:tc>
        <w:tc>
          <w:tcPr>
            <w:tcW w:w="0" w:type="dxa"/>
            <w:vAlign w:val="bottom"/>
          </w:tcPr>
          <w:p>
            <w:pPr>
              <w:spacing w:after="0"/>
              <w:rPr>
                <w:sz w:val="1"/>
                <w:szCs w:val="1"/>
                <w:color w:val="auto"/>
              </w:rPr>
            </w:pPr>
          </w:p>
        </w:tc>
      </w:tr>
      <w:tr>
        <w:trPr>
          <w:trHeight w:val="171"/>
        </w:trPr>
        <w:tc>
          <w:tcPr>
            <w:tcW w:w="3380" w:type="dxa"/>
            <w:vAlign w:val="bottom"/>
          </w:tcPr>
          <w:p>
            <w:pPr>
              <w:spacing w:after="0"/>
              <w:rPr>
                <w:sz w:val="14"/>
                <w:szCs w:val="14"/>
                <w:color w:val="auto"/>
              </w:rPr>
            </w:pPr>
          </w:p>
        </w:tc>
        <w:tc>
          <w:tcPr>
            <w:tcW w:w="13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2040" w:type="dxa"/>
            <w:vAlign w:val="bottom"/>
            <w:gridSpan w:val="5"/>
          </w:tcPr>
          <w:p>
            <w:pPr>
              <w:jc w:val="center"/>
              <w:ind w:right="420"/>
              <w:spacing w:after="0"/>
              <w:rPr>
                <w:sz w:val="20"/>
                <w:szCs w:val="20"/>
                <w:color w:val="auto"/>
              </w:rPr>
            </w:pPr>
            <w:r>
              <w:rPr>
                <w:rFonts w:ascii="Arial" w:cs="Arial" w:eastAsia="Arial" w:hAnsi="Arial"/>
                <w:sz w:val="14"/>
                <w:szCs w:val="14"/>
                <w:b w:val="1"/>
                <w:bCs w:val="1"/>
                <w:color w:val="auto"/>
                <w:w w:val="90"/>
              </w:rPr>
              <w:t>Exchange Rates</w:t>
            </w:r>
          </w:p>
        </w:tc>
        <w:tc>
          <w:tcPr>
            <w:tcW w:w="100" w:type="dxa"/>
            <w:vAlign w:val="bottom"/>
          </w:tcPr>
          <w:p>
            <w:pPr>
              <w:spacing w:after="0"/>
              <w:rPr>
                <w:sz w:val="14"/>
                <w:szCs w:val="14"/>
                <w:color w:val="auto"/>
              </w:rPr>
            </w:pPr>
          </w:p>
        </w:tc>
        <w:tc>
          <w:tcPr>
            <w:tcW w:w="820" w:type="dxa"/>
            <w:vAlign w:val="bottom"/>
            <w:vMerge w:val="continue"/>
          </w:tcPr>
          <w:p>
            <w:pPr>
              <w:spacing w:after="0"/>
              <w:rPr>
                <w:sz w:val="14"/>
                <w:szCs w:val="14"/>
                <w:color w:val="auto"/>
              </w:rPr>
            </w:pPr>
          </w:p>
        </w:tc>
        <w:tc>
          <w:tcPr>
            <w:tcW w:w="2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2060" w:type="dxa"/>
            <w:vAlign w:val="bottom"/>
            <w:gridSpan w:val="5"/>
          </w:tcPr>
          <w:p>
            <w:pPr>
              <w:jc w:val="center"/>
              <w:ind w:right="420"/>
              <w:spacing w:after="0"/>
              <w:rPr>
                <w:sz w:val="20"/>
                <w:szCs w:val="20"/>
                <w:color w:val="auto"/>
              </w:rPr>
            </w:pPr>
            <w:r>
              <w:rPr>
                <w:rFonts w:ascii="Arial" w:cs="Arial" w:eastAsia="Arial" w:hAnsi="Arial"/>
                <w:sz w:val="14"/>
                <w:szCs w:val="14"/>
                <w:b w:val="1"/>
                <w:bCs w:val="1"/>
                <w:color w:val="auto"/>
                <w:w w:val="88"/>
              </w:rPr>
              <w:t>Exchange Rates</w:t>
            </w:r>
          </w:p>
        </w:tc>
        <w:tc>
          <w:tcPr>
            <w:tcW w:w="120" w:type="dxa"/>
            <w:vAlign w:val="bottom"/>
          </w:tcPr>
          <w:p>
            <w:pPr>
              <w:spacing w:after="0"/>
              <w:rPr>
                <w:sz w:val="14"/>
                <w:szCs w:val="14"/>
                <w:color w:val="auto"/>
              </w:rPr>
            </w:pPr>
          </w:p>
        </w:tc>
        <w:tc>
          <w:tcPr>
            <w:tcW w:w="920" w:type="dxa"/>
            <w:vAlign w:val="bottom"/>
            <w:gridSpan w:val="2"/>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35"/>
        </w:trPr>
        <w:tc>
          <w:tcPr>
            <w:tcW w:w="3380" w:type="dxa"/>
            <w:vAlign w:val="bottom"/>
          </w:tcPr>
          <w:p>
            <w:pPr>
              <w:spacing w:after="0"/>
              <w:rPr>
                <w:sz w:val="20"/>
                <w:szCs w:val="20"/>
                <w:color w:val="auto"/>
              </w:rPr>
            </w:pPr>
          </w:p>
        </w:tc>
        <w:tc>
          <w:tcPr>
            <w:tcW w:w="1380" w:type="dxa"/>
            <w:vAlign w:val="bottom"/>
          </w:tcPr>
          <w:p>
            <w:pPr>
              <w:spacing w:after="0"/>
              <w:rPr>
                <w:sz w:val="20"/>
                <w:szCs w:val="20"/>
                <w:color w:val="auto"/>
              </w:rPr>
            </w:pPr>
          </w:p>
        </w:tc>
        <w:tc>
          <w:tcPr>
            <w:tcW w:w="200" w:type="dxa"/>
            <w:vAlign w:val="bottom"/>
            <w:tcBorders>
              <w:top w:val="single" w:sz="8" w:color="auto"/>
            </w:tcBorders>
          </w:tcPr>
          <w:p>
            <w:pPr>
              <w:spacing w:after="0"/>
              <w:rPr>
                <w:sz w:val="20"/>
                <w:szCs w:val="20"/>
                <w:color w:val="auto"/>
              </w:rPr>
            </w:pPr>
          </w:p>
        </w:tc>
        <w:tc>
          <w:tcPr>
            <w:tcW w:w="700" w:type="dxa"/>
            <w:vAlign w:val="bottom"/>
            <w:tcBorders>
              <w:top w:val="single" w:sz="8" w:color="auto"/>
            </w:tcBorders>
          </w:tcPr>
          <w:p>
            <w:pPr>
              <w:jc w:val="right"/>
              <w:ind w:right="218"/>
              <w:spacing w:after="0"/>
              <w:rPr>
                <w:sz w:val="20"/>
                <w:szCs w:val="20"/>
                <w:color w:val="auto"/>
              </w:rPr>
            </w:pPr>
            <w:r>
              <w:rPr>
                <w:rFonts w:ascii="Arial" w:cs="Arial" w:eastAsia="Arial" w:hAnsi="Arial"/>
                <w:sz w:val="14"/>
                <w:szCs w:val="14"/>
                <w:b w:val="1"/>
                <w:bCs w:val="1"/>
                <w:color w:val="auto"/>
              </w:rPr>
              <w:t>2018</w:t>
            </w:r>
          </w:p>
        </w:tc>
        <w:tc>
          <w:tcPr>
            <w:tcW w:w="220" w:type="dxa"/>
            <w:vAlign w:val="bottom"/>
            <w:tcBorders>
              <w:top w:val="single" w:sz="8" w:color="auto"/>
            </w:tcBorders>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760" w:type="dxa"/>
            <w:vAlign w:val="bottom"/>
            <w:tcBorders>
              <w:top w:val="single" w:sz="8" w:color="auto"/>
            </w:tcBorders>
          </w:tcPr>
          <w:p>
            <w:pPr>
              <w:jc w:val="right"/>
              <w:ind w:right="236"/>
              <w:spacing w:after="0"/>
              <w:rPr>
                <w:sz w:val="20"/>
                <w:szCs w:val="20"/>
                <w:color w:val="auto"/>
              </w:rPr>
            </w:pPr>
            <w:r>
              <w:rPr>
                <w:rFonts w:ascii="Arial" w:cs="Arial" w:eastAsia="Arial" w:hAnsi="Arial"/>
                <w:sz w:val="14"/>
                <w:szCs w:val="14"/>
                <w:b w:val="1"/>
                <w:bCs w:val="1"/>
                <w:color w:val="auto"/>
              </w:rPr>
              <w:t>2017</w:t>
            </w:r>
          </w:p>
        </w:tc>
        <w:tc>
          <w:tcPr>
            <w:tcW w:w="220" w:type="dxa"/>
            <w:vAlign w:val="bottom"/>
          </w:tcPr>
          <w:p>
            <w:pPr>
              <w:spacing w:after="0"/>
              <w:rPr>
                <w:sz w:val="20"/>
                <w:szCs w:val="20"/>
                <w:color w:val="auto"/>
              </w:rPr>
            </w:pPr>
          </w:p>
        </w:tc>
        <w:tc>
          <w:tcPr>
            <w:tcW w:w="920" w:type="dxa"/>
            <w:vAlign w:val="bottom"/>
            <w:gridSpan w:val="2"/>
          </w:tcPr>
          <w:p>
            <w:pPr>
              <w:jc w:val="right"/>
              <w:spacing w:after="0"/>
              <w:rPr>
                <w:sz w:val="20"/>
                <w:szCs w:val="20"/>
                <w:color w:val="auto"/>
              </w:rPr>
            </w:pPr>
            <w:r>
              <w:rPr>
                <w:rFonts w:ascii="Arial" w:cs="Arial" w:eastAsia="Arial" w:hAnsi="Arial"/>
                <w:sz w:val="14"/>
                <w:szCs w:val="14"/>
                <w:i w:val="1"/>
                <w:iCs w:val="1"/>
                <w:color w:val="auto"/>
                <w:w w:val="94"/>
              </w:rPr>
              <w:t>(in thousands)</w:t>
            </w:r>
          </w:p>
        </w:tc>
        <w:tc>
          <w:tcPr>
            <w:tcW w:w="200" w:type="dxa"/>
            <w:vAlign w:val="bottom"/>
          </w:tcPr>
          <w:p>
            <w:pPr>
              <w:spacing w:after="0"/>
              <w:rPr>
                <w:sz w:val="20"/>
                <w:szCs w:val="20"/>
                <w:color w:val="auto"/>
              </w:rPr>
            </w:pPr>
          </w:p>
        </w:tc>
        <w:tc>
          <w:tcPr>
            <w:tcW w:w="200" w:type="dxa"/>
            <w:vAlign w:val="bottom"/>
            <w:tcBorders>
              <w:top w:val="single" w:sz="8" w:color="auto"/>
            </w:tcBorders>
          </w:tcPr>
          <w:p>
            <w:pPr>
              <w:spacing w:after="0"/>
              <w:rPr>
                <w:sz w:val="20"/>
                <w:szCs w:val="20"/>
                <w:color w:val="auto"/>
              </w:rPr>
            </w:pPr>
          </w:p>
        </w:tc>
        <w:tc>
          <w:tcPr>
            <w:tcW w:w="720" w:type="dxa"/>
            <w:vAlign w:val="bottom"/>
            <w:tcBorders>
              <w:top w:val="single" w:sz="8" w:color="auto"/>
            </w:tcBorders>
          </w:tcPr>
          <w:p>
            <w:pPr>
              <w:jc w:val="right"/>
              <w:ind w:right="239"/>
              <w:spacing w:after="0"/>
              <w:rPr>
                <w:sz w:val="20"/>
                <w:szCs w:val="20"/>
                <w:color w:val="auto"/>
              </w:rPr>
            </w:pPr>
            <w:r>
              <w:rPr>
                <w:rFonts w:ascii="Arial" w:cs="Arial" w:eastAsia="Arial" w:hAnsi="Arial"/>
                <w:sz w:val="14"/>
                <w:szCs w:val="14"/>
                <w:b w:val="1"/>
                <w:bCs w:val="1"/>
                <w:color w:val="auto"/>
              </w:rPr>
              <w:t>2018</w:t>
            </w:r>
          </w:p>
        </w:tc>
        <w:tc>
          <w:tcPr>
            <w:tcW w:w="220" w:type="dxa"/>
            <w:vAlign w:val="bottom"/>
            <w:tcBorders>
              <w:top w:val="single" w:sz="8" w:color="auto"/>
            </w:tcBorders>
          </w:tcPr>
          <w:p>
            <w:pPr>
              <w:spacing w:after="0"/>
              <w:rPr>
                <w:sz w:val="20"/>
                <w:szCs w:val="20"/>
                <w:color w:val="auto"/>
              </w:rPr>
            </w:pPr>
          </w:p>
        </w:tc>
        <w:tc>
          <w:tcPr>
            <w:tcW w:w="200" w:type="dxa"/>
            <w:vAlign w:val="bottom"/>
            <w:tcBorders>
              <w:top w:val="single" w:sz="8" w:color="auto"/>
            </w:tcBorders>
          </w:tcPr>
          <w:p>
            <w:pPr>
              <w:spacing w:after="0"/>
              <w:rPr>
                <w:sz w:val="20"/>
                <w:szCs w:val="20"/>
                <w:color w:val="auto"/>
              </w:rPr>
            </w:pPr>
          </w:p>
        </w:tc>
        <w:tc>
          <w:tcPr>
            <w:tcW w:w="720" w:type="dxa"/>
            <w:vAlign w:val="bottom"/>
            <w:tcBorders>
              <w:top w:val="single" w:sz="8" w:color="auto"/>
            </w:tcBorders>
          </w:tcPr>
          <w:p>
            <w:pPr>
              <w:jc w:val="right"/>
              <w:ind w:right="254"/>
              <w:spacing w:after="0"/>
              <w:rPr>
                <w:sz w:val="20"/>
                <w:szCs w:val="20"/>
                <w:color w:val="auto"/>
              </w:rPr>
            </w:pPr>
            <w:r>
              <w:rPr>
                <w:rFonts w:ascii="Arial" w:cs="Arial" w:eastAsia="Arial" w:hAnsi="Arial"/>
                <w:sz w:val="14"/>
                <w:szCs w:val="14"/>
                <w:b w:val="1"/>
                <w:bCs w:val="1"/>
                <w:color w:val="auto"/>
              </w:rPr>
              <w:t>2017</w:t>
            </w:r>
          </w:p>
        </w:tc>
        <w:tc>
          <w:tcPr>
            <w:tcW w:w="200" w:type="dxa"/>
            <w:vAlign w:val="bottom"/>
          </w:tcPr>
          <w:p>
            <w:pPr>
              <w:spacing w:after="0"/>
              <w:rPr>
                <w:sz w:val="20"/>
                <w:szCs w:val="20"/>
                <w:color w:val="auto"/>
              </w:rPr>
            </w:pPr>
          </w:p>
        </w:tc>
        <w:tc>
          <w:tcPr>
            <w:tcW w:w="1040" w:type="dxa"/>
            <w:vAlign w:val="bottom"/>
            <w:gridSpan w:val="3"/>
          </w:tcPr>
          <w:p>
            <w:pPr>
              <w:jc w:val="right"/>
              <w:ind w:right="160"/>
              <w:spacing w:after="0"/>
              <w:rPr>
                <w:sz w:val="20"/>
                <w:szCs w:val="20"/>
                <w:color w:val="auto"/>
              </w:rPr>
            </w:pPr>
            <w:r>
              <w:rPr>
                <w:rFonts w:ascii="Arial" w:cs="Arial" w:eastAsia="Arial" w:hAnsi="Arial"/>
                <w:sz w:val="14"/>
                <w:szCs w:val="14"/>
                <w:i w:val="1"/>
                <w:iCs w:val="1"/>
                <w:color w:val="auto"/>
                <w:w w:val="96"/>
              </w:rPr>
              <w:t>(in thousands)</w:t>
            </w:r>
          </w:p>
        </w:tc>
        <w:tc>
          <w:tcPr>
            <w:tcW w:w="0" w:type="dxa"/>
            <w:vAlign w:val="bottom"/>
          </w:tcPr>
          <w:p>
            <w:pPr>
              <w:spacing w:after="0"/>
              <w:rPr>
                <w:sz w:val="1"/>
                <w:szCs w:val="1"/>
                <w:color w:val="auto"/>
              </w:rPr>
            </w:pPr>
          </w:p>
        </w:tc>
      </w:tr>
      <w:tr>
        <w:trPr>
          <w:trHeight w:val="222"/>
        </w:trPr>
        <w:tc>
          <w:tcPr>
            <w:tcW w:w="338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8"/>
                <w:szCs w:val="18"/>
                <w:color w:val="auto"/>
              </w:rPr>
              <w:t>GES:</w:t>
            </w:r>
          </w:p>
        </w:tc>
        <w:tc>
          <w:tcPr>
            <w:tcW w:w="1380" w:type="dxa"/>
            <w:vAlign w:val="bottom"/>
            <w:tcBorders>
              <w:top w:val="single" w:sz="8" w:color="CFF0FC"/>
            </w:tcBorders>
            <w:shd w:val="clear" w:color="auto" w:fill="CFF0FC"/>
          </w:tcPr>
          <w:p>
            <w:pPr>
              <w:spacing w:after="0"/>
              <w:rPr>
                <w:sz w:val="19"/>
                <w:szCs w:val="19"/>
                <w:color w:val="auto"/>
              </w:rPr>
            </w:pPr>
          </w:p>
        </w:tc>
        <w:tc>
          <w:tcPr>
            <w:tcW w:w="200" w:type="dxa"/>
            <w:vAlign w:val="bottom"/>
            <w:tcBorders>
              <w:top w:val="single" w:sz="8" w:color="auto"/>
            </w:tcBorders>
            <w:shd w:val="clear" w:color="auto" w:fill="CFF0FC"/>
          </w:tcPr>
          <w:p>
            <w:pPr>
              <w:spacing w:after="0"/>
              <w:rPr>
                <w:sz w:val="19"/>
                <w:szCs w:val="19"/>
                <w:color w:val="auto"/>
              </w:rPr>
            </w:pPr>
          </w:p>
        </w:tc>
        <w:tc>
          <w:tcPr>
            <w:tcW w:w="700" w:type="dxa"/>
            <w:vAlign w:val="bottom"/>
            <w:tcBorders>
              <w:top w:val="single" w:sz="8" w:color="auto"/>
            </w:tcBorders>
            <w:shd w:val="clear" w:color="auto" w:fill="CFF0FC"/>
          </w:tcPr>
          <w:p>
            <w:pPr>
              <w:spacing w:after="0"/>
              <w:rPr>
                <w:sz w:val="19"/>
                <w:szCs w:val="19"/>
                <w:color w:val="auto"/>
              </w:rPr>
            </w:pPr>
          </w:p>
        </w:tc>
        <w:tc>
          <w:tcPr>
            <w:tcW w:w="220" w:type="dxa"/>
            <w:vAlign w:val="bottom"/>
            <w:tcBorders>
              <w:top w:val="single" w:sz="8" w:color="CFF0FC"/>
            </w:tcBorders>
            <w:shd w:val="clear" w:color="auto" w:fill="CFF0FC"/>
          </w:tcPr>
          <w:p>
            <w:pPr>
              <w:spacing w:after="0"/>
              <w:rPr>
                <w:sz w:val="19"/>
                <w:szCs w:val="19"/>
                <w:color w:val="auto"/>
              </w:rPr>
            </w:pPr>
          </w:p>
        </w:tc>
        <w:tc>
          <w:tcPr>
            <w:tcW w:w="140" w:type="dxa"/>
            <w:vAlign w:val="bottom"/>
            <w:tcBorders>
              <w:top w:val="single" w:sz="8" w:color="auto"/>
            </w:tcBorders>
            <w:shd w:val="clear" w:color="auto" w:fill="CFF0FC"/>
          </w:tcPr>
          <w:p>
            <w:pPr>
              <w:spacing w:after="0"/>
              <w:rPr>
                <w:sz w:val="19"/>
                <w:szCs w:val="19"/>
                <w:color w:val="auto"/>
              </w:rPr>
            </w:pPr>
          </w:p>
        </w:tc>
        <w:tc>
          <w:tcPr>
            <w:tcW w:w="760" w:type="dxa"/>
            <w:vAlign w:val="bottom"/>
            <w:tcBorders>
              <w:top w:val="single" w:sz="8" w:color="auto"/>
            </w:tcBorders>
            <w:shd w:val="clear" w:color="auto" w:fill="CFF0FC"/>
          </w:tcPr>
          <w:p>
            <w:pPr>
              <w:spacing w:after="0"/>
              <w:rPr>
                <w:sz w:val="19"/>
                <w:szCs w:val="19"/>
                <w:color w:val="auto"/>
              </w:rPr>
            </w:pPr>
          </w:p>
        </w:tc>
        <w:tc>
          <w:tcPr>
            <w:tcW w:w="220" w:type="dxa"/>
            <w:vAlign w:val="bottom"/>
            <w:tcBorders>
              <w:top w:val="single" w:sz="8" w:color="CFF0FC"/>
            </w:tcBorders>
            <w:shd w:val="clear" w:color="auto" w:fill="CFF0FC"/>
          </w:tcPr>
          <w:p>
            <w:pPr>
              <w:spacing w:after="0"/>
              <w:rPr>
                <w:sz w:val="19"/>
                <w:szCs w:val="19"/>
                <w:color w:val="auto"/>
              </w:rPr>
            </w:pPr>
          </w:p>
        </w:tc>
        <w:tc>
          <w:tcPr>
            <w:tcW w:w="100" w:type="dxa"/>
            <w:vAlign w:val="bottom"/>
            <w:tcBorders>
              <w:top w:val="single" w:sz="8" w:color="auto"/>
            </w:tcBorders>
            <w:shd w:val="clear" w:color="auto" w:fill="CFF0FC"/>
          </w:tcPr>
          <w:p>
            <w:pPr>
              <w:spacing w:after="0"/>
              <w:rPr>
                <w:sz w:val="19"/>
                <w:szCs w:val="19"/>
                <w:color w:val="auto"/>
              </w:rPr>
            </w:pPr>
          </w:p>
        </w:tc>
        <w:tc>
          <w:tcPr>
            <w:tcW w:w="820" w:type="dxa"/>
            <w:vAlign w:val="bottom"/>
            <w:tcBorders>
              <w:top w:val="single" w:sz="8" w:color="auto"/>
            </w:tcBorders>
            <w:shd w:val="clear" w:color="auto" w:fill="CFF0FC"/>
          </w:tcPr>
          <w:p>
            <w:pPr>
              <w:spacing w:after="0"/>
              <w:rPr>
                <w:sz w:val="19"/>
                <w:szCs w:val="19"/>
                <w:color w:val="auto"/>
              </w:rPr>
            </w:pPr>
          </w:p>
        </w:tc>
        <w:tc>
          <w:tcPr>
            <w:tcW w:w="200" w:type="dxa"/>
            <w:vAlign w:val="bottom"/>
            <w:tcBorders>
              <w:top w:val="single" w:sz="8" w:color="CFF0FC"/>
            </w:tcBorders>
            <w:shd w:val="clear" w:color="auto" w:fill="CFF0FC"/>
          </w:tcPr>
          <w:p>
            <w:pPr>
              <w:spacing w:after="0"/>
              <w:rPr>
                <w:sz w:val="19"/>
                <w:szCs w:val="19"/>
                <w:color w:val="auto"/>
              </w:rPr>
            </w:pPr>
          </w:p>
        </w:tc>
        <w:tc>
          <w:tcPr>
            <w:tcW w:w="200" w:type="dxa"/>
            <w:vAlign w:val="bottom"/>
            <w:tcBorders>
              <w:top w:val="single" w:sz="8" w:color="auto"/>
            </w:tcBorders>
            <w:shd w:val="clear" w:color="auto" w:fill="CFF0FC"/>
          </w:tcPr>
          <w:p>
            <w:pPr>
              <w:spacing w:after="0"/>
              <w:rPr>
                <w:sz w:val="19"/>
                <w:szCs w:val="19"/>
                <w:color w:val="auto"/>
              </w:rPr>
            </w:pPr>
          </w:p>
        </w:tc>
        <w:tc>
          <w:tcPr>
            <w:tcW w:w="720" w:type="dxa"/>
            <w:vAlign w:val="bottom"/>
            <w:tcBorders>
              <w:top w:val="single" w:sz="8" w:color="auto"/>
            </w:tcBorders>
            <w:shd w:val="clear" w:color="auto" w:fill="CFF0FC"/>
          </w:tcPr>
          <w:p>
            <w:pPr>
              <w:spacing w:after="0"/>
              <w:rPr>
                <w:sz w:val="19"/>
                <w:szCs w:val="19"/>
                <w:color w:val="auto"/>
              </w:rPr>
            </w:pPr>
          </w:p>
        </w:tc>
        <w:tc>
          <w:tcPr>
            <w:tcW w:w="220" w:type="dxa"/>
            <w:vAlign w:val="bottom"/>
            <w:tcBorders>
              <w:top w:val="single" w:sz="8" w:color="CFF0FC"/>
            </w:tcBorders>
            <w:shd w:val="clear" w:color="auto" w:fill="CFF0FC"/>
          </w:tcPr>
          <w:p>
            <w:pPr>
              <w:spacing w:after="0"/>
              <w:rPr>
                <w:sz w:val="19"/>
                <w:szCs w:val="19"/>
                <w:color w:val="auto"/>
              </w:rPr>
            </w:pPr>
          </w:p>
        </w:tc>
        <w:tc>
          <w:tcPr>
            <w:tcW w:w="200" w:type="dxa"/>
            <w:vAlign w:val="bottom"/>
            <w:tcBorders>
              <w:top w:val="single" w:sz="8" w:color="auto"/>
            </w:tcBorders>
            <w:shd w:val="clear" w:color="auto" w:fill="CFF0FC"/>
          </w:tcPr>
          <w:p>
            <w:pPr>
              <w:spacing w:after="0"/>
              <w:rPr>
                <w:sz w:val="19"/>
                <w:szCs w:val="19"/>
                <w:color w:val="auto"/>
              </w:rPr>
            </w:pPr>
          </w:p>
        </w:tc>
        <w:tc>
          <w:tcPr>
            <w:tcW w:w="720" w:type="dxa"/>
            <w:vAlign w:val="bottom"/>
            <w:tcBorders>
              <w:top w:val="single" w:sz="8" w:color="auto"/>
            </w:tcBorders>
            <w:shd w:val="clear" w:color="auto" w:fill="CFF0FC"/>
          </w:tcPr>
          <w:p>
            <w:pPr>
              <w:spacing w:after="0"/>
              <w:rPr>
                <w:sz w:val="19"/>
                <w:szCs w:val="19"/>
                <w:color w:val="auto"/>
              </w:rPr>
            </w:pPr>
          </w:p>
        </w:tc>
        <w:tc>
          <w:tcPr>
            <w:tcW w:w="200" w:type="dxa"/>
            <w:vAlign w:val="bottom"/>
            <w:tcBorders>
              <w:top w:val="single" w:sz="8" w:color="CFF0FC"/>
            </w:tcBorders>
            <w:shd w:val="clear" w:color="auto" w:fill="CFF0FC"/>
          </w:tcPr>
          <w:p>
            <w:pPr>
              <w:spacing w:after="0"/>
              <w:rPr>
                <w:sz w:val="19"/>
                <w:szCs w:val="19"/>
                <w:color w:val="auto"/>
              </w:rPr>
            </w:pPr>
          </w:p>
        </w:tc>
        <w:tc>
          <w:tcPr>
            <w:tcW w:w="120" w:type="dxa"/>
            <w:vAlign w:val="bottom"/>
            <w:tcBorders>
              <w:top w:val="single" w:sz="8" w:color="auto"/>
            </w:tcBorders>
            <w:shd w:val="clear" w:color="auto" w:fill="CFF0FC"/>
          </w:tcPr>
          <w:p>
            <w:pPr>
              <w:spacing w:after="0"/>
              <w:rPr>
                <w:sz w:val="19"/>
                <w:szCs w:val="19"/>
                <w:color w:val="auto"/>
              </w:rPr>
            </w:pPr>
          </w:p>
        </w:tc>
        <w:tc>
          <w:tcPr>
            <w:tcW w:w="820" w:type="dxa"/>
            <w:vAlign w:val="bottom"/>
            <w:tcBorders>
              <w:top w:val="single" w:sz="8" w:color="auto"/>
            </w:tcBorders>
            <w:shd w:val="clear" w:color="auto" w:fill="CFF0FC"/>
          </w:tcPr>
          <w:p>
            <w:pPr>
              <w:spacing w:after="0"/>
              <w:rPr>
                <w:sz w:val="19"/>
                <w:szCs w:val="19"/>
                <w:color w:val="auto"/>
              </w:rPr>
            </w:pPr>
          </w:p>
        </w:tc>
        <w:tc>
          <w:tcPr>
            <w:tcW w:w="100" w:type="dxa"/>
            <w:vAlign w:val="bottom"/>
            <w:tcBorders>
              <w:top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3380" w:type="dxa"/>
            <w:vAlign w:val="bottom"/>
          </w:tcPr>
          <w:p>
            <w:pPr>
              <w:ind w:left="260"/>
              <w:spacing w:after="0"/>
              <w:rPr>
                <w:sz w:val="20"/>
                <w:szCs w:val="20"/>
                <w:color w:val="auto"/>
              </w:rPr>
            </w:pPr>
            <w:r>
              <w:rPr>
                <w:rFonts w:ascii="Arial" w:cs="Arial" w:eastAsia="Arial" w:hAnsi="Arial"/>
                <w:sz w:val="18"/>
                <w:szCs w:val="18"/>
                <w:color w:val="auto"/>
              </w:rPr>
              <w:t>Canada (CAD)</w:t>
            </w:r>
          </w:p>
        </w:tc>
        <w:tc>
          <w:tcPr>
            <w:tcW w:w="158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700" w:type="dxa"/>
            <w:vAlign w:val="bottom"/>
          </w:tcPr>
          <w:p>
            <w:pPr>
              <w:jc w:val="right"/>
              <w:spacing w:after="0"/>
              <w:rPr>
                <w:sz w:val="20"/>
                <w:szCs w:val="20"/>
                <w:color w:val="auto"/>
              </w:rPr>
            </w:pPr>
            <w:r>
              <w:rPr>
                <w:rFonts w:ascii="Arial" w:cs="Arial" w:eastAsia="Arial" w:hAnsi="Arial"/>
                <w:sz w:val="18"/>
                <w:szCs w:val="18"/>
                <w:color w:val="auto"/>
              </w:rPr>
              <w:t>0.78</w:t>
            </w:r>
          </w:p>
        </w:tc>
        <w:tc>
          <w:tcPr>
            <w:tcW w:w="360" w:type="dxa"/>
            <w:vAlign w:val="bottom"/>
            <w:gridSpan w:val="2"/>
          </w:tcPr>
          <w:p>
            <w:pPr>
              <w:jc w:val="right"/>
              <w:ind w:right="40"/>
              <w:spacing w:after="0"/>
              <w:rPr>
                <w:sz w:val="20"/>
                <w:szCs w:val="20"/>
                <w:color w:val="auto"/>
              </w:rPr>
            </w:pPr>
            <w:r>
              <w:rPr>
                <w:rFonts w:ascii="Arial" w:cs="Arial" w:eastAsia="Arial" w:hAnsi="Arial"/>
                <w:sz w:val="18"/>
                <w:szCs w:val="18"/>
                <w:color w:val="auto"/>
              </w:rPr>
              <w:t>$</w:t>
            </w:r>
          </w:p>
        </w:tc>
        <w:tc>
          <w:tcPr>
            <w:tcW w:w="760" w:type="dxa"/>
            <w:vAlign w:val="bottom"/>
          </w:tcPr>
          <w:p>
            <w:pPr>
              <w:jc w:val="right"/>
              <w:spacing w:after="0"/>
              <w:rPr>
                <w:sz w:val="20"/>
                <w:szCs w:val="20"/>
                <w:color w:val="auto"/>
              </w:rPr>
            </w:pPr>
            <w:r>
              <w:rPr>
                <w:rFonts w:ascii="Arial" w:cs="Arial" w:eastAsia="Arial" w:hAnsi="Arial"/>
                <w:sz w:val="18"/>
                <w:szCs w:val="18"/>
                <w:color w:val="auto"/>
              </w:rPr>
              <w:t>0.75</w:t>
            </w:r>
          </w:p>
        </w:tc>
        <w:tc>
          <w:tcPr>
            <w:tcW w:w="220" w:type="dxa"/>
            <w:vAlign w:val="bottom"/>
          </w:tcPr>
          <w:p>
            <w:pPr>
              <w:spacing w:after="0"/>
              <w:rPr>
                <w:sz w:val="19"/>
                <w:szCs w:val="19"/>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820" w:type="dxa"/>
            <w:vAlign w:val="bottom"/>
          </w:tcPr>
          <w:p>
            <w:pPr>
              <w:jc w:val="right"/>
              <w:spacing w:after="0"/>
              <w:rPr>
                <w:sz w:val="20"/>
                <w:szCs w:val="20"/>
                <w:color w:val="auto"/>
              </w:rPr>
            </w:pPr>
            <w:r>
              <w:rPr>
                <w:rFonts w:ascii="Arial" w:cs="Arial" w:eastAsia="Arial" w:hAnsi="Arial"/>
                <w:sz w:val="18"/>
                <w:szCs w:val="18"/>
                <w:color w:val="auto"/>
              </w:rPr>
              <w:t>711</w:t>
            </w:r>
          </w:p>
        </w:tc>
        <w:tc>
          <w:tcPr>
            <w:tcW w:w="40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720" w:type="dxa"/>
            <w:vAlign w:val="bottom"/>
          </w:tcPr>
          <w:p>
            <w:pPr>
              <w:jc w:val="right"/>
              <w:spacing w:after="0"/>
              <w:rPr>
                <w:sz w:val="20"/>
                <w:szCs w:val="20"/>
                <w:color w:val="auto"/>
              </w:rPr>
            </w:pPr>
            <w:r>
              <w:rPr>
                <w:rFonts w:ascii="Arial" w:cs="Arial" w:eastAsia="Arial" w:hAnsi="Arial"/>
                <w:sz w:val="18"/>
                <w:szCs w:val="18"/>
                <w:color w:val="auto"/>
              </w:rPr>
              <w:t>0.78</w:t>
            </w:r>
          </w:p>
        </w:tc>
        <w:tc>
          <w:tcPr>
            <w:tcW w:w="220" w:type="dxa"/>
            <w:vAlign w:val="bottom"/>
          </w:tcPr>
          <w:p>
            <w:pPr>
              <w:spacing w:after="0"/>
              <w:rPr>
                <w:sz w:val="19"/>
                <w:szCs w:val="19"/>
                <w:color w:val="auto"/>
              </w:rPr>
            </w:pPr>
          </w:p>
        </w:tc>
        <w:tc>
          <w:tcPr>
            <w:tcW w:w="200" w:type="dxa"/>
            <w:vAlign w:val="bottom"/>
          </w:tcPr>
          <w:p>
            <w:pPr>
              <w:jc w:val="right"/>
              <w:ind w:right="47"/>
              <w:spacing w:after="0"/>
              <w:rPr>
                <w:sz w:val="20"/>
                <w:szCs w:val="20"/>
                <w:color w:val="auto"/>
              </w:rPr>
            </w:pPr>
            <w:r>
              <w:rPr>
                <w:rFonts w:ascii="Arial" w:cs="Arial" w:eastAsia="Arial" w:hAnsi="Arial"/>
                <w:sz w:val="15"/>
                <w:szCs w:val="15"/>
                <w:color w:val="auto"/>
                <w:w w:val="71"/>
              </w:rPr>
              <w:t>$</w:t>
            </w:r>
          </w:p>
        </w:tc>
        <w:tc>
          <w:tcPr>
            <w:tcW w:w="720" w:type="dxa"/>
            <w:vAlign w:val="bottom"/>
          </w:tcPr>
          <w:p>
            <w:pPr>
              <w:jc w:val="right"/>
              <w:spacing w:after="0"/>
              <w:rPr>
                <w:sz w:val="20"/>
                <w:szCs w:val="20"/>
                <w:color w:val="auto"/>
              </w:rPr>
            </w:pPr>
            <w:r>
              <w:rPr>
                <w:rFonts w:ascii="Arial" w:cs="Arial" w:eastAsia="Arial" w:hAnsi="Arial"/>
                <w:sz w:val="18"/>
                <w:szCs w:val="18"/>
                <w:color w:val="auto"/>
              </w:rPr>
              <w:t>0.75</w:t>
            </w:r>
          </w:p>
        </w:tc>
        <w:tc>
          <w:tcPr>
            <w:tcW w:w="200" w:type="dxa"/>
            <w:vAlign w:val="bottom"/>
          </w:tcPr>
          <w:p>
            <w:pPr>
              <w:spacing w:after="0"/>
              <w:rPr>
                <w:sz w:val="19"/>
                <w:szCs w:val="19"/>
                <w:color w:val="auto"/>
              </w:rPr>
            </w:pP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820" w:type="dxa"/>
            <w:vAlign w:val="bottom"/>
          </w:tcPr>
          <w:p>
            <w:pPr>
              <w:jc w:val="right"/>
              <w:spacing w:after="0"/>
              <w:rPr>
                <w:sz w:val="20"/>
                <w:szCs w:val="20"/>
                <w:color w:val="auto"/>
              </w:rPr>
            </w:pPr>
            <w:r>
              <w:rPr>
                <w:rFonts w:ascii="Arial" w:cs="Arial" w:eastAsia="Arial" w:hAnsi="Arial"/>
                <w:sz w:val="18"/>
                <w:szCs w:val="18"/>
                <w:color w:val="auto"/>
              </w:rPr>
              <w:t>29</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3380" w:type="dxa"/>
            <w:vAlign w:val="bottom"/>
            <w:shd w:val="clear" w:color="auto" w:fill="CFF0FC"/>
          </w:tcPr>
          <w:p>
            <w:pPr>
              <w:ind w:left="260"/>
              <w:spacing w:after="0"/>
              <w:rPr>
                <w:sz w:val="20"/>
                <w:szCs w:val="20"/>
                <w:color w:val="auto"/>
              </w:rPr>
            </w:pPr>
            <w:r>
              <w:rPr>
                <w:rFonts w:ascii="Arial" w:cs="Arial" w:eastAsia="Arial" w:hAnsi="Arial"/>
                <w:sz w:val="18"/>
                <w:szCs w:val="18"/>
                <w:color w:val="auto"/>
              </w:rPr>
              <w:t>United Kingdom (GBP)</w:t>
            </w:r>
          </w:p>
        </w:tc>
        <w:tc>
          <w:tcPr>
            <w:tcW w:w="1580" w:type="dxa"/>
            <w:vAlign w:val="bottom"/>
            <w:gridSpan w:val="2"/>
            <w:shd w:val="clear" w:color="auto" w:fill="CFF0FC"/>
          </w:tcPr>
          <w:p>
            <w:pPr>
              <w:jc w:val="right"/>
              <w:ind w:right="100"/>
              <w:spacing w:after="0"/>
              <w:rPr>
                <w:sz w:val="20"/>
                <w:szCs w:val="20"/>
                <w:color w:val="auto"/>
              </w:rPr>
            </w:pPr>
            <w:r>
              <w:rPr>
                <w:rFonts w:ascii="Arial" w:cs="Arial" w:eastAsia="Arial" w:hAnsi="Arial"/>
                <w:sz w:val="18"/>
                <w:szCs w:val="18"/>
                <w:color w:val="auto"/>
              </w:rPr>
              <w:t>$</w:t>
            </w:r>
          </w:p>
        </w:tc>
        <w:tc>
          <w:tcPr>
            <w:tcW w:w="7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1.39</w:t>
            </w:r>
          </w:p>
        </w:tc>
        <w:tc>
          <w:tcPr>
            <w:tcW w:w="360" w:type="dxa"/>
            <w:vAlign w:val="bottom"/>
            <w:gridSpan w:val="2"/>
            <w:shd w:val="clear" w:color="auto" w:fill="CFF0FC"/>
          </w:tcPr>
          <w:p>
            <w:pPr>
              <w:jc w:val="right"/>
              <w:ind w:right="40"/>
              <w:spacing w:after="0"/>
              <w:rPr>
                <w:sz w:val="20"/>
                <w:szCs w:val="20"/>
                <w:color w:val="auto"/>
              </w:rPr>
            </w:pPr>
            <w:r>
              <w:rPr>
                <w:rFonts w:ascii="Arial" w:cs="Arial" w:eastAsia="Arial" w:hAnsi="Arial"/>
                <w:sz w:val="18"/>
                <w:szCs w:val="18"/>
                <w:color w:val="auto"/>
              </w:rPr>
              <w:t>$</w:t>
            </w:r>
          </w:p>
        </w:tc>
        <w:tc>
          <w:tcPr>
            <w:tcW w:w="7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1.24</w:t>
            </w:r>
          </w:p>
        </w:tc>
        <w:tc>
          <w:tcPr>
            <w:tcW w:w="2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4,123</w:t>
            </w:r>
          </w:p>
        </w:tc>
        <w:tc>
          <w:tcPr>
            <w:tcW w:w="400" w:type="dxa"/>
            <w:vAlign w:val="bottom"/>
            <w:gridSpan w:val="2"/>
            <w:shd w:val="clear" w:color="auto" w:fill="CFF0FC"/>
          </w:tcPr>
          <w:p>
            <w:pPr>
              <w:jc w:val="right"/>
              <w:ind w:right="100"/>
              <w:spacing w:after="0"/>
              <w:rPr>
                <w:sz w:val="20"/>
                <w:szCs w:val="20"/>
                <w:color w:val="auto"/>
              </w:rPr>
            </w:pPr>
            <w:r>
              <w:rPr>
                <w:rFonts w:ascii="Arial" w:cs="Arial" w:eastAsia="Arial" w:hAnsi="Arial"/>
                <w:sz w:val="18"/>
                <w:szCs w:val="18"/>
                <w:color w:val="auto"/>
              </w:rPr>
              <w:t>$</w:t>
            </w:r>
          </w:p>
        </w:tc>
        <w:tc>
          <w:tcPr>
            <w:tcW w:w="7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1.39</w:t>
            </w:r>
          </w:p>
        </w:tc>
        <w:tc>
          <w:tcPr>
            <w:tcW w:w="220" w:type="dxa"/>
            <w:vAlign w:val="bottom"/>
            <w:shd w:val="clear" w:color="auto" w:fill="CFF0FC"/>
          </w:tcPr>
          <w:p>
            <w:pPr>
              <w:spacing w:after="0"/>
              <w:rPr>
                <w:sz w:val="19"/>
                <w:szCs w:val="19"/>
                <w:color w:val="auto"/>
              </w:rPr>
            </w:pPr>
          </w:p>
        </w:tc>
        <w:tc>
          <w:tcPr>
            <w:tcW w:w="200" w:type="dxa"/>
            <w:vAlign w:val="bottom"/>
            <w:shd w:val="clear" w:color="auto" w:fill="CFF0FC"/>
          </w:tcPr>
          <w:p>
            <w:pPr>
              <w:jc w:val="right"/>
              <w:ind w:right="47"/>
              <w:spacing w:after="0"/>
              <w:rPr>
                <w:sz w:val="20"/>
                <w:szCs w:val="20"/>
                <w:color w:val="auto"/>
              </w:rPr>
            </w:pPr>
            <w:r>
              <w:rPr>
                <w:rFonts w:ascii="Arial" w:cs="Arial" w:eastAsia="Arial" w:hAnsi="Arial"/>
                <w:sz w:val="15"/>
                <w:szCs w:val="15"/>
                <w:color w:val="auto"/>
                <w:w w:val="71"/>
              </w:rPr>
              <w:t>$</w:t>
            </w:r>
          </w:p>
        </w:tc>
        <w:tc>
          <w:tcPr>
            <w:tcW w:w="7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1.24</w:t>
            </w:r>
          </w:p>
        </w:tc>
        <w:tc>
          <w:tcPr>
            <w:tcW w:w="2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920" w:type="dxa"/>
            <w:vAlign w:val="bottom"/>
            <w:gridSpan w:val="2"/>
            <w:shd w:val="clear" w:color="auto" w:fill="CFF0FC"/>
          </w:tcPr>
          <w:p>
            <w:pPr>
              <w:jc w:val="right"/>
              <w:ind w:right="40"/>
              <w:spacing w:after="0"/>
              <w:rPr>
                <w:sz w:val="20"/>
                <w:szCs w:val="20"/>
                <w:color w:val="auto"/>
              </w:rPr>
            </w:pPr>
            <w:r>
              <w:rPr>
                <w:rFonts w:ascii="Arial" w:cs="Arial" w:eastAsia="Arial" w:hAnsi="Arial"/>
                <w:sz w:val="18"/>
                <w:szCs w:val="18"/>
                <w:color w:val="auto"/>
              </w:rPr>
              <w:t>(134)</w:t>
            </w:r>
          </w:p>
        </w:tc>
        <w:tc>
          <w:tcPr>
            <w:tcW w:w="0" w:type="dxa"/>
            <w:vAlign w:val="bottom"/>
          </w:tcPr>
          <w:p>
            <w:pPr>
              <w:spacing w:after="0"/>
              <w:rPr>
                <w:sz w:val="1"/>
                <w:szCs w:val="1"/>
                <w:color w:val="auto"/>
              </w:rPr>
            </w:pPr>
          </w:p>
        </w:tc>
      </w:tr>
      <w:tr>
        <w:trPr>
          <w:trHeight w:val="229"/>
        </w:trPr>
        <w:tc>
          <w:tcPr>
            <w:tcW w:w="3380" w:type="dxa"/>
            <w:vAlign w:val="bottom"/>
            <w:tcBorders>
              <w:bottom w:val="single" w:sz="8" w:color="CFF0FC"/>
            </w:tcBorders>
          </w:tcPr>
          <w:p>
            <w:pPr>
              <w:ind w:left="260"/>
              <w:spacing w:after="0"/>
              <w:rPr>
                <w:sz w:val="20"/>
                <w:szCs w:val="20"/>
                <w:color w:val="auto"/>
              </w:rPr>
            </w:pPr>
            <w:r>
              <w:rPr>
                <w:rFonts w:ascii="Arial" w:cs="Arial" w:eastAsia="Arial" w:hAnsi="Arial"/>
                <w:sz w:val="18"/>
                <w:szCs w:val="18"/>
                <w:color w:val="auto"/>
              </w:rPr>
              <w:t>Europe (EUR)</w:t>
            </w:r>
          </w:p>
        </w:tc>
        <w:tc>
          <w:tcPr>
            <w:tcW w:w="1580" w:type="dxa"/>
            <w:vAlign w:val="bottom"/>
            <w:tcBorders>
              <w:bottom w:val="single" w:sz="8" w:color="CFF0FC"/>
            </w:tcBorders>
            <w:gridSpan w:val="2"/>
          </w:tcPr>
          <w:p>
            <w:pPr>
              <w:jc w:val="right"/>
              <w:ind w:right="100"/>
              <w:spacing w:after="0"/>
              <w:rPr>
                <w:sz w:val="20"/>
                <w:szCs w:val="20"/>
                <w:color w:val="auto"/>
              </w:rPr>
            </w:pPr>
            <w:r>
              <w:rPr>
                <w:rFonts w:ascii="Arial" w:cs="Arial" w:eastAsia="Arial" w:hAnsi="Arial"/>
                <w:sz w:val="18"/>
                <w:szCs w:val="18"/>
                <w:color w:val="auto"/>
              </w:rPr>
              <w:t>$</w:t>
            </w:r>
          </w:p>
        </w:tc>
        <w:tc>
          <w:tcPr>
            <w:tcW w:w="700" w:type="dxa"/>
            <w:vAlign w:val="bottom"/>
            <w:tcBorders>
              <w:bottom w:val="single" w:sz="8" w:color="CFF0FC"/>
            </w:tcBorders>
          </w:tcPr>
          <w:p>
            <w:pPr>
              <w:jc w:val="right"/>
              <w:spacing w:after="0"/>
              <w:rPr>
                <w:sz w:val="20"/>
                <w:szCs w:val="20"/>
                <w:color w:val="auto"/>
              </w:rPr>
            </w:pPr>
            <w:r>
              <w:rPr>
                <w:rFonts w:ascii="Arial" w:cs="Arial" w:eastAsia="Arial" w:hAnsi="Arial"/>
                <w:sz w:val="18"/>
                <w:szCs w:val="18"/>
                <w:color w:val="auto"/>
              </w:rPr>
              <w:t>1.23</w:t>
            </w:r>
          </w:p>
        </w:tc>
        <w:tc>
          <w:tcPr>
            <w:tcW w:w="360" w:type="dxa"/>
            <w:vAlign w:val="bottom"/>
            <w:tcBorders>
              <w:bottom w:val="single" w:sz="8" w:color="CFF0FC"/>
            </w:tcBorders>
            <w:gridSpan w:val="2"/>
          </w:tcPr>
          <w:p>
            <w:pPr>
              <w:jc w:val="right"/>
              <w:ind w:right="40"/>
              <w:spacing w:after="0"/>
              <w:rPr>
                <w:sz w:val="20"/>
                <w:szCs w:val="20"/>
                <w:color w:val="auto"/>
              </w:rPr>
            </w:pPr>
            <w:r>
              <w:rPr>
                <w:rFonts w:ascii="Arial" w:cs="Arial" w:eastAsia="Arial" w:hAnsi="Arial"/>
                <w:sz w:val="18"/>
                <w:szCs w:val="18"/>
                <w:color w:val="auto"/>
              </w:rPr>
              <w:t>$</w:t>
            </w:r>
          </w:p>
        </w:tc>
        <w:tc>
          <w:tcPr>
            <w:tcW w:w="760" w:type="dxa"/>
            <w:vAlign w:val="bottom"/>
            <w:tcBorders>
              <w:bottom w:val="single" w:sz="8" w:color="CFF0FC"/>
            </w:tcBorders>
          </w:tcPr>
          <w:p>
            <w:pPr>
              <w:jc w:val="right"/>
              <w:spacing w:after="0"/>
              <w:rPr>
                <w:sz w:val="20"/>
                <w:szCs w:val="20"/>
                <w:color w:val="auto"/>
              </w:rPr>
            </w:pPr>
            <w:r>
              <w:rPr>
                <w:rFonts w:ascii="Arial" w:cs="Arial" w:eastAsia="Arial" w:hAnsi="Arial"/>
                <w:sz w:val="18"/>
                <w:szCs w:val="18"/>
                <w:color w:val="auto"/>
              </w:rPr>
              <w:t>1.07</w:t>
            </w:r>
          </w:p>
        </w:tc>
        <w:tc>
          <w:tcPr>
            <w:tcW w:w="220" w:type="dxa"/>
            <w:vAlign w:val="bottom"/>
            <w:tcBorders>
              <w:bottom w:val="single" w:sz="8" w:color="CFF0FC"/>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968</w:t>
            </w:r>
          </w:p>
        </w:tc>
        <w:tc>
          <w:tcPr>
            <w:tcW w:w="400" w:type="dxa"/>
            <w:vAlign w:val="bottom"/>
            <w:tcBorders>
              <w:bottom w:val="single" w:sz="8" w:color="CFF0FC"/>
            </w:tcBorders>
            <w:gridSpan w:val="2"/>
          </w:tcPr>
          <w:p>
            <w:pPr>
              <w:jc w:val="right"/>
              <w:ind w:right="100"/>
              <w:spacing w:after="0"/>
              <w:rPr>
                <w:sz w:val="20"/>
                <w:szCs w:val="20"/>
                <w:color w:val="auto"/>
              </w:rPr>
            </w:pPr>
            <w:r>
              <w:rPr>
                <w:rFonts w:ascii="Arial" w:cs="Arial" w:eastAsia="Arial" w:hAnsi="Arial"/>
                <w:sz w:val="18"/>
                <w:szCs w:val="18"/>
                <w:color w:val="auto"/>
              </w:rPr>
              <w:t>$</w:t>
            </w:r>
          </w:p>
        </w:tc>
        <w:tc>
          <w:tcPr>
            <w:tcW w:w="720" w:type="dxa"/>
            <w:vAlign w:val="bottom"/>
            <w:tcBorders>
              <w:bottom w:val="single" w:sz="8" w:color="CFF0FC"/>
            </w:tcBorders>
          </w:tcPr>
          <w:p>
            <w:pPr>
              <w:jc w:val="right"/>
              <w:spacing w:after="0"/>
              <w:rPr>
                <w:sz w:val="20"/>
                <w:szCs w:val="20"/>
                <w:color w:val="auto"/>
              </w:rPr>
            </w:pPr>
            <w:r>
              <w:rPr>
                <w:rFonts w:ascii="Arial" w:cs="Arial" w:eastAsia="Arial" w:hAnsi="Arial"/>
                <w:sz w:val="18"/>
                <w:szCs w:val="18"/>
                <w:color w:val="auto"/>
              </w:rPr>
              <w:t>1.23</w:t>
            </w:r>
          </w:p>
        </w:tc>
        <w:tc>
          <w:tcPr>
            <w:tcW w:w="220" w:type="dxa"/>
            <w:vAlign w:val="bottom"/>
            <w:tcBorders>
              <w:bottom w:val="single" w:sz="8" w:color="CFF0FC"/>
            </w:tcBorders>
          </w:tcPr>
          <w:p>
            <w:pPr>
              <w:spacing w:after="0"/>
              <w:rPr>
                <w:sz w:val="19"/>
                <w:szCs w:val="19"/>
                <w:color w:val="auto"/>
              </w:rPr>
            </w:pPr>
          </w:p>
        </w:tc>
        <w:tc>
          <w:tcPr>
            <w:tcW w:w="200" w:type="dxa"/>
            <w:vAlign w:val="bottom"/>
            <w:tcBorders>
              <w:bottom w:val="single" w:sz="8" w:color="CFF0FC"/>
            </w:tcBorders>
          </w:tcPr>
          <w:p>
            <w:pPr>
              <w:jc w:val="right"/>
              <w:ind w:right="47"/>
              <w:spacing w:after="0"/>
              <w:rPr>
                <w:sz w:val="20"/>
                <w:szCs w:val="20"/>
                <w:color w:val="auto"/>
              </w:rPr>
            </w:pPr>
            <w:r>
              <w:rPr>
                <w:rFonts w:ascii="Arial" w:cs="Arial" w:eastAsia="Arial" w:hAnsi="Arial"/>
                <w:sz w:val="15"/>
                <w:szCs w:val="15"/>
                <w:color w:val="auto"/>
                <w:w w:val="71"/>
              </w:rPr>
              <w:t>$</w:t>
            </w:r>
          </w:p>
        </w:tc>
        <w:tc>
          <w:tcPr>
            <w:tcW w:w="720" w:type="dxa"/>
            <w:vAlign w:val="bottom"/>
            <w:tcBorders>
              <w:bottom w:val="single" w:sz="8" w:color="CFF0FC"/>
            </w:tcBorders>
          </w:tcPr>
          <w:p>
            <w:pPr>
              <w:jc w:val="right"/>
              <w:spacing w:after="0"/>
              <w:rPr>
                <w:sz w:val="20"/>
                <w:szCs w:val="20"/>
                <w:color w:val="auto"/>
              </w:rPr>
            </w:pPr>
            <w:r>
              <w:rPr>
                <w:rFonts w:ascii="Arial" w:cs="Arial" w:eastAsia="Arial" w:hAnsi="Arial"/>
                <w:sz w:val="18"/>
                <w:szCs w:val="18"/>
                <w:color w:val="auto"/>
              </w:rPr>
              <w:t>1.07</w:t>
            </w:r>
          </w:p>
        </w:tc>
        <w:tc>
          <w:tcPr>
            <w:tcW w:w="200" w:type="dxa"/>
            <w:vAlign w:val="bottom"/>
            <w:tcBorders>
              <w:bottom w:val="single" w:sz="8" w:color="CFF0FC"/>
            </w:tcBorders>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83</w:t>
            </w:r>
          </w:p>
        </w:tc>
        <w:tc>
          <w:tcPr>
            <w:tcW w:w="100" w:type="dxa"/>
            <w:vAlign w:val="bottom"/>
            <w:tcBorders>
              <w:bottom w:val="single" w:sz="8" w:color="CFF0FC"/>
            </w:tcBorders>
          </w:tcPr>
          <w:p>
            <w:pPr>
              <w:spacing w:after="0"/>
              <w:rPr>
                <w:sz w:val="19"/>
                <w:szCs w:val="19"/>
                <w:color w:val="auto"/>
              </w:rPr>
            </w:pPr>
          </w:p>
        </w:tc>
        <w:tc>
          <w:tcPr>
            <w:tcW w:w="0" w:type="dxa"/>
            <w:vAlign w:val="bottom"/>
          </w:tcPr>
          <w:p>
            <w:pPr>
              <w:spacing w:after="0"/>
              <w:rPr>
                <w:sz w:val="1"/>
                <w:szCs w:val="1"/>
                <w:color w:val="auto"/>
              </w:rPr>
            </w:pPr>
          </w:p>
        </w:tc>
      </w:tr>
      <w:tr>
        <w:trPr>
          <w:trHeight w:val="235"/>
        </w:trPr>
        <w:tc>
          <w:tcPr>
            <w:tcW w:w="3380" w:type="dxa"/>
            <w:vAlign w:val="bottom"/>
            <w:shd w:val="clear" w:color="auto" w:fill="CFF0FC"/>
          </w:tcPr>
          <w:p>
            <w:pPr>
              <w:spacing w:after="0"/>
              <w:rPr>
                <w:sz w:val="20"/>
                <w:szCs w:val="20"/>
                <w:color w:val="auto"/>
              </w:rPr>
            </w:pPr>
          </w:p>
        </w:tc>
        <w:tc>
          <w:tcPr>
            <w:tcW w:w="1380" w:type="dxa"/>
            <w:vAlign w:val="bottom"/>
            <w:shd w:val="clear" w:color="auto" w:fill="CFF0FC"/>
          </w:tcPr>
          <w:p>
            <w:pPr>
              <w:spacing w:after="0"/>
              <w:rPr>
                <w:sz w:val="20"/>
                <w:szCs w:val="20"/>
                <w:color w:val="auto"/>
              </w:rPr>
            </w:pPr>
          </w:p>
        </w:tc>
        <w:tc>
          <w:tcPr>
            <w:tcW w:w="200" w:type="dxa"/>
            <w:vAlign w:val="bottom"/>
            <w:shd w:val="clear" w:color="auto" w:fill="CFF0FC"/>
          </w:tcPr>
          <w:p>
            <w:pPr>
              <w:spacing w:after="0"/>
              <w:rPr>
                <w:sz w:val="20"/>
                <w:szCs w:val="20"/>
                <w:color w:val="auto"/>
              </w:rPr>
            </w:pPr>
          </w:p>
        </w:tc>
        <w:tc>
          <w:tcPr>
            <w:tcW w:w="700" w:type="dxa"/>
            <w:vAlign w:val="bottom"/>
            <w:shd w:val="clear" w:color="auto" w:fill="CFF0FC"/>
          </w:tcPr>
          <w:p>
            <w:pPr>
              <w:spacing w:after="0"/>
              <w:rPr>
                <w:sz w:val="20"/>
                <w:szCs w:val="20"/>
                <w:color w:val="auto"/>
              </w:rPr>
            </w:pPr>
          </w:p>
        </w:tc>
        <w:tc>
          <w:tcPr>
            <w:tcW w:w="220" w:type="dxa"/>
            <w:vAlign w:val="bottom"/>
            <w:shd w:val="clear" w:color="auto" w:fill="CFF0FC"/>
          </w:tcPr>
          <w:p>
            <w:pPr>
              <w:spacing w:after="0"/>
              <w:rPr>
                <w:sz w:val="20"/>
                <w:szCs w:val="20"/>
                <w:color w:val="auto"/>
              </w:rPr>
            </w:pPr>
          </w:p>
        </w:tc>
        <w:tc>
          <w:tcPr>
            <w:tcW w:w="140" w:type="dxa"/>
            <w:vAlign w:val="bottom"/>
            <w:shd w:val="clear" w:color="auto" w:fill="CFF0FC"/>
          </w:tcPr>
          <w:p>
            <w:pPr>
              <w:spacing w:after="0"/>
              <w:rPr>
                <w:sz w:val="20"/>
                <w:szCs w:val="20"/>
                <w:color w:val="auto"/>
              </w:rPr>
            </w:pPr>
          </w:p>
        </w:tc>
        <w:tc>
          <w:tcPr>
            <w:tcW w:w="760" w:type="dxa"/>
            <w:vAlign w:val="bottom"/>
            <w:shd w:val="clear" w:color="auto" w:fill="CFF0FC"/>
          </w:tcPr>
          <w:p>
            <w:pPr>
              <w:spacing w:after="0"/>
              <w:rPr>
                <w:sz w:val="20"/>
                <w:szCs w:val="20"/>
                <w:color w:val="auto"/>
              </w:rPr>
            </w:pPr>
          </w:p>
        </w:tc>
        <w:tc>
          <w:tcPr>
            <w:tcW w:w="220" w:type="dxa"/>
            <w:vAlign w:val="bottom"/>
            <w:shd w:val="clear" w:color="auto" w:fill="CFF0FC"/>
          </w:tcPr>
          <w:p>
            <w:pPr>
              <w:spacing w:after="0"/>
              <w:rPr>
                <w:sz w:val="20"/>
                <w:szCs w:val="20"/>
                <w:color w:val="auto"/>
              </w:rPr>
            </w:pPr>
          </w:p>
        </w:tc>
        <w:tc>
          <w:tcPr>
            <w:tcW w:w="100" w:type="dxa"/>
            <w:vAlign w:val="bottom"/>
            <w:shd w:val="clear" w:color="auto" w:fill="CFF0FC"/>
          </w:tcPr>
          <w:p>
            <w:pPr>
              <w:spacing w:after="0"/>
              <w:rPr>
                <w:sz w:val="20"/>
                <w:szCs w:val="20"/>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5,802</w:t>
            </w:r>
          </w:p>
        </w:tc>
        <w:tc>
          <w:tcPr>
            <w:tcW w:w="200" w:type="dxa"/>
            <w:vAlign w:val="bottom"/>
            <w:shd w:val="clear" w:color="auto" w:fill="CFF0FC"/>
          </w:tcPr>
          <w:p>
            <w:pPr>
              <w:spacing w:after="0"/>
              <w:rPr>
                <w:sz w:val="20"/>
                <w:szCs w:val="20"/>
                <w:color w:val="auto"/>
              </w:rPr>
            </w:pPr>
          </w:p>
        </w:tc>
        <w:tc>
          <w:tcPr>
            <w:tcW w:w="200" w:type="dxa"/>
            <w:vAlign w:val="bottom"/>
            <w:shd w:val="clear" w:color="auto" w:fill="CFF0FC"/>
          </w:tcPr>
          <w:p>
            <w:pPr>
              <w:spacing w:after="0"/>
              <w:rPr>
                <w:sz w:val="20"/>
                <w:szCs w:val="20"/>
                <w:color w:val="auto"/>
              </w:rPr>
            </w:pPr>
          </w:p>
        </w:tc>
        <w:tc>
          <w:tcPr>
            <w:tcW w:w="720" w:type="dxa"/>
            <w:vAlign w:val="bottom"/>
            <w:shd w:val="clear" w:color="auto" w:fill="CFF0FC"/>
          </w:tcPr>
          <w:p>
            <w:pPr>
              <w:spacing w:after="0"/>
              <w:rPr>
                <w:sz w:val="20"/>
                <w:szCs w:val="20"/>
                <w:color w:val="auto"/>
              </w:rPr>
            </w:pPr>
          </w:p>
        </w:tc>
        <w:tc>
          <w:tcPr>
            <w:tcW w:w="220" w:type="dxa"/>
            <w:vAlign w:val="bottom"/>
            <w:shd w:val="clear" w:color="auto" w:fill="CFF0FC"/>
          </w:tcPr>
          <w:p>
            <w:pPr>
              <w:spacing w:after="0"/>
              <w:rPr>
                <w:sz w:val="20"/>
                <w:szCs w:val="20"/>
                <w:color w:val="auto"/>
              </w:rPr>
            </w:pPr>
          </w:p>
        </w:tc>
        <w:tc>
          <w:tcPr>
            <w:tcW w:w="200" w:type="dxa"/>
            <w:vAlign w:val="bottom"/>
            <w:shd w:val="clear" w:color="auto" w:fill="CFF0FC"/>
          </w:tcPr>
          <w:p>
            <w:pPr>
              <w:spacing w:after="0"/>
              <w:rPr>
                <w:sz w:val="20"/>
                <w:szCs w:val="20"/>
                <w:color w:val="auto"/>
              </w:rPr>
            </w:pPr>
          </w:p>
        </w:tc>
        <w:tc>
          <w:tcPr>
            <w:tcW w:w="720" w:type="dxa"/>
            <w:vAlign w:val="bottom"/>
            <w:shd w:val="clear" w:color="auto" w:fill="CFF0FC"/>
          </w:tcPr>
          <w:p>
            <w:pPr>
              <w:spacing w:after="0"/>
              <w:rPr>
                <w:sz w:val="20"/>
                <w:szCs w:val="20"/>
                <w:color w:val="auto"/>
              </w:rPr>
            </w:pPr>
          </w:p>
        </w:tc>
        <w:tc>
          <w:tcPr>
            <w:tcW w:w="200" w:type="dxa"/>
            <w:vAlign w:val="bottom"/>
            <w:shd w:val="clear" w:color="auto" w:fill="CFF0FC"/>
          </w:tcPr>
          <w:p>
            <w:pPr>
              <w:spacing w:after="0"/>
              <w:rPr>
                <w:sz w:val="20"/>
                <w:szCs w:val="20"/>
                <w:color w:val="auto"/>
              </w:rPr>
            </w:pPr>
          </w:p>
        </w:tc>
        <w:tc>
          <w:tcPr>
            <w:tcW w:w="120" w:type="dxa"/>
            <w:vAlign w:val="bottom"/>
            <w:shd w:val="clear" w:color="auto" w:fill="CFF0FC"/>
          </w:tcPr>
          <w:p>
            <w:pPr>
              <w:spacing w:after="0"/>
              <w:rPr>
                <w:sz w:val="20"/>
                <w:szCs w:val="20"/>
                <w:color w:val="auto"/>
              </w:rPr>
            </w:pPr>
          </w:p>
        </w:tc>
        <w:tc>
          <w:tcPr>
            <w:tcW w:w="920" w:type="dxa"/>
            <w:vAlign w:val="bottom"/>
            <w:gridSpan w:val="2"/>
            <w:shd w:val="clear" w:color="auto" w:fill="CFF0FC"/>
          </w:tcPr>
          <w:p>
            <w:pPr>
              <w:jc w:val="right"/>
              <w:ind w:right="40"/>
              <w:spacing w:after="0"/>
              <w:rPr>
                <w:sz w:val="20"/>
                <w:szCs w:val="20"/>
                <w:color w:val="auto"/>
              </w:rPr>
            </w:pPr>
            <w:r>
              <w:rPr>
                <w:rFonts w:ascii="Arial" w:cs="Arial" w:eastAsia="Arial" w:hAnsi="Arial"/>
                <w:sz w:val="18"/>
                <w:szCs w:val="18"/>
                <w:color w:val="auto"/>
              </w:rPr>
              <w:t>(22)</w:t>
            </w:r>
          </w:p>
        </w:tc>
        <w:tc>
          <w:tcPr>
            <w:tcW w:w="0" w:type="dxa"/>
            <w:vAlign w:val="bottom"/>
          </w:tcPr>
          <w:p>
            <w:pPr>
              <w:spacing w:after="0"/>
              <w:rPr>
                <w:sz w:val="1"/>
                <w:szCs w:val="1"/>
                <w:color w:val="auto"/>
              </w:rPr>
            </w:pPr>
          </w:p>
        </w:tc>
      </w:tr>
      <w:tr>
        <w:trPr>
          <w:trHeight w:val="236"/>
        </w:trPr>
        <w:tc>
          <w:tcPr>
            <w:tcW w:w="3380" w:type="dxa"/>
            <w:vAlign w:val="bottom"/>
          </w:tcPr>
          <w:p>
            <w:pPr>
              <w:spacing w:after="0"/>
              <w:rPr>
                <w:sz w:val="20"/>
                <w:szCs w:val="20"/>
                <w:color w:val="auto"/>
              </w:rPr>
            </w:pPr>
            <w:r>
              <w:rPr>
                <w:rFonts w:ascii="Arial" w:cs="Arial" w:eastAsia="Arial" w:hAnsi="Arial"/>
                <w:sz w:val="18"/>
                <w:szCs w:val="18"/>
                <w:color w:val="auto"/>
              </w:rPr>
              <w:t>Pursuit</w:t>
            </w:r>
          </w:p>
        </w:tc>
        <w:tc>
          <w:tcPr>
            <w:tcW w:w="13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35"/>
        </w:trPr>
        <w:tc>
          <w:tcPr>
            <w:tcW w:w="3380" w:type="dxa"/>
            <w:vAlign w:val="bottom"/>
            <w:shd w:val="clear" w:color="auto" w:fill="CFF0FC"/>
          </w:tcPr>
          <w:p>
            <w:pPr>
              <w:ind w:left="260"/>
              <w:spacing w:after="0"/>
              <w:rPr>
                <w:sz w:val="20"/>
                <w:szCs w:val="20"/>
                <w:color w:val="auto"/>
              </w:rPr>
            </w:pPr>
            <w:r>
              <w:rPr>
                <w:rFonts w:ascii="Arial" w:cs="Arial" w:eastAsia="Arial" w:hAnsi="Arial"/>
                <w:sz w:val="18"/>
                <w:szCs w:val="18"/>
                <w:color w:val="auto"/>
              </w:rPr>
              <w:t>Canada (CAD)</w:t>
            </w:r>
          </w:p>
        </w:tc>
        <w:tc>
          <w:tcPr>
            <w:tcW w:w="1580" w:type="dxa"/>
            <w:vAlign w:val="bottom"/>
            <w:gridSpan w:val="2"/>
            <w:shd w:val="clear" w:color="auto" w:fill="CFF0FC"/>
          </w:tcPr>
          <w:p>
            <w:pPr>
              <w:jc w:val="right"/>
              <w:ind w:right="100"/>
              <w:spacing w:after="0"/>
              <w:rPr>
                <w:sz w:val="20"/>
                <w:szCs w:val="20"/>
                <w:color w:val="auto"/>
              </w:rPr>
            </w:pPr>
            <w:r>
              <w:rPr>
                <w:rFonts w:ascii="Arial" w:cs="Arial" w:eastAsia="Arial" w:hAnsi="Arial"/>
                <w:sz w:val="18"/>
                <w:szCs w:val="18"/>
                <w:color w:val="auto"/>
              </w:rPr>
              <w:t>$</w:t>
            </w:r>
          </w:p>
        </w:tc>
        <w:tc>
          <w:tcPr>
            <w:tcW w:w="7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0.79</w:t>
            </w:r>
          </w:p>
        </w:tc>
        <w:tc>
          <w:tcPr>
            <w:tcW w:w="360" w:type="dxa"/>
            <w:vAlign w:val="bottom"/>
            <w:gridSpan w:val="2"/>
            <w:shd w:val="clear" w:color="auto" w:fill="CFF0FC"/>
          </w:tcPr>
          <w:p>
            <w:pPr>
              <w:jc w:val="right"/>
              <w:ind w:right="40"/>
              <w:spacing w:after="0"/>
              <w:rPr>
                <w:sz w:val="20"/>
                <w:szCs w:val="20"/>
                <w:color w:val="auto"/>
              </w:rPr>
            </w:pPr>
            <w:r>
              <w:rPr>
                <w:rFonts w:ascii="Arial" w:cs="Arial" w:eastAsia="Arial" w:hAnsi="Arial"/>
                <w:sz w:val="18"/>
                <w:szCs w:val="18"/>
                <w:color w:val="auto"/>
              </w:rPr>
              <w:t>$</w:t>
            </w:r>
          </w:p>
        </w:tc>
        <w:tc>
          <w:tcPr>
            <w:tcW w:w="7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0.76</w:t>
            </w:r>
          </w:p>
        </w:tc>
        <w:tc>
          <w:tcPr>
            <w:tcW w:w="220" w:type="dxa"/>
            <w:vAlign w:val="bottom"/>
            <w:shd w:val="clear" w:color="auto" w:fill="CFF0FC"/>
          </w:tcPr>
          <w:p>
            <w:pPr>
              <w:spacing w:after="0"/>
              <w:rPr>
                <w:sz w:val="20"/>
                <w:szCs w:val="20"/>
                <w:color w:val="auto"/>
              </w:rPr>
            </w:pPr>
          </w:p>
        </w:tc>
        <w:tc>
          <w:tcPr>
            <w:tcW w:w="100" w:type="dxa"/>
            <w:vAlign w:val="bottom"/>
            <w:shd w:val="clear" w:color="auto" w:fill="CFF0FC"/>
          </w:tcPr>
          <w:p>
            <w:pPr>
              <w:spacing w:after="0"/>
              <w:rPr>
                <w:sz w:val="20"/>
                <w:szCs w:val="20"/>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382</w:t>
            </w:r>
          </w:p>
        </w:tc>
        <w:tc>
          <w:tcPr>
            <w:tcW w:w="400" w:type="dxa"/>
            <w:vAlign w:val="bottom"/>
            <w:gridSpan w:val="2"/>
            <w:shd w:val="clear" w:color="auto" w:fill="CFF0FC"/>
          </w:tcPr>
          <w:p>
            <w:pPr>
              <w:jc w:val="right"/>
              <w:ind w:right="100"/>
              <w:spacing w:after="0"/>
              <w:rPr>
                <w:sz w:val="20"/>
                <w:szCs w:val="20"/>
                <w:color w:val="auto"/>
              </w:rPr>
            </w:pPr>
            <w:r>
              <w:rPr>
                <w:rFonts w:ascii="Arial" w:cs="Arial" w:eastAsia="Arial" w:hAnsi="Arial"/>
                <w:sz w:val="18"/>
                <w:szCs w:val="18"/>
                <w:color w:val="auto"/>
              </w:rPr>
              <w:t>$</w:t>
            </w:r>
          </w:p>
        </w:tc>
        <w:tc>
          <w:tcPr>
            <w:tcW w:w="7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0.79</w:t>
            </w:r>
          </w:p>
        </w:tc>
        <w:tc>
          <w:tcPr>
            <w:tcW w:w="220" w:type="dxa"/>
            <w:vAlign w:val="bottom"/>
            <w:shd w:val="clear" w:color="auto" w:fill="CFF0FC"/>
          </w:tcPr>
          <w:p>
            <w:pPr>
              <w:spacing w:after="0"/>
              <w:rPr>
                <w:sz w:val="20"/>
                <w:szCs w:val="20"/>
                <w:color w:val="auto"/>
              </w:rPr>
            </w:pPr>
          </w:p>
        </w:tc>
        <w:tc>
          <w:tcPr>
            <w:tcW w:w="200" w:type="dxa"/>
            <w:vAlign w:val="bottom"/>
            <w:shd w:val="clear" w:color="auto" w:fill="CFF0FC"/>
          </w:tcPr>
          <w:p>
            <w:pPr>
              <w:jc w:val="right"/>
              <w:ind w:right="47"/>
              <w:spacing w:after="0"/>
              <w:rPr>
                <w:sz w:val="20"/>
                <w:szCs w:val="20"/>
                <w:color w:val="auto"/>
              </w:rPr>
            </w:pPr>
            <w:r>
              <w:rPr>
                <w:rFonts w:ascii="Arial" w:cs="Arial" w:eastAsia="Arial" w:hAnsi="Arial"/>
                <w:sz w:val="15"/>
                <w:szCs w:val="15"/>
                <w:color w:val="auto"/>
                <w:w w:val="71"/>
              </w:rPr>
              <w:t>$</w:t>
            </w:r>
          </w:p>
        </w:tc>
        <w:tc>
          <w:tcPr>
            <w:tcW w:w="7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0.76</w:t>
            </w:r>
          </w:p>
        </w:tc>
        <w:tc>
          <w:tcPr>
            <w:tcW w:w="200" w:type="dxa"/>
            <w:vAlign w:val="bottom"/>
            <w:shd w:val="clear" w:color="auto" w:fill="CFF0FC"/>
          </w:tcPr>
          <w:p>
            <w:pPr>
              <w:spacing w:after="0"/>
              <w:rPr>
                <w:sz w:val="20"/>
                <w:szCs w:val="20"/>
                <w:color w:val="auto"/>
              </w:rPr>
            </w:pPr>
          </w:p>
        </w:tc>
        <w:tc>
          <w:tcPr>
            <w:tcW w:w="120" w:type="dxa"/>
            <w:vAlign w:val="bottom"/>
            <w:shd w:val="clear" w:color="auto" w:fill="CFF0FC"/>
          </w:tcPr>
          <w:p>
            <w:pPr>
              <w:spacing w:after="0"/>
              <w:rPr>
                <w:sz w:val="20"/>
                <w:szCs w:val="20"/>
                <w:color w:val="auto"/>
              </w:rPr>
            </w:pPr>
          </w:p>
        </w:tc>
        <w:tc>
          <w:tcPr>
            <w:tcW w:w="920" w:type="dxa"/>
            <w:vAlign w:val="bottom"/>
            <w:gridSpan w:val="2"/>
            <w:shd w:val="clear" w:color="auto" w:fill="CFF0FC"/>
          </w:tcPr>
          <w:p>
            <w:pPr>
              <w:jc w:val="right"/>
              <w:ind w:right="40"/>
              <w:spacing w:after="0"/>
              <w:rPr>
                <w:sz w:val="20"/>
                <w:szCs w:val="20"/>
                <w:color w:val="auto"/>
              </w:rPr>
            </w:pPr>
            <w:r>
              <w:rPr>
                <w:rFonts w:ascii="Arial" w:cs="Arial" w:eastAsia="Arial" w:hAnsi="Arial"/>
                <w:sz w:val="18"/>
                <w:szCs w:val="18"/>
                <w:color w:val="auto"/>
              </w:rPr>
              <w:t>(213)</w:t>
            </w:r>
          </w:p>
        </w:tc>
        <w:tc>
          <w:tcPr>
            <w:tcW w:w="0" w:type="dxa"/>
            <w:vAlign w:val="bottom"/>
          </w:tcPr>
          <w:p>
            <w:pPr>
              <w:spacing w:after="0"/>
              <w:rPr>
                <w:sz w:val="1"/>
                <w:szCs w:val="1"/>
                <w:color w:val="auto"/>
              </w:rPr>
            </w:pPr>
          </w:p>
        </w:tc>
      </w:tr>
      <w:tr>
        <w:trPr>
          <w:trHeight w:val="20"/>
        </w:trPr>
        <w:tc>
          <w:tcPr>
            <w:tcW w:w="3380" w:type="dxa"/>
            <w:vAlign w:val="bottom"/>
          </w:tcPr>
          <w:p>
            <w:pPr>
              <w:spacing w:after="0" w:line="20" w:lineRule="exact"/>
              <w:rPr>
                <w:sz w:val="1"/>
                <w:szCs w:val="1"/>
                <w:color w:val="auto"/>
              </w:rPr>
            </w:pPr>
          </w:p>
        </w:tc>
        <w:tc>
          <w:tcPr>
            <w:tcW w:w="13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5"/>
        </w:trPr>
        <w:tc>
          <w:tcPr>
            <w:tcW w:w="3380" w:type="dxa"/>
            <w:vAlign w:val="bottom"/>
          </w:tcPr>
          <w:p>
            <w:pPr>
              <w:spacing w:after="0"/>
              <w:rPr>
                <w:sz w:val="20"/>
                <w:szCs w:val="20"/>
                <w:color w:val="auto"/>
              </w:rPr>
            </w:pPr>
          </w:p>
        </w:tc>
        <w:tc>
          <w:tcPr>
            <w:tcW w:w="13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820" w:type="dxa"/>
            <w:vAlign w:val="bottom"/>
          </w:tcPr>
          <w:p>
            <w:pPr>
              <w:jc w:val="right"/>
              <w:spacing w:after="0"/>
              <w:rPr>
                <w:sz w:val="20"/>
                <w:szCs w:val="20"/>
                <w:color w:val="auto"/>
              </w:rPr>
            </w:pPr>
            <w:r>
              <w:rPr>
                <w:rFonts w:ascii="Arial" w:cs="Arial" w:eastAsia="Arial" w:hAnsi="Arial"/>
                <w:sz w:val="18"/>
                <w:szCs w:val="18"/>
                <w:color w:val="auto"/>
              </w:rPr>
              <w:t>6,184</w:t>
            </w:r>
          </w:p>
        </w:tc>
        <w:tc>
          <w:tcPr>
            <w:tcW w:w="2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920" w:type="dxa"/>
            <w:vAlign w:val="bottom"/>
            <w:gridSpan w:val="2"/>
          </w:tcPr>
          <w:p>
            <w:pPr>
              <w:jc w:val="right"/>
              <w:ind w:right="40"/>
              <w:spacing w:after="0"/>
              <w:rPr>
                <w:sz w:val="20"/>
                <w:szCs w:val="20"/>
                <w:color w:val="auto"/>
              </w:rPr>
            </w:pPr>
            <w:r>
              <w:rPr>
                <w:rFonts w:ascii="Arial" w:cs="Arial" w:eastAsia="Arial" w:hAnsi="Arial"/>
                <w:sz w:val="18"/>
                <w:szCs w:val="18"/>
                <w:color w:val="auto"/>
              </w:rPr>
              <w:t>(235)</w:t>
            </w:r>
          </w:p>
        </w:tc>
        <w:tc>
          <w:tcPr>
            <w:tcW w:w="0" w:type="dxa"/>
            <w:vAlign w:val="bottom"/>
          </w:tcPr>
          <w:p>
            <w:pPr>
              <w:spacing w:after="0"/>
              <w:rPr>
                <w:sz w:val="1"/>
                <w:szCs w:val="1"/>
                <w:color w:val="auto"/>
              </w:rPr>
            </w:pPr>
          </w:p>
        </w:tc>
      </w:tr>
      <w:tr>
        <w:trPr>
          <w:trHeight w:val="20"/>
        </w:trPr>
        <w:tc>
          <w:tcPr>
            <w:tcW w:w="3380" w:type="dxa"/>
            <w:vAlign w:val="bottom"/>
          </w:tcPr>
          <w:p>
            <w:pPr>
              <w:spacing w:after="0" w:line="20" w:lineRule="exact"/>
              <w:rPr>
                <w:sz w:val="1"/>
                <w:szCs w:val="1"/>
                <w:color w:val="auto"/>
              </w:rPr>
            </w:pPr>
          </w:p>
        </w:tc>
        <w:tc>
          <w:tcPr>
            <w:tcW w:w="13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93" w:lineRule="exact"/>
        <w:rPr>
          <w:sz w:val="20"/>
          <w:szCs w:val="20"/>
          <w:color w:val="auto"/>
        </w:rPr>
      </w:pPr>
    </w:p>
    <w:p>
      <w:pPr>
        <w:jc w:val="both"/>
        <w:spacing w:after="0" w:line="262" w:lineRule="auto"/>
        <w:rPr>
          <w:sz w:val="20"/>
          <w:szCs w:val="20"/>
          <w:color w:val="auto"/>
        </w:rPr>
      </w:pPr>
      <w:r>
        <w:rPr>
          <w:rFonts w:ascii="Arial" w:cs="Arial" w:eastAsia="Arial" w:hAnsi="Arial"/>
          <w:sz w:val="18"/>
          <w:szCs w:val="18"/>
          <w:color w:val="auto"/>
        </w:rPr>
        <w:t>The 2018 revenue and segment operating results were primarily impacted by the strengthening of the British pound and the Canadian dollar relative to the U.S. dollar. Future changes in the exchange rates may impact overall expected profitability and historical period-to-period comparisons when revenue and segment operating results are translated into U.S. dollars.</w:t>
      </w:r>
    </w:p>
    <w:p>
      <w:pPr>
        <w:spacing w:after="0" w:line="28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Analysis of Revenue and Operating Results by Reportable Segment</w:t>
      </w:r>
    </w:p>
    <w:p>
      <w:pPr>
        <w:spacing w:after="0" w:line="11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GES</w:t>
      </w:r>
    </w:p>
    <w:p>
      <w:pPr>
        <w:spacing w:after="0" w:line="120" w:lineRule="exact"/>
        <w:rPr>
          <w:sz w:val="20"/>
          <w:szCs w:val="20"/>
          <w:color w:val="auto"/>
        </w:rPr>
      </w:pPr>
    </w:p>
    <w:p>
      <w:pPr>
        <w:jc w:val="both"/>
        <w:ind w:right="20"/>
        <w:spacing w:after="0" w:line="275" w:lineRule="auto"/>
        <w:rPr>
          <w:sz w:val="20"/>
          <w:szCs w:val="20"/>
          <w:color w:val="auto"/>
        </w:rPr>
      </w:pPr>
      <w:r>
        <w:rPr>
          <w:rFonts w:ascii="Arial" w:cs="Arial" w:eastAsia="Arial" w:hAnsi="Arial"/>
          <w:sz w:val="18"/>
          <w:szCs w:val="18"/>
          <w:color w:val="auto"/>
        </w:rPr>
        <w:t>The following table presents a comparison of GES’ reported revenue and segment operating results to organic revenue</w:t>
      </w:r>
      <w:r>
        <w:rPr>
          <w:rFonts w:ascii="Arial" w:cs="Arial" w:eastAsia="Arial" w:hAnsi="Arial"/>
          <w:sz w:val="15"/>
          <w:szCs w:val="15"/>
          <w:color w:val="auto"/>
        </w:rPr>
        <w:t>(1)</w:t>
      </w:r>
      <w:r>
        <w:rPr>
          <w:rFonts w:ascii="Arial" w:cs="Arial" w:eastAsia="Arial" w:hAnsi="Arial"/>
          <w:sz w:val="18"/>
          <w:szCs w:val="18"/>
          <w:color w:val="auto"/>
        </w:rPr>
        <w:t xml:space="preserve"> and organic segment operating results</w:t>
      </w:r>
      <w:r>
        <w:rPr>
          <w:rFonts w:ascii="Arial" w:cs="Arial" w:eastAsia="Arial" w:hAnsi="Arial"/>
          <w:sz w:val="15"/>
          <w:szCs w:val="15"/>
          <w:color w:val="auto"/>
        </w:rPr>
        <w:t>(1)</w:t>
      </w:r>
      <w:r>
        <w:rPr>
          <w:rFonts w:ascii="Arial" w:cs="Arial" w:eastAsia="Arial" w:hAnsi="Arial"/>
          <w:sz w:val="18"/>
          <w:szCs w:val="18"/>
          <w:color w:val="auto"/>
        </w:rPr>
        <w:t xml:space="preserve"> for the three months ended March 31, 2018 and 2017.</w:t>
      </w:r>
    </w:p>
    <w:p>
      <w:pPr>
        <w:spacing w:after="0" w:line="257"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32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660" w:type="dxa"/>
            <w:vAlign w:val="bottom"/>
            <w:gridSpan w:val="5"/>
          </w:tcPr>
          <w:p>
            <w:pPr>
              <w:ind w:left="20"/>
              <w:spacing w:after="0"/>
              <w:rPr>
                <w:sz w:val="20"/>
                <w:szCs w:val="20"/>
                <w:color w:val="auto"/>
              </w:rPr>
            </w:pPr>
            <w:r>
              <w:rPr>
                <w:rFonts w:ascii="Arial" w:cs="Arial" w:eastAsia="Arial" w:hAnsi="Arial"/>
                <w:sz w:val="14"/>
                <w:szCs w:val="14"/>
                <w:b w:val="1"/>
                <w:bCs w:val="1"/>
                <w:color w:val="auto"/>
              </w:rPr>
              <w:t>Three Months Ended</w:t>
            </w:r>
          </w:p>
        </w:tc>
        <w:tc>
          <w:tcPr>
            <w:tcW w:w="12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840" w:type="dxa"/>
            <w:vAlign w:val="bottom"/>
            <w:gridSpan w:val="7"/>
          </w:tcPr>
          <w:p>
            <w:pPr>
              <w:jc w:val="center"/>
              <w:ind w:left="414"/>
              <w:spacing w:after="0"/>
              <w:rPr>
                <w:sz w:val="20"/>
                <w:szCs w:val="20"/>
                <w:color w:val="auto"/>
              </w:rPr>
            </w:pPr>
            <w:r>
              <w:rPr>
                <w:rFonts w:ascii="Arial" w:cs="Arial" w:eastAsia="Arial" w:hAnsi="Arial"/>
                <w:sz w:val="14"/>
                <w:szCs w:val="14"/>
                <w:b w:val="1"/>
                <w:bCs w:val="1"/>
                <w:color w:val="auto"/>
                <w:w w:val="93"/>
              </w:rPr>
              <w:t>Three Months Ended</w:t>
            </w:r>
          </w:p>
        </w:tc>
        <w:tc>
          <w:tcPr>
            <w:tcW w:w="6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27"/>
        </w:trPr>
        <w:tc>
          <w:tcPr>
            <w:tcW w:w="322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620" w:type="dxa"/>
            <w:vAlign w:val="bottom"/>
            <w:tcBorders>
              <w:bottom w:val="single" w:sz="8" w:color="auto"/>
            </w:tcBorders>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1660" w:type="dxa"/>
            <w:vAlign w:val="bottom"/>
            <w:tcBorders>
              <w:bottom w:val="single" w:sz="8" w:color="auto"/>
            </w:tcBorders>
            <w:gridSpan w:val="5"/>
          </w:tcPr>
          <w:p>
            <w:pPr>
              <w:ind w:left="200"/>
              <w:spacing w:after="0"/>
              <w:rPr>
                <w:sz w:val="20"/>
                <w:szCs w:val="20"/>
                <w:color w:val="auto"/>
              </w:rPr>
            </w:pPr>
            <w:r>
              <w:rPr>
                <w:rFonts w:ascii="Arial" w:cs="Arial" w:eastAsia="Arial" w:hAnsi="Arial"/>
                <w:sz w:val="14"/>
                <w:szCs w:val="14"/>
                <w:b w:val="1"/>
                <w:bCs w:val="1"/>
                <w:color w:val="auto"/>
              </w:rPr>
              <w:t>March 31, 2018</w:t>
            </w:r>
          </w:p>
        </w:tc>
        <w:tc>
          <w:tcPr>
            <w:tcW w:w="120" w:type="dxa"/>
            <w:vAlign w:val="bottom"/>
            <w:tcBorders>
              <w:bottom w:val="single" w:sz="8" w:color="auto"/>
            </w:tcBorders>
          </w:tcPr>
          <w:p>
            <w:pPr>
              <w:spacing w:after="0"/>
              <w:rPr>
                <w:sz w:val="19"/>
                <w:szCs w:val="19"/>
                <w:color w:val="auto"/>
              </w:rPr>
            </w:pPr>
          </w:p>
        </w:tc>
        <w:tc>
          <w:tcPr>
            <w:tcW w:w="600" w:type="dxa"/>
            <w:vAlign w:val="bottom"/>
            <w:tcBorders>
              <w:bottom w:val="single" w:sz="8" w:color="auto"/>
            </w:tcBorders>
          </w:tcPr>
          <w:p>
            <w:pPr>
              <w:spacing w:after="0"/>
              <w:rPr>
                <w:sz w:val="19"/>
                <w:szCs w:val="19"/>
                <w:color w:val="auto"/>
              </w:rPr>
            </w:pPr>
          </w:p>
        </w:tc>
        <w:tc>
          <w:tcPr>
            <w:tcW w:w="180" w:type="dxa"/>
            <w:vAlign w:val="bottom"/>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600" w:type="dxa"/>
            <w:vAlign w:val="bottom"/>
            <w:tcBorders>
              <w:bottom w:val="single" w:sz="8" w:color="auto"/>
            </w:tcBorders>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gridSpan w:val="4"/>
          </w:tcPr>
          <w:p>
            <w:pPr>
              <w:jc w:val="center"/>
              <w:ind w:right="80"/>
              <w:spacing w:after="0"/>
              <w:rPr>
                <w:sz w:val="20"/>
                <w:szCs w:val="20"/>
                <w:color w:val="auto"/>
              </w:rPr>
            </w:pPr>
            <w:r>
              <w:rPr>
                <w:rFonts w:ascii="Arial" w:cs="Arial" w:eastAsia="Arial" w:hAnsi="Arial"/>
                <w:sz w:val="14"/>
                <w:szCs w:val="14"/>
                <w:b w:val="1"/>
                <w:bCs w:val="1"/>
                <w:color w:val="auto"/>
                <w:w w:val="94"/>
              </w:rPr>
              <w:t>March 31, 2017</w:t>
            </w:r>
          </w:p>
        </w:tc>
        <w:tc>
          <w:tcPr>
            <w:tcW w:w="100" w:type="dxa"/>
            <w:vAlign w:val="bottom"/>
            <w:tcBorders>
              <w:bottom w:val="single" w:sz="8" w:color="auto"/>
            </w:tcBorders>
          </w:tcPr>
          <w:p>
            <w:pPr>
              <w:spacing w:after="0"/>
              <w:rPr>
                <w:sz w:val="19"/>
                <w:szCs w:val="19"/>
                <w:color w:val="auto"/>
              </w:rPr>
            </w:pPr>
          </w:p>
        </w:tc>
        <w:tc>
          <w:tcPr>
            <w:tcW w:w="620" w:type="dxa"/>
            <w:vAlign w:val="bottom"/>
            <w:tcBorders>
              <w:bottom w:val="single" w:sz="8" w:color="auto"/>
            </w:tcBorders>
          </w:tcPr>
          <w:p>
            <w:pPr>
              <w:spacing w:after="0"/>
              <w:rPr>
                <w:sz w:val="19"/>
                <w:szCs w:val="19"/>
                <w:color w:val="auto"/>
              </w:rPr>
            </w:pPr>
          </w:p>
        </w:tc>
        <w:tc>
          <w:tcPr>
            <w:tcW w:w="180" w:type="dxa"/>
            <w:vAlign w:val="bottom"/>
          </w:tcPr>
          <w:p>
            <w:pPr>
              <w:spacing w:after="0"/>
              <w:rPr>
                <w:sz w:val="19"/>
                <w:szCs w:val="19"/>
                <w:color w:val="auto"/>
              </w:rPr>
            </w:pPr>
          </w:p>
        </w:tc>
        <w:tc>
          <w:tcPr>
            <w:tcW w:w="1640" w:type="dxa"/>
            <w:vAlign w:val="bottom"/>
            <w:tcBorders>
              <w:bottom w:val="single" w:sz="8" w:color="auto"/>
            </w:tcBorders>
            <w:gridSpan w:val="3"/>
          </w:tcPr>
          <w:p>
            <w:pPr>
              <w:jc w:val="right"/>
              <w:ind w:right="513"/>
              <w:spacing w:after="0"/>
              <w:rPr>
                <w:sz w:val="20"/>
                <w:szCs w:val="20"/>
                <w:color w:val="auto"/>
              </w:rPr>
            </w:pPr>
            <w:r>
              <w:rPr>
                <w:rFonts w:ascii="Arial" w:cs="Arial" w:eastAsia="Arial" w:hAnsi="Arial"/>
                <w:sz w:val="14"/>
                <w:szCs w:val="14"/>
                <w:b w:val="1"/>
                <w:bCs w:val="1"/>
                <w:color w:val="auto"/>
              </w:rPr>
              <w:t>Change</w:t>
            </w:r>
          </w:p>
        </w:tc>
        <w:tc>
          <w:tcPr>
            <w:tcW w:w="2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32"/>
        </w:trPr>
        <w:tc>
          <w:tcPr>
            <w:tcW w:w="32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0" w:type="dxa"/>
            <w:vAlign w:val="bottom"/>
            <w:gridSpan w:val="2"/>
          </w:tcPr>
          <w:p>
            <w:pPr>
              <w:jc w:val="right"/>
              <w:ind w:right="480"/>
              <w:spacing w:after="0" w:line="132" w:lineRule="exact"/>
              <w:rPr>
                <w:sz w:val="20"/>
                <w:szCs w:val="20"/>
                <w:color w:val="auto"/>
              </w:rPr>
            </w:pPr>
            <w:r>
              <w:rPr>
                <w:rFonts w:ascii="Arial" w:cs="Arial" w:eastAsia="Arial" w:hAnsi="Arial"/>
                <w:sz w:val="14"/>
                <w:szCs w:val="14"/>
                <w:b w:val="1"/>
                <w:bCs w:val="1"/>
                <w:color w:val="auto"/>
              </w:rPr>
              <w:t>As</w:t>
            </w:r>
          </w:p>
        </w:tc>
        <w:tc>
          <w:tcPr>
            <w:tcW w:w="760" w:type="dxa"/>
            <w:vAlign w:val="bottom"/>
            <w:gridSpan w:val="2"/>
            <w:vMerge w:val="restart"/>
          </w:tcPr>
          <w:p>
            <w:pPr>
              <w:spacing w:after="0"/>
              <w:rPr>
                <w:sz w:val="20"/>
                <w:szCs w:val="20"/>
                <w:color w:val="auto"/>
              </w:rPr>
            </w:pPr>
            <w:r>
              <w:rPr>
                <w:rFonts w:ascii="Arial" w:cs="Arial" w:eastAsia="Arial" w:hAnsi="Arial"/>
                <w:sz w:val="14"/>
                <w:szCs w:val="14"/>
                <w:b w:val="1"/>
                <w:bCs w:val="1"/>
                <w:color w:val="auto"/>
                <w:w w:val="88"/>
              </w:rPr>
              <w:t>Acquisitions</w:t>
            </w: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40" w:type="dxa"/>
            <w:vAlign w:val="bottom"/>
            <w:gridSpan w:val="2"/>
          </w:tcPr>
          <w:p>
            <w:pPr>
              <w:jc w:val="right"/>
              <w:ind w:right="342"/>
              <w:spacing w:after="0" w:line="132" w:lineRule="exact"/>
              <w:rPr>
                <w:sz w:val="20"/>
                <w:szCs w:val="20"/>
                <w:color w:val="auto"/>
              </w:rPr>
            </w:pPr>
            <w:r>
              <w:rPr>
                <w:rFonts w:ascii="Arial" w:cs="Arial" w:eastAsia="Arial" w:hAnsi="Arial"/>
                <w:sz w:val="14"/>
                <w:szCs w:val="14"/>
                <w:b w:val="1"/>
                <w:bCs w:val="1"/>
                <w:color w:val="auto"/>
              </w:rPr>
              <w:t>FX</w:t>
            </w:r>
          </w:p>
        </w:tc>
        <w:tc>
          <w:tcPr>
            <w:tcW w:w="900" w:type="dxa"/>
            <w:vAlign w:val="bottom"/>
            <w:gridSpan w:val="3"/>
            <w:vMerge w:val="restart"/>
          </w:tcPr>
          <w:p>
            <w:pPr>
              <w:jc w:val="right"/>
              <w:ind w:right="220"/>
              <w:spacing w:after="0"/>
              <w:rPr>
                <w:sz w:val="20"/>
                <w:szCs w:val="20"/>
                <w:color w:val="auto"/>
              </w:rPr>
            </w:pPr>
            <w:r>
              <w:rPr>
                <w:rFonts w:ascii="Arial" w:cs="Arial" w:eastAsia="Arial" w:hAnsi="Arial"/>
                <w:sz w:val="14"/>
                <w:szCs w:val="14"/>
                <w:b w:val="1"/>
                <w:bCs w:val="1"/>
                <w:color w:val="auto"/>
                <w:w w:val="97"/>
              </w:rPr>
              <w:t>Organic</w:t>
            </w:r>
            <w:r>
              <w:rPr>
                <w:rFonts w:ascii="Arial" w:cs="Arial" w:eastAsia="Arial" w:hAnsi="Arial"/>
                <w:sz w:val="12"/>
                <w:szCs w:val="12"/>
                <w:b w:val="1"/>
                <w:bCs w:val="1"/>
                <w:color w:val="auto"/>
                <w:w w:val="97"/>
              </w:rPr>
              <w:t>(1)</w:t>
            </w:r>
          </w:p>
        </w:tc>
        <w:tc>
          <w:tcPr>
            <w:tcW w:w="120" w:type="dxa"/>
            <w:vAlign w:val="bottom"/>
          </w:tcPr>
          <w:p>
            <w:pPr>
              <w:spacing w:after="0"/>
              <w:rPr>
                <w:sz w:val="11"/>
                <w:szCs w:val="11"/>
                <w:color w:val="auto"/>
              </w:rPr>
            </w:pPr>
          </w:p>
        </w:tc>
        <w:tc>
          <w:tcPr>
            <w:tcW w:w="680" w:type="dxa"/>
            <w:vAlign w:val="bottom"/>
            <w:gridSpan w:val="2"/>
          </w:tcPr>
          <w:p>
            <w:pPr>
              <w:jc w:val="right"/>
              <w:ind w:right="360"/>
              <w:spacing w:after="0" w:line="132" w:lineRule="exact"/>
              <w:rPr>
                <w:sz w:val="20"/>
                <w:szCs w:val="20"/>
                <w:color w:val="auto"/>
              </w:rPr>
            </w:pPr>
            <w:r>
              <w:rPr>
                <w:rFonts w:ascii="Arial" w:cs="Arial" w:eastAsia="Arial" w:hAnsi="Arial"/>
                <w:sz w:val="14"/>
                <w:szCs w:val="14"/>
                <w:b w:val="1"/>
                <w:bCs w:val="1"/>
                <w:color w:val="auto"/>
              </w:rPr>
              <w:t>As</w:t>
            </w:r>
          </w:p>
        </w:tc>
        <w:tc>
          <w:tcPr>
            <w:tcW w:w="1060" w:type="dxa"/>
            <w:vAlign w:val="bottom"/>
            <w:gridSpan w:val="4"/>
            <w:vMerge w:val="restart"/>
          </w:tcPr>
          <w:p>
            <w:pPr>
              <w:jc w:val="right"/>
              <w:ind w:right="200"/>
              <w:spacing w:after="0"/>
              <w:rPr>
                <w:sz w:val="20"/>
                <w:szCs w:val="20"/>
                <w:color w:val="auto"/>
              </w:rPr>
            </w:pPr>
            <w:r>
              <w:rPr>
                <w:rFonts w:ascii="Arial" w:cs="Arial" w:eastAsia="Arial" w:hAnsi="Arial"/>
                <w:sz w:val="14"/>
                <w:szCs w:val="14"/>
                <w:b w:val="1"/>
                <w:bCs w:val="1"/>
                <w:color w:val="auto"/>
                <w:w w:val="99"/>
              </w:rPr>
              <w:t>Acquisitions</w:t>
            </w:r>
          </w:p>
        </w:tc>
        <w:tc>
          <w:tcPr>
            <w:tcW w:w="900" w:type="dxa"/>
            <w:vAlign w:val="bottom"/>
            <w:gridSpan w:val="3"/>
            <w:vMerge w:val="restart"/>
          </w:tcPr>
          <w:p>
            <w:pPr>
              <w:jc w:val="right"/>
              <w:ind w:right="220"/>
              <w:spacing w:after="0"/>
              <w:rPr>
                <w:sz w:val="20"/>
                <w:szCs w:val="20"/>
                <w:color w:val="auto"/>
              </w:rPr>
            </w:pPr>
            <w:r>
              <w:rPr>
                <w:rFonts w:ascii="Arial" w:cs="Arial" w:eastAsia="Arial" w:hAnsi="Arial"/>
                <w:sz w:val="14"/>
                <w:szCs w:val="14"/>
                <w:b w:val="1"/>
                <w:bCs w:val="1"/>
                <w:color w:val="auto"/>
                <w:w w:val="97"/>
              </w:rPr>
              <w:t>Organic</w:t>
            </w:r>
            <w:r>
              <w:rPr>
                <w:rFonts w:ascii="Arial" w:cs="Arial" w:eastAsia="Arial" w:hAnsi="Arial"/>
                <w:sz w:val="12"/>
                <w:szCs w:val="12"/>
                <w:b w:val="1"/>
                <w:bCs w:val="1"/>
                <w:color w:val="auto"/>
                <w:w w:val="97"/>
              </w:rPr>
              <w:t>(1)</w:t>
            </w:r>
          </w:p>
        </w:tc>
        <w:tc>
          <w:tcPr>
            <w:tcW w:w="980" w:type="dxa"/>
            <w:vAlign w:val="bottom"/>
            <w:gridSpan w:val="2"/>
          </w:tcPr>
          <w:p>
            <w:pPr>
              <w:jc w:val="right"/>
              <w:ind w:right="580"/>
              <w:spacing w:after="0" w:line="132" w:lineRule="exact"/>
              <w:rPr>
                <w:sz w:val="20"/>
                <w:szCs w:val="20"/>
                <w:color w:val="auto"/>
              </w:rPr>
            </w:pPr>
            <w:r>
              <w:rPr>
                <w:rFonts w:ascii="Arial" w:cs="Arial" w:eastAsia="Arial" w:hAnsi="Arial"/>
                <w:sz w:val="14"/>
                <w:szCs w:val="14"/>
                <w:b w:val="1"/>
                <w:bCs w:val="1"/>
                <w:color w:val="auto"/>
              </w:rPr>
              <w:t>As</w:t>
            </w:r>
          </w:p>
        </w:tc>
        <w:tc>
          <w:tcPr>
            <w:tcW w:w="880" w:type="dxa"/>
            <w:vAlign w:val="bottom"/>
            <w:gridSpan w:val="2"/>
            <w:vMerge w:val="restart"/>
          </w:tcPr>
          <w:p>
            <w:pPr>
              <w:jc w:val="right"/>
              <w:ind w:right="240"/>
              <w:spacing w:after="0"/>
              <w:rPr>
                <w:sz w:val="20"/>
                <w:szCs w:val="20"/>
                <w:color w:val="auto"/>
              </w:rPr>
            </w:pPr>
            <w:r>
              <w:rPr>
                <w:rFonts w:ascii="Arial" w:cs="Arial" w:eastAsia="Arial" w:hAnsi="Arial"/>
                <w:sz w:val="14"/>
                <w:szCs w:val="14"/>
                <w:b w:val="1"/>
                <w:bCs w:val="1"/>
                <w:color w:val="auto"/>
                <w:w w:val="91"/>
              </w:rPr>
              <w:t>Organic</w:t>
            </w:r>
            <w:r>
              <w:rPr>
                <w:rFonts w:ascii="Arial" w:cs="Arial" w:eastAsia="Arial" w:hAnsi="Arial"/>
                <w:sz w:val="12"/>
                <w:szCs w:val="12"/>
                <w:b w:val="1"/>
                <w:bCs w:val="1"/>
                <w:color w:val="auto"/>
                <w:w w:val="91"/>
              </w:rPr>
              <w:t>(1)</w:t>
            </w:r>
          </w:p>
        </w:tc>
        <w:tc>
          <w:tcPr>
            <w:tcW w:w="0" w:type="dxa"/>
            <w:vAlign w:val="bottom"/>
          </w:tcPr>
          <w:p>
            <w:pPr>
              <w:spacing w:after="0"/>
              <w:rPr>
                <w:sz w:val="1"/>
                <w:szCs w:val="1"/>
                <w:color w:val="auto"/>
              </w:rPr>
            </w:pPr>
          </w:p>
        </w:tc>
      </w:tr>
      <w:tr>
        <w:trPr>
          <w:trHeight w:val="171"/>
        </w:trPr>
        <w:tc>
          <w:tcPr>
            <w:tcW w:w="3220" w:type="dxa"/>
            <w:vAlign w:val="bottom"/>
          </w:tcPr>
          <w:p>
            <w:pPr>
              <w:spacing w:after="0"/>
              <w:rPr>
                <w:sz w:val="20"/>
                <w:szCs w:val="20"/>
                <w:color w:val="auto"/>
              </w:rPr>
            </w:pPr>
            <w:r>
              <w:rPr>
                <w:rFonts w:ascii="Arial" w:cs="Arial" w:eastAsia="Arial" w:hAnsi="Arial"/>
                <w:sz w:val="14"/>
                <w:szCs w:val="14"/>
                <w:i w:val="1"/>
                <w:iCs w:val="1"/>
                <w:color w:val="auto"/>
              </w:rPr>
              <w:t>(in thousands)</w:t>
            </w:r>
          </w:p>
        </w:tc>
        <w:tc>
          <w:tcPr>
            <w:tcW w:w="900" w:type="dxa"/>
            <w:vAlign w:val="bottom"/>
            <w:gridSpan w:val="3"/>
          </w:tcPr>
          <w:p>
            <w:pPr>
              <w:jc w:val="right"/>
              <w:ind w:right="260"/>
              <w:spacing w:after="0"/>
              <w:rPr>
                <w:sz w:val="20"/>
                <w:szCs w:val="20"/>
                <w:color w:val="auto"/>
              </w:rPr>
            </w:pPr>
            <w:r>
              <w:rPr>
                <w:rFonts w:ascii="Arial" w:cs="Arial" w:eastAsia="Arial" w:hAnsi="Arial"/>
                <w:sz w:val="14"/>
                <w:szCs w:val="14"/>
                <w:b w:val="1"/>
                <w:bCs w:val="1"/>
                <w:color w:val="auto"/>
              </w:rPr>
              <w:t>Reported</w:t>
            </w:r>
          </w:p>
        </w:tc>
        <w:tc>
          <w:tcPr>
            <w:tcW w:w="760" w:type="dxa"/>
            <w:vAlign w:val="bottom"/>
            <w:gridSpan w:val="2"/>
            <w:vMerge w:val="continue"/>
          </w:tcPr>
          <w:p>
            <w:pPr>
              <w:spacing w:after="0"/>
              <w:rPr>
                <w:sz w:val="14"/>
                <w:szCs w:val="14"/>
                <w:color w:val="auto"/>
              </w:rPr>
            </w:pPr>
          </w:p>
        </w:tc>
        <w:tc>
          <w:tcPr>
            <w:tcW w:w="2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40" w:type="dxa"/>
            <w:vAlign w:val="bottom"/>
            <w:gridSpan w:val="2"/>
          </w:tcPr>
          <w:p>
            <w:pPr>
              <w:jc w:val="right"/>
              <w:ind w:right="202"/>
              <w:spacing w:after="0"/>
              <w:rPr>
                <w:sz w:val="20"/>
                <w:szCs w:val="20"/>
                <w:color w:val="auto"/>
              </w:rPr>
            </w:pPr>
            <w:r>
              <w:rPr>
                <w:rFonts w:ascii="Arial" w:cs="Arial" w:eastAsia="Arial" w:hAnsi="Arial"/>
                <w:sz w:val="14"/>
                <w:szCs w:val="14"/>
                <w:b w:val="1"/>
                <w:bCs w:val="1"/>
                <w:color w:val="auto"/>
                <w:w w:val="97"/>
              </w:rPr>
              <w:t>Impact</w:t>
            </w:r>
          </w:p>
        </w:tc>
        <w:tc>
          <w:tcPr>
            <w:tcW w:w="900" w:type="dxa"/>
            <w:vAlign w:val="bottom"/>
            <w:gridSpan w:val="3"/>
            <w:vMerge w:val="continue"/>
          </w:tcPr>
          <w:p>
            <w:pPr>
              <w:spacing w:after="0"/>
              <w:rPr>
                <w:sz w:val="14"/>
                <w:szCs w:val="14"/>
                <w:color w:val="auto"/>
              </w:rPr>
            </w:pPr>
          </w:p>
        </w:tc>
        <w:tc>
          <w:tcPr>
            <w:tcW w:w="800" w:type="dxa"/>
            <w:vAlign w:val="bottom"/>
            <w:gridSpan w:val="3"/>
          </w:tcPr>
          <w:p>
            <w:pPr>
              <w:jc w:val="right"/>
              <w:ind w:right="160"/>
              <w:spacing w:after="0"/>
              <w:rPr>
                <w:sz w:val="20"/>
                <w:szCs w:val="20"/>
                <w:color w:val="auto"/>
              </w:rPr>
            </w:pPr>
            <w:r>
              <w:rPr>
                <w:rFonts w:ascii="Arial" w:cs="Arial" w:eastAsia="Arial" w:hAnsi="Arial"/>
                <w:sz w:val="14"/>
                <w:szCs w:val="14"/>
                <w:b w:val="1"/>
                <w:bCs w:val="1"/>
                <w:color w:val="auto"/>
              </w:rPr>
              <w:t>Reported</w:t>
            </w:r>
          </w:p>
        </w:tc>
        <w:tc>
          <w:tcPr>
            <w:tcW w:w="1060" w:type="dxa"/>
            <w:vAlign w:val="bottom"/>
            <w:gridSpan w:val="4"/>
            <w:vMerge w:val="continue"/>
          </w:tcPr>
          <w:p>
            <w:pPr>
              <w:spacing w:after="0"/>
              <w:rPr>
                <w:sz w:val="14"/>
                <w:szCs w:val="14"/>
                <w:color w:val="auto"/>
              </w:rPr>
            </w:pPr>
          </w:p>
        </w:tc>
        <w:tc>
          <w:tcPr>
            <w:tcW w:w="900" w:type="dxa"/>
            <w:vAlign w:val="bottom"/>
            <w:gridSpan w:val="3"/>
            <w:vMerge w:val="continue"/>
          </w:tcPr>
          <w:p>
            <w:pPr>
              <w:spacing w:after="0"/>
              <w:rPr>
                <w:sz w:val="14"/>
                <w:szCs w:val="14"/>
                <w:color w:val="auto"/>
              </w:rPr>
            </w:pPr>
          </w:p>
        </w:tc>
        <w:tc>
          <w:tcPr>
            <w:tcW w:w="980" w:type="dxa"/>
            <w:vAlign w:val="bottom"/>
            <w:gridSpan w:val="2"/>
          </w:tcPr>
          <w:p>
            <w:pPr>
              <w:jc w:val="right"/>
              <w:ind w:right="360"/>
              <w:spacing w:after="0"/>
              <w:rPr>
                <w:sz w:val="20"/>
                <w:szCs w:val="20"/>
                <w:color w:val="auto"/>
              </w:rPr>
            </w:pPr>
            <w:r>
              <w:rPr>
                <w:rFonts w:ascii="Arial" w:cs="Arial" w:eastAsia="Arial" w:hAnsi="Arial"/>
                <w:sz w:val="14"/>
                <w:szCs w:val="14"/>
                <w:b w:val="1"/>
                <w:bCs w:val="1"/>
                <w:color w:val="auto"/>
                <w:w w:val="97"/>
              </w:rPr>
              <w:t>Reported</w:t>
            </w:r>
          </w:p>
        </w:tc>
        <w:tc>
          <w:tcPr>
            <w:tcW w:w="880" w:type="dxa"/>
            <w:vAlign w:val="bottom"/>
            <w:gridSpan w:val="2"/>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22"/>
        </w:trPr>
        <w:tc>
          <w:tcPr>
            <w:tcW w:w="322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8"/>
                <w:szCs w:val="18"/>
                <w:b w:val="1"/>
                <w:bCs w:val="1"/>
                <w:color w:val="auto"/>
              </w:rPr>
              <w:t>Revenue:</w:t>
            </w:r>
          </w:p>
        </w:tc>
        <w:tc>
          <w:tcPr>
            <w:tcW w:w="100" w:type="dxa"/>
            <w:vAlign w:val="bottom"/>
            <w:tcBorders>
              <w:top w:val="single" w:sz="8" w:color="auto"/>
            </w:tcBorders>
            <w:shd w:val="clear" w:color="auto" w:fill="CFF0FC"/>
          </w:tcPr>
          <w:p>
            <w:pPr>
              <w:spacing w:after="0"/>
              <w:rPr>
                <w:sz w:val="19"/>
                <w:szCs w:val="19"/>
                <w:color w:val="auto"/>
              </w:rPr>
            </w:pPr>
          </w:p>
        </w:tc>
        <w:tc>
          <w:tcPr>
            <w:tcW w:w="620" w:type="dxa"/>
            <w:vAlign w:val="bottom"/>
            <w:tcBorders>
              <w:top w:val="single" w:sz="8" w:color="auto"/>
            </w:tcBorders>
            <w:shd w:val="clear" w:color="auto" w:fill="CFF0FC"/>
          </w:tcPr>
          <w:p>
            <w:pPr>
              <w:spacing w:after="0"/>
              <w:rPr>
                <w:sz w:val="19"/>
                <w:szCs w:val="19"/>
                <w:color w:val="auto"/>
              </w:rPr>
            </w:pPr>
          </w:p>
        </w:tc>
        <w:tc>
          <w:tcPr>
            <w:tcW w:w="180" w:type="dxa"/>
            <w:vAlign w:val="bottom"/>
            <w:tcBorders>
              <w:top w:val="single" w:sz="8" w:color="CFF0FC"/>
              <w:right w:val="single" w:sz="8" w:color="CFF0FC"/>
            </w:tcBorders>
            <w:shd w:val="clear" w:color="auto" w:fill="CFF0FC"/>
          </w:tcPr>
          <w:p>
            <w:pPr>
              <w:spacing w:after="0"/>
              <w:rPr>
                <w:sz w:val="19"/>
                <w:szCs w:val="19"/>
                <w:color w:val="auto"/>
              </w:rPr>
            </w:pPr>
          </w:p>
        </w:tc>
        <w:tc>
          <w:tcPr>
            <w:tcW w:w="120" w:type="dxa"/>
            <w:vAlign w:val="bottom"/>
            <w:tcBorders>
              <w:top w:val="single" w:sz="8" w:color="auto"/>
            </w:tcBorders>
            <w:shd w:val="clear" w:color="auto" w:fill="CFF0FC"/>
          </w:tcPr>
          <w:p>
            <w:pPr>
              <w:spacing w:after="0"/>
              <w:rPr>
                <w:sz w:val="19"/>
                <w:szCs w:val="19"/>
                <w:color w:val="auto"/>
              </w:rPr>
            </w:pPr>
          </w:p>
        </w:tc>
        <w:tc>
          <w:tcPr>
            <w:tcW w:w="640" w:type="dxa"/>
            <w:vAlign w:val="bottom"/>
            <w:tcBorders>
              <w:top w:val="single" w:sz="8" w:color="auto"/>
            </w:tcBorders>
            <w:shd w:val="clear" w:color="auto" w:fill="CFF0FC"/>
          </w:tcPr>
          <w:p>
            <w:pPr>
              <w:spacing w:after="0"/>
              <w:rPr>
                <w:sz w:val="19"/>
                <w:szCs w:val="19"/>
                <w:color w:val="auto"/>
              </w:rPr>
            </w:pPr>
          </w:p>
        </w:tc>
        <w:tc>
          <w:tcPr>
            <w:tcW w:w="200" w:type="dxa"/>
            <w:vAlign w:val="bottom"/>
            <w:tcBorders>
              <w:top w:val="single" w:sz="8" w:color="CFF0FC"/>
            </w:tcBorders>
            <w:shd w:val="clear" w:color="auto" w:fill="CFF0FC"/>
          </w:tcPr>
          <w:p>
            <w:pPr>
              <w:spacing w:after="0"/>
              <w:rPr>
                <w:sz w:val="19"/>
                <w:szCs w:val="19"/>
                <w:color w:val="auto"/>
              </w:rPr>
            </w:pPr>
          </w:p>
        </w:tc>
        <w:tc>
          <w:tcPr>
            <w:tcW w:w="80" w:type="dxa"/>
            <w:vAlign w:val="bottom"/>
            <w:tcBorders>
              <w:top w:val="single" w:sz="8" w:color="auto"/>
            </w:tcBorders>
            <w:shd w:val="clear" w:color="auto" w:fill="CFF0FC"/>
          </w:tcPr>
          <w:p>
            <w:pPr>
              <w:spacing w:after="0"/>
              <w:rPr>
                <w:sz w:val="19"/>
                <w:szCs w:val="19"/>
                <w:color w:val="auto"/>
              </w:rPr>
            </w:pPr>
          </w:p>
        </w:tc>
        <w:tc>
          <w:tcPr>
            <w:tcW w:w="560" w:type="dxa"/>
            <w:vAlign w:val="bottom"/>
            <w:tcBorders>
              <w:top w:val="single" w:sz="8" w:color="auto"/>
            </w:tcBorders>
            <w:shd w:val="clear" w:color="auto" w:fill="CFF0FC"/>
          </w:tcPr>
          <w:p>
            <w:pPr>
              <w:spacing w:after="0"/>
              <w:rPr>
                <w:sz w:val="19"/>
                <w:szCs w:val="19"/>
                <w:color w:val="auto"/>
              </w:rPr>
            </w:pPr>
          </w:p>
        </w:tc>
        <w:tc>
          <w:tcPr>
            <w:tcW w:w="180" w:type="dxa"/>
            <w:vAlign w:val="bottom"/>
            <w:tcBorders>
              <w:top w:val="single" w:sz="8" w:color="CFF0FC"/>
            </w:tcBorders>
            <w:shd w:val="clear" w:color="auto" w:fill="CFF0FC"/>
          </w:tcPr>
          <w:p>
            <w:pPr>
              <w:spacing w:after="0"/>
              <w:rPr>
                <w:sz w:val="19"/>
                <w:szCs w:val="19"/>
                <w:color w:val="auto"/>
              </w:rPr>
            </w:pPr>
          </w:p>
        </w:tc>
        <w:tc>
          <w:tcPr>
            <w:tcW w:w="120" w:type="dxa"/>
            <w:vAlign w:val="bottom"/>
            <w:tcBorders>
              <w:top w:val="single" w:sz="8" w:color="auto"/>
            </w:tcBorders>
            <w:shd w:val="clear" w:color="auto" w:fill="CFF0FC"/>
          </w:tcPr>
          <w:p>
            <w:pPr>
              <w:spacing w:after="0"/>
              <w:rPr>
                <w:sz w:val="19"/>
                <w:szCs w:val="19"/>
                <w:color w:val="auto"/>
              </w:rPr>
            </w:pPr>
          </w:p>
        </w:tc>
        <w:tc>
          <w:tcPr>
            <w:tcW w:w="600" w:type="dxa"/>
            <w:vAlign w:val="bottom"/>
            <w:tcBorders>
              <w:top w:val="single" w:sz="8" w:color="auto"/>
            </w:tcBorders>
            <w:shd w:val="clear" w:color="auto" w:fill="CFF0FC"/>
          </w:tcPr>
          <w:p>
            <w:pPr>
              <w:spacing w:after="0"/>
              <w:rPr>
                <w:sz w:val="19"/>
                <w:szCs w:val="19"/>
                <w:color w:val="auto"/>
              </w:rPr>
            </w:pPr>
          </w:p>
        </w:tc>
        <w:tc>
          <w:tcPr>
            <w:tcW w:w="180" w:type="dxa"/>
            <w:vAlign w:val="bottom"/>
            <w:tcBorders>
              <w:top w:val="single" w:sz="8" w:color="CFF0FC"/>
            </w:tcBorders>
            <w:shd w:val="clear" w:color="auto" w:fill="CFF0FC"/>
          </w:tcPr>
          <w:p>
            <w:pPr>
              <w:spacing w:after="0"/>
              <w:rPr>
                <w:sz w:val="19"/>
                <w:szCs w:val="19"/>
                <w:color w:val="auto"/>
              </w:rPr>
            </w:pPr>
          </w:p>
        </w:tc>
        <w:tc>
          <w:tcPr>
            <w:tcW w:w="120" w:type="dxa"/>
            <w:vAlign w:val="bottom"/>
            <w:tcBorders>
              <w:top w:val="single" w:sz="8" w:color="auto"/>
            </w:tcBorders>
            <w:shd w:val="clear" w:color="auto" w:fill="CFF0FC"/>
          </w:tcPr>
          <w:p>
            <w:pPr>
              <w:spacing w:after="0"/>
              <w:rPr>
                <w:sz w:val="19"/>
                <w:szCs w:val="19"/>
                <w:color w:val="auto"/>
              </w:rPr>
            </w:pPr>
          </w:p>
        </w:tc>
        <w:tc>
          <w:tcPr>
            <w:tcW w:w="600" w:type="dxa"/>
            <w:vAlign w:val="bottom"/>
            <w:tcBorders>
              <w:top w:val="single" w:sz="8" w:color="auto"/>
            </w:tcBorders>
            <w:shd w:val="clear" w:color="auto" w:fill="CFF0FC"/>
          </w:tcPr>
          <w:p>
            <w:pPr>
              <w:spacing w:after="0"/>
              <w:rPr>
                <w:sz w:val="19"/>
                <w:szCs w:val="19"/>
                <w:color w:val="auto"/>
              </w:rPr>
            </w:pPr>
          </w:p>
        </w:tc>
        <w:tc>
          <w:tcPr>
            <w:tcW w:w="80" w:type="dxa"/>
            <w:vAlign w:val="bottom"/>
            <w:tcBorders>
              <w:top w:val="single" w:sz="8" w:color="CFF0FC"/>
            </w:tcBorders>
            <w:shd w:val="clear" w:color="auto" w:fill="CFF0FC"/>
          </w:tcPr>
          <w:p>
            <w:pPr>
              <w:spacing w:after="0"/>
              <w:rPr>
                <w:sz w:val="19"/>
                <w:szCs w:val="19"/>
                <w:color w:val="auto"/>
              </w:rPr>
            </w:pPr>
          </w:p>
        </w:tc>
        <w:tc>
          <w:tcPr>
            <w:tcW w:w="120" w:type="dxa"/>
            <w:vAlign w:val="bottom"/>
            <w:tcBorders>
              <w:top w:val="single" w:sz="8" w:color="CFF0FC"/>
            </w:tcBorders>
            <w:shd w:val="clear" w:color="auto" w:fill="CFF0FC"/>
          </w:tcPr>
          <w:p>
            <w:pPr>
              <w:spacing w:after="0"/>
              <w:rPr>
                <w:sz w:val="19"/>
                <w:szCs w:val="19"/>
                <w:color w:val="auto"/>
              </w:rPr>
            </w:pPr>
          </w:p>
        </w:tc>
        <w:tc>
          <w:tcPr>
            <w:tcW w:w="320" w:type="dxa"/>
            <w:vAlign w:val="bottom"/>
            <w:tcBorders>
              <w:top w:val="single" w:sz="8" w:color="auto"/>
            </w:tcBorders>
            <w:shd w:val="clear" w:color="auto" w:fill="CFF0FC"/>
          </w:tcPr>
          <w:p>
            <w:pPr>
              <w:spacing w:after="0"/>
              <w:rPr>
                <w:sz w:val="19"/>
                <w:szCs w:val="19"/>
                <w:color w:val="auto"/>
              </w:rPr>
            </w:pPr>
          </w:p>
        </w:tc>
        <w:tc>
          <w:tcPr>
            <w:tcW w:w="440" w:type="dxa"/>
            <w:vAlign w:val="bottom"/>
            <w:tcBorders>
              <w:top w:val="single" w:sz="8" w:color="auto"/>
            </w:tcBorders>
            <w:shd w:val="clear" w:color="auto" w:fill="CFF0FC"/>
          </w:tcPr>
          <w:p>
            <w:pPr>
              <w:spacing w:after="0"/>
              <w:rPr>
                <w:sz w:val="19"/>
                <w:szCs w:val="19"/>
                <w:color w:val="auto"/>
              </w:rPr>
            </w:pPr>
          </w:p>
        </w:tc>
        <w:tc>
          <w:tcPr>
            <w:tcW w:w="180" w:type="dxa"/>
            <w:vAlign w:val="bottom"/>
            <w:tcBorders>
              <w:top w:val="single" w:sz="8" w:color="CFF0FC"/>
              <w:right w:val="single" w:sz="8" w:color="CFF0FC"/>
            </w:tcBorders>
            <w:shd w:val="clear" w:color="auto" w:fill="CFF0FC"/>
          </w:tcPr>
          <w:p>
            <w:pPr>
              <w:spacing w:after="0"/>
              <w:rPr>
                <w:sz w:val="19"/>
                <w:szCs w:val="19"/>
                <w:color w:val="auto"/>
              </w:rPr>
            </w:pPr>
          </w:p>
        </w:tc>
        <w:tc>
          <w:tcPr>
            <w:tcW w:w="100" w:type="dxa"/>
            <w:vAlign w:val="bottom"/>
            <w:tcBorders>
              <w:top w:val="single" w:sz="8" w:color="auto"/>
            </w:tcBorders>
            <w:shd w:val="clear" w:color="auto" w:fill="CFF0FC"/>
          </w:tcPr>
          <w:p>
            <w:pPr>
              <w:spacing w:after="0"/>
              <w:rPr>
                <w:sz w:val="19"/>
                <w:szCs w:val="19"/>
                <w:color w:val="auto"/>
              </w:rPr>
            </w:pPr>
          </w:p>
        </w:tc>
        <w:tc>
          <w:tcPr>
            <w:tcW w:w="620" w:type="dxa"/>
            <w:vAlign w:val="bottom"/>
            <w:tcBorders>
              <w:top w:val="single" w:sz="8" w:color="auto"/>
            </w:tcBorders>
            <w:shd w:val="clear" w:color="auto" w:fill="CFF0FC"/>
          </w:tcPr>
          <w:p>
            <w:pPr>
              <w:spacing w:after="0"/>
              <w:rPr>
                <w:sz w:val="19"/>
                <w:szCs w:val="19"/>
                <w:color w:val="auto"/>
              </w:rPr>
            </w:pPr>
          </w:p>
        </w:tc>
        <w:tc>
          <w:tcPr>
            <w:tcW w:w="180" w:type="dxa"/>
            <w:vAlign w:val="bottom"/>
            <w:tcBorders>
              <w:top w:val="single" w:sz="8" w:color="CFF0FC"/>
            </w:tcBorders>
            <w:shd w:val="clear" w:color="auto" w:fill="CFF0FC"/>
          </w:tcPr>
          <w:p>
            <w:pPr>
              <w:spacing w:after="0"/>
              <w:rPr>
                <w:sz w:val="19"/>
                <w:szCs w:val="19"/>
                <w:color w:val="auto"/>
              </w:rPr>
            </w:pPr>
          </w:p>
        </w:tc>
        <w:tc>
          <w:tcPr>
            <w:tcW w:w="660" w:type="dxa"/>
            <w:vAlign w:val="bottom"/>
            <w:tcBorders>
              <w:top w:val="single" w:sz="8" w:color="auto"/>
            </w:tcBorders>
            <w:shd w:val="clear" w:color="auto" w:fill="CFF0FC"/>
          </w:tcPr>
          <w:p>
            <w:pPr>
              <w:spacing w:after="0"/>
              <w:rPr>
                <w:sz w:val="19"/>
                <w:szCs w:val="19"/>
                <w:color w:val="auto"/>
              </w:rPr>
            </w:pPr>
          </w:p>
        </w:tc>
        <w:tc>
          <w:tcPr>
            <w:tcW w:w="320" w:type="dxa"/>
            <w:vAlign w:val="bottom"/>
            <w:tcBorders>
              <w:top w:val="single" w:sz="8" w:color="CFF0FC"/>
            </w:tcBorders>
            <w:shd w:val="clear" w:color="auto" w:fill="CFF0FC"/>
          </w:tcPr>
          <w:p>
            <w:pPr>
              <w:spacing w:after="0"/>
              <w:rPr>
                <w:sz w:val="19"/>
                <w:szCs w:val="19"/>
                <w:color w:val="auto"/>
              </w:rPr>
            </w:pPr>
          </w:p>
        </w:tc>
        <w:tc>
          <w:tcPr>
            <w:tcW w:w="660" w:type="dxa"/>
            <w:vAlign w:val="bottom"/>
            <w:tcBorders>
              <w:top w:val="single" w:sz="8" w:color="auto"/>
            </w:tcBorders>
            <w:shd w:val="clear" w:color="auto" w:fill="CFF0FC"/>
          </w:tcPr>
          <w:p>
            <w:pPr>
              <w:spacing w:after="0"/>
              <w:rPr>
                <w:sz w:val="19"/>
                <w:szCs w:val="19"/>
                <w:color w:val="auto"/>
              </w:rPr>
            </w:pPr>
          </w:p>
        </w:tc>
        <w:tc>
          <w:tcPr>
            <w:tcW w:w="220" w:type="dxa"/>
            <w:vAlign w:val="bottom"/>
            <w:tcBorders>
              <w:top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3220" w:type="dxa"/>
            <w:vAlign w:val="bottom"/>
          </w:tcPr>
          <w:p>
            <w:pPr>
              <w:spacing w:after="0"/>
              <w:rPr>
                <w:sz w:val="20"/>
                <w:szCs w:val="20"/>
                <w:color w:val="auto"/>
              </w:rPr>
            </w:pPr>
            <w:r>
              <w:rPr>
                <w:rFonts w:ascii="Arial" w:cs="Arial" w:eastAsia="Arial" w:hAnsi="Arial"/>
                <w:sz w:val="18"/>
                <w:szCs w:val="18"/>
                <w:color w:val="auto"/>
              </w:rPr>
              <w:t>GES:</w:t>
            </w:r>
          </w:p>
        </w:tc>
        <w:tc>
          <w:tcPr>
            <w:tcW w:w="10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3220" w:type="dxa"/>
            <w:vAlign w:val="bottom"/>
            <w:shd w:val="clear" w:color="auto" w:fill="CFF0FC"/>
          </w:tcPr>
          <w:p>
            <w:pPr>
              <w:ind w:left="260"/>
              <w:spacing w:after="0"/>
              <w:rPr>
                <w:sz w:val="20"/>
                <w:szCs w:val="20"/>
                <w:color w:val="auto"/>
              </w:rPr>
            </w:pPr>
            <w:r>
              <w:rPr>
                <w:rFonts w:ascii="Arial" w:cs="Arial" w:eastAsia="Arial" w:hAnsi="Arial"/>
                <w:sz w:val="18"/>
                <w:szCs w:val="18"/>
                <w:color w:val="auto"/>
              </w:rPr>
              <w:t>U.S.</w:t>
            </w:r>
          </w:p>
        </w:tc>
        <w:tc>
          <w:tcPr>
            <w:tcW w:w="100" w:type="dxa"/>
            <w:vAlign w:val="bottom"/>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620" w:type="dxa"/>
            <w:vAlign w:val="bottom"/>
            <w:shd w:val="clear" w:color="auto" w:fill="CFF0FC"/>
          </w:tcPr>
          <w:p>
            <w:pPr>
              <w:jc w:val="right"/>
              <w:spacing w:after="0"/>
              <w:rPr>
                <w:sz w:val="20"/>
                <w:szCs w:val="20"/>
                <w:color w:val="auto"/>
              </w:rPr>
            </w:pPr>
            <w:r>
              <w:rPr>
                <w:rFonts w:ascii="Arial" w:cs="Arial" w:eastAsia="Arial" w:hAnsi="Arial"/>
                <w:sz w:val="18"/>
                <w:szCs w:val="18"/>
                <w:color w:val="auto"/>
                <w:w w:val="89"/>
              </w:rPr>
              <w:t>203,868</w:t>
            </w:r>
          </w:p>
        </w:tc>
        <w:tc>
          <w:tcPr>
            <w:tcW w:w="180" w:type="dxa"/>
            <w:vAlign w:val="bottom"/>
            <w:tcBorders>
              <w:right w:val="single" w:sz="8" w:color="CFF0FC"/>
            </w:tcBorders>
            <w:shd w:val="clear" w:color="auto" w:fill="CFF0FC"/>
          </w:tcPr>
          <w:p>
            <w:pPr>
              <w:spacing w:after="0"/>
              <w:rPr>
                <w:sz w:val="19"/>
                <w:szCs w:val="19"/>
                <w:color w:val="auto"/>
              </w:rPr>
            </w:pPr>
          </w:p>
        </w:tc>
        <w:tc>
          <w:tcPr>
            <w:tcW w:w="120" w:type="dxa"/>
            <w:vAlign w:val="bottom"/>
            <w:shd w:val="clear" w:color="auto" w:fill="CFF0FC"/>
          </w:tcPr>
          <w:p>
            <w:pPr>
              <w:spacing w:after="0"/>
              <w:rPr>
                <w:sz w:val="20"/>
                <w:szCs w:val="20"/>
                <w:color w:val="auto"/>
              </w:rPr>
            </w:pPr>
            <w:r>
              <w:rPr>
                <w:rFonts w:ascii="Arial" w:cs="Arial" w:eastAsia="Arial" w:hAnsi="Arial"/>
                <w:sz w:val="18"/>
                <w:szCs w:val="18"/>
                <w:color w:val="auto"/>
                <w:w w:val="99"/>
              </w:rPr>
              <w:t>$</w:t>
            </w:r>
          </w:p>
        </w:tc>
        <w:tc>
          <w:tcPr>
            <w:tcW w:w="640" w:type="dxa"/>
            <w:vAlign w:val="bottom"/>
            <w:shd w:val="clear" w:color="auto" w:fill="CFF0FC"/>
          </w:tcPr>
          <w:p>
            <w:pPr>
              <w:ind w:left="460"/>
              <w:spacing w:after="0"/>
              <w:rPr>
                <w:sz w:val="20"/>
                <w:szCs w:val="20"/>
                <w:color w:val="auto"/>
              </w:rPr>
            </w:pPr>
            <w:r>
              <w:rPr>
                <w:rFonts w:ascii="Arial" w:cs="Arial" w:eastAsia="Arial" w:hAnsi="Arial"/>
                <w:sz w:val="18"/>
                <w:szCs w:val="18"/>
                <w:color w:val="auto"/>
                <w:w w:val="88"/>
              </w:rPr>
              <w:t>—</w:t>
            </w:r>
          </w:p>
        </w:tc>
        <w:tc>
          <w:tcPr>
            <w:tcW w:w="28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740" w:type="dxa"/>
            <w:vAlign w:val="bottom"/>
            <w:gridSpan w:val="2"/>
            <w:shd w:val="clear" w:color="auto" w:fill="CFF0FC"/>
          </w:tcPr>
          <w:p>
            <w:pPr>
              <w:jc w:val="right"/>
              <w:ind w:right="122"/>
              <w:spacing w:after="0"/>
              <w:rPr>
                <w:sz w:val="20"/>
                <w:szCs w:val="20"/>
                <w:color w:val="auto"/>
              </w:rPr>
            </w:pPr>
            <w:r>
              <w:rPr>
                <w:rFonts w:ascii="Arial" w:cs="Arial" w:eastAsia="Arial" w:hAnsi="Arial"/>
                <w:sz w:val="18"/>
                <w:szCs w:val="18"/>
                <w:color w:val="auto"/>
              </w:rPr>
              <w:t>—</w:t>
            </w:r>
          </w:p>
        </w:tc>
        <w:tc>
          <w:tcPr>
            <w:tcW w:w="120" w:type="dxa"/>
            <w:vAlign w:val="bottom"/>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600" w:type="dxa"/>
            <w:vAlign w:val="bottom"/>
            <w:shd w:val="clear" w:color="auto" w:fill="CFF0FC"/>
          </w:tcPr>
          <w:p>
            <w:pPr>
              <w:jc w:val="right"/>
              <w:spacing w:after="0"/>
              <w:rPr>
                <w:sz w:val="20"/>
                <w:szCs w:val="20"/>
                <w:color w:val="auto"/>
              </w:rPr>
            </w:pPr>
            <w:r>
              <w:rPr>
                <w:rFonts w:ascii="Arial" w:cs="Arial" w:eastAsia="Arial" w:hAnsi="Arial"/>
                <w:sz w:val="18"/>
                <w:szCs w:val="18"/>
                <w:color w:val="auto"/>
                <w:w w:val="86"/>
              </w:rPr>
              <w:t>203,868</w:t>
            </w:r>
          </w:p>
        </w:tc>
        <w:tc>
          <w:tcPr>
            <w:tcW w:w="180" w:type="dxa"/>
            <w:vAlign w:val="bottom"/>
            <w:shd w:val="clear" w:color="auto" w:fill="CFF0FC"/>
          </w:tcPr>
          <w:p>
            <w:pPr>
              <w:spacing w:after="0"/>
              <w:rPr>
                <w:sz w:val="19"/>
                <w:szCs w:val="19"/>
                <w:color w:val="auto"/>
              </w:rPr>
            </w:pPr>
          </w:p>
        </w:tc>
        <w:tc>
          <w:tcPr>
            <w:tcW w:w="120" w:type="dxa"/>
            <w:vAlign w:val="bottom"/>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600" w:type="dxa"/>
            <w:vAlign w:val="bottom"/>
            <w:shd w:val="clear" w:color="auto" w:fill="CFF0FC"/>
          </w:tcPr>
          <w:p>
            <w:pPr>
              <w:jc w:val="right"/>
              <w:spacing w:after="0"/>
              <w:rPr>
                <w:sz w:val="20"/>
                <w:szCs w:val="20"/>
                <w:color w:val="auto"/>
              </w:rPr>
            </w:pPr>
            <w:r>
              <w:rPr>
                <w:rFonts w:ascii="Arial" w:cs="Arial" w:eastAsia="Arial" w:hAnsi="Arial"/>
                <w:sz w:val="18"/>
                <w:szCs w:val="18"/>
                <w:color w:val="auto"/>
                <w:w w:val="86"/>
              </w:rPr>
              <w:t>257,211</w:t>
            </w:r>
          </w:p>
        </w:tc>
        <w:tc>
          <w:tcPr>
            <w:tcW w:w="80" w:type="dxa"/>
            <w:vAlign w:val="bottom"/>
            <w:shd w:val="clear" w:color="auto" w:fill="CFF0FC"/>
          </w:tcPr>
          <w:p>
            <w:pPr>
              <w:spacing w:after="0"/>
              <w:rPr>
                <w:sz w:val="19"/>
                <w:szCs w:val="19"/>
                <w:color w:val="auto"/>
              </w:rPr>
            </w:pPr>
          </w:p>
        </w:tc>
        <w:tc>
          <w:tcPr>
            <w:tcW w:w="440" w:type="dxa"/>
            <w:vAlign w:val="bottom"/>
            <w:gridSpan w:val="2"/>
            <w:shd w:val="clear" w:color="auto" w:fill="CFF0FC"/>
          </w:tcPr>
          <w:p>
            <w:pPr>
              <w:jc w:val="right"/>
              <w:ind w:right="167"/>
              <w:spacing w:after="0"/>
              <w:rPr>
                <w:sz w:val="20"/>
                <w:szCs w:val="20"/>
                <w:color w:val="auto"/>
              </w:rPr>
            </w:pPr>
            <w:r>
              <w:rPr>
                <w:rFonts w:ascii="Arial" w:cs="Arial" w:eastAsia="Arial" w:hAnsi="Arial"/>
                <w:sz w:val="18"/>
                <w:szCs w:val="18"/>
                <w:color w:val="auto"/>
              </w:rPr>
              <w:t>$</w:t>
            </w:r>
          </w:p>
        </w:tc>
        <w:tc>
          <w:tcPr>
            <w:tcW w:w="620" w:type="dxa"/>
            <w:vAlign w:val="bottom"/>
            <w:tcBorders>
              <w:right w:val="single" w:sz="8" w:color="CFF0FC"/>
            </w:tcBorders>
            <w:gridSpan w:val="2"/>
            <w:shd w:val="clear" w:color="auto" w:fill="CFF0FC"/>
          </w:tcPr>
          <w:p>
            <w:pPr>
              <w:jc w:val="right"/>
              <w:ind w:right="200"/>
              <w:spacing w:after="0"/>
              <w:rPr>
                <w:sz w:val="20"/>
                <w:szCs w:val="20"/>
                <w:color w:val="auto"/>
              </w:rPr>
            </w:pPr>
            <w:r>
              <w:rPr>
                <w:rFonts w:ascii="Arial" w:cs="Arial" w:eastAsia="Arial" w:hAnsi="Arial"/>
                <w:sz w:val="18"/>
                <w:szCs w:val="18"/>
                <w:color w:val="auto"/>
              </w:rPr>
              <w:t>—</w:t>
            </w:r>
          </w:p>
        </w:tc>
        <w:tc>
          <w:tcPr>
            <w:tcW w:w="100" w:type="dxa"/>
            <w:vAlign w:val="bottom"/>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620" w:type="dxa"/>
            <w:vAlign w:val="bottom"/>
            <w:shd w:val="clear" w:color="auto" w:fill="CFF0FC"/>
          </w:tcPr>
          <w:p>
            <w:pPr>
              <w:jc w:val="right"/>
              <w:spacing w:after="0"/>
              <w:rPr>
                <w:sz w:val="20"/>
                <w:szCs w:val="20"/>
                <w:color w:val="auto"/>
              </w:rPr>
            </w:pPr>
            <w:r>
              <w:rPr>
                <w:rFonts w:ascii="Arial" w:cs="Arial" w:eastAsia="Arial" w:hAnsi="Arial"/>
                <w:sz w:val="18"/>
                <w:szCs w:val="18"/>
                <w:color w:val="auto"/>
                <w:w w:val="89"/>
              </w:rPr>
              <w:t>257,211</w:t>
            </w:r>
          </w:p>
        </w:tc>
        <w:tc>
          <w:tcPr>
            <w:tcW w:w="180" w:type="dxa"/>
            <w:vAlign w:val="bottom"/>
            <w:shd w:val="clear" w:color="auto" w:fill="CFF0FC"/>
          </w:tcPr>
          <w:p>
            <w:pPr>
              <w:spacing w:after="0"/>
              <w:rPr>
                <w:sz w:val="19"/>
                <w:szCs w:val="19"/>
                <w:color w:val="auto"/>
              </w:rPr>
            </w:pPr>
          </w:p>
        </w:tc>
        <w:tc>
          <w:tcPr>
            <w:tcW w:w="980" w:type="dxa"/>
            <w:vAlign w:val="bottom"/>
            <w:gridSpan w:val="2"/>
            <w:shd w:val="clear" w:color="auto" w:fill="CFF0FC"/>
          </w:tcPr>
          <w:p>
            <w:pPr>
              <w:jc w:val="right"/>
              <w:ind w:right="100"/>
              <w:spacing w:after="0"/>
              <w:rPr>
                <w:sz w:val="20"/>
                <w:szCs w:val="20"/>
                <w:color w:val="auto"/>
              </w:rPr>
            </w:pPr>
            <w:r>
              <w:rPr>
                <w:rFonts w:ascii="Arial" w:cs="Arial" w:eastAsia="Arial" w:hAnsi="Arial"/>
                <w:sz w:val="18"/>
                <w:szCs w:val="18"/>
                <w:color w:val="auto"/>
              </w:rPr>
              <w:t>(20.7)%</w:t>
            </w:r>
          </w:p>
        </w:tc>
        <w:tc>
          <w:tcPr>
            <w:tcW w:w="880" w:type="dxa"/>
            <w:vAlign w:val="bottom"/>
            <w:gridSpan w:val="2"/>
            <w:shd w:val="clear" w:color="auto" w:fill="CFF0FC"/>
          </w:tcPr>
          <w:p>
            <w:pPr>
              <w:jc w:val="right"/>
              <w:ind w:right="20"/>
              <w:spacing w:after="0"/>
              <w:rPr>
                <w:sz w:val="20"/>
                <w:szCs w:val="20"/>
                <w:color w:val="auto"/>
              </w:rPr>
            </w:pPr>
            <w:r>
              <w:rPr>
                <w:rFonts w:ascii="Arial" w:cs="Arial" w:eastAsia="Arial" w:hAnsi="Arial"/>
                <w:sz w:val="18"/>
                <w:szCs w:val="18"/>
                <w:color w:val="auto"/>
              </w:rPr>
              <w:t>(20.7)%</w:t>
            </w:r>
          </w:p>
        </w:tc>
        <w:tc>
          <w:tcPr>
            <w:tcW w:w="0" w:type="dxa"/>
            <w:vAlign w:val="bottom"/>
          </w:tcPr>
          <w:p>
            <w:pPr>
              <w:spacing w:after="0"/>
              <w:rPr>
                <w:sz w:val="1"/>
                <w:szCs w:val="1"/>
                <w:color w:val="auto"/>
              </w:rPr>
            </w:pPr>
          </w:p>
        </w:tc>
      </w:tr>
      <w:tr>
        <w:trPr>
          <w:trHeight w:val="229"/>
        </w:trPr>
        <w:tc>
          <w:tcPr>
            <w:tcW w:w="3220" w:type="dxa"/>
            <w:vAlign w:val="bottom"/>
          </w:tcPr>
          <w:p>
            <w:pPr>
              <w:ind w:left="260"/>
              <w:spacing w:after="0"/>
              <w:rPr>
                <w:sz w:val="20"/>
                <w:szCs w:val="20"/>
                <w:color w:val="auto"/>
              </w:rPr>
            </w:pPr>
            <w:r>
              <w:rPr>
                <w:rFonts w:ascii="Arial" w:cs="Arial" w:eastAsia="Arial" w:hAnsi="Arial"/>
                <w:sz w:val="18"/>
                <w:szCs w:val="18"/>
                <w:color w:val="auto"/>
              </w:rPr>
              <w:t>International</w:t>
            </w:r>
          </w:p>
        </w:tc>
        <w:tc>
          <w:tcPr>
            <w:tcW w:w="100" w:type="dxa"/>
            <w:vAlign w:val="bottom"/>
          </w:tcPr>
          <w:p>
            <w:pPr>
              <w:spacing w:after="0"/>
              <w:rPr>
                <w:sz w:val="19"/>
                <w:szCs w:val="19"/>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67,186</w:t>
            </w:r>
          </w:p>
        </w:tc>
        <w:tc>
          <w:tcPr>
            <w:tcW w:w="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40" w:type="dxa"/>
            <w:vAlign w:val="bottom"/>
          </w:tcPr>
          <w:p>
            <w:pPr>
              <w:ind w:left="460"/>
              <w:spacing w:after="0"/>
              <w:rPr>
                <w:sz w:val="20"/>
                <w:szCs w:val="20"/>
                <w:color w:val="auto"/>
              </w:rPr>
            </w:pPr>
            <w:r>
              <w:rPr>
                <w:rFonts w:ascii="Arial" w:cs="Arial" w:eastAsia="Arial" w:hAnsi="Arial"/>
                <w:sz w:val="18"/>
                <w:szCs w:val="18"/>
                <w:color w:val="auto"/>
                <w:w w:val="88"/>
              </w:rPr>
              <w:t>—</w:t>
            </w:r>
          </w:p>
        </w:tc>
        <w:tc>
          <w:tcPr>
            <w:tcW w:w="2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5,802</w:t>
            </w:r>
          </w:p>
        </w:tc>
        <w:tc>
          <w:tcPr>
            <w:tcW w:w="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61,384</w:t>
            </w:r>
          </w:p>
        </w:tc>
        <w:tc>
          <w:tcPr>
            <w:tcW w:w="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63,899</w:t>
            </w:r>
          </w:p>
        </w:tc>
        <w:tc>
          <w:tcPr>
            <w:tcW w:w="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6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63,899</w:t>
            </w:r>
          </w:p>
        </w:tc>
        <w:tc>
          <w:tcPr>
            <w:tcW w:w="180" w:type="dxa"/>
            <w:vAlign w:val="bottom"/>
          </w:tcPr>
          <w:p>
            <w:pPr>
              <w:spacing w:after="0"/>
              <w:rPr>
                <w:sz w:val="19"/>
                <w:szCs w:val="19"/>
                <w:color w:val="auto"/>
              </w:rPr>
            </w:pPr>
          </w:p>
        </w:tc>
        <w:tc>
          <w:tcPr>
            <w:tcW w:w="980" w:type="dxa"/>
            <w:vAlign w:val="bottom"/>
            <w:gridSpan w:val="2"/>
          </w:tcPr>
          <w:p>
            <w:pPr>
              <w:jc w:val="right"/>
              <w:ind w:right="160"/>
              <w:spacing w:after="0"/>
              <w:rPr>
                <w:sz w:val="20"/>
                <w:szCs w:val="20"/>
                <w:color w:val="auto"/>
              </w:rPr>
            </w:pPr>
            <w:r>
              <w:rPr>
                <w:rFonts w:ascii="Arial" w:cs="Arial" w:eastAsia="Arial" w:hAnsi="Arial"/>
                <w:sz w:val="18"/>
                <w:szCs w:val="18"/>
                <w:color w:val="auto"/>
              </w:rPr>
              <w:t>5.1%</w:t>
            </w:r>
          </w:p>
        </w:tc>
        <w:tc>
          <w:tcPr>
            <w:tcW w:w="880" w:type="dxa"/>
            <w:vAlign w:val="bottom"/>
            <w:gridSpan w:val="2"/>
          </w:tcPr>
          <w:p>
            <w:pPr>
              <w:jc w:val="right"/>
              <w:ind w:right="20"/>
              <w:spacing w:after="0"/>
              <w:rPr>
                <w:sz w:val="20"/>
                <w:szCs w:val="20"/>
                <w:color w:val="auto"/>
              </w:rPr>
            </w:pPr>
            <w:r>
              <w:rPr>
                <w:rFonts w:ascii="Arial" w:cs="Arial" w:eastAsia="Arial" w:hAnsi="Arial"/>
                <w:sz w:val="18"/>
                <w:szCs w:val="18"/>
                <w:color w:val="auto"/>
              </w:rPr>
              <w:t>(3.9)%</w:t>
            </w:r>
          </w:p>
        </w:tc>
        <w:tc>
          <w:tcPr>
            <w:tcW w:w="0" w:type="dxa"/>
            <w:vAlign w:val="bottom"/>
          </w:tcPr>
          <w:p>
            <w:pPr>
              <w:spacing w:after="0"/>
              <w:rPr>
                <w:sz w:val="1"/>
                <w:szCs w:val="1"/>
                <w:color w:val="auto"/>
              </w:rPr>
            </w:pPr>
          </w:p>
        </w:tc>
      </w:tr>
      <w:tr>
        <w:trPr>
          <w:trHeight w:val="229"/>
        </w:trPr>
        <w:tc>
          <w:tcPr>
            <w:tcW w:w="3220" w:type="dxa"/>
            <w:vAlign w:val="bottom"/>
            <w:shd w:val="clear" w:color="auto" w:fill="CFF0FC"/>
          </w:tcPr>
          <w:p>
            <w:pPr>
              <w:ind w:left="260"/>
              <w:spacing w:after="0"/>
              <w:rPr>
                <w:sz w:val="20"/>
                <w:szCs w:val="20"/>
                <w:color w:val="auto"/>
              </w:rPr>
            </w:pPr>
            <w:r>
              <w:rPr>
                <w:rFonts w:ascii="Arial" w:cs="Arial" w:eastAsia="Arial" w:hAnsi="Arial"/>
                <w:sz w:val="18"/>
                <w:szCs w:val="18"/>
                <w:color w:val="auto"/>
              </w:rPr>
              <w:t>Intersegment eliminations</w:t>
            </w:r>
          </w:p>
        </w:tc>
        <w:tc>
          <w:tcPr>
            <w:tcW w:w="100" w:type="dxa"/>
            <w:vAlign w:val="bottom"/>
            <w:shd w:val="clear" w:color="auto" w:fill="CFF0FC"/>
          </w:tcPr>
          <w:p>
            <w:pPr>
              <w:spacing w:after="0"/>
              <w:rPr>
                <w:sz w:val="19"/>
                <w:szCs w:val="19"/>
                <w:color w:val="auto"/>
              </w:rPr>
            </w:pPr>
          </w:p>
        </w:tc>
        <w:tc>
          <w:tcPr>
            <w:tcW w:w="800" w:type="dxa"/>
            <w:vAlign w:val="bottom"/>
            <w:tcBorders>
              <w:right w:val="single" w:sz="8" w:color="CFF0FC"/>
            </w:tcBorders>
            <w:gridSpan w:val="2"/>
            <w:shd w:val="clear" w:color="auto" w:fill="CFF0FC"/>
          </w:tcPr>
          <w:p>
            <w:pPr>
              <w:jc w:val="right"/>
              <w:ind w:right="120"/>
              <w:spacing w:after="0"/>
              <w:rPr>
                <w:sz w:val="20"/>
                <w:szCs w:val="20"/>
                <w:color w:val="auto"/>
              </w:rPr>
            </w:pPr>
            <w:r>
              <w:rPr>
                <w:rFonts w:ascii="Arial" w:cs="Arial" w:eastAsia="Arial" w:hAnsi="Arial"/>
                <w:sz w:val="18"/>
                <w:szCs w:val="18"/>
                <w:color w:val="auto"/>
              </w:rPr>
              <w:t>(3,348)</w:t>
            </w:r>
          </w:p>
        </w:tc>
        <w:tc>
          <w:tcPr>
            <w:tcW w:w="120" w:type="dxa"/>
            <w:vAlign w:val="bottom"/>
            <w:shd w:val="clear" w:color="auto" w:fill="CFF0FC"/>
          </w:tcPr>
          <w:p>
            <w:pPr>
              <w:spacing w:after="0"/>
              <w:rPr>
                <w:sz w:val="19"/>
                <w:szCs w:val="19"/>
                <w:color w:val="auto"/>
              </w:rPr>
            </w:pPr>
          </w:p>
        </w:tc>
        <w:tc>
          <w:tcPr>
            <w:tcW w:w="640" w:type="dxa"/>
            <w:vAlign w:val="bottom"/>
            <w:shd w:val="clear" w:color="auto" w:fill="CFF0FC"/>
          </w:tcPr>
          <w:p>
            <w:pPr>
              <w:ind w:left="460"/>
              <w:spacing w:after="0"/>
              <w:rPr>
                <w:sz w:val="20"/>
                <w:szCs w:val="20"/>
                <w:color w:val="auto"/>
              </w:rPr>
            </w:pPr>
            <w:r>
              <w:rPr>
                <w:rFonts w:ascii="Arial" w:cs="Arial" w:eastAsia="Arial" w:hAnsi="Arial"/>
                <w:sz w:val="18"/>
                <w:szCs w:val="18"/>
                <w:color w:val="auto"/>
                <w:w w:val="88"/>
              </w:rPr>
              <w:t>—</w:t>
            </w:r>
          </w:p>
        </w:tc>
        <w:tc>
          <w:tcPr>
            <w:tcW w:w="20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740" w:type="dxa"/>
            <w:vAlign w:val="bottom"/>
            <w:gridSpan w:val="2"/>
            <w:shd w:val="clear" w:color="auto" w:fill="CFF0FC"/>
          </w:tcPr>
          <w:p>
            <w:pPr>
              <w:jc w:val="right"/>
              <w:ind w:right="122"/>
              <w:spacing w:after="0"/>
              <w:rPr>
                <w:sz w:val="20"/>
                <w:szCs w:val="20"/>
                <w:color w:val="auto"/>
              </w:rPr>
            </w:pPr>
            <w:r>
              <w:rPr>
                <w:rFonts w:ascii="Arial" w:cs="Arial" w:eastAsia="Arial" w:hAnsi="Arial"/>
                <w:sz w:val="18"/>
                <w:szCs w:val="18"/>
                <w:color w:val="auto"/>
              </w:rPr>
              <w:t>—</w:t>
            </w:r>
          </w:p>
        </w:tc>
        <w:tc>
          <w:tcPr>
            <w:tcW w:w="120" w:type="dxa"/>
            <w:vAlign w:val="bottom"/>
            <w:shd w:val="clear" w:color="auto" w:fill="CFF0FC"/>
          </w:tcPr>
          <w:p>
            <w:pPr>
              <w:spacing w:after="0"/>
              <w:rPr>
                <w:sz w:val="19"/>
                <w:szCs w:val="19"/>
                <w:color w:val="auto"/>
              </w:rPr>
            </w:pPr>
          </w:p>
        </w:tc>
        <w:tc>
          <w:tcPr>
            <w:tcW w:w="780" w:type="dxa"/>
            <w:vAlign w:val="bottom"/>
            <w:gridSpan w:val="2"/>
            <w:shd w:val="clear" w:color="auto" w:fill="CFF0FC"/>
          </w:tcPr>
          <w:p>
            <w:pPr>
              <w:jc w:val="right"/>
              <w:ind w:right="120"/>
              <w:spacing w:after="0"/>
              <w:rPr>
                <w:sz w:val="20"/>
                <w:szCs w:val="20"/>
                <w:color w:val="auto"/>
              </w:rPr>
            </w:pPr>
            <w:r>
              <w:rPr>
                <w:rFonts w:ascii="Arial" w:cs="Arial" w:eastAsia="Arial" w:hAnsi="Arial"/>
                <w:sz w:val="18"/>
                <w:szCs w:val="18"/>
                <w:color w:val="auto"/>
              </w:rPr>
              <w:t>(3,348)</w:t>
            </w:r>
          </w:p>
        </w:tc>
        <w:tc>
          <w:tcPr>
            <w:tcW w:w="120" w:type="dxa"/>
            <w:vAlign w:val="bottom"/>
            <w:shd w:val="clear" w:color="auto" w:fill="CFF0FC"/>
          </w:tcPr>
          <w:p>
            <w:pPr>
              <w:spacing w:after="0"/>
              <w:rPr>
                <w:sz w:val="19"/>
                <w:szCs w:val="19"/>
                <w:color w:val="auto"/>
              </w:rPr>
            </w:pPr>
          </w:p>
        </w:tc>
        <w:tc>
          <w:tcPr>
            <w:tcW w:w="680" w:type="dxa"/>
            <w:vAlign w:val="bottom"/>
            <w:gridSpan w:val="2"/>
            <w:shd w:val="clear" w:color="auto" w:fill="CFF0FC"/>
          </w:tcPr>
          <w:p>
            <w:pPr>
              <w:jc w:val="right"/>
              <w:ind w:right="20"/>
              <w:spacing w:after="0"/>
              <w:rPr>
                <w:sz w:val="20"/>
                <w:szCs w:val="20"/>
                <w:color w:val="auto"/>
              </w:rPr>
            </w:pPr>
            <w:r>
              <w:rPr>
                <w:rFonts w:ascii="Arial" w:cs="Arial" w:eastAsia="Arial" w:hAnsi="Arial"/>
                <w:sz w:val="18"/>
                <w:szCs w:val="18"/>
                <w:color w:val="auto"/>
              </w:rPr>
              <w:t>(3,239)</w:t>
            </w:r>
          </w:p>
        </w:tc>
        <w:tc>
          <w:tcPr>
            <w:tcW w:w="120" w:type="dxa"/>
            <w:vAlign w:val="bottom"/>
            <w:shd w:val="clear" w:color="auto" w:fill="CFF0FC"/>
          </w:tcPr>
          <w:p>
            <w:pPr>
              <w:spacing w:after="0"/>
              <w:rPr>
                <w:sz w:val="19"/>
                <w:szCs w:val="19"/>
                <w:color w:val="auto"/>
              </w:rPr>
            </w:pPr>
          </w:p>
        </w:tc>
        <w:tc>
          <w:tcPr>
            <w:tcW w:w="320" w:type="dxa"/>
            <w:vAlign w:val="bottom"/>
            <w:shd w:val="clear" w:color="auto" w:fill="CFF0FC"/>
          </w:tcPr>
          <w:p>
            <w:pPr>
              <w:spacing w:after="0"/>
              <w:rPr>
                <w:sz w:val="19"/>
                <w:szCs w:val="19"/>
                <w:color w:val="auto"/>
              </w:rPr>
            </w:pPr>
          </w:p>
        </w:tc>
        <w:tc>
          <w:tcPr>
            <w:tcW w:w="620" w:type="dxa"/>
            <w:vAlign w:val="bottom"/>
            <w:tcBorders>
              <w:right w:val="single" w:sz="8" w:color="CFF0FC"/>
            </w:tcBorders>
            <w:gridSpan w:val="2"/>
            <w:shd w:val="clear" w:color="auto" w:fill="CFF0FC"/>
          </w:tcPr>
          <w:p>
            <w:pPr>
              <w:jc w:val="right"/>
              <w:ind w:right="200"/>
              <w:spacing w:after="0"/>
              <w:rPr>
                <w:sz w:val="20"/>
                <w:szCs w:val="20"/>
                <w:color w:val="auto"/>
              </w:rPr>
            </w:pPr>
            <w:r>
              <w:rPr>
                <w:rFonts w:ascii="Arial" w:cs="Arial" w:eastAsia="Arial" w:hAnsi="Arial"/>
                <w:sz w:val="18"/>
                <w:szCs w:val="18"/>
                <w:color w:val="auto"/>
              </w:rPr>
              <w:t>—</w:t>
            </w:r>
          </w:p>
        </w:tc>
        <w:tc>
          <w:tcPr>
            <w:tcW w:w="100" w:type="dxa"/>
            <w:vAlign w:val="bottom"/>
            <w:shd w:val="clear" w:color="auto" w:fill="CFF0FC"/>
          </w:tcPr>
          <w:p>
            <w:pPr>
              <w:spacing w:after="0"/>
              <w:rPr>
                <w:sz w:val="19"/>
                <w:szCs w:val="19"/>
                <w:color w:val="auto"/>
              </w:rPr>
            </w:pPr>
          </w:p>
        </w:tc>
        <w:tc>
          <w:tcPr>
            <w:tcW w:w="800" w:type="dxa"/>
            <w:vAlign w:val="bottom"/>
            <w:gridSpan w:val="2"/>
            <w:shd w:val="clear" w:color="auto" w:fill="CFF0FC"/>
          </w:tcPr>
          <w:p>
            <w:pPr>
              <w:jc w:val="right"/>
              <w:ind w:right="120"/>
              <w:spacing w:after="0"/>
              <w:rPr>
                <w:sz w:val="20"/>
                <w:szCs w:val="20"/>
                <w:color w:val="auto"/>
              </w:rPr>
            </w:pPr>
            <w:r>
              <w:rPr>
                <w:rFonts w:ascii="Arial" w:cs="Arial" w:eastAsia="Arial" w:hAnsi="Arial"/>
                <w:sz w:val="18"/>
                <w:szCs w:val="18"/>
                <w:color w:val="auto"/>
              </w:rPr>
              <w:t>(3,239)</w:t>
            </w:r>
          </w:p>
        </w:tc>
        <w:tc>
          <w:tcPr>
            <w:tcW w:w="980" w:type="dxa"/>
            <w:vAlign w:val="bottom"/>
            <w:gridSpan w:val="2"/>
            <w:shd w:val="clear" w:color="auto" w:fill="CFF0FC"/>
          </w:tcPr>
          <w:p>
            <w:pPr>
              <w:jc w:val="right"/>
              <w:ind w:right="100"/>
              <w:spacing w:after="0"/>
              <w:rPr>
                <w:sz w:val="20"/>
                <w:szCs w:val="20"/>
                <w:color w:val="auto"/>
              </w:rPr>
            </w:pPr>
            <w:r>
              <w:rPr>
                <w:rFonts w:ascii="Arial" w:cs="Arial" w:eastAsia="Arial" w:hAnsi="Arial"/>
                <w:sz w:val="18"/>
                <w:szCs w:val="18"/>
                <w:color w:val="auto"/>
              </w:rPr>
              <w:t>(3.4)%</w:t>
            </w:r>
          </w:p>
        </w:tc>
        <w:tc>
          <w:tcPr>
            <w:tcW w:w="880" w:type="dxa"/>
            <w:vAlign w:val="bottom"/>
            <w:gridSpan w:val="2"/>
            <w:shd w:val="clear" w:color="auto" w:fill="CFF0FC"/>
          </w:tcPr>
          <w:p>
            <w:pPr>
              <w:jc w:val="right"/>
              <w:ind w:right="20"/>
              <w:spacing w:after="0"/>
              <w:rPr>
                <w:sz w:val="20"/>
                <w:szCs w:val="20"/>
                <w:color w:val="auto"/>
              </w:rPr>
            </w:pPr>
            <w:r>
              <w:rPr>
                <w:rFonts w:ascii="Arial" w:cs="Arial" w:eastAsia="Arial" w:hAnsi="Arial"/>
                <w:sz w:val="18"/>
                <w:szCs w:val="18"/>
                <w:color w:val="auto"/>
              </w:rPr>
              <w:t>(3.4)%</w:t>
            </w:r>
          </w:p>
        </w:tc>
        <w:tc>
          <w:tcPr>
            <w:tcW w:w="0" w:type="dxa"/>
            <w:vAlign w:val="bottom"/>
          </w:tcPr>
          <w:p>
            <w:pPr>
              <w:spacing w:after="0"/>
              <w:rPr>
                <w:sz w:val="1"/>
                <w:szCs w:val="1"/>
                <w:color w:val="auto"/>
              </w:rPr>
            </w:pPr>
          </w:p>
        </w:tc>
      </w:tr>
      <w:tr>
        <w:trPr>
          <w:trHeight w:val="20"/>
        </w:trPr>
        <w:tc>
          <w:tcPr>
            <w:tcW w:w="3220" w:type="dxa"/>
            <w:vAlign w:val="bottom"/>
            <w:vMerge w:val="restart"/>
          </w:tcPr>
          <w:p>
            <w:pPr>
              <w:spacing w:after="0"/>
              <w:rPr>
                <w:sz w:val="20"/>
                <w:szCs w:val="20"/>
                <w:color w:val="auto"/>
              </w:rPr>
            </w:pPr>
            <w:r>
              <w:rPr>
                <w:rFonts w:ascii="Arial" w:cs="Arial" w:eastAsia="Arial" w:hAnsi="Arial"/>
                <w:sz w:val="18"/>
                <w:szCs w:val="18"/>
                <w:color w:val="auto"/>
              </w:rPr>
              <w:t>Total GES</w:t>
            </w:r>
          </w:p>
        </w:tc>
        <w:tc>
          <w:tcPr>
            <w:tcW w:w="10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200" w:type="dxa"/>
            <w:vAlign w:val="bottom"/>
            <w:vMerge w:val="restart"/>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vMerge w:val="restart"/>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180" w:type="dxa"/>
            <w:vAlign w:val="bottom"/>
            <w:vMerge w:val="restart"/>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2"/>
        </w:trPr>
        <w:tc>
          <w:tcPr>
            <w:tcW w:w="3220" w:type="dxa"/>
            <w:vAlign w:val="bottom"/>
            <w:vMerge w:val="continue"/>
          </w:tcPr>
          <w:p>
            <w:pPr>
              <w:spacing w:after="0"/>
              <w:rPr>
                <w:sz w:val="22"/>
                <w:szCs w:val="22"/>
                <w:color w:val="auto"/>
              </w:rPr>
            </w:pP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620" w:type="dxa"/>
            <w:vAlign w:val="bottom"/>
          </w:tcPr>
          <w:p>
            <w:pPr>
              <w:jc w:val="right"/>
              <w:spacing w:after="0"/>
              <w:rPr>
                <w:sz w:val="20"/>
                <w:szCs w:val="20"/>
                <w:color w:val="auto"/>
              </w:rPr>
            </w:pPr>
            <w:r>
              <w:rPr>
                <w:rFonts w:ascii="Arial" w:cs="Arial" w:eastAsia="Arial" w:hAnsi="Arial"/>
                <w:sz w:val="18"/>
                <w:szCs w:val="18"/>
                <w:color w:val="auto"/>
                <w:w w:val="89"/>
              </w:rPr>
              <w:t>267,706</w:t>
            </w:r>
          </w:p>
        </w:tc>
        <w:tc>
          <w:tcPr>
            <w:tcW w:w="180" w:type="dxa"/>
            <w:vAlign w:val="bottom"/>
          </w:tcPr>
          <w:p>
            <w:pPr>
              <w:spacing w:after="0"/>
              <w:rPr>
                <w:sz w:val="22"/>
                <w:szCs w:val="22"/>
                <w:color w:val="auto"/>
              </w:rPr>
            </w:pPr>
          </w:p>
        </w:tc>
        <w:tc>
          <w:tcPr>
            <w:tcW w:w="120" w:type="dxa"/>
            <w:vAlign w:val="bottom"/>
          </w:tcPr>
          <w:p>
            <w:pPr>
              <w:spacing w:after="0"/>
              <w:rPr>
                <w:sz w:val="20"/>
                <w:szCs w:val="20"/>
                <w:color w:val="auto"/>
              </w:rPr>
            </w:pPr>
            <w:r>
              <w:rPr>
                <w:rFonts w:ascii="Arial" w:cs="Arial" w:eastAsia="Arial" w:hAnsi="Arial"/>
                <w:sz w:val="18"/>
                <w:szCs w:val="18"/>
                <w:color w:val="auto"/>
                <w:w w:val="99"/>
              </w:rPr>
              <w:t>$</w:t>
            </w:r>
          </w:p>
        </w:tc>
        <w:tc>
          <w:tcPr>
            <w:tcW w:w="640" w:type="dxa"/>
            <w:vAlign w:val="bottom"/>
          </w:tcPr>
          <w:p>
            <w:pPr>
              <w:ind w:left="460"/>
              <w:spacing w:after="0"/>
              <w:rPr>
                <w:sz w:val="20"/>
                <w:szCs w:val="20"/>
                <w:color w:val="auto"/>
              </w:rPr>
            </w:pPr>
            <w:r>
              <w:rPr>
                <w:rFonts w:ascii="Arial" w:cs="Arial" w:eastAsia="Arial" w:hAnsi="Arial"/>
                <w:sz w:val="18"/>
                <w:szCs w:val="18"/>
                <w:color w:val="auto"/>
                <w:w w:val="88"/>
              </w:rPr>
              <w:t>—</w:t>
            </w:r>
          </w:p>
        </w:tc>
        <w:tc>
          <w:tcPr>
            <w:tcW w:w="200" w:type="dxa"/>
            <w:vAlign w:val="bottom"/>
            <w:vMerge w:val="continue"/>
          </w:tcPr>
          <w:p>
            <w:pPr>
              <w:spacing w:after="0"/>
              <w:rPr>
                <w:sz w:val="22"/>
                <w:szCs w:val="22"/>
                <w:color w:val="auto"/>
              </w:rPr>
            </w:pP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560" w:type="dxa"/>
            <w:vAlign w:val="bottom"/>
          </w:tcPr>
          <w:p>
            <w:pPr>
              <w:jc w:val="right"/>
              <w:spacing w:after="0"/>
              <w:rPr>
                <w:sz w:val="20"/>
                <w:szCs w:val="20"/>
                <w:color w:val="auto"/>
              </w:rPr>
            </w:pPr>
            <w:r>
              <w:rPr>
                <w:rFonts w:ascii="Arial" w:cs="Arial" w:eastAsia="Arial" w:hAnsi="Arial"/>
                <w:sz w:val="18"/>
                <w:szCs w:val="18"/>
                <w:color w:val="auto"/>
              </w:rPr>
              <w:t>5,802</w:t>
            </w:r>
          </w:p>
        </w:tc>
        <w:tc>
          <w:tcPr>
            <w:tcW w:w="180" w:type="dxa"/>
            <w:vAlign w:val="bottom"/>
          </w:tcPr>
          <w:p>
            <w:pPr>
              <w:spacing w:after="0"/>
              <w:rPr>
                <w:sz w:val="22"/>
                <w:szCs w:val="22"/>
                <w:color w:val="auto"/>
              </w:rPr>
            </w:pP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600" w:type="dxa"/>
            <w:vAlign w:val="bottom"/>
          </w:tcPr>
          <w:p>
            <w:pPr>
              <w:jc w:val="right"/>
              <w:spacing w:after="0"/>
              <w:rPr>
                <w:sz w:val="20"/>
                <w:szCs w:val="20"/>
                <w:color w:val="auto"/>
              </w:rPr>
            </w:pPr>
            <w:r>
              <w:rPr>
                <w:rFonts w:ascii="Arial" w:cs="Arial" w:eastAsia="Arial" w:hAnsi="Arial"/>
                <w:sz w:val="18"/>
                <w:szCs w:val="18"/>
                <w:color w:val="auto"/>
                <w:w w:val="86"/>
              </w:rPr>
              <w:t>261,904</w:t>
            </w:r>
          </w:p>
        </w:tc>
        <w:tc>
          <w:tcPr>
            <w:tcW w:w="180" w:type="dxa"/>
            <w:vAlign w:val="bottom"/>
          </w:tcPr>
          <w:p>
            <w:pPr>
              <w:spacing w:after="0"/>
              <w:rPr>
                <w:sz w:val="22"/>
                <w:szCs w:val="22"/>
                <w:color w:val="auto"/>
              </w:rPr>
            </w:pP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600" w:type="dxa"/>
            <w:vAlign w:val="bottom"/>
          </w:tcPr>
          <w:p>
            <w:pPr>
              <w:jc w:val="right"/>
              <w:spacing w:after="0"/>
              <w:rPr>
                <w:sz w:val="20"/>
                <w:szCs w:val="20"/>
                <w:color w:val="auto"/>
              </w:rPr>
            </w:pPr>
            <w:r>
              <w:rPr>
                <w:rFonts w:ascii="Arial" w:cs="Arial" w:eastAsia="Arial" w:hAnsi="Arial"/>
                <w:sz w:val="18"/>
                <w:szCs w:val="18"/>
                <w:color w:val="auto"/>
                <w:w w:val="86"/>
              </w:rPr>
              <w:t>317,871</w:t>
            </w:r>
          </w:p>
        </w:tc>
        <w:tc>
          <w:tcPr>
            <w:tcW w:w="80" w:type="dxa"/>
            <w:vAlign w:val="bottom"/>
          </w:tcPr>
          <w:p>
            <w:pPr>
              <w:spacing w:after="0"/>
              <w:rPr>
                <w:sz w:val="22"/>
                <w:szCs w:val="22"/>
                <w:color w:val="auto"/>
              </w:rPr>
            </w:pPr>
          </w:p>
        </w:tc>
        <w:tc>
          <w:tcPr>
            <w:tcW w:w="120" w:type="dxa"/>
            <w:vAlign w:val="bottom"/>
            <w:vMerge w:val="continue"/>
          </w:tcPr>
          <w:p>
            <w:pPr>
              <w:spacing w:after="0"/>
              <w:rPr>
                <w:sz w:val="22"/>
                <w:szCs w:val="22"/>
                <w:color w:val="auto"/>
              </w:rPr>
            </w:pPr>
          </w:p>
        </w:tc>
        <w:tc>
          <w:tcPr>
            <w:tcW w:w="320" w:type="dxa"/>
            <w:vAlign w:val="bottom"/>
          </w:tcPr>
          <w:p>
            <w:pPr>
              <w:jc w:val="right"/>
              <w:ind w:right="167"/>
              <w:spacing w:after="0"/>
              <w:rPr>
                <w:sz w:val="20"/>
                <w:szCs w:val="20"/>
                <w:color w:val="auto"/>
              </w:rPr>
            </w:pPr>
            <w:r>
              <w:rPr>
                <w:rFonts w:ascii="Arial" w:cs="Arial" w:eastAsia="Arial" w:hAnsi="Arial"/>
                <w:sz w:val="15"/>
                <w:szCs w:val="15"/>
                <w:color w:val="auto"/>
                <w:w w:val="71"/>
              </w:rPr>
              <w:t>$</w:t>
            </w:r>
          </w:p>
        </w:tc>
        <w:tc>
          <w:tcPr>
            <w:tcW w:w="440" w:type="dxa"/>
            <w:vAlign w:val="bottom"/>
          </w:tcPr>
          <w:p>
            <w:pPr>
              <w:jc w:val="right"/>
              <w:spacing w:after="0"/>
              <w:rPr>
                <w:sz w:val="20"/>
                <w:szCs w:val="20"/>
                <w:color w:val="auto"/>
              </w:rPr>
            </w:pPr>
            <w:r>
              <w:rPr>
                <w:rFonts w:ascii="Arial" w:cs="Arial" w:eastAsia="Arial" w:hAnsi="Arial"/>
                <w:sz w:val="18"/>
                <w:szCs w:val="18"/>
                <w:color w:val="auto"/>
              </w:rPr>
              <w:t>—</w:t>
            </w:r>
          </w:p>
        </w:tc>
        <w:tc>
          <w:tcPr>
            <w:tcW w:w="180" w:type="dxa"/>
            <w:vAlign w:val="bottom"/>
            <w:vMerge w:val="continue"/>
          </w:tcPr>
          <w:p>
            <w:pPr>
              <w:spacing w:after="0"/>
              <w:rPr>
                <w:sz w:val="22"/>
                <w:szCs w:val="22"/>
                <w:color w:val="auto"/>
              </w:rPr>
            </w:pP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620" w:type="dxa"/>
            <w:vAlign w:val="bottom"/>
          </w:tcPr>
          <w:p>
            <w:pPr>
              <w:jc w:val="right"/>
              <w:spacing w:after="0"/>
              <w:rPr>
                <w:sz w:val="20"/>
                <w:szCs w:val="20"/>
                <w:color w:val="auto"/>
              </w:rPr>
            </w:pPr>
            <w:r>
              <w:rPr>
                <w:rFonts w:ascii="Arial" w:cs="Arial" w:eastAsia="Arial" w:hAnsi="Arial"/>
                <w:sz w:val="18"/>
                <w:szCs w:val="18"/>
                <w:color w:val="auto"/>
                <w:w w:val="89"/>
              </w:rPr>
              <w:t>317,871</w:t>
            </w:r>
          </w:p>
        </w:tc>
        <w:tc>
          <w:tcPr>
            <w:tcW w:w="180" w:type="dxa"/>
            <w:vAlign w:val="bottom"/>
          </w:tcPr>
          <w:p>
            <w:pPr>
              <w:spacing w:after="0"/>
              <w:rPr>
                <w:sz w:val="22"/>
                <w:szCs w:val="22"/>
                <w:color w:val="auto"/>
              </w:rPr>
            </w:pPr>
          </w:p>
        </w:tc>
        <w:tc>
          <w:tcPr>
            <w:tcW w:w="980" w:type="dxa"/>
            <w:vAlign w:val="bottom"/>
            <w:gridSpan w:val="2"/>
          </w:tcPr>
          <w:p>
            <w:pPr>
              <w:jc w:val="right"/>
              <w:ind w:right="100"/>
              <w:spacing w:after="0"/>
              <w:rPr>
                <w:sz w:val="20"/>
                <w:szCs w:val="20"/>
                <w:color w:val="auto"/>
              </w:rPr>
            </w:pPr>
            <w:r>
              <w:rPr>
                <w:rFonts w:ascii="Arial" w:cs="Arial" w:eastAsia="Arial" w:hAnsi="Arial"/>
                <w:sz w:val="18"/>
                <w:szCs w:val="18"/>
                <w:color w:val="auto"/>
              </w:rPr>
              <w:t>(15.8)%</w:t>
            </w:r>
          </w:p>
        </w:tc>
        <w:tc>
          <w:tcPr>
            <w:tcW w:w="880" w:type="dxa"/>
            <w:vAlign w:val="bottom"/>
            <w:gridSpan w:val="2"/>
          </w:tcPr>
          <w:p>
            <w:pPr>
              <w:jc w:val="right"/>
              <w:ind w:right="20"/>
              <w:spacing w:after="0"/>
              <w:rPr>
                <w:sz w:val="20"/>
                <w:szCs w:val="20"/>
                <w:color w:val="auto"/>
              </w:rPr>
            </w:pPr>
            <w:r>
              <w:rPr>
                <w:rFonts w:ascii="Arial" w:cs="Arial" w:eastAsia="Arial" w:hAnsi="Arial"/>
                <w:sz w:val="18"/>
                <w:szCs w:val="18"/>
                <w:color w:val="auto"/>
              </w:rPr>
              <w:t>(17.6)%</w:t>
            </w:r>
          </w:p>
        </w:tc>
        <w:tc>
          <w:tcPr>
            <w:tcW w:w="0" w:type="dxa"/>
            <w:vAlign w:val="bottom"/>
          </w:tcPr>
          <w:p>
            <w:pPr>
              <w:spacing w:after="0"/>
              <w:rPr>
                <w:sz w:val="1"/>
                <w:szCs w:val="1"/>
                <w:color w:val="auto"/>
              </w:rPr>
            </w:pPr>
          </w:p>
        </w:tc>
      </w:tr>
      <w:tr>
        <w:trPr>
          <w:trHeight w:val="191"/>
        </w:trPr>
        <w:tc>
          <w:tcPr>
            <w:tcW w:w="3220" w:type="dxa"/>
            <w:vAlign w:val="bottom"/>
            <w:tcBorders>
              <w:top w:val="single" w:sz="8" w:color="CFF0FC"/>
            </w:tcBorders>
            <w:shd w:val="clear" w:color="auto" w:fill="CFF0FC"/>
          </w:tcPr>
          <w:p>
            <w:pPr>
              <w:spacing w:after="0" w:line="190" w:lineRule="exact"/>
              <w:rPr>
                <w:sz w:val="20"/>
                <w:szCs w:val="20"/>
                <w:color w:val="auto"/>
              </w:rPr>
            </w:pPr>
            <w:r>
              <w:rPr>
                <w:rFonts w:ascii="Arial" w:cs="Arial" w:eastAsia="Arial" w:hAnsi="Arial"/>
                <w:sz w:val="18"/>
                <w:szCs w:val="18"/>
                <w:b w:val="1"/>
                <w:bCs w:val="1"/>
                <w:color w:val="auto"/>
              </w:rPr>
              <w:t>Segment operating income</w:t>
            </w:r>
          </w:p>
        </w:tc>
        <w:tc>
          <w:tcPr>
            <w:tcW w:w="100" w:type="dxa"/>
            <w:vAlign w:val="bottom"/>
            <w:tcBorders>
              <w:top w:val="single" w:sz="8" w:color="auto"/>
            </w:tcBorders>
            <w:shd w:val="clear" w:color="auto" w:fill="CFF0FC"/>
          </w:tcPr>
          <w:p>
            <w:pPr>
              <w:spacing w:after="0"/>
              <w:rPr>
                <w:sz w:val="16"/>
                <w:szCs w:val="16"/>
                <w:color w:val="auto"/>
              </w:rPr>
            </w:pPr>
          </w:p>
        </w:tc>
        <w:tc>
          <w:tcPr>
            <w:tcW w:w="620" w:type="dxa"/>
            <w:vAlign w:val="bottom"/>
            <w:tcBorders>
              <w:top w:val="single" w:sz="8" w:color="auto"/>
            </w:tcBorders>
            <w:shd w:val="clear" w:color="auto" w:fill="CFF0FC"/>
          </w:tcPr>
          <w:p>
            <w:pPr>
              <w:spacing w:after="0"/>
              <w:rPr>
                <w:sz w:val="16"/>
                <w:szCs w:val="16"/>
                <w:color w:val="auto"/>
              </w:rPr>
            </w:pPr>
          </w:p>
        </w:tc>
        <w:tc>
          <w:tcPr>
            <w:tcW w:w="180" w:type="dxa"/>
            <w:vAlign w:val="bottom"/>
            <w:tcBorders>
              <w:top w:val="single" w:sz="8" w:color="CFF0FC"/>
              <w:right w:val="single" w:sz="8" w:color="CFF0FC"/>
            </w:tcBorders>
            <w:shd w:val="clear" w:color="auto" w:fill="CFF0FC"/>
          </w:tcPr>
          <w:p>
            <w:pPr>
              <w:spacing w:after="0"/>
              <w:rPr>
                <w:sz w:val="16"/>
                <w:szCs w:val="16"/>
                <w:color w:val="auto"/>
              </w:rPr>
            </w:pPr>
          </w:p>
        </w:tc>
        <w:tc>
          <w:tcPr>
            <w:tcW w:w="120" w:type="dxa"/>
            <w:vAlign w:val="bottom"/>
            <w:tcBorders>
              <w:top w:val="single" w:sz="8" w:color="auto"/>
            </w:tcBorders>
            <w:shd w:val="clear" w:color="auto" w:fill="CFF0FC"/>
          </w:tcPr>
          <w:p>
            <w:pPr>
              <w:spacing w:after="0"/>
              <w:rPr>
                <w:sz w:val="16"/>
                <w:szCs w:val="16"/>
                <w:color w:val="auto"/>
              </w:rPr>
            </w:pPr>
          </w:p>
        </w:tc>
        <w:tc>
          <w:tcPr>
            <w:tcW w:w="640" w:type="dxa"/>
            <w:vAlign w:val="bottom"/>
            <w:tcBorders>
              <w:top w:val="single" w:sz="8" w:color="auto"/>
            </w:tcBorders>
            <w:shd w:val="clear" w:color="auto" w:fill="CFF0FC"/>
          </w:tcPr>
          <w:p>
            <w:pPr>
              <w:spacing w:after="0"/>
              <w:rPr>
                <w:sz w:val="16"/>
                <w:szCs w:val="16"/>
                <w:color w:val="auto"/>
              </w:rPr>
            </w:pPr>
          </w:p>
        </w:tc>
        <w:tc>
          <w:tcPr>
            <w:tcW w:w="200" w:type="dxa"/>
            <w:vAlign w:val="bottom"/>
            <w:tcBorders>
              <w:top w:val="single" w:sz="8" w:color="CFF0FC"/>
            </w:tcBorders>
            <w:shd w:val="clear" w:color="auto" w:fill="CFF0FC"/>
          </w:tcPr>
          <w:p>
            <w:pPr>
              <w:spacing w:after="0"/>
              <w:rPr>
                <w:sz w:val="16"/>
                <w:szCs w:val="16"/>
                <w:color w:val="auto"/>
              </w:rPr>
            </w:pPr>
          </w:p>
        </w:tc>
        <w:tc>
          <w:tcPr>
            <w:tcW w:w="80" w:type="dxa"/>
            <w:vAlign w:val="bottom"/>
            <w:tcBorders>
              <w:top w:val="single" w:sz="8" w:color="auto"/>
            </w:tcBorders>
            <w:shd w:val="clear" w:color="auto" w:fill="CFF0FC"/>
          </w:tcPr>
          <w:p>
            <w:pPr>
              <w:spacing w:after="0"/>
              <w:rPr>
                <w:sz w:val="16"/>
                <w:szCs w:val="16"/>
                <w:color w:val="auto"/>
              </w:rPr>
            </w:pPr>
          </w:p>
        </w:tc>
        <w:tc>
          <w:tcPr>
            <w:tcW w:w="560" w:type="dxa"/>
            <w:vAlign w:val="bottom"/>
            <w:tcBorders>
              <w:top w:val="single" w:sz="8" w:color="auto"/>
            </w:tcBorders>
            <w:shd w:val="clear" w:color="auto" w:fill="CFF0FC"/>
          </w:tcPr>
          <w:p>
            <w:pPr>
              <w:spacing w:after="0"/>
              <w:rPr>
                <w:sz w:val="16"/>
                <w:szCs w:val="16"/>
                <w:color w:val="auto"/>
              </w:rPr>
            </w:pPr>
          </w:p>
        </w:tc>
        <w:tc>
          <w:tcPr>
            <w:tcW w:w="180" w:type="dxa"/>
            <w:vAlign w:val="bottom"/>
            <w:tcBorders>
              <w:top w:val="single" w:sz="8" w:color="CFF0FC"/>
            </w:tcBorders>
            <w:shd w:val="clear" w:color="auto" w:fill="CFF0FC"/>
          </w:tcPr>
          <w:p>
            <w:pPr>
              <w:spacing w:after="0"/>
              <w:rPr>
                <w:sz w:val="16"/>
                <w:szCs w:val="16"/>
                <w:color w:val="auto"/>
              </w:rPr>
            </w:pPr>
          </w:p>
        </w:tc>
        <w:tc>
          <w:tcPr>
            <w:tcW w:w="120" w:type="dxa"/>
            <w:vAlign w:val="bottom"/>
            <w:tcBorders>
              <w:top w:val="single" w:sz="8" w:color="auto"/>
            </w:tcBorders>
            <w:shd w:val="clear" w:color="auto" w:fill="CFF0FC"/>
          </w:tcPr>
          <w:p>
            <w:pPr>
              <w:spacing w:after="0"/>
              <w:rPr>
                <w:sz w:val="16"/>
                <w:szCs w:val="16"/>
                <w:color w:val="auto"/>
              </w:rPr>
            </w:pPr>
          </w:p>
        </w:tc>
        <w:tc>
          <w:tcPr>
            <w:tcW w:w="600" w:type="dxa"/>
            <w:vAlign w:val="bottom"/>
            <w:tcBorders>
              <w:top w:val="single" w:sz="8" w:color="auto"/>
            </w:tcBorders>
            <w:shd w:val="clear" w:color="auto" w:fill="CFF0FC"/>
          </w:tcPr>
          <w:p>
            <w:pPr>
              <w:spacing w:after="0"/>
              <w:rPr>
                <w:sz w:val="16"/>
                <w:szCs w:val="16"/>
                <w:color w:val="auto"/>
              </w:rPr>
            </w:pPr>
          </w:p>
        </w:tc>
        <w:tc>
          <w:tcPr>
            <w:tcW w:w="180" w:type="dxa"/>
            <w:vAlign w:val="bottom"/>
            <w:tcBorders>
              <w:top w:val="single" w:sz="8" w:color="CFF0FC"/>
            </w:tcBorders>
            <w:shd w:val="clear" w:color="auto" w:fill="CFF0FC"/>
          </w:tcPr>
          <w:p>
            <w:pPr>
              <w:spacing w:after="0"/>
              <w:rPr>
                <w:sz w:val="16"/>
                <w:szCs w:val="16"/>
                <w:color w:val="auto"/>
              </w:rPr>
            </w:pPr>
          </w:p>
        </w:tc>
        <w:tc>
          <w:tcPr>
            <w:tcW w:w="120" w:type="dxa"/>
            <w:vAlign w:val="bottom"/>
            <w:tcBorders>
              <w:top w:val="single" w:sz="8" w:color="auto"/>
            </w:tcBorders>
            <w:shd w:val="clear" w:color="auto" w:fill="CFF0FC"/>
          </w:tcPr>
          <w:p>
            <w:pPr>
              <w:spacing w:after="0"/>
              <w:rPr>
                <w:sz w:val="16"/>
                <w:szCs w:val="16"/>
                <w:color w:val="auto"/>
              </w:rPr>
            </w:pPr>
          </w:p>
        </w:tc>
        <w:tc>
          <w:tcPr>
            <w:tcW w:w="600" w:type="dxa"/>
            <w:vAlign w:val="bottom"/>
            <w:tcBorders>
              <w:top w:val="single" w:sz="8" w:color="auto"/>
            </w:tcBorders>
            <w:shd w:val="clear" w:color="auto" w:fill="CFF0FC"/>
          </w:tcPr>
          <w:p>
            <w:pPr>
              <w:spacing w:after="0"/>
              <w:rPr>
                <w:sz w:val="16"/>
                <w:szCs w:val="16"/>
                <w:color w:val="auto"/>
              </w:rPr>
            </w:pPr>
          </w:p>
        </w:tc>
        <w:tc>
          <w:tcPr>
            <w:tcW w:w="80" w:type="dxa"/>
            <w:vAlign w:val="bottom"/>
            <w:tcBorders>
              <w:top w:val="single" w:sz="8" w:color="CFF0FC"/>
            </w:tcBorders>
            <w:shd w:val="clear" w:color="auto" w:fill="CFF0FC"/>
          </w:tcPr>
          <w:p>
            <w:pPr>
              <w:spacing w:after="0"/>
              <w:rPr>
                <w:sz w:val="16"/>
                <w:szCs w:val="16"/>
                <w:color w:val="auto"/>
              </w:rPr>
            </w:pPr>
          </w:p>
        </w:tc>
        <w:tc>
          <w:tcPr>
            <w:tcW w:w="120" w:type="dxa"/>
            <w:vAlign w:val="bottom"/>
            <w:tcBorders>
              <w:top w:val="single" w:sz="8" w:color="CFF0FC"/>
            </w:tcBorders>
            <w:shd w:val="clear" w:color="auto" w:fill="CFF0FC"/>
          </w:tcPr>
          <w:p>
            <w:pPr>
              <w:spacing w:after="0"/>
              <w:rPr>
                <w:sz w:val="16"/>
                <w:szCs w:val="16"/>
                <w:color w:val="auto"/>
              </w:rPr>
            </w:pPr>
          </w:p>
        </w:tc>
        <w:tc>
          <w:tcPr>
            <w:tcW w:w="320" w:type="dxa"/>
            <w:vAlign w:val="bottom"/>
            <w:tcBorders>
              <w:top w:val="single" w:sz="8" w:color="auto"/>
            </w:tcBorders>
            <w:shd w:val="clear" w:color="auto" w:fill="CFF0FC"/>
          </w:tcPr>
          <w:p>
            <w:pPr>
              <w:spacing w:after="0"/>
              <w:rPr>
                <w:sz w:val="16"/>
                <w:szCs w:val="16"/>
                <w:color w:val="auto"/>
              </w:rPr>
            </w:pPr>
          </w:p>
        </w:tc>
        <w:tc>
          <w:tcPr>
            <w:tcW w:w="440" w:type="dxa"/>
            <w:vAlign w:val="bottom"/>
            <w:tcBorders>
              <w:top w:val="single" w:sz="8" w:color="auto"/>
            </w:tcBorders>
            <w:shd w:val="clear" w:color="auto" w:fill="CFF0FC"/>
          </w:tcPr>
          <w:p>
            <w:pPr>
              <w:spacing w:after="0"/>
              <w:rPr>
                <w:sz w:val="16"/>
                <w:szCs w:val="16"/>
                <w:color w:val="auto"/>
              </w:rPr>
            </w:pPr>
          </w:p>
        </w:tc>
        <w:tc>
          <w:tcPr>
            <w:tcW w:w="180" w:type="dxa"/>
            <w:vAlign w:val="bottom"/>
            <w:tcBorders>
              <w:top w:val="single" w:sz="8" w:color="CFF0FC"/>
              <w:right w:val="single" w:sz="8" w:color="CFF0FC"/>
            </w:tcBorders>
            <w:shd w:val="clear" w:color="auto" w:fill="CFF0FC"/>
          </w:tcPr>
          <w:p>
            <w:pPr>
              <w:spacing w:after="0"/>
              <w:rPr>
                <w:sz w:val="16"/>
                <w:szCs w:val="16"/>
                <w:color w:val="auto"/>
              </w:rPr>
            </w:pPr>
          </w:p>
        </w:tc>
        <w:tc>
          <w:tcPr>
            <w:tcW w:w="100" w:type="dxa"/>
            <w:vAlign w:val="bottom"/>
            <w:tcBorders>
              <w:top w:val="single" w:sz="8" w:color="auto"/>
            </w:tcBorders>
            <w:shd w:val="clear" w:color="auto" w:fill="CFF0FC"/>
          </w:tcPr>
          <w:p>
            <w:pPr>
              <w:spacing w:after="0"/>
              <w:rPr>
                <w:sz w:val="16"/>
                <w:szCs w:val="16"/>
                <w:color w:val="auto"/>
              </w:rPr>
            </w:pPr>
          </w:p>
        </w:tc>
        <w:tc>
          <w:tcPr>
            <w:tcW w:w="620" w:type="dxa"/>
            <w:vAlign w:val="bottom"/>
            <w:tcBorders>
              <w:top w:val="single" w:sz="8" w:color="auto"/>
            </w:tcBorders>
            <w:shd w:val="clear" w:color="auto" w:fill="CFF0FC"/>
          </w:tcPr>
          <w:p>
            <w:pPr>
              <w:spacing w:after="0"/>
              <w:rPr>
                <w:sz w:val="16"/>
                <w:szCs w:val="16"/>
                <w:color w:val="auto"/>
              </w:rPr>
            </w:pPr>
          </w:p>
        </w:tc>
        <w:tc>
          <w:tcPr>
            <w:tcW w:w="180" w:type="dxa"/>
            <w:vAlign w:val="bottom"/>
            <w:tcBorders>
              <w:top w:val="single" w:sz="8" w:color="CFF0FC"/>
            </w:tcBorders>
            <w:shd w:val="clear" w:color="auto" w:fill="CFF0FC"/>
          </w:tcPr>
          <w:p>
            <w:pPr>
              <w:spacing w:after="0"/>
              <w:rPr>
                <w:sz w:val="16"/>
                <w:szCs w:val="16"/>
                <w:color w:val="auto"/>
              </w:rPr>
            </w:pPr>
          </w:p>
        </w:tc>
        <w:tc>
          <w:tcPr>
            <w:tcW w:w="660" w:type="dxa"/>
            <w:vAlign w:val="bottom"/>
            <w:tcBorders>
              <w:top w:val="single" w:sz="8" w:color="auto"/>
            </w:tcBorders>
            <w:shd w:val="clear" w:color="auto" w:fill="CFF0FC"/>
          </w:tcPr>
          <w:p>
            <w:pPr>
              <w:spacing w:after="0"/>
              <w:rPr>
                <w:sz w:val="16"/>
                <w:szCs w:val="16"/>
                <w:color w:val="auto"/>
              </w:rPr>
            </w:pPr>
          </w:p>
        </w:tc>
        <w:tc>
          <w:tcPr>
            <w:tcW w:w="320" w:type="dxa"/>
            <w:vAlign w:val="bottom"/>
            <w:tcBorders>
              <w:top w:val="single" w:sz="8" w:color="CFF0FC"/>
            </w:tcBorders>
            <w:shd w:val="clear" w:color="auto" w:fill="CFF0FC"/>
          </w:tcPr>
          <w:p>
            <w:pPr>
              <w:spacing w:after="0"/>
              <w:rPr>
                <w:sz w:val="16"/>
                <w:szCs w:val="16"/>
                <w:color w:val="auto"/>
              </w:rPr>
            </w:pPr>
          </w:p>
        </w:tc>
        <w:tc>
          <w:tcPr>
            <w:tcW w:w="660" w:type="dxa"/>
            <w:vAlign w:val="bottom"/>
            <w:tcBorders>
              <w:top w:val="single" w:sz="8" w:color="auto"/>
            </w:tcBorders>
            <w:shd w:val="clear" w:color="auto" w:fill="CFF0FC"/>
          </w:tcPr>
          <w:p>
            <w:pPr>
              <w:spacing w:after="0"/>
              <w:rPr>
                <w:sz w:val="16"/>
                <w:szCs w:val="16"/>
                <w:color w:val="auto"/>
              </w:rPr>
            </w:pPr>
          </w:p>
        </w:tc>
        <w:tc>
          <w:tcPr>
            <w:tcW w:w="220" w:type="dxa"/>
            <w:vAlign w:val="bottom"/>
            <w:tcBorders>
              <w:top w:val="single" w:sz="8" w:color="CFF0FC"/>
            </w:tcBorders>
            <w:shd w:val="clear" w:color="auto" w:fill="CFF0FC"/>
          </w:tcPr>
          <w:p>
            <w:pPr>
              <w:spacing w:after="0"/>
              <w:rPr>
                <w:sz w:val="16"/>
                <w:szCs w:val="16"/>
                <w:color w:val="auto"/>
              </w:rPr>
            </w:pPr>
          </w:p>
        </w:tc>
        <w:tc>
          <w:tcPr>
            <w:tcW w:w="0" w:type="dxa"/>
            <w:vAlign w:val="bottom"/>
          </w:tcPr>
          <w:p>
            <w:pPr>
              <w:spacing w:after="0"/>
              <w:rPr>
                <w:sz w:val="1"/>
                <w:szCs w:val="1"/>
                <w:color w:val="auto"/>
              </w:rPr>
            </w:pPr>
          </w:p>
        </w:tc>
      </w:tr>
      <w:tr>
        <w:trPr>
          <w:trHeight w:val="233"/>
        </w:trPr>
        <w:tc>
          <w:tcPr>
            <w:tcW w:w="3220" w:type="dxa"/>
            <w:vAlign w:val="bottom"/>
            <w:shd w:val="clear" w:color="auto" w:fill="CFF0FC"/>
          </w:tcPr>
          <w:p>
            <w:pPr>
              <w:ind w:left="140"/>
              <w:spacing w:after="0"/>
              <w:rPr>
                <w:sz w:val="20"/>
                <w:szCs w:val="20"/>
                <w:color w:val="auto"/>
              </w:rPr>
            </w:pPr>
            <w:r>
              <w:rPr>
                <w:rFonts w:ascii="Arial" w:cs="Arial" w:eastAsia="Arial" w:hAnsi="Arial"/>
                <w:sz w:val="18"/>
                <w:szCs w:val="18"/>
                <w:b w:val="1"/>
                <w:bCs w:val="1"/>
                <w:color w:val="auto"/>
              </w:rPr>
              <w:t>(loss)</w:t>
            </w:r>
            <w:r>
              <w:rPr>
                <w:rFonts w:ascii="Arial" w:cs="Arial" w:eastAsia="Arial" w:hAnsi="Arial"/>
                <w:sz w:val="15"/>
                <w:szCs w:val="15"/>
                <w:b w:val="1"/>
                <w:bCs w:val="1"/>
                <w:color w:val="auto"/>
              </w:rPr>
              <w:t>(2)</w:t>
            </w:r>
            <w:r>
              <w:rPr>
                <w:rFonts w:ascii="Arial" w:cs="Arial" w:eastAsia="Arial" w:hAnsi="Arial"/>
                <w:sz w:val="18"/>
                <w:szCs w:val="18"/>
                <w:b w:val="1"/>
                <w:bCs w:val="1"/>
                <w:color w:val="auto"/>
              </w:rPr>
              <w:t>:</w:t>
            </w:r>
          </w:p>
        </w:tc>
        <w:tc>
          <w:tcPr>
            <w:tcW w:w="100" w:type="dxa"/>
            <w:vAlign w:val="bottom"/>
            <w:shd w:val="clear" w:color="auto" w:fill="CFF0FC"/>
          </w:tcPr>
          <w:p>
            <w:pPr>
              <w:spacing w:after="0"/>
              <w:rPr>
                <w:sz w:val="20"/>
                <w:szCs w:val="20"/>
                <w:color w:val="auto"/>
              </w:rPr>
            </w:pPr>
          </w:p>
        </w:tc>
        <w:tc>
          <w:tcPr>
            <w:tcW w:w="620" w:type="dxa"/>
            <w:vAlign w:val="bottom"/>
            <w:shd w:val="clear" w:color="auto" w:fill="CFF0FC"/>
          </w:tcPr>
          <w:p>
            <w:pPr>
              <w:spacing w:after="0"/>
              <w:rPr>
                <w:sz w:val="20"/>
                <w:szCs w:val="20"/>
                <w:color w:val="auto"/>
              </w:rPr>
            </w:pPr>
          </w:p>
        </w:tc>
        <w:tc>
          <w:tcPr>
            <w:tcW w:w="180" w:type="dxa"/>
            <w:vAlign w:val="bottom"/>
            <w:tcBorders>
              <w:right w:val="single" w:sz="8" w:color="CFF0FC"/>
            </w:tcBorders>
            <w:shd w:val="clear" w:color="auto" w:fill="CFF0FC"/>
          </w:tcPr>
          <w:p>
            <w:pPr>
              <w:spacing w:after="0"/>
              <w:rPr>
                <w:sz w:val="20"/>
                <w:szCs w:val="20"/>
                <w:color w:val="auto"/>
              </w:rPr>
            </w:pPr>
          </w:p>
        </w:tc>
        <w:tc>
          <w:tcPr>
            <w:tcW w:w="120" w:type="dxa"/>
            <w:vAlign w:val="bottom"/>
            <w:shd w:val="clear" w:color="auto" w:fill="CFF0FC"/>
          </w:tcPr>
          <w:p>
            <w:pPr>
              <w:spacing w:after="0"/>
              <w:rPr>
                <w:sz w:val="20"/>
                <w:szCs w:val="20"/>
                <w:color w:val="auto"/>
              </w:rPr>
            </w:pPr>
          </w:p>
        </w:tc>
        <w:tc>
          <w:tcPr>
            <w:tcW w:w="640" w:type="dxa"/>
            <w:vAlign w:val="bottom"/>
            <w:shd w:val="clear" w:color="auto" w:fill="CFF0FC"/>
          </w:tcPr>
          <w:p>
            <w:pPr>
              <w:spacing w:after="0"/>
              <w:rPr>
                <w:sz w:val="20"/>
                <w:szCs w:val="20"/>
                <w:color w:val="auto"/>
              </w:rPr>
            </w:pPr>
          </w:p>
        </w:tc>
        <w:tc>
          <w:tcPr>
            <w:tcW w:w="200" w:type="dxa"/>
            <w:vAlign w:val="bottom"/>
            <w:shd w:val="clear" w:color="auto" w:fill="CFF0FC"/>
          </w:tcPr>
          <w:p>
            <w:pPr>
              <w:spacing w:after="0"/>
              <w:rPr>
                <w:sz w:val="20"/>
                <w:szCs w:val="20"/>
                <w:color w:val="auto"/>
              </w:rPr>
            </w:pPr>
          </w:p>
        </w:tc>
        <w:tc>
          <w:tcPr>
            <w:tcW w:w="80" w:type="dxa"/>
            <w:vAlign w:val="bottom"/>
            <w:shd w:val="clear" w:color="auto" w:fill="CFF0FC"/>
          </w:tcPr>
          <w:p>
            <w:pPr>
              <w:spacing w:after="0"/>
              <w:rPr>
                <w:sz w:val="20"/>
                <w:szCs w:val="20"/>
                <w:color w:val="auto"/>
              </w:rPr>
            </w:pPr>
          </w:p>
        </w:tc>
        <w:tc>
          <w:tcPr>
            <w:tcW w:w="560" w:type="dxa"/>
            <w:vAlign w:val="bottom"/>
            <w:shd w:val="clear" w:color="auto" w:fill="CFF0FC"/>
          </w:tcPr>
          <w:p>
            <w:pPr>
              <w:spacing w:after="0"/>
              <w:rPr>
                <w:sz w:val="20"/>
                <w:szCs w:val="20"/>
                <w:color w:val="auto"/>
              </w:rPr>
            </w:pPr>
          </w:p>
        </w:tc>
        <w:tc>
          <w:tcPr>
            <w:tcW w:w="180" w:type="dxa"/>
            <w:vAlign w:val="bottom"/>
            <w:shd w:val="clear" w:color="auto" w:fill="CFF0FC"/>
          </w:tcPr>
          <w:p>
            <w:pPr>
              <w:spacing w:after="0"/>
              <w:rPr>
                <w:sz w:val="20"/>
                <w:szCs w:val="20"/>
                <w:color w:val="auto"/>
              </w:rPr>
            </w:pPr>
          </w:p>
        </w:tc>
        <w:tc>
          <w:tcPr>
            <w:tcW w:w="120" w:type="dxa"/>
            <w:vAlign w:val="bottom"/>
            <w:shd w:val="clear" w:color="auto" w:fill="CFF0FC"/>
          </w:tcPr>
          <w:p>
            <w:pPr>
              <w:spacing w:after="0"/>
              <w:rPr>
                <w:sz w:val="20"/>
                <w:szCs w:val="20"/>
                <w:color w:val="auto"/>
              </w:rPr>
            </w:pPr>
          </w:p>
        </w:tc>
        <w:tc>
          <w:tcPr>
            <w:tcW w:w="600" w:type="dxa"/>
            <w:vAlign w:val="bottom"/>
            <w:shd w:val="clear" w:color="auto" w:fill="CFF0FC"/>
          </w:tcPr>
          <w:p>
            <w:pPr>
              <w:spacing w:after="0"/>
              <w:rPr>
                <w:sz w:val="20"/>
                <w:szCs w:val="20"/>
                <w:color w:val="auto"/>
              </w:rPr>
            </w:pPr>
          </w:p>
        </w:tc>
        <w:tc>
          <w:tcPr>
            <w:tcW w:w="180" w:type="dxa"/>
            <w:vAlign w:val="bottom"/>
            <w:shd w:val="clear" w:color="auto" w:fill="CFF0FC"/>
          </w:tcPr>
          <w:p>
            <w:pPr>
              <w:spacing w:after="0"/>
              <w:rPr>
                <w:sz w:val="20"/>
                <w:szCs w:val="20"/>
                <w:color w:val="auto"/>
              </w:rPr>
            </w:pPr>
          </w:p>
        </w:tc>
        <w:tc>
          <w:tcPr>
            <w:tcW w:w="120" w:type="dxa"/>
            <w:vAlign w:val="bottom"/>
            <w:shd w:val="clear" w:color="auto" w:fill="CFF0FC"/>
          </w:tcPr>
          <w:p>
            <w:pPr>
              <w:spacing w:after="0"/>
              <w:rPr>
                <w:sz w:val="20"/>
                <w:szCs w:val="20"/>
                <w:color w:val="auto"/>
              </w:rPr>
            </w:pPr>
          </w:p>
        </w:tc>
        <w:tc>
          <w:tcPr>
            <w:tcW w:w="600" w:type="dxa"/>
            <w:vAlign w:val="bottom"/>
            <w:shd w:val="clear" w:color="auto" w:fill="CFF0FC"/>
          </w:tcPr>
          <w:p>
            <w:pPr>
              <w:spacing w:after="0"/>
              <w:rPr>
                <w:sz w:val="20"/>
                <w:szCs w:val="20"/>
                <w:color w:val="auto"/>
              </w:rPr>
            </w:pPr>
          </w:p>
        </w:tc>
        <w:tc>
          <w:tcPr>
            <w:tcW w:w="80" w:type="dxa"/>
            <w:vAlign w:val="bottom"/>
            <w:shd w:val="clear" w:color="auto" w:fill="CFF0FC"/>
          </w:tcPr>
          <w:p>
            <w:pPr>
              <w:spacing w:after="0"/>
              <w:rPr>
                <w:sz w:val="20"/>
                <w:szCs w:val="20"/>
                <w:color w:val="auto"/>
              </w:rPr>
            </w:pPr>
          </w:p>
        </w:tc>
        <w:tc>
          <w:tcPr>
            <w:tcW w:w="120" w:type="dxa"/>
            <w:vAlign w:val="bottom"/>
            <w:shd w:val="clear" w:color="auto" w:fill="CFF0FC"/>
          </w:tcPr>
          <w:p>
            <w:pPr>
              <w:spacing w:after="0"/>
              <w:rPr>
                <w:sz w:val="20"/>
                <w:szCs w:val="20"/>
                <w:color w:val="auto"/>
              </w:rPr>
            </w:pPr>
          </w:p>
        </w:tc>
        <w:tc>
          <w:tcPr>
            <w:tcW w:w="320" w:type="dxa"/>
            <w:vAlign w:val="bottom"/>
            <w:shd w:val="clear" w:color="auto" w:fill="CFF0FC"/>
          </w:tcPr>
          <w:p>
            <w:pPr>
              <w:spacing w:after="0"/>
              <w:rPr>
                <w:sz w:val="20"/>
                <w:szCs w:val="20"/>
                <w:color w:val="auto"/>
              </w:rPr>
            </w:pPr>
          </w:p>
        </w:tc>
        <w:tc>
          <w:tcPr>
            <w:tcW w:w="440" w:type="dxa"/>
            <w:vAlign w:val="bottom"/>
            <w:shd w:val="clear" w:color="auto" w:fill="CFF0FC"/>
          </w:tcPr>
          <w:p>
            <w:pPr>
              <w:spacing w:after="0"/>
              <w:rPr>
                <w:sz w:val="20"/>
                <w:szCs w:val="20"/>
                <w:color w:val="auto"/>
              </w:rPr>
            </w:pPr>
          </w:p>
        </w:tc>
        <w:tc>
          <w:tcPr>
            <w:tcW w:w="180" w:type="dxa"/>
            <w:vAlign w:val="bottom"/>
            <w:tcBorders>
              <w:right w:val="single" w:sz="8" w:color="CFF0FC"/>
            </w:tcBorders>
            <w:shd w:val="clear" w:color="auto" w:fill="CFF0FC"/>
          </w:tcPr>
          <w:p>
            <w:pPr>
              <w:spacing w:after="0"/>
              <w:rPr>
                <w:sz w:val="20"/>
                <w:szCs w:val="20"/>
                <w:color w:val="auto"/>
              </w:rPr>
            </w:pPr>
          </w:p>
        </w:tc>
        <w:tc>
          <w:tcPr>
            <w:tcW w:w="100" w:type="dxa"/>
            <w:vAlign w:val="bottom"/>
            <w:shd w:val="clear" w:color="auto" w:fill="CFF0FC"/>
          </w:tcPr>
          <w:p>
            <w:pPr>
              <w:spacing w:after="0"/>
              <w:rPr>
                <w:sz w:val="20"/>
                <w:szCs w:val="20"/>
                <w:color w:val="auto"/>
              </w:rPr>
            </w:pPr>
          </w:p>
        </w:tc>
        <w:tc>
          <w:tcPr>
            <w:tcW w:w="620" w:type="dxa"/>
            <w:vAlign w:val="bottom"/>
            <w:shd w:val="clear" w:color="auto" w:fill="CFF0FC"/>
          </w:tcPr>
          <w:p>
            <w:pPr>
              <w:spacing w:after="0"/>
              <w:rPr>
                <w:sz w:val="20"/>
                <w:szCs w:val="20"/>
                <w:color w:val="auto"/>
              </w:rPr>
            </w:pPr>
          </w:p>
        </w:tc>
        <w:tc>
          <w:tcPr>
            <w:tcW w:w="180" w:type="dxa"/>
            <w:vAlign w:val="bottom"/>
            <w:shd w:val="clear" w:color="auto" w:fill="CFF0FC"/>
          </w:tcPr>
          <w:p>
            <w:pPr>
              <w:spacing w:after="0"/>
              <w:rPr>
                <w:sz w:val="20"/>
                <w:szCs w:val="20"/>
                <w:color w:val="auto"/>
              </w:rPr>
            </w:pPr>
          </w:p>
        </w:tc>
        <w:tc>
          <w:tcPr>
            <w:tcW w:w="660" w:type="dxa"/>
            <w:vAlign w:val="bottom"/>
            <w:shd w:val="clear" w:color="auto" w:fill="CFF0FC"/>
          </w:tcPr>
          <w:p>
            <w:pPr>
              <w:spacing w:after="0"/>
              <w:rPr>
                <w:sz w:val="20"/>
                <w:szCs w:val="20"/>
                <w:color w:val="auto"/>
              </w:rPr>
            </w:pPr>
          </w:p>
        </w:tc>
        <w:tc>
          <w:tcPr>
            <w:tcW w:w="320" w:type="dxa"/>
            <w:vAlign w:val="bottom"/>
            <w:shd w:val="clear" w:color="auto" w:fill="CFF0FC"/>
          </w:tcPr>
          <w:p>
            <w:pPr>
              <w:spacing w:after="0"/>
              <w:rPr>
                <w:sz w:val="20"/>
                <w:szCs w:val="20"/>
                <w:color w:val="auto"/>
              </w:rPr>
            </w:pPr>
          </w:p>
        </w:tc>
        <w:tc>
          <w:tcPr>
            <w:tcW w:w="660" w:type="dxa"/>
            <w:vAlign w:val="bottom"/>
            <w:shd w:val="clear" w:color="auto" w:fill="CFF0FC"/>
          </w:tcPr>
          <w:p>
            <w:pPr>
              <w:spacing w:after="0"/>
              <w:rPr>
                <w:sz w:val="20"/>
                <w:szCs w:val="20"/>
                <w:color w:val="auto"/>
              </w:rPr>
            </w:pPr>
          </w:p>
        </w:tc>
        <w:tc>
          <w:tcPr>
            <w:tcW w:w="220" w:type="dxa"/>
            <w:vAlign w:val="bottom"/>
            <w:shd w:val="clear" w:color="auto" w:fill="CFF0FC"/>
          </w:tcPr>
          <w:p>
            <w:pPr>
              <w:spacing w:after="0"/>
              <w:rPr>
                <w:sz w:val="20"/>
                <w:szCs w:val="20"/>
                <w:color w:val="auto"/>
              </w:rPr>
            </w:pPr>
          </w:p>
        </w:tc>
        <w:tc>
          <w:tcPr>
            <w:tcW w:w="0" w:type="dxa"/>
            <w:vAlign w:val="bottom"/>
          </w:tcPr>
          <w:p>
            <w:pPr>
              <w:spacing w:after="0"/>
              <w:rPr>
                <w:sz w:val="1"/>
                <w:szCs w:val="1"/>
                <w:color w:val="auto"/>
              </w:rPr>
            </w:pPr>
          </w:p>
        </w:tc>
      </w:tr>
      <w:tr>
        <w:trPr>
          <w:trHeight w:val="229"/>
        </w:trPr>
        <w:tc>
          <w:tcPr>
            <w:tcW w:w="3220" w:type="dxa"/>
            <w:vAlign w:val="bottom"/>
          </w:tcPr>
          <w:p>
            <w:pPr>
              <w:spacing w:after="0"/>
              <w:rPr>
                <w:sz w:val="20"/>
                <w:szCs w:val="20"/>
                <w:color w:val="auto"/>
              </w:rPr>
            </w:pPr>
            <w:r>
              <w:rPr>
                <w:rFonts w:ascii="Arial" w:cs="Arial" w:eastAsia="Arial" w:hAnsi="Arial"/>
                <w:sz w:val="18"/>
                <w:szCs w:val="18"/>
                <w:color w:val="auto"/>
              </w:rPr>
              <w:t>GES:</w:t>
            </w:r>
          </w:p>
        </w:tc>
        <w:tc>
          <w:tcPr>
            <w:tcW w:w="10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3220" w:type="dxa"/>
            <w:vAlign w:val="bottom"/>
            <w:shd w:val="clear" w:color="auto" w:fill="CFF0FC"/>
          </w:tcPr>
          <w:p>
            <w:pPr>
              <w:ind w:left="260"/>
              <w:spacing w:after="0"/>
              <w:rPr>
                <w:sz w:val="20"/>
                <w:szCs w:val="20"/>
                <w:color w:val="auto"/>
              </w:rPr>
            </w:pPr>
            <w:r>
              <w:rPr>
                <w:rFonts w:ascii="Arial" w:cs="Arial" w:eastAsia="Arial" w:hAnsi="Arial"/>
                <w:sz w:val="18"/>
                <w:szCs w:val="18"/>
                <w:color w:val="auto"/>
              </w:rPr>
              <w:t>U.S.</w:t>
            </w:r>
          </w:p>
        </w:tc>
        <w:tc>
          <w:tcPr>
            <w:tcW w:w="100" w:type="dxa"/>
            <w:vAlign w:val="bottom"/>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800" w:type="dxa"/>
            <w:vAlign w:val="bottom"/>
            <w:tcBorders>
              <w:right w:val="single" w:sz="8" w:color="CFF0FC"/>
            </w:tcBorders>
            <w:gridSpan w:val="2"/>
            <w:shd w:val="clear" w:color="auto" w:fill="CFF0FC"/>
          </w:tcPr>
          <w:p>
            <w:pPr>
              <w:jc w:val="right"/>
              <w:ind w:right="120"/>
              <w:spacing w:after="0"/>
              <w:rPr>
                <w:sz w:val="20"/>
                <w:szCs w:val="20"/>
                <w:color w:val="auto"/>
              </w:rPr>
            </w:pPr>
            <w:r>
              <w:rPr>
                <w:rFonts w:ascii="Arial" w:cs="Arial" w:eastAsia="Arial" w:hAnsi="Arial"/>
                <w:sz w:val="18"/>
                <w:szCs w:val="18"/>
                <w:color w:val="auto"/>
              </w:rPr>
              <w:t>(1,556)</w:t>
            </w:r>
          </w:p>
        </w:tc>
        <w:tc>
          <w:tcPr>
            <w:tcW w:w="120" w:type="dxa"/>
            <w:vAlign w:val="bottom"/>
            <w:shd w:val="clear" w:color="auto" w:fill="CFF0FC"/>
          </w:tcPr>
          <w:p>
            <w:pPr>
              <w:spacing w:after="0"/>
              <w:rPr>
                <w:sz w:val="20"/>
                <w:szCs w:val="20"/>
                <w:color w:val="auto"/>
              </w:rPr>
            </w:pPr>
            <w:r>
              <w:rPr>
                <w:rFonts w:ascii="Arial" w:cs="Arial" w:eastAsia="Arial" w:hAnsi="Arial"/>
                <w:sz w:val="18"/>
                <w:szCs w:val="18"/>
                <w:color w:val="auto"/>
                <w:w w:val="99"/>
              </w:rPr>
              <w:t>$</w:t>
            </w:r>
          </w:p>
        </w:tc>
        <w:tc>
          <w:tcPr>
            <w:tcW w:w="640" w:type="dxa"/>
            <w:vAlign w:val="bottom"/>
            <w:shd w:val="clear" w:color="auto" w:fill="CFF0FC"/>
          </w:tcPr>
          <w:p>
            <w:pPr>
              <w:ind w:left="460"/>
              <w:spacing w:after="0"/>
              <w:rPr>
                <w:sz w:val="20"/>
                <w:szCs w:val="20"/>
                <w:color w:val="auto"/>
              </w:rPr>
            </w:pPr>
            <w:r>
              <w:rPr>
                <w:rFonts w:ascii="Arial" w:cs="Arial" w:eastAsia="Arial" w:hAnsi="Arial"/>
                <w:sz w:val="18"/>
                <w:szCs w:val="18"/>
                <w:color w:val="auto"/>
                <w:w w:val="88"/>
              </w:rPr>
              <w:t>—</w:t>
            </w:r>
          </w:p>
        </w:tc>
        <w:tc>
          <w:tcPr>
            <w:tcW w:w="28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740" w:type="dxa"/>
            <w:vAlign w:val="bottom"/>
            <w:gridSpan w:val="2"/>
            <w:shd w:val="clear" w:color="auto" w:fill="CFF0FC"/>
          </w:tcPr>
          <w:p>
            <w:pPr>
              <w:jc w:val="right"/>
              <w:ind w:right="122"/>
              <w:spacing w:after="0"/>
              <w:rPr>
                <w:sz w:val="20"/>
                <w:szCs w:val="20"/>
                <w:color w:val="auto"/>
              </w:rPr>
            </w:pPr>
            <w:r>
              <w:rPr>
                <w:rFonts w:ascii="Arial" w:cs="Arial" w:eastAsia="Arial" w:hAnsi="Arial"/>
                <w:sz w:val="18"/>
                <w:szCs w:val="18"/>
                <w:color w:val="auto"/>
              </w:rPr>
              <w:t>—</w:t>
            </w:r>
          </w:p>
        </w:tc>
        <w:tc>
          <w:tcPr>
            <w:tcW w:w="120" w:type="dxa"/>
            <w:vAlign w:val="bottom"/>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780" w:type="dxa"/>
            <w:vAlign w:val="bottom"/>
            <w:gridSpan w:val="2"/>
            <w:shd w:val="clear" w:color="auto" w:fill="CFF0FC"/>
          </w:tcPr>
          <w:p>
            <w:pPr>
              <w:jc w:val="right"/>
              <w:ind w:right="120"/>
              <w:spacing w:after="0"/>
              <w:rPr>
                <w:sz w:val="20"/>
                <w:szCs w:val="20"/>
                <w:color w:val="auto"/>
              </w:rPr>
            </w:pPr>
            <w:r>
              <w:rPr>
                <w:rFonts w:ascii="Arial" w:cs="Arial" w:eastAsia="Arial" w:hAnsi="Arial"/>
                <w:sz w:val="18"/>
                <w:szCs w:val="18"/>
                <w:color w:val="auto"/>
              </w:rPr>
              <w:t>(1,556)</w:t>
            </w:r>
          </w:p>
        </w:tc>
        <w:tc>
          <w:tcPr>
            <w:tcW w:w="120" w:type="dxa"/>
            <w:vAlign w:val="bottom"/>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6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21,346</w:t>
            </w:r>
          </w:p>
        </w:tc>
        <w:tc>
          <w:tcPr>
            <w:tcW w:w="80" w:type="dxa"/>
            <w:vAlign w:val="bottom"/>
            <w:shd w:val="clear" w:color="auto" w:fill="CFF0FC"/>
          </w:tcPr>
          <w:p>
            <w:pPr>
              <w:spacing w:after="0"/>
              <w:rPr>
                <w:sz w:val="19"/>
                <w:szCs w:val="19"/>
                <w:color w:val="auto"/>
              </w:rPr>
            </w:pPr>
          </w:p>
        </w:tc>
        <w:tc>
          <w:tcPr>
            <w:tcW w:w="440" w:type="dxa"/>
            <w:vAlign w:val="bottom"/>
            <w:gridSpan w:val="2"/>
            <w:shd w:val="clear" w:color="auto" w:fill="CFF0FC"/>
          </w:tcPr>
          <w:p>
            <w:pPr>
              <w:jc w:val="right"/>
              <w:ind w:right="167"/>
              <w:spacing w:after="0"/>
              <w:rPr>
                <w:sz w:val="20"/>
                <w:szCs w:val="20"/>
                <w:color w:val="auto"/>
              </w:rPr>
            </w:pPr>
            <w:r>
              <w:rPr>
                <w:rFonts w:ascii="Arial" w:cs="Arial" w:eastAsia="Arial" w:hAnsi="Arial"/>
                <w:sz w:val="18"/>
                <w:szCs w:val="18"/>
                <w:color w:val="auto"/>
              </w:rPr>
              <w:t>$</w:t>
            </w:r>
          </w:p>
        </w:tc>
        <w:tc>
          <w:tcPr>
            <w:tcW w:w="620" w:type="dxa"/>
            <w:vAlign w:val="bottom"/>
            <w:tcBorders>
              <w:right w:val="single" w:sz="8" w:color="CFF0FC"/>
            </w:tcBorders>
            <w:gridSpan w:val="2"/>
            <w:shd w:val="clear" w:color="auto" w:fill="CFF0FC"/>
          </w:tcPr>
          <w:p>
            <w:pPr>
              <w:jc w:val="right"/>
              <w:ind w:right="200"/>
              <w:spacing w:after="0"/>
              <w:rPr>
                <w:sz w:val="20"/>
                <w:szCs w:val="20"/>
                <w:color w:val="auto"/>
              </w:rPr>
            </w:pPr>
            <w:r>
              <w:rPr>
                <w:rFonts w:ascii="Arial" w:cs="Arial" w:eastAsia="Arial" w:hAnsi="Arial"/>
                <w:sz w:val="18"/>
                <w:szCs w:val="18"/>
                <w:color w:val="auto"/>
              </w:rPr>
              <w:t>—</w:t>
            </w:r>
          </w:p>
        </w:tc>
        <w:tc>
          <w:tcPr>
            <w:tcW w:w="100" w:type="dxa"/>
            <w:vAlign w:val="bottom"/>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6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21,346</w:t>
            </w:r>
          </w:p>
        </w:tc>
        <w:tc>
          <w:tcPr>
            <w:tcW w:w="180" w:type="dxa"/>
            <w:vAlign w:val="bottom"/>
            <w:shd w:val="clear" w:color="auto" w:fill="CFF0FC"/>
          </w:tcPr>
          <w:p>
            <w:pPr>
              <w:spacing w:after="0"/>
              <w:rPr>
                <w:sz w:val="19"/>
                <w:szCs w:val="19"/>
                <w:color w:val="auto"/>
              </w:rPr>
            </w:pPr>
          </w:p>
        </w:tc>
        <w:tc>
          <w:tcPr>
            <w:tcW w:w="6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320" w:type="dxa"/>
            <w:vAlign w:val="bottom"/>
            <w:shd w:val="clear" w:color="auto" w:fill="CFF0FC"/>
          </w:tcPr>
          <w:p>
            <w:pPr>
              <w:spacing w:after="0"/>
              <w:rPr>
                <w:sz w:val="19"/>
                <w:szCs w:val="19"/>
                <w:color w:val="auto"/>
              </w:rPr>
            </w:pPr>
          </w:p>
        </w:tc>
        <w:tc>
          <w:tcPr>
            <w:tcW w:w="6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3220" w:type="dxa"/>
            <w:vAlign w:val="bottom"/>
          </w:tcPr>
          <w:p>
            <w:pPr>
              <w:ind w:left="260"/>
              <w:spacing w:after="0"/>
              <w:rPr>
                <w:sz w:val="20"/>
                <w:szCs w:val="20"/>
                <w:color w:val="auto"/>
              </w:rPr>
            </w:pPr>
            <w:r>
              <w:rPr>
                <w:rFonts w:ascii="Arial" w:cs="Arial" w:eastAsia="Arial" w:hAnsi="Arial"/>
                <w:sz w:val="18"/>
                <w:szCs w:val="18"/>
                <w:color w:val="auto"/>
              </w:rPr>
              <w:t>International</w:t>
            </w:r>
          </w:p>
        </w:tc>
        <w:tc>
          <w:tcPr>
            <w:tcW w:w="100" w:type="dxa"/>
            <w:vAlign w:val="bottom"/>
          </w:tcPr>
          <w:p>
            <w:pPr>
              <w:spacing w:after="0"/>
              <w:rPr>
                <w:sz w:val="19"/>
                <w:szCs w:val="19"/>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2,136</w:t>
            </w:r>
          </w:p>
        </w:tc>
        <w:tc>
          <w:tcPr>
            <w:tcW w:w="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40" w:type="dxa"/>
            <w:vAlign w:val="bottom"/>
          </w:tcPr>
          <w:p>
            <w:pPr>
              <w:ind w:left="460"/>
              <w:spacing w:after="0"/>
              <w:rPr>
                <w:sz w:val="20"/>
                <w:szCs w:val="20"/>
                <w:color w:val="auto"/>
              </w:rPr>
            </w:pPr>
            <w:r>
              <w:rPr>
                <w:rFonts w:ascii="Arial" w:cs="Arial" w:eastAsia="Arial" w:hAnsi="Arial"/>
                <w:sz w:val="18"/>
                <w:szCs w:val="18"/>
                <w:color w:val="auto"/>
                <w:w w:val="88"/>
              </w:rPr>
              <w:t>—</w:t>
            </w:r>
          </w:p>
        </w:tc>
        <w:tc>
          <w:tcPr>
            <w:tcW w:w="2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740" w:type="dxa"/>
            <w:vAlign w:val="bottom"/>
            <w:gridSpan w:val="2"/>
          </w:tcPr>
          <w:p>
            <w:pPr>
              <w:jc w:val="right"/>
              <w:ind w:right="42"/>
              <w:spacing w:after="0"/>
              <w:rPr>
                <w:sz w:val="20"/>
                <w:szCs w:val="20"/>
                <w:color w:val="auto"/>
              </w:rPr>
            </w:pPr>
            <w:r>
              <w:rPr>
                <w:rFonts w:ascii="Arial" w:cs="Arial" w:eastAsia="Arial" w:hAnsi="Arial"/>
                <w:sz w:val="18"/>
                <w:szCs w:val="18"/>
                <w:color w:val="auto"/>
              </w:rPr>
              <w:t>(22)</w:t>
            </w:r>
          </w:p>
        </w:tc>
        <w:tc>
          <w:tcPr>
            <w:tcW w:w="120" w:type="dxa"/>
            <w:vAlign w:val="bottom"/>
          </w:tcPr>
          <w:p>
            <w:pPr>
              <w:spacing w:after="0"/>
              <w:rPr>
                <w:sz w:val="19"/>
                <w:szCs w:val="19"/>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2,158</w:t>
            </w:r>
          </w:p>
        </w:tc>
        <w:tc>
          <w:tcPr>
            <w:tcW w:w="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2,033</w:t>
            </w:r>
          </w:p>
        </w:tc>
        <w:tc>
          <w:tcPr>
            <w:tcW w:w="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6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2,033</w:t>
            </w:r>
          </w:p>
        </w:tc>
        <w:tc>
          <w:tcPr>
            <w:tcW w:w="180" w:type="dxa"/>
            <w:vAlign w:val="bottom"/>
          </w:tcPr>
          <w:p>
            <w:pPr>
              <w:spacing w:after="0"/>
              <w:rPr>
                <w:sz w:val="19"/>
                <w:szCs w:val="19"/>
                <w:color w:val="auto"/>
              </w:rPr>
            </w:pPr>
          </w:p>
        </w:tc>
        <w:tc>
          <w:tcPr>
            <w:tcW w:w="980" w:type="dxa"/>
            <w:vAlign w:val="bottom"/>
            <w:gridSpan w:val="2"/>
          </w:tcPr>
          <w:p>
            <w:pPr>
              <w:jc w:val="right"/>
              <w:ind w:right="160"/>
              <w:spacing w:after="0"/>
              <w:rPr>
                <w:sz w:val="20"/>
                <w:szCs w:val="20"/>
                <w:color w:val="auto"/>
              </w:rPr>
            </w:pPr>
            <w:r>
              <w:rPr>
                <w:rFonts w:ascii="Arial" w:cs="Arial" w:eastAsia="Arial" w:hAnsi="Arial"/>
                <w:sz w:val="18"/>
                <w:szCs w:val="18"/>
                <w:color w:val="auto"/>
              </w:rPr>
              <w:t>5.1%</w:t>
            </w:r>
          </w:p>
        </w:tc>
        <w:tc>
          <w:tcPr>
            <w:tcW w:w="880" w:type="dxa"/>
            <w:vAlign w:val="bottom"/>
            <w:gridSpan w:val="2"/>
          </w:tcPr>
          <w:p>
            <w:pPr>
              <w:jc w:val="right"/>
              <w:ind w:right="80"/>
              <w:spacing w:after="0"/>
              <w:rPr>
                <w:sz w:val="20"/>
                <w:szCs w:val="20"/>
                <w:color w:val="auto"/>
              </w:rPr>
            </w:pPr>
            <w:r>
              <w:rPr>
                <w:rFonts w:ascii="Arial" w:cs="Arial" w:eastAsia="Arial" w:hAnsi="Arial"/>
                <w:sz w:val="18"/>
                <w:szCs w:val="18"/>
                <w:color w:val="auto"/>
              </w:rPr>
              <w:t>6.1%</w:t>
            </w:r>
          </w:p>
        </w:tc>
        <w:tc>
          <w:tcPr>
            <w:tcW w:w="0" w:type="dxa"/>
            <w:vAlign w:val="bottom"/>
          </w:tcPr>
          <w:p>
            <w:pPr>
              <w:spacing w:after="0"/>
              <w:rPr>
                <w:sz w:val="1"/>
                <w:szCs w:val="1"/>
                <w:color w:val="auto"/>
              </w:rPr>
            </w:pPr>
          </w:p>
        </w:tc>
      </w:tr>
      <w:tr>
        <w:trPr>
          <w:trHeight w:val="20"/>
        </w:trPr>
        <w:tc>
          <w:tcPr>
            <w:tcW w:w="3220" w:type="dxa"/>
            <w:vAlign w:val="bottom"/>
            <w:vMerge w:val="restart"/>
            <w:shd w:val="clear" w:color="auto" w:fill="CFF0FC"/>
          </w:tcPr>
          <w:p>
            <w:pPr>
              <w:spacing w:after="0"/>
              <w:rPr>
                <w:sz w:val="20"/>
                <w:szCs w:val="20"/>
                <w:color w:val="auto"/>
              </w:rPr>
            </w:pPr>
            <w:r>
              <w:rPr>
                <w:rFonts w:ascii="Arial" w:cs="Arial" w:eastAsia="Arial" w:hAnsi="Arial"/>
                <w:sz w:val="18"/>
                <w:szCs w:val="18"/>
                <w:color w:val="auto"/>
              </w:rPr>
              <w:t>Total GES</w:t>
            </w:r>
          </w:p>
        </w:tc>
        <w:tc>
          <w:tcPr>
            <w:tcW w:w="10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80" w:type="dxa"/>
            <w:vAlign w:val="bottom"/>
            <w:tcBorders>
              <w:right w:val="single" w:sz="8" w:color="CFF0FC"/>
            </w:tcBorders>
            <w:shd w:val="clear" w:color="auto" w:fill="CFF0FC"/>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200" w:type="dxa"/>
            <w:vAlign w:val="bottom"/>
            <w:vMerge w:val="restart"/>
            <w:shd w:val="clear" w:color="auto" w:fill="CFF0FC"/>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180" w:type="dxa"/>
            <w:vAlign w:val="bottom"/>
            <w:vMerge w:val="restart"/>
            <w:shd w:val="clear" w:color="auto" w:fill="CFF0FC"/>
          </w:tcPr>
          <w:p>
            <w:pPr>
              <w:jc w:val="right"/>
              <w:ind w:right="42"/>
              <w:spacing w:after="0"/>
              <w:rPr>
                <w:sz w:val="20"/>
                <w:szCs w:val="20"/>
                <w:color w:val="auto"/>
              </w:rPr>
            </w:pPr>
            <w:r>
              <w:rPr>
                <w:rFonts w:ascii="Arial" w:cs="Arial" w:eastAsia="Arial" w:hAnsi="Arial"/>
                <w:sz w:val="16"/>
                <w:szCs w:val="16"/>
                <w:color w:val="auto"/>
                <w:w w:val="74"/>
              </w:rPr>
              <w:t>)</w:t>
            </w:r>
          </w:p>
        </w:tc>
        <w:tc>
          <w:tcPr>
            <w:tcW w:w="12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180" w:type="dxa"/>
            <w:vAlign w:val="bottom"/>
            <w:shd w:val="clear" w:color="auto" w:fill="CFF0FC"/>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80" w:type="dxa"/>
            <w:vAlign w:val="bottom"/>
            <w:shd w:val="clear" w:color="auto" w:fill="CFF0FC"/>
          </w:tcPr>
          <w:p>
            <w:pPr>
              <w:spacing w:after="0" w:line="20" w:lineRule="exact"/>
              <w:rPr>
                <w:sz w:val="1"/>
                <w:szCs w:val="1"/>
                <w:color w:val="auto"/>
              </w:rPr>
            </w:pPr>
          </w:p>
        </w:tc>
        <w:tc>
          <w:tcPr>
            <w:tcW w:w="120" w:type="dxa"/>
            <w:vAlign w:val="bottom"/>
            <w:vMerge w:val="restart"/>
            <w:shd w:val="clear" w:color="auto" w:fill="CFF0FC"/>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180" w:type="dxa"/>
            <w:vAlign w:val="bottom"/>
            <w:tcBorders>
              <w:right w:val="single" w:sz="8" w:color="CFF0FC"/>
            </w:tcBorders>
            <w:vMerge w:val="restart"/>
            <w:shd w:val="clear" w:color="auto" w:fill="CFF0FC"/>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80" w:type="dxa"/>
            <w:vAlign w:val="bottom"/>
            <w:shd w:val="clear" w:color="auto" w:fill="CFF0FC"/>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320" w:type="dxa"/>
            <w:vAlign w:val="bottom"/>
            <w:shd w:val="clear" w:color="auto" w:fill="CFF0FC"/>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220" w:type="dxa"/>
            <w:vAlign w:val="bottom"/>
            <w:shd w:val="clear" w:color="auto" w:fill="CFF0F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3220" w:type="dxa"/>
            <w:vAlign w:val="bottom"/>
            <w:vMerge w:val="continue"/>
            <w:shd w:val="clear" w:color="auto" w:fill="CFF0FC"/>
          </w:tcPr>
          <w:p>
            <w:pPr>
              <w:spacing w:after="0"/>
              <w:rPr>
                <w:sz w:val="19"/>
                <w:szCs w:val="19"/>
                <w:color w:val="auto"/>
              </w:rPr>
            </w:pPr>
          </w:p>
        </w:tc>
        <w:tc>
          <w:tcPr>
            <w:tcW w:w="100" w:type="dxa"/>
            <w:vAlign w:val="bottom"/>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6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580</w:t>
            </w:r>
          </w:p>
        </w:tc>
        <w:tc>
          <w:tcPr>
            <w:tcW w:w="180" w:type="dxa"/>
            <w:vAlign w:val="bottom"/>
            <w:tcBorders>
              <w:right w:val="single" w:sz="8" w:color="CFF0FC"/>
            </w:tcBorders>
            <w:shd w:val="clear" w:color="auto" w:fill="CFF0FC"/>
          </w:tcPr>
          <w:p>
            <w:pPr>
              <w:spacing w:after="0"/>
              <w:rPr>
                <w:sz w:val="19"/>
                <w:szCs w:val="19"/>
                <w:color w:val="auto"/>
              </w:rPr>
            </w:pPr>
          </w:p>
        </w:tc>
        <w:tc>
          <w:tcPr>
            <w:tcW w:w="120" w:type="dxa"/>
            <w:vAlign w:val="bottom"/>
            <w:shd w:val="clear" w:color="auto" w:fill="CFF0FC"/>
          </w:tcPr>
          <w:p>
            <w:pPr>
              <w:spacing w:after="0"/>
              <w:rPr>
                <w:sz w:val="20"/>
                <w:szCs w:val="20"/>
                <w:color w:val="auto"/>
              </w:rPr>
            </w:pPr>
            <w:r>
              <w:rPr>
                <w:rFonts w:ascii="Arial" w:cs="Arial" w:eastAsia="Arial" w:hAnsi="Arial"/>
                <w:sz w:val="18"/>
                <w:szCs w:val="18"/>
                <w:color w:val="auto"/>
                <w:w w:val="99"/>
              </w:rPr>
              <w:t>$</w:t>
            </w:r>
          </w:p>
        </w:tc>
        <w:tc>
          <w:tcPr>
            <w:tcW w:w="640" w:type="dxa"/>
            <w:vAlign w:val="bottom"/>
            <w:shd w:val="clear" w:color="auto" w:fill="CFF0FC"/>
          </w:tcPr>
          <w:p>
            <w:pPr>
              <w:ind w:left="460"/>
              <w:spacing w:after="0"/>
              <w:rPr>
                <w:sz w:val="20"/>
                <w:szCs w:val="20"/>
                <w:color w:val="auto"/>
              </w:rPr>
            </w:pPr>
            <w:r>
              <w:rPr>
                <w:rFonts w:ascii="Arial" w:cs="Arial" w:eastAsia="Arial" w:hAnsi="Arial"/>
                <w:sz w:val="18"/>
                <w:szCs w:val="18"/>
                <w:color w:val="auto"/>
                <w:w w:val="88"/>
              </w:rPr>
              <w:t>—</w:t>
            </w:r>
          </w:p>
        </w:tc>
        <w:tc>
          <w:tcPr>
            <w:tcW w:w="200" w:type="dxa"/>
            <w:vAlign w:val="bottom"/>
            <w:vMerge w:val="continue"/>
            <w:shd w:val="clear" w:color="auto" w:fill="CFF0FC"/>
          </w:tcPr>
          <w:p>
            <w:pPr>
              <w:spacing w:after="0"/>
              <w:rPr>
                <w:sz w:val="19"/>
                <w:szCs w:val="19"/>
                <w:color w:val="auto"/>
              </w:rPr>
            </w:pPr>
          </w:p>
        </w:tc>
        <w:tc>
          <w:tcPr>
            <w:tcW w:w="80" w:type="dxa"/>
            <w:vAlign w:val="bottom"/>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5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(22</w:t>
            </w:r>
          </w:p>
        </w:tc>
        <w:tc>
          <w:tcPr>
            <w:tcW w:w="180" w:type="dxa"/>
            <w:vAlign w:val="bottom"/>
            <w:vMerge w:val="continue"/>
            <w:shd w:val="clear" w:color="auto" w:fill="CFF0FC"/>
          </w:tcPr>
          <w:p>
            <w:pPr>
              <w:spacing w:after="0"/>
              <w:rPr>
                <w:sz w:val="19"/>
                <w:szCs w:val="19"/>
                <w:color w:val="auto"/>
              </w:rPr>
            </w:pPr>
          </w:p>
        </w:tc>
        <w:tc>
          <w:tcPr>
            <w:tcW w:w="120" w:type="dxa"/>
            <w:vAlign w:val="bottom"/>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6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602</w:t>
            </w:r>
          </w:p>
        </w:tc>
        <w:tc>
          <w:tcPr>
            <w:tcW w:w="180" w:type="dxa"/>
            <w:vAlign w:val="bottom"/>
            <w:shd w:val="clear" w:color="auto" w:fill="CFF0FC"/>
          </w:tcPr>
          <w:p>
            <w:pPr>
              <w:spacing w:after="0"/>
              <w:rPr>
                <w:sz w:val="19"/>
                <w:szCs w:val="19"/>
                <w:color w:val="auto"/>
              </w:rPr>
            </w:pPr>
          </w:p>
        </w:tc>
        <w:tc>
          <w:tcPr>
            <w:tcW w:w="120" w:type="dxa"/>
            <w:vAlign w:val="bottom"/>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6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23,379</w:t>
            </w:r>
          </w:p>
        </w:tc>
        <w:tc>
          <w:tcPr>
            <w:tcW w:w="80" w:type="dxa"/>
            <w:vAlign w:val="bottom"/>
            <w:shd w:val="clear" w:color="auto" w:fill="CFF0FC"/>
          </w:tcPr>
          <w:p>
            <w:pPr>
              <w:spacing w:after="0"/>
              <w:rPr>
                <w:sz w:val="19"/>
                <w:szCs w:val="19"/>
                <w:color w:val="auto"/>
              </w:rPr>
            </w:pPr>
          </w:p>
        </w:tc>
        <w:tc>
          <w:tcPr>
            <w:tcW w:w="120" w:type="dxa"/>
            <w:vAlign w:val="bottom"/>
            <w:vMerge w:val="continue"/>
            <w:shd w:val="clear" w:color="auto" w:fill="CFF0FC"/>
          </w:tcPr>
          <w:p>
            <w:pPr>
              <w:spacing w:after="0"/>
              <w:rPr>
                <w:sz w:val="19"/>
                <w:szCs w:val="19"/>
                <w:color w:val="auto"/>
              </w:rPr>
            </w:pPr>
          </w:p>
        </w:tc>
        <w:tc>
          <w:tcPr>
            <w:tcW w:w="320" w:type="dxa"/>
            <w:vAlign w:val="bottom"/>
            <w:shd w:val="clear" w:color="auto" w:fill="CFF0FC"/>
          </w:tcPr>
          <w:p>
            <w:pPr>
              <w:jc w:val="right"/>
              <w:ind w:right="167"/>
              <w:spacing w:after="0"/>
              <w:rPr>
                <w:sz w:val="20"/>
                <w:szCs w:val="20"/>
                <w:color w:val="auto"/>
              </w:rPr>
            </w:pPr>
            <w:r>
              <w:rPr>
                <w:rFonts w:ascii="Arial" w:cs="Arial" w:eastAsia="Arial" w:hAnsi="Arial"/>
                <w:sz w:val="15"/>
                <w:szCs w:val="15"/>
                <w:color w:val="auto"/>
                <w:w w:val="71"/>
              </w:rPr>
              <w:t>$</w:t>
            </w:r>
          </w:p>
        </w:tc>
        <w:tc>
          <w:tcPr>
            <w:tcW w:w="4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80" w:type="dxa"/>
            <w:vAlign w:val="bottom"/>
            <w:tcBorders>
              <w:right w:val="single" w:sz="8" w:color="CFF0FC"/>
            </w:tcBorders>
            <w:vMerge w:val="continue"/>
            <w:shd w:val="clear" w:color="auto" w:fill="CFF0FC"/>
          </w:tcPr>
          <w:p>
            <w:pPr>
              <w:spacing w:after="0"/>
              <w:rPr>
                <w:sz w:val="19"/>
                <w:szCs w:val="19"/>
                <w:color w:val="auto"/>
              </w:rPr>
            </w:pPr>
          </w:p>
        </w:tc>
        <w:tc>
          <w:tcPr>
            <w:tcW w:w="100" w:type="dxa"/>
            <w:vAlign w:val="bottom"/>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6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23,379</w:t>
            </w:r>
          </w:p>
        </w:tc>
        <w:tc>
          <w:tcPr>
            <w:tcW w:w="180" w:type="dxa"/>
            <w:vAlign w:val="bottom"/>
            <w:shd w:val="clear" w:color="auto" w:fill="CFF0FC"/>
          </w:tcPr>
          <w:p>
            <w:pPr>
              <w:spacing w:after="0"/>
              <w:rPr>
                <w:sz w:val="19"/>
                <w:szCs w:val="19"/>
                <w:color w:val="auto"/>
              </w:rPr>
            </w:pPr>
          </w:p>
        </w:tc>
        <w:tc>
          <w:tcPr>
            <w:tcW w:w="980" w:type="dxa"/>
            <w:vAlign w:val="bottom"/>
            <w:gridSpan w:val="2"/>
            <w:shd w:val="clear" w:color="auto" w:fill="CFF0FC"/>
          </w:tcPr>
          <w:p>
            <w:pPr>
              <w:jc w:val="right"/>
              <w:ind w:right="100"/>
              <w:spacing w:after="0"/>
              <w:rPr>
                <w:sz w:val="20"/>
                <w:szCs w:val="20"/>
                <w:color w:val="auto"/>
              </w:rPr>
            </w:pPr>
            <w:r>
              <w:rPr>
                <w:rFonts w:ascii="Arial" w:cs="Arial" w:eastAsia="Arial" w:hAnsi="Arial"/>
                <w:sz w:val="18"/>
                <w:szCs w:val="18"/>
                <w:color w:val="auto"/>
              </w:rPr>
              <w:t>(97.5)%</w:t>
            </w:r>
          </w:p>
        </w:tc>
        <w:tc>
          <w:tcPr>
            <w:tcW w:w="880" w:type="dxa"/>
            <w:vAlign w:val="bottom"/>
            <w:gridSpan w:val="2"/>
            <w:shd w:val="clear" w:color="auto" w:fill="CFF0FC"/>
          </w:tcPr>
          <w:p>
            <w:pPr>
              <w:jc w:val="right"/>
              <w:ind w:right="20"/>
              <w:spacing w:after="0"/>
              <w:rPr>
                <w:sz w:val="20"/>
                <w:szCs w:val="20"/>
                <w:color w:val="auto"/>
              </w:rPr>
            </w:pPr>
            <w:r>
              <w:rPr>
                <w:rFonts w:ascii="Arial" w:cs="Arial" w:eastAsia="Arial" w:hAnsi="Arial"/>
                <w:sz w:val="18"/>
                <w:szCs w:val="18"/>
                <w:color w:val="auto"/>
              </w:rPr>
              <w:t>(97.4)%</w:t>
            </w:r>
          </w:p>
        </w:tc>
        <w:tc>
          <w:tcPr>
            <w:tcW w:w="0" w:type="dxa"/>
            <w:vAlign w:val="bottom"/>
          </w:tcPr>
          <w:p>
            <w:pPr>
              <w:spacing w:after="0"/>
              <w:rPr>
                <w:sz w:val="1"/>
                <w:szCs w:val="1"/>
                <w:color w:val="auto"/>
              </w:rPr>
            </w:pPr>
          </w:p>
        </w:tc>
      </w:tr>
      <w:tr>
        <w:trPr>
          <w:trHeight w:val="20"/>
        </w:trPr>
        <w:tc>
          <w:tcPr>
            <w:tcW w:w="3220" w:type="dxa"/>
            <w:vAlign w:val="bottom"/>
            <w:tcBorders>
              <w:top w:val="single" w:sz="8" w:color="CFF0FC"/>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CFF0FC"/>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CFF0FC"/>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CFF0FC"/>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CFF0FC"/>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CFF0FC"/>
            </w:tcBorders>
          </w:tcPr>
          <w:p>
            <w:pPr>
              <w:spacing w:after="0" w:line="20" w:lineRule="exact"/>
              <w:rPr>
                <w:sz w:val="1"/>
                <w:szCs w:val="1"/>
                <w:color w:val="auto"/>
              </w:rPr>
            </w:pPr>
          </w:p>
        </w:tc>
        <w:tc>
          <w:tcPr>
            <w:tcW w:w="120" w:type="dxa"/>
            <w:vAlign w:val="bottom"/>
            <w:tcBorders>
              <w:top w:val="single" w:sz="8" w:color="CFF0FC"/>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CFF0FC"/>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CFF0FC"/>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CFF0FC"/>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FF0F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93" w:lineRule="exact"/>
        <w:rPr>
          <w:sz w:val="20"/>
          <w:szCs w:val="20"/>
          <w:color w:val="auto"/>
        </w:rPr>
      </w:pPr>
    </w:p>
    <w:p>
      <w:pPr>
        <w:spacing w:after="0"/>
        <w:rPr>
          <w:sz w:val="20"/>
          <w:szCs w:val="20"/>
          <w:color w:val="auto"/>
        </w:rPr>
      </w:pPr>
      <w:r>
        <w:rPr>
          <w:rFonts w:ascii="Arial" w:cs="Arial" w:eastAsia="Arial" w:hAnsi="Arial"/>
          <w:sz w:val="18"/>
          <w:szCs w:val="18"/>
          <w:color w:val="auto"/>
        </w:rPr>
        <w:t>** Change is greater than +/- 100%</w:t>
      </w:r>
    </w:p>
    <w:p>
      <w:pPr>
        <w:spacing w:after="0" w:line="21" w:lineRule="exact"/>
        <w:rPr>
          <w:sz w:val="20"/>
          <w:szCs w:val="20"/>
          <w:color w:val="auto"/>
        </w:rPr>
      </w:pPr>
    </w:p>
    <w:p>
      <w:pPr>
        <w:jc w:val="both"/>
        <w:ind w:left="380" w:hanging="372"/>
        <w:spacing w:after="0" w:line="249" w:lineRule="auto"/>
        <w:tabs>
          <w:tab w:leader="none" w:pos="380" w:val="left"/>
        </w:tabs>
        <w:numPr>
          <w:ilvl w:val="0"/>
          <w:numId w:val="19"/>
        </w:numPr>
        <w:rPr>
          <w:rFonts w:ascii="Arial" w:cs="Arial" w:eastAsia="Arial" w:hAnsi="Arial"/>
          <w:sz w:val="15"/>
          <w:szCs w:val="15"/>
          <w:color w:val="auto"/>
        </w:rPr>
      </w:pPr>
      <w:r>
        <w:rPr>
          <w:rFonts w:ascii="Arial" w:cs="Arial" w:eastAsia="Arial" w:hAnsi="Arial"/>
          <w:sz w:val="18"/>
          <w:szCs w:val="18"/>
          <w:color w:val="auto"/>
        </w:rPr>
        <w:t>Organic revenue and organic segment operating results are non-GAAP financial measures that adjust for the impacts of exchange rate variances and acquisitions, if any, until such acquisitions are included in the entirety of both comparable periods presented. For more information about organic revenue and organic segment operating results, see the “Non-GAAP Measures” section of this MD&amp;A.</w:t>
      </w:r>
    </w:p>
    <w:p>
      <w:pPr>
        <w:spacing w:after="0" w:line="2" w:lineRule="exact"/>
        <w:rPr>
          <w:rFonts w:ascii="Arial" w:cs="Arial" w:eastAsia="Arial" w:hAnsi="Arial"/>
          <w:sz w:val="15"/>
          <w:szCs w:val="15"/>
          <w:color w:val="auto"/>
        </w:rPr>
      </w:pPr>
    </w:p>
    <w:p>
      <w:pPr>
        <w:ind w:left="380" w:right="20" w:hanging="372"/>
        <w:spacing w:after="0" w:line="258" w:lineRule="auto"/>
        <w:tabs>
          <w:tab w:leader="none" w:pos="380" w:val="left"/>
        </w:tabs>
        <w:numPr>
          <w:ilvl w:val="0"/>
          <w:numId w:val="19"/>
        </w:numPr>
        <w:rPr>
          <w:rFonts w:ascii="Arial" w:cs="Arial" w:eastAsia="Arial" w:hAnsi="Arial"/>
          <w:sz w:val="15"/>
          <w:szCs w:val="15"/>
          <w:color w:val="auto"/>
        </w:rPr>
      </w:pPr>
      <w:r>
        <w:rPr>
          <w:rFonts w:ascii="Arial" w:cs="Arial" w:eastAsia="Arial" w:hAnsi="Arial"/>
          <w:sz w:val="18"/>
          <w:szCs w:val="18"/>
          <w:color w:val="auto"/>
        </w:rPr>
        <w:t xml:space="preserve">Refer to Note 21 </w:t>
      </w:r>
      <w:r>
        <w:rPr>
          <w:rFonts w:ascii="Arial" w:cs="Arial" w:eastAsia="Arial" w:hAnsi="Arial"/>
          <w:sz w:val="18"/>
          <w:szCs w:val="18"/>
          <w:b w:val="1"/>
          <w:bCs w:val="1"/>
          <w:i w:val="1"/>
          <w:iCs w:val="1"/>
          <w:color w:val="auto"/>
        </w:rPr>
        <w:t>–</w:t>
      </w:r>
      <w:r>
        <w:rPr>
          <w:rFonts w:ascii="Arial" w:cs="Arial" w:eastAsia="Arial" w:hAnsi="Arial"/>
          <w:sz w:val="18"/>
          <w:szCs w:val="18"/>
          <w:color w:val="auto"/>
        </w:rPr>
        <w:t xml:space="preserve"> Segment Information of the Notes to Condensed Consolidated Financial Statements for a reconciliation of the non-GAAP financial measure, segment operating income (loss), to the most directly comparable GAAP measure.</w:t>
      </w:r>
    </w:p>
    <w:p>
      <w:pPr>
        <w:spacing w:after="0" w:line="18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69850</wp:posOffset>
            </wp:positionV>
            <wp:extent cx="7289800" cy="4254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1420"/>
          </w:cols>
          <w:pgMar w:left="240" w:top="659" w:right="239" w:bottom="1440" w:gutter="0" w:footer="0" w:header="0"/>
        </w:sectPr>
      </w:pPr>
    </w:p>
    <w:bookmarkStart w:id="32" w:name="page33"/>
    <w:bookmarkEnd w:id="32"/>
    <w:p>
      <w:pPr>
        <w:spacing w:after="0"/>
        <w:rPr>
          <w:sz w:val="20"/>
          <w:szCs w:val="20"/>
          <w:color w:val="auto"/>
        </w:rPr>
      </w:pPr>
      <w:r>
        <w:rPr>
          <w:rFonts w:ascii="Arial" w:cs="Arial" w:eastAsia="Arial" w:hAnsi="Arial"/>
          <w:sz w:val="18"/>
          <w:szCs w:val="18"/>
          <w:b w:val="1"/>
          <w:bCs w:val="1"/>
          <w:u w:val="single" w:color="auto"/>
          <w:color w:val="auto"/>
        </w:rPr>
        <w:t>GES U.S.</w:t>
      </w:r>
    </w:p>
    <w:p>
      <w:pPr>
        <w:spacing w:after="0" w:line="116" w:lineRule="exact"/>
        <w:rPr>
          <w:sz w:val="20"/>
          <w:szCs w:val="20"/>
          <w:color w:val="auto"/>
        </w:rPr>
      </w:pPr>
    </w:p>
    <w:p>
      <w:pPr>
        <w:ind w:right="20"/>
        <w:spacing w:after="0" w:line="310" w:lineRule="auto"/>
        <w:rPr>
          <w:sz w:val="20"/>
          <w:szCs w:val="20"/>
          <w:color w:val="auto"/>
        </w:rPr>
      </w:pPr>
      <w:r>
        <w:rPr>
          <w:rFonts w:ascii="Arial" w:cs="Arial" w:eastAsia="Arial" w:hAnsi="Arial"/>
          <w:sz w:val="17"/>
          <w:szCs w:val="17"/>
          <w:b w:val="1"/>
          <w:bCs w:val="1"/>
          <w:color w:val="auto"/>
        </w:rPr>
        <w:t xml:space="preserve">GES U.S. revenue </w:t>
      </w:r>
      <w:r>
        <w:rPr>
          <w:rFonts w:ascii="Arial" w:cs="Arial" w:eastAsia="Arial" w:hAnsi="Arial"/>
          <w:sz w:val="17"/>
          <w:szCs w:val="17"/>
          <w:color w:val="auto"/>
        </w:rPr>
        <w:t>decreased $53.3 million or 20.7%, primarily due to negative show rotation of approximately $52 million and certain non-recurring</w:t>
      </w:r>
      <w:r>
        <w:rPr>
          <w:rFonts w:ascii="Arial" w:cs="Arial" w:eastAsia="Arial" w:hAnsi="Arial"/>
          <w:sz w:val="17"/>
          <w:szCs w:val="17"/>
          <w:b w:val="1"/>
          <w:bCs w:val="1"/>
          <w:color w:val="auto"/>
        </w:rPr>
        <w:t xml:space="preserve"> </w:t>
      </w:r>
      <w:r>
        <w:rPr>
          <w:rFonts w:ascii="Arial" w:cs="Arial" w:eastAsia="Arial" w:hAnsi="Arial"/>
          <w:sz w:val="17"/>
          <w:szCs w:val="17"/>
          <w:color w:val="auto"/>
        </w:rPr>
        <w:t>business, offset in part by U.S. base same-show revenue growth of 3.7%. Base same-show revenue represented 46.5% of GES U.S. revenue.</w:t>
      </w:r>
    </w:p>
    <w:p>
      <w:pPr>
        <w:spacing w:after="0" w:line="8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GES U.S. operating results </w:t>
      </w:r>
      <w:r>
        <w:rPr>
          <w:rFonts w:ascii="Arial" w:cs="Arial" w:eastAsia="Arial" w:hAnsi="Arial"/>
          <w:sz w:val="18"/>
          <w:szCs w:val="18"/>
          <w:color w:val="auto"/>
        </w:rPr>
        <w:t>decreased $22.9 million, primarily due to lower revenue.</w:t>
      </w:r>
    </w:p>
    <w:p>
      <w:pPr>
        <w:spacing w:after="0" w:line="331"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GES International</w:t>
      </w:r>
    </w:p>
    <w:p>
      <w:pPr>
        <w:spacing w:after="0" w:line="116" w:lineRule="exact"/>
        <w:rPr>
          <w:sz w:val="20"/>
          <w:szCs w:val="20"/>
          <w:color w:val="auto"/>
        </w:rPr>
      </w:pPr>
    </w:p>
    <w:p>
      <w:pPr>
        <w:spacing w:after="0" w:line="280" w:lineRule="auto"/>
        <w:rPr>
          <w:sz w:val="20"/>
          <w:szCs w:val="20"/>
          <w:color w:val="auto"/>
        </w:rPr>
      </w:pPr>
      <w:r>
        <w:rPr>
          <w:rFonts w:ascii="Arial" w:cs="Arial" w:eastAsia="Arial" w:hAnsi="Arial"/>
          <w:sz w:val="18"/>
          <w:szCs w:val="18"/>
          <w:b w:val="1"/>
          <w:bCs w:val="1"/>
          <w:color w:val="auto"/>
        </w:rPr>
        <w:t xml:space="preserve">GES International revenue </w:t>
      </w:r>
      <w:r>
        <w:rPr>
          <w:rFonts w:ascii="Arial" w:cs="Arial" w:eastAsia="Arial" w:hAnsi="Arial"/>
          <w:sz w:val="18"/>
          <w:szCs w:val="18"/>
          <w:color w:val="auto"/>
        </w:rPr>
        <w:t>increased $3.3 million or 5.1%, primarily due to a favorable FX Impact of $5.8 million and new business wins, offset in part by</w:t>
      </w:r>
      <w:r>
        <w:rPr>
          <w:rFonts w:ascii="Arial" w:cs="Arial" w:eastAsia="Arial" w:hAnsi="Arial"/>
          <w:sz w:val="18"/>
          <w:szCs w:val="18"/>
          <w:b w:val="1"/>
          <w:bCs w:val="1"/>
          <w:color w:val="auto"/>
        </w:rPr>
        <w:t xml:space="preserve"> </w:t>
      </w:r>
      <w:r>
        <w:rPr>
          <w:rFonts w:ascii="Arial" w:cs="Arial" w:eastAsia="Arial" w:hAnsi="Arial"/>
          <w:sz w:val="18"/>
          <w:szCs w:val="18"/>
          <w:color w:val="auto"/>
        </w:rPr>
        <w:t>negative show rotation of approximately $4.0 million. Organic revenue* decreased $2.5 million or 3.9%.</w:t>
      </w:r>
    </w:p>
    <w:p>
      <w:pPr>
        <w:spacing w:after="0" w:line="109" w:lineRule="exact"/>
        <w:rPr>
          <w:sz w:val="20"/>
          <w:szCs w:val="20"/>
          <w:color w:val="auto"/>
        </w:rPr>
      </w:pPr>
    </w:p>
    <w:p>
      <w:pPr>
        <w:spacing w:after="0" w:line="280" w:lineRule="auto"/>
        <w:rPr>
          <w:sz w:val="20"/>
          <w:szCs w:val="20"/>
          <w:color w:val="auto"/>
        </w:rPr>
      </w:pPr>
      <w:r>
        <w:rPr>
          <w:rFonts w:ascii="Arial" w:cs="Arial" w:eastAsia="Arial" w:hAnsi="Arial"/>
          <w:sz w:val="18"/>
          <w:szCs w:val="18"/>
          <w:b w:val="1"/>
          <w:bCs w:val="1"/>
          <w:color w:val="auto"/>
        </w:rPr>
        <w:t xml:space="preserve">GES International operating income </w:t>
      </w:r>
      <w:r>
        <w:rPr>
          <w:rFonts w:ascii="Arial" w:cs="Arial" w:eastAsia="Arial" w:hAnsi="Arial"/>
          <w:sz w:val="18"/>
          <w:szCs w:val="18"/>
          <w:color w:val="auto"/>
        </w:rPr>
        <w:t>increased $0.1 million or 5.1%, primarily due to higher revenue. Organic operating income* increased $0.1 million or</w:t>
      </w:r>
      <w:r>
        <w:rPr>
          <w:rFonts w:ascii="Arial" w:cs="Arial" w:eastAsia="Arial" w:hAnsi="Arial"/>
          <w:sz w:val="18"/>
          <w:szCs w:val="18"/>
          <w:b w:val="1"/>
          <w:bCs w:val="1"/>
          <w:color w:val="auto"/>
        </w:rPr>
        <w:t xml:space="preserve"> </w:t>
      </w:r>
      <w:r>
        <w:rPr>
          <w:rFonts w:ascii="Arial" w:cs="Arial" w:eastAsia="Arial" w:hAnsi="Arial"/>
          <w:sz w:val="18"/>
          <w:szCs w:val="18"/>
          <w:color w:val="auto"/>
        </w:rPr>
        <w:t>6.1%.</w:t>
      </w:r>
    </w:p>
    <w:p>
      <w:pPr>
        <w:spacing w:after="0" w:line="113" w:lineRule="exact"/>
        <w:rPr>
          <w:sz w:val="20"/>
          <w:szCs w:val="20"/>
          <w:color w:val="auto"/>
        </w:rPr>
      </w:pPr>
    </w:p>
    <w:p>
      <w:pPr>
        <w:ind w:firstLine="8"/>
        <w:spacing w:after="0" w:line="275" w:lineRule="auto"/>
        <w:tabs>
          <w:tab w:leader="none" w:pos="150" w:val="left"/>
        </w:tabs>
        <w:numPr>
          <w:ilvl w:val="0"/>
          <w:numId w:val="20"/>
        </w:numPr>
        <w:rPr>
          <w:rFonts w:ascii="Arial" w:cs="Arial" w:eastAsia="Arial" w:hAnsi="Arial"/>
          <w:sz w:val="18"/>
          <w:szCs w:val="18"/>
          <w:color w:val="auto"/>
        </w:rPr>
      </w:pPr>
      <w:r>
        <w:rPr>
          <w:rFonts w:ascii="Arial" w:cs="Arial" w:eastAsia="Arial" w:hAnsi="Arial"/>
          <w:sz w:val="18"/>
          <w:szCs w:val="18"/>
          <w:color w:val="auto"/>
        </w:rPr>
        <w:t>Refer to footnote (1) in the above table for more information about the non-GAAP financial measures of organic revenue and organic segment operating results.</w:t>
      </w:r>
    </w:p>
    <w:p>
      <w:pPr>
        <w:spacing w:after="0" w:line="27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2018 Outlook</w:t>
      </w:r>
    </w:p>
    <w:p>
      <w:pPr>
        <w:spacing w:after="0" w:line="120" w:lineRule="exact"/>
        <w:rPr>
          <w:sz w:val="20"/>
          <w:szCs w:val="20"/>
          <w:color w:val="auto"/>
        </w:rPr>
      </w:pPr>
    </w:p>
    <w:p>
      <w:pPr>
        <w:jc w:val="both"/>
        <w:spacing w:after="0" w:line="262" w:lineRule="auto"/>
        <w:rPr>
          <w:sz w:val="20"/>
          <w:szCs w:val="20"/>
          <w:color w:val="auto"/>
        </w:rPr>
      </w:pPr>
      <w:r>
        <w:rPr>
          <w:rFonts w:ascii="Arial" w:cs="Arial" w:eastAsia="Arial" w:hAnsi="Arial"/>
          <w:sz w:val="18"/>
          <w:szCs w:val="18"/>
          <w:color w:val="auto"/>
        </w:rPr>
        <w:t>Although GES has a diversified revenue base and long-term contracts for future shows, its revenue is affected by general economic and industry-specific conditions. The prospects for individual shows tend to be driven by the success of the industry related to those shows. In general, the exhibition and event industry is experiencing modest growth.</w:t>
      </w:r>
    </w:p>
    <w:p>
      <w:pPr>
        <w:spacing w:after="0" w:line="129" w:lineRule="exact"/>
        <w:rPr>
          <w:sz w:val="20"/>
          <w:szCs w:val="20"/>
          <w:color w:val="auto"/>
        </w:rPr>
      </w:pPr>
    </w:p>
    <w:p>
      <w:pPr>
        <w:jc w:val="both"/>
        <w:spacing w:after="0" w:line="295" w:lineRule="auto"/>
        <w:rPr>
          <w:sz w:val="20"/>
          <w:szCs w:val="20"/>
          <w:color w:val="auto"/>
        </w:rPr>
      </w:pPr>
      <w:r>
        <w:rPr>
          <w:rFonts w:ascii="Arial" w:cs="Arial" w:eastAsia="Arial" w:hAnsi="Arial"/>
          <w:sz w:val="16"/>
          <w:szCs w:val="16"/>
          <w:color w:val="auto"/>
        </w:rPr>
        <w:t>For the 2018 full year, we expect GES’ revenue will be up slightly from 2017. Show rotation is expected to have a net negative impact on GES’ full revenue of approximately $40 million compared to 2017. We expect GES U.S. base same-show revenue to increase at a low to mid-single digit rate. We anticipate a favorable FX Impact of approximately $19 million on GES’ 2018 full year revenue and approximately $0.5 million on GES’ segment operating income. The expected FX Impact assumes that the U.S. dollar to the British pound exchange rate will be $1.41 and the U.S. dollar to the Canadian dollar exchange rate will be $0.79 during the remainder of 2018. For more information about segment operating income, see the “Non-GAAP Measures” section of this MD&amp;A.</w:t>
      </w:r>
    </w:p>
    <w:p>
      <w:pPr>
        <w:spacing w:after="0" w:line="106" w:lineRule="exact"/>
        <w:rPr>
          <w:sz w:val="20"/>
          <w:szCs w:val="20"/>
          <w:color w:val="auto"/>
        </w:rPr>
      </w:pPr>
    </w:p>
    <w:p>
      <w:pPr>
        <w:jc w:val="both"/>
        <w:spacing w:after="0" w:line="292" w:lineRule="auto"/>
        <w:rPr>
          <w:sz w:val="20"/>
          <w:szCs w:val="20"/>
          <w:color w:val="auto"/>
        </w:rPr>
      </w:pPr>
      <w:r>
        <w:rPr>
          <w:rFonts w:ascii="Arial" w:cs="Arial" w:eastAsia="Arial" w:hAnsi="Arial"/>
          <w:sz w:val="16"/>
          <w:szCs w:val="16"/>
          <w:color w:val="auto"/>
        </w:rPr>
        <w:t>We are executing a strategic growth plan to position GES as the preferred global, full-service provider for Live Events, with further reach to corporate events, consumer events, conferences, and exhibitions. To support this strategy, since 2014, we have acquired two leading audio-visual production businesses and four leading event technology businesses that complement, enhance, and expand our current business and offer higher-margin growth opportunities. We continue to pursue additional opportunities to acquire businesses with proven products and services to create the most comprehensive suite of services for the Live Events industry. During 2018, we intend to make selective investments in additional resources to capitalize on continued growth opportunities in under-penetrated categories of Live Events, such as corporate events and consumer events, and in cross-selling new services.</w:t>
      </w:r>
    </w:p>
    <w:p>
      <w:pPr>
        <w:spacing w:after="0" w:line="109" w:lineRule="exact"/>
        <w:rPr>
          <w:sz w:val="20"/>
          <w:szCs w:val="20"/>
          <w:color w:val="auto"/>
        </w:rPr>
      </w:pPr>
    </w:p>
    <w:p>
      <w:pPr>
        <w:jc w:val="both"/>
        <w:spacing w:after="0" w:line="285" w:lineRule="auto"/>
        <w:rPr>
          <w:sz w:val="20"/>
          <w:szCs w:val="20"/>
          <w:color w:val="auto"/>
        </w:rPr>
      </w:pPr>
      <w:r>
        <w:rPr>
          <w:rFonts w:ascii="Arial" w:cs="Arial" w:eastAsia="Arial" w:hAnsi="Arial"/>
          <w:sz w:val="17"/>
          <w:szCs w:val="17"/>
          <w:color w:val="auto"/>
        </w:rPr>
        <w:t>Additionally, we remain focused on improving GES’ profitability through continued efforts to effectively manage labor costs by driving productivity gains through rigorous and strategic pre-show planning and on-site labor management that reduces the ratio of labor costs to revenue. Improving this metric is our top priority as we continue to develop and enhance tools to support and systematize show site labor planning, measurement, and benchmarking.</w:t>
      </w:r>
    </w:p>
    <w:p>
      <w:pPr>
        <w:spacing w:after="0" w:line="16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69850</wp:posOffset>
            </wp:positionV>
            <wp:extent cx="7289800" cy="4254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1420"/>
          </w:cols>
          <w:pgMar w:left="240" w:top="659" w:right="239" w:bottom="1440" w:gutter="0" w:footer="0" w:header="0"/>
        </w:sectPr>
      </w:pPr>
    </w:p>
    <w:bookmarkStart w:id="33" w:name="page34"/>
    <w:bookmarkEnd w:id="33"/>
    <w:p>
      <w:pPr>
        <w:spacing w:after="0"/>
        <w:rPr>
          <w:sz w:val="20"/>
          <w:szCs w:val="20"/>
          <w:color w:val="auto"/>
        </w:rPr>
      </w:pPr>
      <w:r>
        <w:rPr>
          <w:rFonts w:ascii="Arial" w:cs="Arial" w:eastAsia="Arial" w:hAnsi="Arial"/>
          <w:sz w:val="18"/>
          <w:szCs w:val="18"/>
          <w:b w:val="1"/>
          <w:bCs w:val="1"/>
          <w:color w:val="auto"/>
        </w:rPr>
        <w:t>Pursuit</w:t>
      </w:r>
    </w:p>
    <w:p>
      <w:pPr>
        <w:spacing w:after="0" w:line="120" w:lineRule="exact"/>
        <w:rPr>
          <w:sz w:val="20"/>
          <w:szCs w:val="20"/>
          <w:color w:val="auto"/>
        </w:rPr>
      </w:pPr>
    </w:p>
    <w:p>
      <w:pPr>
        <w:ind w:right="100"/>
        <w:spacing w:after="0" w:line="275" w:lineRule="auto"/>
        <w:rPr>
          <w:sz w:val="20"/>
          <w:szCs w:val="20"/>
          <w:color w:val="auto"/>
        </w:rPr>
      </w:pPr>
      <w:r>
        <w:rPr>
          <w:rFonts w:ascii="Arial" w:cs="Arial" w:eastAsia="Arial" w:hAnsi="Arial"/>
          <w:sz w:val="18"/>
          <w:szCs w:val="18"/>
          <w:color w:val="auto"/>
        </w:rPr>
        <w:t>The following table provides a comparison of Pursuit’s reported revenue and segment operating results to organic revenue</w:t>
      </w:r>
      <w:r>
        <w:rPr>
          <w:rFonts w:ascii="Arial" w:cs="Arial" w:eastAsia="Arial" w:hAnsi="Arial"/>
          <w:sz w:val="15"/>
          <w:szCs w:val="15"/>
          <w:color w:val="auto"/>
        </w:rPr>
        <w:t>(3)</w:t>
      </w:r>
      <w:r>
        <w:rPr>
          <w:rFonts w:ascii="Arial" w:cs="Arial" w:eastAsia="Arial" w:hAnsi="Arial"/>
          <w:sz w:val="18"/>
          <w:szCs w:val="18"/>
          <w:color w:val="auto"/>
        </w:rPr>
        <w:t xml:space="preserve"> and organic segment operating results</w:t>
      </w:r>
      <w:r>
        <w:rPr>
          <w:rFonts w:ascii="Arial" w:cs="Arial" w:eastAsia="Arial" w:hAnsi="Arial"/>
          <w:sz w:val="15"/>
          <w:szCs w:val="15"/>
          <w:color w:val="auto"/>
        </w:rPr>
        <w:t>(3)</w:t>
      </w:r>
      <w:r>
        <w:rPr>
          <w:rFonts w:ascii="Arial" w:cs="Arial" w:eastAsia="Arial" w:hAnsi="Arial"/>
          <w:sz w:val="18"/>
          <w:szCs w:val="18"/>
          <w:color w:val="auto"/>
        </w:rPr>
        <w:t xml:space="preserve"> for the three months ended March 31, 2018 and 2017.</w:t>
      </w:r>
    </w:p>
    <w:p>
      <w:pPr>
        <w:spacing w:after="0" w:line="257"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2820" w:type="dxa"/>
            <w:vAlign w:val="bottom"/>
          </w:tcPr>
          <w:p>
            <w:pPr>
              <w:spacing w:after="0"/>
              <w:rPr>
                <w:sz w:val="16"/>
                <w:szCs w:val="16"/>
                <w:color w:val="auto"/>
              </w:rPr>
            </w:pPr>
          </w:p>
        </w:tc>
        <w:tc>
          <w:tcPr>
            <w:tcW w:w="4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700" w:type="dxa"/>
            <w:vAlign w:val="bottom"/>
            <w:gridSpan w:val="6"/>
          </w:tcPr>
          <w:p>
            <w:pPr>
              <w:jc w:val="right"/>
              <w:ind w:right="340"/>
              <w:spacing w:after="0"/>
              <w:rPr>
                <w:sz w:val="20"/>
                <w:szCs w:val="20"/>
                <w:color w:val="auto"/>
              </w:rPr>
            </w:pPr>
            <w:r>
              <w:rPr>
                <w:rFonts w:ascii="Arial" w:cs="Arial" w:eastAsia="Arial" w:hAnsi="Arial"/>
                <w:sz w:val="14"/>
                <w:szCs w:val="14"/>
                <w:b w:val="1"/>
                <w:bCs w:val="1"/>
                <w:color w:val="auto"/>
                <w:w w:val="96"/>
              </w:rPr>
              <w:t>Three Months Ended</w:t>
            </w:r>
          </w:p>
        </w:tc>
        <w:tc>
          <w:tcPr>
            <w:tcW w:w="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960" w:type="dxa"/>
            <w:vAlign w:val="bottom"/>
            <w:gridSpan w:val="8"/>
          </w:tcPr>
          <w:p>
            <w:pPr>
              <w:jc w:val="center"/>
              <w:ind w:left="374"/>
              <w:spacing w:after="0"/>
              <w:rPr>
                <w:sz w:val="20"/>
                <w:szCs w:val="20"/>
                <w:color w:val="auto"/>
              </w:rPr>
            </w:pPr>
            <w:r>
              <w:rPr>
                <w:rFonts w:ascii="Arial" w:cs="Arial" w:eastAsia="Arial" w:hAnsi="Arial"/>
                <w:sz w:val="14"/>
                <w:szCs w:val="14"/>
                <w:b w:val="1"/>
                <w:bCs w:val="1"/>
                <w:color w:val="auto"/>
                <w:w w:val="93"/>
              </w:rPr>
              <w:t>Three Months Ended</w:t>
            </w:r>
          </w:p>
        </w:tc>
        <w:tc>
          <w:tcPr>
            <w:tcW w:w="58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27"/>
        </w:trPr>
        <w:tc>
          <w:tcPr>
            <w:tcW w:w="282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560" w:type="dxa"/>
            <w:vAlign w:val="bottom"/>
            <w:tcBorders>
              <w:bottom w:val="single" w:sz="8" w:color="auto"/>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1700" w:type="dxa"/>
            <w:vAlign w:val="bottom"/>
            <w:tcBorders>
              <w:bottom w:val="single" w:sz="8" w:color="auto"/>
            </w:tcBorders>
            <w:gridSpan w:val="6"/>
          </w:tcPr>
          <w:p>
            <w:pPr>
              <w:jc w:val="right"/>
              <w:ind w:right="520"/>
              <w:spacing w:after="0"/>
              <w:rPr>
                <w:sz w:val="20"/>
                <w:szCs w:val="20"/>
                <w:color w:val="auto"/>
              </w:rPr>
            </w:pPr>
            <w:r>
              <w:rPr>
                <w:rFonts w:ascii="Arial" w:cs="Arial" w:eastAsia="Arial" w:hAnsi="Arial"/>
                <w:sz w:val="14"/>
                <w:szCs w:val="14"/>
                <w:b w:val="1"/>
                <w:bCs w:val="1"/>
                <w:color w:val="auto"/>
              </w:rPr>
              <w:t>March 31, 2018</w:t>
            </w:r>
          </w:p>
        </w:tc>
        <w:tc>
          <w:tcPr>
            <w:tcW w:w="60" w:type="dxa"/>
            <w:vAlign w:val="bottom"/>
            <w:tcBorders>
              <w:bottom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580" w:type="dxa"/>
            <w:vAlign w:val="bottom"/>
            <w:tcBorders>
              <w:bottom w:val="single" w:sz="8" w:color="auto"/>
            </w:tcBorders>
          </w:tcPr>
          <w:p>
            <w:pPr>
              <w:spacing w:after="0"/>
              <w:rPr>
                <w:sz w:val="19"/>
                <w:szCs w:val="19"/>
                <w:color w:val="auto"/>
              </w:rPr>
            </w:pPr>
          </w:p>
        </w:tc>
        <w:tc>
          <w:tcPr>
            <w:tcW w:w="20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580" w:type="dxa"/>
            <w:vAlign w:val="bottom"/>
            <w:tcBorders>
              <w:bottom w:val="single" w:sz="8" w:color="auto"/>
            </w:tcBorders>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1080" w:type="dxa"/>
            <w:vAlign w:val="bottom"/>
            <w:tcBorders>
              <w:bottom w:val="single" w:sz="8" w:color="auto"/>
            </w:tcBorders>
            <w:gridSpan w:val="4"/>
          </w:tcPr>
          <w:p>
            <w:pPr>
              <w:jc w:val="center"/>
              <w:ind w:right="60"/>
              <w:spacing w:after="0"/>
              <w:rPr>
                <w:sz w:val="20"/>
                <w:szCs w:val="20"/>
                <w:color w:val="auto"/>
              </w:rPr>
            </w:pPr>
            <w:r>
              <w:rPr>
                <w:rFonts w:ascii="Arial" w:cs="Arial" w:eastAsia="Arial" w:hAnsi="Arial"/>
                <w:sz w:val="14"/>
                <w:szCs w:val="14"/>
                <w:b w:val="1"/>
                <w:bCs w:val="1"/>
                <w:color w:val="auto"/>
                <w:w w:val="94"/>
              </w:rPr>
              <w:t>March 31, 2017</w:t>
            </w:r>
          </w:p>
        </w:tc>
        <w:tc>
          <w:tcPr>
            <w:tcW w:w="80" w:type="dxa"/>
            <w:vAlign w:val="bottom"/>
            <w:tcBorders>
              <w:bottom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580" w:type="dxa"/>
            <w:vAlign w:val="bottom"/>
            <w:tcBorders>
              <w:bottom w:val="single" w:sz="8" w:color="auto"/>
            </w:tcBorders>
          </w:tcPr>
          <w:p>
            <w:pPr>
              <w:spacing w:after="0"/>
              <w:rPr>
                <w:sz w:val="19"/>
                <w:szCs w:val="19"/>
                <w:color w:val="auto"/>
              </w:rPr>
            </w:pPr>
          </w:p>
        </w:tc>
        <w:tc>
          <w:tcPr>
            <w:tcW w:w="200" w:type="dxa"/>
            <w:vAlign w:val="bottom"/>
          </w:tcPr>
          <w:p>
            <w:pPr>
              <w:spacing w:after="0"/>
              <w:rPr>
                <w:sz w:val="19"/>
                <w:szCs w:val="19"/>
                <w:color w:val="auto"/>
              </w:rPr>
            </w:pPr>
          </w:p>
        </w:tc>
        <w:tc>
          <w:tcPr>
            <w:tcW w:w="1640" w:type="dxa"/>
            <w:vAlign w:val="bottom"/>
            <w:tcBorders>
              <w:bottom w:val="single" w:sz="8" w:color="auto"/>
            </w:tcBorders>
            <w:gridSpan w:val="3"/>
          </w:tcPr>
          <w:p>
            <w:pPr>
              <w:jc w:val="right"/>
              <w:ind w:right="513"/>
              <w:spacing w:after="0"/>
              <w:rPr>
                <w:sz w:val="20"/>
                <w:szCs w:val="20"/>
                <w:color w:val="auto"/>
              </w:rPr>
            </w:pPr>
            <w:r>
              <w:rPr>
                <w:rFonts w:ascii="Arial" w:cs="Arial" w:eastAsia="Arial" w:hAnsi="Arial"/>
                <w:sz w:val="14"/>
                <w:szCs w:val="14"/>
                <w:b w:val="1"/>
                <w:bCs w:val="1"/>
                <w:color w:val="auto"/>
              </w:rPr>
              <w:t>Change</w:t>
            </w:r>
          </w:p>
        </w:tc>
        <w:tc>
          <w:tcPr>
            <w:tcW w:w="1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32"/>
        </w:trPr>
        <w:tc>
          <w:tcPr>
            <w:tcW w:w="28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60" w:type="dxa"/>
            <w:vAlign w:val="bottom"/>
            <w:gridSpan w:val="2"/>
          </w:tcPr>
          <w:p>
            <w:pPr>
              <w:jc w:val="right"/>
              <w:ind w:right="460"/>
              <w:spacing w:after="0" w:line="132" w:lineRule="exact"/>
              <w:rPr>
                <w:sz w:val="20"/>
                <w:szCs w:val="20"/>
                <w:color w:val="auto"/>
              </w:rPr>
            </w:pPr>
            <w:r>
              <w:rPr>
                <w:rFonts w:ascii="Arial" w:cs="Arial" w:eastAsia="Arial" w:hAnsi="Arial"/>
                <w:sz w:val="14"/>
                <w:szCs w:val="14"/>
                <w:b w:val="1"/>
                <w:bCs w:val="1"/>
                <w:color w:val="auto"/>
              </w:rPr>
              <w:t>As</w:t>
            </w:r>
          </w:p>
        </w:tc>
        <w:tc>
          <w:tcPr>
            <w:tcW w:w="102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Acquisitions</w:t>
            </w:r>
            <w:r>
              <w:rPr>
                <w:rFonts w:ascii="Arial" w:cs="Arial" w:eastAsia="Arial" w:hAnsi="Arial"/>
                <w:sz w:val="12"/>
                <w:szCs w:val="12"/>
                <w:b w:val="1"/>
                <w:bCs w:val="1"/>
                <w:color w:val="auto"/>
              </w:rPr>
              <w:t>(2)</w:t>
            </w: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gridSpan w:val="2"/>
          </w:tcPr>
          <w:p>
            <w:pPr>
              <w:jc w:val="right"/>
              <w:ind w:right="360"/>
              <w:spacing w:after="0" w:line="132" w:lineRule="exact"/>
              <w:rPr>
                <w:sz w:val="20"/>
                <w:szCs w:val="20"/>
                <w:color w:val="auto"/>
              </w:rPr>
            </w:pPr>
            <w:r>
              <w:rPr>
                <w:rFonts w:ascii="Arial" w:cs="Arial" w:eastAsia="Arial" w:hAnsi="Arial"/>
                <w:sz w:val="14"/>
                <w:szCs w:val="14"/>
                <w:b w:val="1"/>
                <w:bCs w:val="1"/>
                <w:color w:val="auto"/>
              </w:rPr>
              <w:t>FX</w:t>
            </w:r>
          </w:p>
        </w:tc>
        <w:tc>
          <w:tcPr>
            <w:tcW w:w="60" w:type="dxa"/>
            <w:vAlign w:val="bottom"/>
          </w:tcPr>
          <w:p>
            <w:pPr>
              <w:spacing w:after="0"/>
              <w:rPr>
                <w:sz w:val="11"/>
                <w:szCs w:val="11"/>
                <w:color w:val="auto"/>
              </w:rPr>
            </w:pPr>
          </w:p>
        </w:tc>
        <w:tc>
          <w:tcPr>
            <w:tcW w:w="880" w:type="dxa"/>
            <w:vAlign w:val="bottom"/>
            <w:gridSpan w:val="3"/>
            <w:vMerge w:val="restart"/>
          </w:tcPr>
          <w:p>
            <w:pPr>
              <w:ind w:left="20"/>
              <w:spacing w:after="0"/>
              <w:rPr>
                <w:sz w:val="20"/>
                <w:szCs w:val="20"/>
                <w:color w:val="auto"/>
              </w:rPr>
            </w:pPr>
            <w:r>
              <w:rPr>
                <w:rFonts w:ascii="Arial" w:cs="Arial" w:eastAsia="Arial" w:hAnsi="Arial"/>
                <w:sz w:val="14"/>
                <w:szCs w:val="14"/>
                <w:b w:val="1"/>
                <w:bCs w:val="1"/>
                <w:color w:val="auto"/>
              </w:rPr>
              <w:t>Organic</w:t>
            </w:r>
            <w:r>
              <w:rPr>
                <w:rFonts w:ascii="Arial" w:cs="Arial" w:eastAsia="Arial" w:hAnsi="Arial"/>
                <w:sz w:val="12"/>
                <w:szCs w:val="12"/>
                <w:b w:val="1"/>
                <w:bCs w:val="1"/>
                <w:color w:val="auto"/>
              </w:rPr>
              <w:t>(3)</w:t>
            </w:r>
          </w:p>
        </w:tc>
        <w:tc>
          <w:tcPr>
            <w:tcW w:w="100" w:type="dxa"/>
            <w:vAlign w:val="bottom"/>
          </w:tcPr>
          <w:p>
            <w:pPr>
              <w:spacing w:after="0"/>
              <w:rPr>
                <w:sz w:val="11"/>
                <w:szCs w:val="11"/>
                <w:color w:val="auto"/>
              </w:rPr>
            </w:pPr>
          </w:p>
        </w:tc>
        <w:tc>
          <w:tcPr>
            <w:tcW w:w="700" w:type="dxa"/>
            <w:vAlign w:val="bottom"/>
            <w:gridSpan w:val="2"/>
          </w:tcPr>
          <w:p>
            <w:pPr>
              <w:jc w:val="right"/>
              <w:ind w:right="380"/>
              <w:spacing w:after="0" w:line="132" w:lineRule="exact"/>
              <w:rPr>
                <w:sz w:val="20"/>
                <w:szCs w:val="20"/>
                <w:color w:val="auto"/>
              </w:rPr>
            </w:pPr>
            <w:r>
              <w:rPr>
                <w:rFonts w:ascii="Arial" w:cs="Arial" w:eastAsia="Arial" w:hAnsi="Arial"/>
                <w:sz w:val="14"/>
                <w:szCs w:val="14"/>
                <w:b w:val="1"/>
                <w:bCs w:val="1"/>
                <w:color w:val="auto"/>
              </w:rPr>
              <w:t>As</w:t>
            </w:r>
          </w:p>
        </w:tc>
        <w:tc>
          <w:tcPr>
            <w:tcW w:w="80" w:type="dxa"/>
            <w:vAlign w:val="bottom"/>
          </w:tcPr>
          <w:p>
            <w:pPr>
              <w:spacing w:after="0"/>
              <w:rPr>
                <w:sz w:val="11"/>
                <w:szCs w:val="11"/>
                <w:color w:val="auto"/>
              </w:rPr>
            </w:pPr>
          </w:p>
        </w:tc>
        <w:tc>
          <w:tcPr>
            <w:tcW w:w="1000" w:type="dxa"/>
            <w:vAlign w:val="bottom"/>
            <w:gridSpan w:val="3"/>
            <w:vMerge w:val="restart"/>
          </w:tcPr>
          <w:p>
            <w:pPr>
              <w:jc w:val="center"/>
              <w:ind w:right="120"/>
              <w:spacing w:after="0"/>
              <w:rPr>
                <w:sz w:val="20"/>
                <w:szCs w:val="20"/>
                <w:color w:val="auto"/>
              </w:rPr>
            </w:pPr>
            <w:r>
              <w:rPr>
                <w:rFonts w:ascii="Arial" w:cs="Arial" w:eastAsia="Arial" w:hAnsi="Arial"/>
                <w:sz w:val="14"/>
                <w:szCs w:val="14"/>
                <w:b w:val="1"/>
                <w:bCs w:val="1"/>
                <w:color w:val="auto"/>
                <w:w w:val="89"/>
              </w:rPr>
              <w:t>Acquisitions</w:t>
            </w:r>
            <w:r>
              <w:rPr>
                <w:rFonts w:ascii="Arial" w:cs="Arial" w:eastAsia="Arial" w:hAnsi="Arial"/>
                <w:sz w:val="12"/>
                <w:szCs w:val="12"/>
                <w:b w:val="1"/>
                <w:bCs w:val="1"/>
                <w:color w:val="auto"/>
                <w:w w:val="89"/>
              </w:rPr>
              <w:t>(2)</w:t>
            </w:r>
          </w:p>
        </w:tc>
        <w:tc>
          <w:tcPr>
            <w:tcW w:w="80" w:type="dxa"/>
            <w:vAlign w:val="bottom"/>
          </w:tcPr>
          <w:p>
            <w:pPr>
              <w:spacing w:after="0"/>
              <w:rPr>
                <w:sz w:val="11"/>
                <w:szCs w:val="11"/>
                <w:color w:val="auto"/>
              </w:rPr>
            </w:pPr>
          </w:p>
        </w:tc>
        <w:tc>
          <w:tcPr>
            <w:tcW w:w="880" w:type="dxa"/>
            <w:vAlign w:val="bottom"/>
            <w:gridSpan w:val="3"/>
            <w:vMerge w:val="restart"/>
          </w:tcPr>
          <w:p>
            <w:pPr>
              <w:ind w:left="20"/>
              <w:spacing w:after="0"/>
              <w:rPr>
                <w:sz w:val="20"/>
                <w:szCs w:val="20"/>
                <w:color w:val="auto"/>
              </w:rPr>
            </w:pPr>
            <w:r>
              <w:rPr>
                <w:rFonts w:ascii="Arial" w:cs="Arial" w:eastAsia="Arial" w:hAnsi="Arial"/>
                <w:sz w:val="14"/>
                <w:szCs w:val="14"/>
                <w:b w:val="1"/>
                <w:bCs w:val="1"/>
                <w:color w:val="auto"/>
              </w:rPr>
              <w:t>Organic</w:t>
            </w:r>
            <w:r>
              <w:rPr>
                <w:rFonts w:ascii="Arial" w:cs="Arial" w:eastAsia="Arial" w:hAnsi="Arial"/>
                <w:sz w:val="12"/>
                <w:szCs w:val="12"/>
                <w:b w:val="1"/>
                <w:bCs w:val="1"/>
                <w:color w:val="auto"/>
              </w:rPr>
              <w:t>(3)</w:t>
            </w:r>
          </w:p>
        </w:tc>
        <w:tc>
          <w:tcPr>
            <w:tcW w:w="960" w:type="dxa"/>
            <w:vAlign w:val="bottom"/>
            <w:gridSpan w:val="2"/>
          </w:tcPr>
          <w:p>
            <w:pPr>
              <w:jc w:val="right"/>
              <w:ind w:right="560"/>
              <w:spacing w:after="0" w:line="132" w:lineRule="exact"/>
              <w:rPr>
                <w:sz w:val="20"/>
                <w:szCs w:val="20"/>
                <w:color w:val="auto"/>
              </w:rPr>
            </w:pPr>
            <w:r>
              <w:rPr>
                <w:rFonts w:ascii="Arial" w:cs="Arial" w:eastAsia="Arial" w:hAnsi="Arial"/>
                <w:sz w:val="14"/>
                <w:szCs w:val="14"/>
                <w:b w:val="1"/>
                <w:bCs w:val="1"/>
                <w:color w:val="auto"/>
              </w:rPr>
              <w:t>As</w:t>
            </w:r>
          </w:p>
        </w:tc>
        <w:tc>
          <w:tcPr>
            <w:tcW w:w="840" w:type="dxa"/>
            <w:vAlign w:val="bottom"/>
            <w:gridSpan w:val="2"/>
            <w:vMerge w:val="restart"/>
          </w:tcPr>
          <w:p>
            <w:pPr>
              <w:jc w:val="right"/>
              <w:ind w:right="180"/>
              <w:spacing w:after="0"/>
              <w:rPr>
                <w:sz w:val="20"/>
                <w:szCs w:val="20"/>
                <w:color w:val="auto"/>
              </w:rPr>
            </w:pPr>
            <w:r>
              <w:rPr>
                <w:rFonts w:ascii="Arial" w:cs="Arial" w:eastAsia="Arial" w:hAnsi="Arial"/>
                <w:sz w:val="14"/>
                <w:szCs w:val="14"/>
                <w:b w:val="1"/>
                <w:bCs w:val="1"/>
                <w:color w:val="auto"/>
                <w:w w:val="94"/>
              </w:rPr>
              <w:t>Organic</w:t>
            </w:r>
            <w:r>
              <w:rPr>
                <w:rFonts w:ascii="Arial" w:cs="Arial" w:eastAsia="Arial" w:hAnsi="Arial"/>
                <w:sz w:val="12"/>
                <w:szCs w:val="12"/>
                <w:b w:val="1"/>
                <w:bCs w:val="1"/>
                <w:color w:val="auto"/>
                <w:w w:val="94"/>
              </w:rPr>
              <w:t>(3)</w:t>
            </w:r>
          </w:p>
        </w:tc>
        <w:tc>
          <w:tcPr>
            <w:tcW w:w="0" w:type="dxa"/>
            <w:vAlign w:val="bottom"/>
          </w:tcPr>
          <w:p>
            <w:pPr>
              <w:spacing w:after="0"/>
              <w:rPr>
                <w:sz w:val="1"/>
                <w:szCs w:val="1"/>
                <w:color w:val="auto"/>
              </w:rPr>
            </w:pPr>
          </w:p>
        </w:tc>
      </w:tr>
      <w:tr>
        <w:trPr>
          <w:trHeight w:val="171"/>
        </w:trPr>
        <w:tc>
          <w:tcPr>
            <w:tcW w:w="2820" w:type="dxa"/>
            <w:vAlign w:val="bottom"/>
          </w:tcPr>
          <w:p>
            <w:pPr>
              <w:spacing w:after="0"/>
              <w:rPr>
                <w:sz w:val="20"/>
                <w:szCs w:val="20"/>
                <w:color w:val="auto"/>
              </w:rPr>
            </w:pPr>
            <w:r>
              <w:rPr>
                <w:rFonts w:ascii="Arial" w:cs="Arial" w:eastAsia="Arial" w:hAnsi="Arial"/>
                <w:sz w:val="14"/>
                <w:szCs w:val="14"/>
                <w:i w:val="1"/>
                <w:iCs w:val="1"/>
                <w:color w:val="auto"/>
              </w:rPr>
              <w:t>(in thousands)</w:t>
            </w:r>
          </w:p>
        </w:tc>
        <w:tc>
          <w:tcPr>
            <w:tcW w:w="420" w:type="dxa"/>
            <w:vAlign w:val="bottom"/>
          </w:tcPr>
          <w:p>
            <w:pPr>
              <w:spacing w:after="0"/>
              <w:rPr>
                <w:sz w:val="14"/>
                <w:szCs w:val="14"/>
                <w:color w:val="auto"/>
              </w:rPr>
            </w:pPr>
          </w:p>
        </w:tc>
        <w:tc>
          <w:tcPr>
            <w:tcW w:w="860" w:type="dxa"/>
            <w:vAlign w:val="bottom"/>
            <w:gridSpan w:val="3"/>
          </w:tcPr>
          <w:p>
            <w:pPr>
              <w:jc w:val="right"/>
              <w:ind w:right="260"/>
              <w:spacing w:after="0"/>
              <w:rPr>
                <w:sz w:val="20"/>
                <w:szCs w:val="20"/>
                <w:color w:val="auto"/>
              </w:rPr>
            </w:pPr>
            <w:r>
              <w:rPr>
                <w:rFonts w:ascii="Arial" w:cs="Arial" w:eastAsia="Arial" w:hAnsi="Arial"/>
                <w:sz w:val="14"/>
                <w:szCs w:val="14"/>
                <w:b w:val="1"/>
                <w:bCs w:val="1"/>
                <w:color w:val="auto"/>
                <w:w w:val="94"/>
              </w:rPr>
              <w:t>Reported</w:t>
            </w:r>
          </w:p>
        </w:tc>
        <w:tc>
          <w:tcPr>
            <w:tcW w:w="1020" w:type="dxa"/>
            <w:vAlign w:val="bottom"/>
            <w:gridSpan w:val="3"/>
            <w:vMerge w:val="continue"/>
          </w:tcPr>
          <w:p>
            <w:pPr>
              <w:spacing w:after="0"/>
              <w:rPr>
                <w:sz w:val="14"/>
                <w:szCs w:val="14"/>
                <w:color w:val="auto"/>
              </w:rPr>
            </w:pPr>
          </w:p>
        </w:tc>
        <w:tc>
          <w:tcPr>
            <w:tcW w:w="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60" w:type="dxa"/>
            <w:vAlign w:val="bottom"/>
            <w:gridSpan w:val="2"/>
          </w:tcPr>
          <w:p>
            <w:pPr>
              <w:jc w:val="right"/>
              <w:ind w:right="220"/>
              <w:spacing w:after="0"/>
              <w:rPr>
                <w:sz w:val="20"/>
                <w:szCs w:val="20"/>
                <w:color w:val="auto"/>
              </w:rPr>
            </w:pPr>
            <w:r>
              <w:rPr>
                <w:rFonts w:ascii="Arial" w:cs="Arial" w:eastAsia="Arial" w:hAnsi="Arial"/>
                <w:sz w:val="14"/>
                <w:szCs w:val="14"/>
                <w:b w:val="1"/>
                <w:bCs w:val="1"/>
                <w:color w:val="auto"/>
                <w:w w:val="92"/>
              </w:rPr>
              <w:t>Impact</w:t>
            </w:r>
          </w:p>
        </w:tc>
        <w:tc>
          <w:tcPr>
            <w:tcW w:w="60" w:type="dxa"/>
            <w:vAlign w:val="bottom"/>
          </w:tcPr>
          <w:p>
            <w:pPr>
              <w:spacing w:after="0"/>
              <w:rPr>
                <w:sz w:val="14"/>
                <w:szCs w:val="14"/>
                <w:color w:val="auto"/>
              </w:rPr>
            </w:pPr>
          </w:p>
        </w:tc>
        <w:tc>
          <w:tcPr>
            <w:tcW w:w="880" w:type="dxa"/>
            <w:vAlign w:val="bottom"/>
            <w:gridSpan w:val="3"/>
            <w:vMerge w:val="continue"/>
          </w:tcPr>
          <w:p>
            <w:pPr>
              <w:spacing w:after="0"/>
              <w:rPr>
                <w:sz w:val="14"/>
                <w:szCs w:val="14"/>
                <w:color w:val="auto"/>
              </w:rPr>
            </w:pPr>
          </w:p>
        </w:tc>
        <w:tc>
          <w:tcPr>
            <w:tcW w:w="800" w:type="dxa"/>
            <w:vAlign w:val="bottom"/>
            <w:gridSpan w:val="3"/>
          </w:tcPr>
          <w:p>
            <w:pPr>
              <w:jc w:val="right"/>
              <w:ind w:right="180"/>
              <w:spacing w:after="0"/>
              <w:rPr>
                <w:sz w:val="20"/>
                <w:szCs w:val="20"/>
                <w:color w:val="auto"/>
              </w:rPr>
            </w:pPr>
            <w:r>
              <w:rPr>
                <w:rFonts w:ascii="Arial" w:cs="Arial" w:eastAsia="Arial" w:hAnsi="Arial"/>
                <w:sz w:val="14"/>
                <w:szCs w:val="14"/>
                <w:b w:val="1"/>
                <w:bCs w:val="1"/>
                <w:color w:val="auto"/>
                <w:w w:val="97"/>
              </w:rPr>
              <w:t>Reported</w:t>
            </w:r>
          </w:p>
        </w:tc>
        <w:tc>
          <w:tcPr>
            <w:tcW w:w="80" w:type="dxa"/>
            <w:vAlign w:val="bottom"/>
          </w:tcPr>
          <w:p>
            <w:pPr>
              <w:spacing w:after="0"/>
              <w:rPr>
                <w:sz w:val="14"/>
                <w:szCs w:val="14"/>
                <w:color w:val="auto"/>
              </w:rPr>
            </w:pPr>
          </w:p>
        </w:tc>
        <w:tc>
          <w:tcPr>
            <w:tcW w:w="1000" w:type="dxa"/>
            <w:vAlign w:val="bottom"/>
            <w:gridSpan w:val="3"/>
            <w:vMerge w:val="continue"/>
          </w:tcPr>
          <w:p>
            <w:pPr>
              <w:spacing w:after="0"/>
              <w:rPr>
                <w:sz w:val="14"/>
                <w:szCs w:val="14"/>
                <w:color w:val="auto"/>
              </w:rPr>
            </w:pPr>
          </w:p>
        </w:tc>
        <w:tc>
          <w:tcPr>
            <w:tcW w:w="80" w:type="dxa"/>
            <w:vAlign w:val="bottom"/>
          </w:tcPr>
          <w:p>
            <w:pPr>
              <w:spacing w:after="0"/>
              <w:rPr>
                <w:sz w:val="14"/>
                <w:szCs w:val="14"/>
                <w:color w:val="auto"/>
              </w:rPr>
            </w:pPr>
          </w:p>
        </w:tc>
        <w:tc>
          <w:tcPr>
            <w:tcW w:w="880" w:type="dxa"/>
            <w:vAlign w:val="bottom"/>
            <w:gridSpan w:val="3"/>
            <w:vMerge w:val="continue"/>
          </w:tcPr>
          <w:p>
            <w:pPr>
              <w:spacing w:after="0"/>
              <w:rPr>
                <w:sz w:val="14"/>
                <w:szCs w:val="14"/>
                <w:color w:val="auto"/>
              </w:rPr>
            </w:pPr>
          </w:p>
        </w:tc>
        <w:tc>
          <w:tcPr>
            <w:tcW w:w="960" w:type="dxa"/>
            <w:vAlign w:val="bottom"/>
            <w:gridSpan w:val="2"/>
          </w:tcPr>
          <w:p>
            <w:pPr>
              <w:jc w:val="right"/>
              <w:ind w:right="360"/>
              <w:spacing w:after="0"/>
              <w:rPr>
                <w:sz w:val="20"/>
                <w:szCs w:val="20"/>
                <w:color w:val="auto"/>
              </w:rPr>
            </w:pPr>
            <w:r>
              <w:rPr>
                <w:rFonts w:ascii="Arial" w:cs="Arial" w:eastAsia="Arial" w:hAnsi="Arial"/>
                <w:sz w:val="14"/>
                <w:szCs w:val="14"/>
                <w:b w:val="1"/>
                <w:bCs w:val="1"/>
                <w:color w:val="auto"/>
                <w:w w:val="94"/>
              </w:rPr>
              <w:t>Reported</w:t>
            </w:r>
          </w:p>
        </w:tc>
        <w:tc>
          <w:tcPr>
            <w:tcW w:w="840" w:type="dxa"/>
            <w:vAlign w:val="bottom"/>
            <w:gridSpan w:val="2"/>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22"/>
        </w:trPr>
        <w:tc>
          <w:tcPr>
            <w:tcW w:w="282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8"/>
                <w:szCs w:val="18"/>
                <w:b w:val="1"/>
                <w:bCs w:val="1"/>
                <w:color w:val="auto"/>
              </w:rPr>
              <w:t xml:space="preserve">Revenue </w:t>
            </w:r>
            <w:r>
              <w:rPr>
                <w:rFonts w:ascii="Arial" w:cs="Arial" w:eastAsia="Arial" w:hAnsi="Arial"/>
                <w:sz w:val="15"/>
                <w:szCs w:val="15"/>
                <w:b w:val="1"/>
                <w:bCs w:val="1"/>
                <w:color w:val="auto"/>
              </w:rPr>
              <w:t>(1)</w:t>
            </w:r>
            <w:r>
              <w:rPr>
                <w:rFonts w:ascii="Arial" w:cs="Arial" w:eastAsia="Arial" w:hAnsi="Arial"/>
                <w:sz w:val="18"/>
                <w:szCs w:val="18"/>
                <w:b w:val="1"/>
                <w:bCs w:val="1"/>
                <w:color w:val="auto"/>
              </w:rPr>
              <w:t>:</w:t>
            </w:r>
          </w:p>
        </w:tc>
        <w:tc>
          <w:tcPr>
            <w:tcW w:w="420" w:type="dxa"/>
            <w:vAlign w:val="bottom"/>
            <w:tcBorders>
              <w:top w:val="single" w:sz="8" w:color="CFF0FC"/>
            </w:tcBorders>
            <w:shd w:val="clear" w:color="auto" w:fill="CFF0FC"/>
          </w:tcPr>
          <w:p>
            <w:pPr>
              <w:spacing w:after="0"/>
              <w:rPr>
                <w:sz w:val="19"/>
                <w:szCs w:val="19"/>
                <w:color w:val="auto"/>
              </w:rPr>
            </w:pPr>
          </w:p>
        </w:tc>
        <w:tc>
          <w:tcPr>
            <w:tcW w:w="100" w:type="dxa"/>
            <w:vAlign w:val="bottom"/>
            <w:tcBorders>
              <w:top w:val="single" w:sz="8" w:color="auto"/>
            </w:tcBorders>
            <w:shd w:val="clear" w:color="auto" w:fill="CFF0FC"/>
          </w:tcPr>
          <w:p>
            <w:pPr>
              <w:spacing w:after="0"/>
              <w:rPr>
                <w:sz w:val="19"/>
                <w:szCs w:val="19"/>
                <w:color w:val="auto"/>
              </w:rPr>
            </w:pPr>
          </w:p>
        </w:tc>
        <w:tc>
          <w:tcPr>
            <w:tcW w:w="560" w:type="dxa"/>
            <w:vAlign w:val="bottom"/>
            <w:tcBorders>
              <w:top w:val="single" w:sz="8" w:color="auto"/>
            </w:tcBorders>
            <w:shd w:val="clear" w:color="auto" w:fill="CFF0FC"/>
          </w:tcPr>
          <w:p>
            <w:pPr>
              <w:spacing w:after="0"/>
              <w:rPr>
                <w:sz w:val="19"/>
                <w:szCs w:val="19"/>
                <w:color w:val="auto"/>
              </w:rPr>
            </w:pPr>
          </w:p>
        </w:tc>
        <w:tc>
          <w:tcPr>
            <w:tcW w:w="200" w:type="dxa"/>
            <w:vAlign w:val="bottom"/>
            <w:tcBorders>
              <w:top w:val="single" w:sz="8" w:color="CFF0FC"/>
            </w:tcBorders>
            <w:shd w:val="clear" w:color="auto" w:fill="CFF0FC"/>
          </w:tcPr>
          <w:p>
            <w:pPr>
              <w:spacing w:after="0"/>
              <w:rPr>
                <w:sz w:val="19"/>
                <w:szCs w:val="19"/>
                <w:color w:val="auto"/>
              </w:rPr>
            </w:pPr>
          </w:p>
        </w:tc>
        <w:tc>
          <w:tcPr>
            <w:tcW w:w="140" w:type="dxa"/>
            <w:vAlign w:val="bottom"/>
            <w:tcBorders>
              <w:top w:val="single" w:sz="8" w:color="auto"/>
            </w:tcBorders>
            <w:shd w:val="clear" w:color="auto" w:fill="CFF0FC"/>
          </w:tcPr>
          <w:p>
            <w:pPr>
              <w:spacing w:after="0"/>
              <w:rPr>
                <w:sz w:val="19"/>
                <w:szCs w:val="19"/>
                <w:color w:val="auto"/>
              </w:rPr>
            </w:pPr>
          </w:p>
        </w:tc>
        <w:tc>
          <w:tcPr>
            <w:tcW w:w="760" w:type="dxa"/>
            <w:vAlign w:val="bottom"/>
            <w:tcBorders>
              <w:top w:val="single" w:sz="8" w:color="auto"/>
            </w:tcBorders>
            <w:shd w:val="clear" w:color="auto" w:fill="CFF0FC"/>
          </w:tcPr>
          <w:p>
            <w:pPr>
              <w:spacing w:after="0"/>
              <w:rPr>
                <w:sz w:val="19"/>
                <w:szCs w:val="19"/>
                <w:color w:val="auto"/>
              </w:rPr>
            </w:pPr>
          </w:p>
        </w:tc>
        <w:tc>
          <w:tcPr>
            <w:tcW w:w="120" w:type="dxa"/>
            <w:vAlign w:val="bottom"/>
            <w:tcBorders>
              <w:top w:val="single" w:sz="8" w:color="CFF0FC"/>
            </w:tcBorders>
            <w:shd w:val="clear" w:color="auto" w:fill="CFF0FC"/>
          </w:tcPr>
          <w:p>
            <w:pPr>
              <w:spacing w:after="0"/>
              <w:rPr>
                <w:sz w:val="19"/>
                <w:szCs w:val="19"/>
                <w:color w:val="auto"/>
              </w:rPr>
            </w:pPr>
          </w:p>
        </w:tc>
        <w:tc>
          <w:tcPr>
            <w:tcW w:w="60" w:type="dxa"/>
            <w:vAlign w:val="bottom"/>
            <w:tcBorders>
              <w:top w:val="single" w:sz="8" w:color="CFF0FC"/>
            </w:tcBorders>
            <w:shd w:val="clear" w:color="auto" w:fill="CFF0FC"/>
          </w:tcPr>
          <w:p>
            <w:pPr>
              <w:spacing w:after="0"/>
              <w:rPr>
                <w:sz w:val="19"/>
                <w:szCs w:val="19"/>
                <w:color w:val="auto"/>
              </w:rPr>
            </w:pPr>
          </w:p>
        </w:tc>
        <w:tc>
          <w:tcPr>
            <w:tcW w:w="100" w:type="dxa"/>
            <w:vAlign w:val="bottom"/>
            <w:tcBorders>
              <w:top w:val="single" w:sz="8" w:color="auto"/>
            </w:tcBorders>
            <w:shd w:val="clear" w:color="auto" w:fill="CFF0FC"/>
          </w:tcPr>
          <w:p>
            <w:pPr>
              <w:spacing w:after="0"/>
              <w:rPr>
                <w:sz w:val="19"/>
                <w:szCs w:val="19"/>
                <w:color w:val="auto"/>
              </w:rPr>
            </w:pPr>
          </w:p>
        </w:tc>
        <w:tc>
          <w:tcPr>
            <w:tcW w:w="540" w:type="dxa"/>
            <w:vAlign w:val="bottom"/>
            <w:tcBorders>
              <w:top w:val="single" w:sz="8" w:color="auto"/>
            </w:tcBorders>
            <w:shd w:val="clear" w:color="auto" w:fill="CFF0FC"/>
          </w:tcPr>
          <w:p>
            <w:pPr>
              <w:spacing w:after="0"/>
              <w:rPr>
                <w:sz w:val="19"/>
                <w:szCs w:val="19"/>
                <w:color w:val="auto"/>
              </w:rPr>
            </w:pPr>
          </w:p>
        </w:tc>
        <w:tc>
          <w:tcPr>
            <w:tcW w:w="120" w:type="dxa"/>
            <w:vAlign w:val="bottom"/>
            <w:tcBorders>
              <w:top w:val="single" w:sz="8" w:color="CFF0FC"/>
            </w:tcBorders>
            <w:shd w:val="clear" w:color="auto" w:fill="CFF0FC"/>
          </w:tcPr>
          <w:p>
            <w:pPr>
              <w:spacing w:after="0"/>
              <w:rPr>
                <w:sz w:val="19"/>
                <w:szCs w:val="19"/>
                <w:color w:val="auto"/>
              </w:rPr>
            </w:pPr>
          </w:p>
        </w:tc>
        <w:tc>
          <w:tcPr>
            <w:tcW w:w="60" w:type="dxa"/>
            <w:vAlign w:val="bottom"/>
            <w:tcBorders>
              <w:top w:val="single" w:sz="8" w:color="CFF0FC"/>
            </w:tcBorders>
            <w:shd w:val="clear" w:color="auto" w:fill="CFF0FC"/>
          </w:tcPr>
          <w:p>
            <w:pPr>
              <w:spacing w:after="0"/>
              <w:rPr>
                <w:sz w:val="19"/>
                <w:szCs w:val="19"/>
                <w:color w:val="auto"/>
              </w:rPr>
            </w:pPr>
          </w:p>
        </w:tc>
        <w:tc>
          <w:tcPr>
            <w:tcW w:w="100" w:type="dxa"/>
            <w:vAlign w:val="bottom"/>
            <w:tcBorders>
              <w:top w:val="single" w:sz="8" w:color="auto"/>
            </w:tcBorders>
            <w:shd w:val="clear" w:color="auto" w:fill="CFF0FC"/>
          </w:tcPr>
          <w:p>
            <w:pPr>
              <w:spacing w:after="0"/>
              <w:rPr>
                <w:sz w:val="19"/>
                <w:szCs w:val="19"/>
                <w:color w:val="auto"/>
              </w:rPr>
            </w:pPr>
          </w:p>
        </w:tc>
        <w:tc>
          <w:tcPr>
            <w:tcW w:w="580" w:type="dxa"/>
            <w:vAlign w:val="bottom"/>
            <w:tcBorders>
              <w:top w:val="single" w:sz="8" w:color="auto"/>
            </w:tcBorders>
            <w:shd w:val="clear" w:color="auto" w:fill="CFF0FC"/>
          </w:tcPr>
          <w:p>
            <w:pPr>
              <w:spacing w:after="0"/>
              <w:rPr>
                <w:sz w:val="19"/>
                <w:szCs w:val="19"/>
                <w:color w:val="auto"/>
              </w:rPr>
            </w:pPr>
          </w:p>
        </w:tc>
        <w:tc>
          <w:tcPr>
            <w:tcW w:w="200" w:type="dxa"/>
            <w:vAlign w:val="bottom"/>
            <w:tcBorders>
              <w:top w:val="single" w:sz="8" w:color="CFF0FC"/>
            </w:tcBorders>
            <w:shd w:val="clear" w:color="auto" w:fill="CFF0FC"/>
          </w:tcPr>
          <w:p>
            <w:pPr>
              <w:spacing w:after="0"/>
              <w:rPr>
                <w:sz w:val="19"/>
                <w:szCs w:val="19"/>
                <w:color w:val="auto"/>
              </w:rPr>
            </w:pPr>
          </w:p>
        </w:tc>
        <w:tc>
          <w:tcPr>
            <w:tcW w:w="100" w:type="dxa"/>
            <w:vAlign w:val="bottom"/>
            <w:tcBorders>
              <w:top w:val="single" w:sz="8" w:color="auto"/>
            </w:tcBorders>
            <w:shd w:val="clear" w:color="auto" w:fill="CFF0FC"/>
          </w:tcPr>
          <w:p>
            <w:pPr>
              <w:spacing w:after="0"/>
              <w:rPr>
                <w:sz w:val="19"/>
                <w:szCs w:val="19"/>
                <w:color w:val="auto"/>
              </w:rPr>
            </w:pPr>
          </w:p>
        </w:tc>
        <w:tc>
          <w:tcPr>
            <w:tcW w:w="580" w:type="dxa"/>
            <w:vAlign w:val="bottom"/>
            <w:tcBorders>
              <w:top w:val="single" w:sz="8" w:color="auto"/>
            </w:tcBorders>
            <w:shd w:val="clear" w:color="auto" w:fill="CFF0FC"/>
          </w:tcPr>
          <w:p>
            <w:pPr>
              <w:spacing w:after="0"/>
              <w:rPr>
                <w:sz w:val="19"/>
                <w:szCs w:val="19"/>
                <w:color w:val="auto"/>
              </w:rPr>
            </w:pPr>
          </w:p>
        </w:tc>
        <w:tc>
          <w:tcPr>
            <w:tcW w:w="120" w:type="dxa"/>
            <w:vAlign w:val="bottom"/>
            <w:tcBorders>
              <w:top w:val="single" w:sz="8" w:color="CFF0FC"/>
            </w:tcBorders>
            <w:shd w:val="clear" w:color="auto" w:fill="CFF0FC"/>
          </w:tcPr>
          <w:p>
            <w:pPr>
              <w:spacing w:after="0"/>
              <w:rPr>
                <w:sz w:val="19"/>
                <w:szCs w:val="19"/>
                <w:color w:val="auto"/>
              </w:rPr>
            </w:pPr>
          </w:p>
        </w:tc>
        <w:tc>
          <w:tcPr>
            <w:tcW w:w="80" w:type="dxa"/>
            <w:vAlign w:val="bottom"/>
            <w:tcBorders>
              <w:top w:val="single" w:sz="8" w:color="CFF0FC"/>
            </w:tcBorders>
            <w:shd w:val="clear" w:color="auto" w:fill="CFF0FC"/>
          </w:tcPr>
          <w:p>
            <w:pPr>
              <w:spacing w:after="0"/>
              <w:rPr>
                <w:sz w:val="19"/>
                <w:szCs w:val="19"/>
                <w:color w:val="auto"/>
              </w:rPr>
            </w:pPr>
          </w:p>
        </w:tc>
        <w:tc>
          <w:tcPr>
            <w:tcW w:w="380" w:type="dxa"/>
            <w:vAlign w:val="bottom"/>
            <w:tcBorders>
              <w:top w:val="single" w:sz="8" w:color="auto"/>
            </w:tcBorders>
            <w:shd w:val="clear" w:color="auto" w:fill="CFF0FC"/>
          </w:tcPr>
          <w:p>
            <w:pPr>
              <w:spacing w:after="0"/>
              <w:rPr>
                <w:sz w:val="19"/>
                <w:szCs w:val="19"/>
                <w:color w:val="auto"/>
              </w:rPr>
            </w:pPr>
          </w:p>
        </w:tc>
        <w:tc>
          <w:tcPr>
            <w:tcW w:w="520" w:type="dxa"/>
            <w:vAlign w:val="bottom"/>
            <w:tcBorders>
              <w:top w:val="single" w:sz="8" w:color="auto"/>
            </w:tcBorders>
            <w:shd w:val="clear" w:color="auto" w:fill="CFF0FC"/>
          </w:tcPr>
          <w:p>
            <w:pPr>
              <w:spacing w:after="0"/>
              <w:rPr>
                <w:sz w:val="19"/>
                <w:szCs w:val="19"/>
                <w:color w:val="auto"/>
              </w:rPr>
            </w:pPr>
          </w:p>
        </w:tc>
        <w:tc>
          <w:tcPr>
            <w:tcW w:w="100" w:type="dxa"/>
            <w:vAlign w:val="bottom"/>
            <w:tcBorders>
              <w:top w:val="single" w:sz="8" w:color="CFF0FC"/>
            </w:tcBorders>
            <w:shd w:val="clear" w:color="auto" w:fill="CFF0FC"/>
          </w:tcPr>
          <w:p>
            <w:pPr>
              <w:spacing w:after="0"/>
              <w:rPr>
                <w:sz w:val="19"/>
                <w:szCs w:val="19"/>
                <w:color w:val="auto"/>
              </w:rPr>
            </w:pPr>
          </w:p>
        </w:tc>
        <w:tc>
          <w:tcPr>
            <w:tcW w:w="80" w:type="dxa"/>
            <w:vAlign w:val="bottom"/>
            <w:tcBorders>
              <w:top w:val="single" w:sz="8" w:color="CFF0FC"/>
            </w:tcBorders>
            <w:shd w:val="clear" w:color="auto" w:fill="CFF0FC"/>
          </w:tcPr>
          <w:p>
            <w:pPr>
              <w:spacing w:after="0"/>
              <w:rPr>
                <w:sz w:val="19"/>
                <w:szCs w:val="19"/>
                <w:color w:val="auto"/>
              </w:rPr>
            </w:pPr>
          </w:p>
        </w:tc>
        <w:tc>
          <w:tcPr>
            <w:tcW w:w="100" w:type="dxa"/>
            <w:vAlign w:val="bottom"/>
            <w:tcBorders>
              <w:top w:val="single" w:sz="8" w:color="auto"/>
            </w:tcBorders>
            <w:shd w:val="clear" w:color="auto" w:fill="CFF0FC"/>
          </w:tcPr>
          <w:p>
            <w:pPr>
              <w:spacing w:after="0"/>
              <w:rPr>
                <w:sz w:val="19"/>
                <w:szCs w:val="19"/>
                <w:color w:val="auto"/>
              </w:rPr>
            </w:pPr>
          </w:p>
        </w:tc>
        <w:tc>
          <w:tcPr>
            <w:tcW w:w="580" w:type="dxa"/>
            <w:vAlign w:val="bottom"/>
            <w:tcBorders>
              <w:top w:val="single" w:sz="8" w:color="auto"/>
            </w:tcBorders>
            <w:shd w:val="clear" w:color="auto" w:fill="CFF0FC"/>
          </w:tcPr>
          <w:p>
            <w:pPr>
              <w:spacing w:after="0"/>
              <w:rPr>
                <w:sz w:val="19"/>
                <w:szCs w:val="19"/>
                <w:color w:val="auto"/>
              </w:rPr>
            </w:pPr>
          </w:p>
        </w:tc>
        <w:tc>
          <w:tcPr>
            <w:tcW w:w="200" w:type="dxa"/>
            <w:vAlign w:val="bottom"/>
            <w:tcBorders>
              <w:top w:val="single" w:sz="8" w:color="CFF0FC"/>
            </w:tcBorders>
            <w:shd w:val="clear" w:color="auto" w:fill="CFF0FC"/>
          </w:tcPr>
          <w:p>
            <w:pPr>
              <w:spacing w:after="0"/>
              <w:rPr>
                <w:sz w:val="19"/>
                <w:szCs w:val="19"/>
                <w:color w:val="auto"/>
              </w:rPr>
            </w:pPr>
          </w:p>
        </w:tc>
        <w:tc>
          <w:tcPr>
            <w:tcW w:w="660" w:type="dxa"/>
            <w:vAlign w:val="bottom"/>
            <w:tcBorders>
              <w:top w:val="single" w:sz="8" w:color="auto"/>
            </w:tcBorders>
            <w:shd w:val="clear" w:color="auto" w:fill="CFF0FC"/>
          </w:tcPr>
          <w:p>
            <w:pPr>
              <w:spacing w:after="0"/>
              <w:rPr>
                <w:sz w:val="19"/>
                <w:szCs w:val="19"/>
                <w:color w:val="auto"/>
              </w:rPr>
            </w:pPr>
          </w:p>
        </w:tc>
        <w:tc>
          <w:tcPr>
            <w:tcW w:w="300" w:type="dxa"/>
            <w:vAlign w:val="bottom"/>
            <w:tcBorders>
              <w:top w:val="single" w:sz="8" w:color="CFF0FC"/>
            </w:tcBorders>
            <w:shd w:val="clear" w:color="auto" w:fill="CFF0FC"/>
          </w:tcPr>
          <w:p>
            <w:pPr>
              <w:spacing w:after="0"/>
              <w:rPr>
                <w:sz w:val="19"/>
                <w:szCs w:val="19"/>
                <w:color w:val="auto"/>
              </w:rPr>
            </w:pPr>
          </w:p>
        </w:tc>
        <w:tc>
          <w:tcPr>
            <w:tcW w:w="680" w:type="dxa"/>
            <w:vAlign w:val="bottom"/>
            <w:tcBorders>
              <w:top w:val="single" w:sz="8" w:color="auto"/>
            </w:tcBorders>
            <w:shd w:val="clear" w:color="auto" w:fill="CFF0FC"/>
          </w:tcPr>
          <w:p>
            <w:pPr>
              <w:spacing w:after="0"/>
              <w:rPr>
                <w:sz w:val="19"/>
                <w:szCs w:val="19"/>
                <w:color w:val="auto"/>
              </w:rPr>
            </w:pPr>
          </w:p>
        </w:tc>
        <w:tc>
          <w:tcPr>
            <w:tcW w:w="160" w:type="dxa"/>
            <w:vAlign w:val="bottom"/>
            <w:tcBorders>
              <w:top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2820" w:type="dxa"/>
            <w:vAlign w:val="bottom"/>
          </w:tcPr>
          <w:p>
            <w:pPr>
              <w:spacing w:after="0"/>
              <w:rPr>
                <w:sz w:val="20"/>
                <w:szCs w:val="20"/>
                <w:color w:val="auto"/>
              </w:rPr>
            </w:pPr>
            <w:r>
              <w:rPr>
                <w:rFonts w:ascii="Arial" w:cs="Arial" w:eastAsia="Arial" w:hAnsi="Arial"/>
                <w:sz w:val="18"/>
                <w:szCs w:val="18"/>
                <w:color w:val="auto"/>
              </w:rPr>
              <w:t>Pursuit:</w:t>
            </w:r>
          </w:p>
        </w:tc>
        <w:tc>
          <w:tcPr>
            <w:tcW w:w="4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2820" w:type="dxa"/>
            <w:vAlign w:val="bottom"/>
            <w:shd w:val="clear" w:color="auto" w:fill="CFF0FC"/>
          </w:tcPr>
          <w:p>
            <w:pPr>
              <w:ind w:left="260"/>
              <w:spacing w:after="0"/>
              <w:rPr>
                <w:sz w:val="20"/>
                <w:szCs w:val="20"/>
                <w:color w:val="auto"/>
              </w:rPr>
            </w:pPr>
            <w:r>
              <w:rPr>
                <w:rFonts w:ascii="Arial" w:cs="Arial" w:eastAsia="Arial" w:hAnsi="Arial"/>
                <w:sz w:val="18"/>
                <w:szCs w:val="18"/>
                <w:color w:val="auto"/>
              </w:rPr>
              <w:t>Attractions</w:t>
            </w:r>
          </w:p>
        </w:tc>
        <w:tc>
          <w:tcPr>
            <w:tcW w:w="52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5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4,496</w:t>
            </w:r>
          </w:p>
        </w:tc>
        <w:tc>
          <w:tcPr>
            <w:tcW w:w="20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20"/>
                <w:szCs w:val="20"/>
                <w:color w:val="auto"/>
              </w:rPr>
            </w:pPr>
            <w:r>
              <w:rPr>
                <w:rFonts w:ascii="Arial" w:cs="Arial" w:eastAsia="Arial" w:hAnsi="Arial"/>
                <w:sz w:val="18"/>
                <w:szCs w:val="18"/>
                <w:color w:val="auto"/>
              </w:rPr>
              <w:t>$</w:t>
            </w:r>
          </w:p>
        </w:tc>
        <w:tc>
          <w:tcPr>
            <w:tcW w:w="880" w:type="dxa"/>
            <w:vAlign w:val="bottom"/>
            <w:gridSpan w:val="2"/>
            <w:shd w:val="clear" w:color="auto" w:fill="CFF0FC"/>
          </w:tcPr>
          <w:p>
            <w:pPr>
              <w:jc w:val="right"/>
              <w:ind w:right="140"/>
              <w:spacing w:after="0"/>
              <w:rPr>
                <w:sz w:val="20"/>
                <w:szCs w:val="20"/>
                <w:color w:val="auto"/>
              </w:rPr>
            </w:pPr>
            <w:r>
              <w:rPr>
                <w:rFonts w:ascii="Arial" w:cs="Arial" w:eastAsia="Arial" w:hAnsi="Arial"/>
                <w:sz w:val="18"/>
                <w:szCs w:val="18"/>
                <w:color w:val="auto"/>
              </w:rPr>
              <w:t>—</w:t>
            </w:r>
          </w:p>
        </w:tc>
        <w:tc>
          <w:tcPr>
            <w:tcW w:w="16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5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187</w:t>
            </w:r>
          </w:p>
        </w:tc>
        <w:tc>
          <w:tcPr>
            <w:tcW w:w="120" w:type="dxa"/>
            <w:vAlign w:val="bottom"/>
            <w:shd w:val="clear" w:color="auto" w:fill="CFF0FC"/>
          </w:tcPr>
          <w:p>
            <w:pPr>
              <w:spacing w:after="0"/>
              <w:rPr>
                <w:sz w:val="19"/>
                <w:szCs w:val="19"/>
                <w:color w:val="auto"/>
              </w:rPr>
            </w:pPr>
          </w:p>
        </w:tc>
        <w:tc>
          <w:tcPr>
            <w:tcW w:w="160" w:type="dxa"/>
            <w:vAlign w:val="bottom"/>
            <w:gridSpan w:val="2"/>
            <w:shd w:val="clear" w:color="auto" w:fill="CFF0FC"/>
          </w:tcPr>
          <w:p>
            <w:pPr>
              <w:ind w:left="60"/>
              <w:spacing w:after="0"/>
              <w:rPr>
                <w:sz w:val="20"/>
                <w:szCs w:val="20"/>
                <w:color w:val="auto"/>
              </w:rPr>
            </w:pPr>
            <w:r>
              <w:rPr>
                <w:rFonts w:ascii="Arial" w:cs="Arial" w:eastAsia="Arial" w:hAnsi="Arial"/>
                <w:sz w:val="18"/>
                <w:szCs w:val="18"/>
                <w:color w:val="auto"/>
                <w:w w:val="79"/>
              </w:rPr>
              <w:t>$</w:t>
            </w:r>
          </w:p>
        </w:tc>
        <w:tc>
          <w:tcPr>
            <w:tcW w:w="5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4,309</w:t>
            </w:r>
          </w:p>
        </w:tc>
        <w:tc>
          <w:tcPr>
            <w:tcW w:w="200" w:type="dxa"/>
            <w:vAlign w:val="bottom"/>
            <w:shd w:val="clear" w:color="auto" w:fill="CFF0FC"/>
          </w:tcPr>
          <w:p>
            <w:pPr>
              <w:spacing w:after="0"/>
              <w:rPr>
                <w:sz w:val="19"/>
                <w:szCs w:val="19"/>
                <w:color w:val="auto"/>
              </w:rPr>
            </w:pPr>
          </w:p>
        </w:tc>
        <w:tc>
          <w:tcPr>
            <w:tcW w:w="100" w:type="dxa"/>
            <w:vAlign w:val="bottom"/>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5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3,546</w:t>
            </w:r>
          </w:p>
        </w:tc>
        <w:tc>
          <w:tcPr>
            <w:tcW w:w="120" w:type="dxa"/>
            <w:vAlign w:val="bottom"/>
            <w:shd w:val="clear" w:color="auto" w:fill="CFF0FC"/>
          </w:tcPr>
          <w:p>
            <w:pPr>
              <w:spacing w:after="0"/>
              <w:rPr>
                <w:sz w:val="19"/>
                <w:szCs w:val="19"/>
                <w:color w:val="auto"/>
              </w:rPr>
            </w:pPr>
          </w:p>
        </w:tc>
        <w:tc>
          <w:tcPr>
            <w:tcW w:w="460" w:type="dxa"/>
            <w:vAlign w:val="bottom"/>
            <w:gridSpan w:val="2"/>
            <w:shd w:val="clear" w:color="auto" w:fill="CFF0FC"/>
          </w:tcPr>
          <w:p>
            <w:pPr>
              <w:jc w:val="right"/>
              <w:ind w:right="228"/>
              <w:spacing w:after="0"/>
              <w:rPr>
                <w:sz w:val="20"/>
                <w:szCs w:val="20"/>
                <w:color w:val="auto"/>
              </w:rPr>
            </w:pPr>
            <w:r>
              <w:rPr>
                <w:rFonts w:ascii="Arial" w:cs="Arial" w:eastAsia="Arial" w:hAnsi="Arial"/>
                <w:sz w:val="18"/>
                <w:szCs w:val="18"/>
                <w:color w:val="auto"/>
              </w:rPr>
              <w:t>$</w:t>
            </w:r>
          </w:p>
        </w:tc>
        <w:tc>
          <w:tcPr>
            <w:tcW w:w="620" w:type="dxa"/>
            <w:vAlign w:val="bottom"/>
            <w:gridSpan w:val="2"/>
            <w:shd w:val="clear" w:color="auto" w:fill="CFF0FC"/>
          </w:tcPr>
          <w:p>
            <w:pPr>
              <w:ind w:left="320"/>
              <w:spacing w:after="0"/>
              <w:rPr>
                <w:sz w:val="20"/>
                <w:szCs w:val="20"/>
                <w:color w:val="auto"/>
              </w:rPr>
            </w:pPr>
            <w:r>
              <w:rPr>
                <w:rFonts w:ascii="Arial" w:cs="Arial" w:eastAsia="Arial" w:hAnsi="Arial"/>
                <w:sz w:val="18"/>
                <w:szCs w:val="18"/>
                <w:color w:val="auto"/>
              </w:rPr>
              <w:t>—</w:t>
            </w:r>
          </w:p>
        </w:tc>
        <w:tc>
          <w:tcPr>
            <w:tcW w:w="180" w:type="dxa"/>
            <w:vAlign w:val="bottom"/>
            <w:gridSpan w:val="2"/>
            <w:shd w:val="clear" w:color="auto" w:fill="CFF0FC"/>
          </w:tcPr>
          <w:p>
            <w:pPr>
              <w:ind w:left="80"/>
              <w:spacing w:after="0"/>
              <w:rPr>
                <w:sz w:val="20"/>
                <w:szCs w:val="20"/>
                <w:color w:val="auto"/>
              </w:rPr>
            </w:pPr>
            <w:r>
              <w:rPr>
                <w:rFonts w:ascii="Arial" w:cs="Arial" w:eastAsia="Arial" w:hAnsi="Arial"/>
                <w:sz w:val="18"/>
                <w:szCs w:val="18"/>
                <w:color w:val="auto"/>
                <w:w w:val="79"/>
              </w:rPr>
              <w:t>$</w:t>
            </w:r>
          </w:p>
        </w:tc>
        <w:tc>
          <w:tcPr>
            <w:tcW w:w="5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3,546</w:t>
            </w:r>
          </w:p>
        </w:tc>
        <w:tc>
          <w:tcPr>
            <w:tcW w:w="200" w:type="dxa"/>
            <w:vAlign w:val="bottom"/>
            <w:shd w:val="clear" w:color="auto" w:fill="CFF0FC"/>
          </w:tcPr>
          <w:p>
            <w:pPr>
              <w:spacing w:after="0"/>
              <w:rPr>
                <w:sz w:val="19"/>
                <w:szCs w:val="19"/>
                <w:color w:val="auto"/>
              </w:rPr>
            </w:pPr>
          </w:p>
        </w:tc>
        <w:tc>
          <w:tcPr>
            <w:tcW w:w="960" w:type="dxa"/>
            <w:vAlign w:val="bottom"/>
            <w:gridSpan w:val="2"/>
            <w:shd w:val="clear" w:color="auto" w:fill="CFF0FC"/>
          </w:tcPr>
          <w:p>
            <w:pPr>
              <w:jc w:val="right"/>
              <w:ind w:right="160"/>
              <w:spacing w:after="0"/>
              <w:rPr>
                <w:sz w:val="20"/>
                <w:szCs w:val="20"/>
                <w:color w:val="auto"/>
              </w:rPr>
            </w:pPr>
            <w:r>
              <w:rPr>
                <w:rFonts w:ascii="Arial" w:cs="Arial" w:eastAsia="Arial" w:hAnsi="Arial"/>
                <w:sz w:val="18"/>
                <w:szCs w:val="18"/>
                <w:color w:val="auto"/>
              </w:rPr>
              <w:t>26.8%</w:t>
            </w:r>
          </w:p>
        </w:tc>
        <w:tc>
          <w:tcPr>
            <w:tcW w:w="840" w:type="dxa"/>
            <w:vAlign w:val="bottom"/>
            <w:gridSpan w:val="2"/>
            <w:shd w:val="clear" w:color="auto" w:fill="CFF0FC"/>
          </w:tcPr>
          <w:p>
            <w:pPr>
              <w:jc w:val="right"/>
              <w:ind w:right="20"/>
              <w:spacing w:after="0"/>
              <w:rPr>
                <w:sz w:val="20"/>
                <w:szCs w:val="20"/>
                <w:color w:val="auto"/>
              </w:rPr>
            </w:pPr>
            <w:r>
              <w:rPr>
                <w:rFonts w:ascii="Arial" w:cs="Arial" w:eastAsia="Arial" w:hAnsi="Arial"/>
                <w:sz w:val="18"/>
                <w:szCs w:val="18"/>
                <w:color w:val="auto"/>
              </w:rPr>
              <w:t>21.5%</w:t>
            </w:r>
          </w:p>
        </w:tc>
        <w:tc>
          <w:tcPr>
            <w:tcW w:w="0" w:type="dxa"/>
            <w:vAlign w:val="bottom"/>
          </w:tcPr>
          <w:p>
            <w:pPr>
              <w:spacing w:after="0"/>
              <w:rPr>
                <w:sz w:val="1"/>
                <w:szCs w:val="1"/>
                <w:color w:val="auto"/>
              </w:rPr>
            </w:pPr>
          </w:p>
        </w:tc>
      </w:tr>
      <w:tr>
        <w:trPr>
          <w:trHeight w:val="229"/>
        </w:trPr>
        <w:tc>
          <w:tcPr>
            <w:tcW w:w="2820" w:type="dxa"/>
            <w:vAlign w:val="bottom"/>
          </w:tcPr>
          <w:p>
            <w:pPr>
              <w:ind w:left="260"/>
              <w:spacing w:after="0"/>
              <w:rPr>
                <w:sz w:val="20"/>
                <w:szCs w:val="20"/>
                <w:color w:val="auto"/>
              </w:rPr>
            </w:pPr>
            <w:r>
              <w:rPr>
                <w:rFonts w:ascii="Arial" w:cs="Arial" w:eastAsia="Arial" w:hAnsi="Arial"/>
                <w:sz w:val="18"/>
                <w:szCs w:val="18"/>
                <w:color w:val="auto"/>
              </w:rPr>
              <w:t>Hospitality</w:t>
            </w:r>
          </w:p>
        </w:tc>
        <w:tc>
          <w:tcPr>
            <w:tcW w:w="4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2,755</w:t>
            </w:r>
          </w:p>
        </w:tc>
        <w:tc>
          <w:tcPr>
            <w:tcW w:w="2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88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40" w:type="dxa"/>
            <w:vAlign w:val="bottom"/>
          </w:tcPr>
          <w:p>
            <w:pPr>
              <w:jc w:val="right"/>
              <w:spacing w:after="0"/>
              <w:rPr>
                <w:sz w:val="20"/>
                <w:szCs w:val="20"/>
                <w:color w:val="auto"/>
              </w:rPr>
            </w:pPr>
            <w:r>
              <w:rPr>
                <w:rFonts w:ascii="Arial" w:cs="Arial" w:eastAsia="Arial" w:hAnsi="Arial"/>
                <w:sz w:val="18"/>
                <w:szCs w:val="18"/>
                <w:color w:val="auto"/>
              </w:rPr>
              <w:t>86</w:t>
            </w:r>
          </w:p>
        </w:tc>
        <w:tc>
          <w:tcPr>
            <w:tcW w:w="12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2,669</w:t>
            </w:r>
          </w:p>
        </w:tc>
        <w:tc>
          <w:tcPr>
            <w:tcW w:w="2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2,072</w:t>
            </w:r>
          </w:p>
        </w:tc>
        <w:tc>
          <w:tcPr>
            <w:tcW w:w="1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620" w:type="dxa"/>
            <w:vAlign w:val="bottom"/>
            <w:gridSpan w:val="2"/>
          </w:tcPr>
          <w:p>
            <w:pPr>
              <w:ind w:left="32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2,072</w:t>
            </w:r>
          </w:p>
        </w:tc>
        <w:tc>
          <w:tcPr>
            <w:tcW w:w="200" w:type="dxa"/>
            <w:vAlign w:val="bottom"/>
          </w:tcPr>
          <w:p>
            <w:pPr>
              <w:spacing w:after="0"/>
              <w:rPr>
                <w:sz w:val="19"/>
                <w:szCs w:val="19"/>
                <w:color w:val="auto"/>
              </w:rPr>
            </w:pPr>
          </w:p>
        </w:tc>
        <w:tc>
          <w:tcPr>
            <w:tcW w:w="960" w:type="dxa"/>
            <w:vAlign w:val="bottom"/>
            <w:gridSpan w:val="2"/>
          </w:tcPr>
          <w:p>
            <w:pPr>
              <w:jc w:val="right"/>
              <w:ind w:right="160"/>
              <w:spacing w:after="0"/>
              <w:rPr>
                <w:sz w:val="20"/>
                <w:szCs w:val="20"/>
                <w:color w:val="auto"/>
              </w:rPr>
            </w:pPr>
            <w:r>
              <w:rPr>
                <w:rFonts w:ascii="Arial" w:cs="Arial" w:eastAsia="Arial" w:hAnsi="Arial"/>
                <w:sz w:val="18"/>
                <w:szCs w:val="18"/>
                <w:color w:val="auto"/>
              </w:rPr>
              <w:t>33.0%</w:t>
            </w:r>
          </w:p>
        </w:tc>
        <w:tc>
          <w:tcPr>
            <w:tcW w:w="840" w:type="dxa"/>
            <w:vAlign w:val="bottom"/>
            <w:gridSpan w:val="2"/>
          </w:tcPr>
          <w:p>
            <w:pPr>
              <w:jc w:val="right"/>
              <w:ind w:right="20"/>
              <w:spacing w:after="0"/>
              <w:rPr>
                <w:sz w:val="20"/>
                <w:szCs w:val="20"/>
                <w:color w:val="auto"/>
              </w:rPr>
            </w:pPr>
            <w:r>
              <w:rPr>
                <w:rFonts w:ascii="Arial" w:cs="Arial" w:eastAsia="Arial" w:hAnsi="Arial"/>
                <w:sz w:val="18"/>
                <w:szCs w:val="18"/>
                <w:color w:val="auto"/>
              </w:rPr>
              <w:t>28.8%</w:t>
            </w:r>
          </w:p>
        </w:tc>
        <w:tc>
          <w:tcPr>
            <w:tcW w:w="0" w:type="dxa"/>
            <w:vAlign w:val="bottom"/>
          </w:tcPr>
          <w:p>
            <w:pPr>
              <w:spacing w:after="0"/>
              <w:rPr>
                <w:sz w:val="1"/>
                <w:szCs w:val="1"/>
                <w:color w:val="auto"/>
              </w:rPr>
            </w:pPr>
          </w:p>
        </w:tc>
      </w:tr>
      <w:tr>
        <w:trPr>
          <w:trHeight w:val="229"/>
        </w:trPr>
        <w:tc>
          <w:tcPr>
            <w:tcW w:w="2820" w:type="dxa"/>
            <w:vAlign w:val="bottom"/>
            <w:shd w:val="clear" w:color="auto" w:fill="CFF0FC"/>
          </w:tcPr>
          <w:p>
            <w:pPr>
              <w:ind w:left="260"/>
              <w:spacing w:after="0"/>
              <w:rPr>
                <w:sz w:val="20"/>
                <w:szCs w:val="20"/>
                <w:color w:val="auto"/>
              </w:rPr>
            </w:pPr>
            <w:r>
              <w:rPr>
                <w:rFonts w:ascii="Arial" w:cs="Arial" w:eastAsia="Arial" w:hAnsi="Arial"/>
                <w:sz w:val="18"/>
                <w:szCs w:val="18"/>
                <w:color w:val="auto"/>
              </w:rPr>
              <w:t>Transportation</w:t>
            </w:r>
          </w:p>
        </w:tc>
        <w:tc>
          <w:tcPr>
            <w:tcW w:w="4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5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2,369</w:t>
            </w:r>
          </w:p>
        </w:tc>
        <w:tc>
          <w:tcPr>
            <w:tcW w:w="20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880" w:type="dxa"/>
            <w:vAlign w:val="bottom"/>
            <w:gridSpan w:val="2"/>
            <w:shd w:val="clear" w:color="auto" w:fill="CFF0FC"/>
          </w:tcPr>
          <w:p>
            <w:pPr>
              <w:jc w:val="right"/>
              <w:ind w:right="140"/>
              <w:spacing w:after="0"/>
              <w:rPr>
                <w:sz w:val="20"/>
                <w:szCs w:val="20"/>
                <w:color w:val="auto"/>
              </w:rPr>
            </w:pPr>
            <w:r>
              <w:rPr>
                <w:rFonts w:ascii="Arial" w:cs="Arial" w:eastAsia="Arial" w:hAnsi="Arial"/>
                <w:sz w:val="18"/>
                <w:szCs w:val="18"/>
                <w:color w:val="auto"/>
              </w:rPr>
              <w:t>—</w:t>
            </w:r>
          </w:p>
        </w:tc>
        <w:tc>
          <w:tcPr>
            <w:tcW w:w="6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5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106</w:t>
            </w:r>
          </w:p>
        </w:tc>
        <w:tc>
          <w:tcPr>
            <w:tcW w:w="120" w:type="dxa"/>
            <w:vAlign w:val="bottom"/>
            <w:shd w:val="clear" w:color="auto" w:fill="CFF0FC"/>
          </w:tcPr>
          <w:p>
            <w:pPr>
              <w:spacing w:after="0"/>
              <w:rPr>
                <w:sz w:val="19"/>
                <w:szCs w:val="19"/>
                <w:color w:val="auto"/>
              </w:rPr>
            </w:pPr>
          </w:p>
        </w:tc>
        <w:tc>
          <w:tcPr>
            <w:tcW w:w="6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5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2,263</w:t>
            </w:r>
          </w:p>
        </w:tc>
        <w:tc>
          <w:tcPr>
            <w:tcW w:w="20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5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2,126</w:t>
            </w:r>
          </w:p>
        </w:tc>
        <w:tc>
          <w:tcPr>
            <w:tcW w:w="12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380" w:type="dxa"/>
            <w:vAlign w:val="bottom"/>
            <w:shd w:val="clear" w:color="auto" w:fill="CFF0FC"/>
          </w:tcPr>
          <w:p>
            <w:pPr>
              <w:spacing w:after="0"/>
              <w:rPr>
                <w:sz w:val="19"/>
                <w:szCs w:val="19"/>
                <w:color w:val="auto"/>
              </w:rPr>
            </w:pPr>
          </w:p>
        </w:tc>
        <w:tc>
          <w:tcPr>
            <w:tcW w:w="620" w:type="dxa"/>
            <w:vAlign w:val="bottom"/>
            <w:gridSpan w:val="2"/>
            <w:shd w:val="clear" w:color="auto" w:fill="CFF0FC"/>
          </w:tcPr>
          <w:p>
            <w:pPr>
              <w:ind w:left="320"/>
              <w:spacing w:after="0"/>
              <w:rPr>
                <w:sz w:val="20"/>
                <w:szCs w:val="20"/>
                <w:color w:val="auto"/>
              </w:rPr>
            </w:pPr>
            <w:r>
              <w:rPr>
                <w:rFonts w:ascii="Arial" w:cs="Arial" w:eastAsia="Arial" w:hAnsi="Arial"/>
                <w:sz w:val="18"/>
                <w:szCs w:val="18"/>
                <w:color w:val="auto"/>
              </w:rPr>
              <w:t>—</w:t>
            </w:r>
          </w:p>
        </w:tc>
        <w:tc>
          <w:tcPr>
            <w:tcW w:w="8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5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2,126</w:t>
            </w:r>
          </w:p>
        </w:tc>
        <w:tc>
          <w:tcPr>
            <w:tcW w:w="200" w:type="dxa"/>
            <w:vAlign w:val="bottom"/>
            <w:shd w:val="clear" w:color="auto" w:fill="CFF0FC"/>
          </w:tcPr>
          <w:p>
            <w:pPr>
              <w:spacing w:after="0"/>
              <w:rPr>
                <w:sz w:val="19"/>
                <w:szCs w:val="19"/>
                <w:color w:val="auto"/>
              </w:rPr>
            </w:pPr>
          </w:p>
        </w:tc>
        <w:tc>
          <w:tcPr>
            <w:tcW w:w="960" w:type="dxa"/>
            <w:vAlign w:val="bottom"/>
            <w:gridSpan w:val="2"/>
            <w:shd w:val="clear" w:color="auto" w:fill="CFF0FC"/>
          </w:tcPr>
          <w:p>
            <w:pPr>
              <w:jc w:val="right"/>
              <w:ind w:right="160"/>
              <w:spacing w:after="0"/>
              <w:rPr>
                <w:sz w:val="20"/>
                <w:szCs w:val="20"/>
                <w:color w:val="auto"/>
              </w:rPr>
            </w:pPr>
            <w:r>
              <w:rPr>
                <w:rFonts w:ascii="Arial" w:cs="Arial" w:eastAsia="Arial" w:hAnsi="Arial"/>
                <w:sz w:val="18"/>
                <w:szCs w:val="18"/>
                <w:color w:val="auto"/>
              </w:rPr>
              <w:t>11.4%</w:t>
            </w:r>
          </w:p>
        </w:tc>
        <w:tc>
          <w:tcPr>
            <w:tcW w:w="840" w:type="dxa"/>
            <w:vAlign w:val="bottom"/>
            <w:gridSpan w:val="2"/>
            <w:shd w:val="clear" w:color="auto" w:fill="CFF0FC"/>
          </w:tcPr>
          <w:p>
            <w:pPr>
              <w:jc w:val="right"/>
              <w:ind w:right="20"/>
              <w:spacing w:after="0"/>
              <w:rPr>
                <w:sz w:val="20"/>
                <w:szCs w:val="20"/>
                <w:color w:val="auto"/>
              </w:rPr>
            </w:pPr>
            <w:r>
              <w:rPr>
                <w:rFonts w:ascii="Arial" w:cs="Arial" w:eastAsia="Arial" w:hAnsi="Arial"/>
                <w:sz w:val="18"/>
                <w:szCs w:val="18"/>
                <w:color w:val="auto"/>
              </w:rPr>
              <w:t>6.4%</w:t>
            </w:r>
          </w:p>
        </w:tc>
        <w:tc>
          <w:tcPr>
            <w:tcW w:w="0" w:type="dxa"/>
            <w:vAlign w:val="bottom"/>
          </w:tcPr>
          <w:p>
            <w:pPr>
              <w:spacing w:after="0"/>
              <w:rPr>
                <w:sz w:val="1"/>
                <w:szCs w:val="1"/>
                <w:color w:val="auto"/>
              </w:rPr>
            </w:pPr>
          </w:p>
        </w:tc>
      </w:tr>
      <w:tr>
        <w:trPr>
          <w:trHeight w:val="229"/>
        </w:trPr>
        <w:tc>
          <w:tcPr>
            <w:tcW w:w="2820" w:type="dxa"/>
            <w:vAlign w:val="bottom"/>
          </w:tcPr>
          <w:p>
            <w:pPr>
              <w:ind w:left="260"/>
              <w:spacing w:after="0"/>
              <w:rPr>
                <w:sz w:val="20"/>
                <w:szCs w:val="20"/>
                <w:color w:val="auto"/>
              </w:rPr>
            </w:pPr>
            <w:r>
              <w:rPr>
                <w:rFonts w:ascii="Arial" w:cs="Arial" w:eastAsia="Arial" w:hAnsi="Arial"/>
                <w:sz w:val="18"/>
                <w:szCs w:val="18"/>
                <w:color w:val="auto"/>
              </w:rPr>
              <w:t>Travel Planning</w:t>
            </w:r>
          </w:p>
        </w:tc>
        <w:tc>
          <w:tcPr>
            <w:tcW w:w="4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308</w:t>
            </w:r>
          </w:p>
        </w:tc>
        <w:tc>
          <w:tcPr>
            <w:tcW w:w="2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88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40" w:type="dxa"/>
            <w:vAlign w:val="bottom"/>
          </w:tcPr>
          <w:p>
            <w:pPr>
              <w:jc w:val="right"/>
              <w:spacing w:after="0"/>
              <w:rPr>
                <w:sz w:val="20"/>
                <w:szCs w:val="20"/>
                <w:color w:val="auto"/>
              </w:rPr>
            </w:pPr>
            <w:r>
              <w:rPr>
                <w:rFonts w:ascii="Arial" w:cs="Arial" w:eastAsia="Arial" w:hAnsi="Arial"/>
                <w:sz w:val="18"/>
                <w:szCs w:val="18"/>
                <w:color w:val="auto"/>
              </w:rPr>
              <w:t>11</w:t>
            </w:r>
          </w:p>
        </w:tc>
        <w:tc>
          <w:tcPr>
            <w:tcW w:w="12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297</w:t>
            </w:r>
          </w:p>
        </w:tc>
        <w:tc>
          <w:tcPr>
            <w:tcW w:w="2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233</w:t>
            </w:r>
          </w:p>
        </w:tc>
        <w:tc>
          <w:tcPr>
            <w:tcW w:w="1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620" w:type="dxa"/>
            <w:vAlign w:val="bottom"/>
            <w:gridSpan w:val="2"/>
          </w:tcPr>
          <w:p>
            <w:pPr>
              <w:ind w:left="32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233</w:t>
            </w:r>
          </w:p>
        </w:tc>
        <w:tc>
          <w:tcPr>
            <w:tcW w:w="200" w:type="dxa"/>
            <w:vAlign w:val="bottom"/>
          </w:tcPr>
          <w:p>
            <w:pPr>
              <w:spacing w:after="0"/>
              <w:rPr>
                <w:sz w:val="19"/>
                <w:szCs w:val="19"/>
                <w:color w:val="auto"/>
              </w:rPr>
            </w:pPr>
          </w:p>
        </w:tc>
        <w:tc>
          <w:tcPr>
            <w:tcW w:w="960" w:type="dxa"/>
            <w:vAlign w:val="bottom"/>
            <w:gridSpan w:val="2"/>
          </w:tcPr>
          <w:p>
            <w:pPr>
              <w:jc w:val="right"/>
              <w:ind w:right="160"/>
              <w:spacing w:after="0"/>
              <w:rPr>
                <w:sz w:val="20"/>
                <w:szCs w:val="20"/>
                <w:color w:val="auto"/>
              </w:rPr>
            </w:pPr>
            <w:r>
              <w:rPr>
                <w:rFonts w:ascii="Arial" w:cs="Arial" w:eastAsia="Arial" w:hAnsi="Arial"/>
                <w:sz w:val="18"/>
                <w:szCs w:val="18"/>
                <w:color w:val="auto"/>
              </w:rPr>
              <w:t>32.2%</w:t>
            </w:r>
          </w:p>
        </w:tc>
        <w:tc>
          <w:tcPr>
            <w:tcW w:w="840" w:type="dxa"/>
            <w:vAlign w:val="bottom"/>
            <w:gridSpan w:val="2"/>
          </w:tcPr>
          <w:p>
            <w:pPr>
              <w:jc w:val="right"/>
              <w:ind w:right="20"/>
              <w:spacing w:after="0"/>
              <w:rPr>
                <w:sz w:val="20"/>
                <w:szCs w:val="20"/>
                <w:color w:val="auto"/>
              </w:rPr>
            </w:pPr>
            <w:r>
              <w:rPr>
                <w:rFonts w:ascii="Arial" w:cs="Arial" w:eastAsia="Arial" w:hAnsi="Arial"/>
                <w:sz w:val="18"/>
                <w:szCs w:val="18"/>
                <w:color w:val="auto"/>
              </w:rPr>
              <w:t>27.5%</w:t>
            </w:r>
          </w:p>
        </w:tc>
        <w:tc>
          <w:tcPr>
            <w:tcW w:w="0" w:type="dxa"/>
            <w:vAlign w:val="bottom"/>
          </w:tcPr>
          <w:p>
            <w:pPr>
              <w:spacing w:after="0"/>
              <w:rPr>
                <w:sz w:val="1"/>
                <w:szCs w:val="1"/>
                <w:color w:val="auto"/>
              </w:rPr>
            </w:pPr>
          </w:p>
        </w:tc>
      </w:tr>
      <w:tr>
        <w:trPr>
          <w:trHeight w:val="214"/>
        </w:trPr>
        <w:tc>
          <w:tcPr>
            <w:tcW w:w="2820" w:type="dxa"/>
            <w:vAlign w:val="bottom"/>
            <w:shd w:val="clear" w:color="auto" w:fill="CFF0FC"/>
          </w:tcPr>
          <w:p>
            <w:pPr>
              <w:ind w:left="260"/>
              <w:spacing w:after="0"/>
              <w:rPr>
                <w:sz w:val="20"/>
                <w:szCs w:val="20"/>
                <w:color w:val="auto"/>
              </w:rPr>
            </w:pPr>
            <w:r>
              <w:rPr>
                <w:rFonts w:ascii="Arial" w:cs="Arial" w:eastAsia="Arial" w:hAnsi="Arial"/>
                <w:sz w:val="18"/>
                <w:szCs w:val="18"/>
                <w:color w:val="auto"/>
              </w:rPr>
              <w:t>Intra-Segment Eliminations &amp;</w:t>
            </w:r>
          </w:p>
        </w:tc>
        <w:tc>
          <w:tcPr>
            <w:tcW w:w="42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560" w:type="dxa"/>
            <w:vAlign w:val="bottom"/>
            <w:shd w:val="clear" w:color="auto" w:fill="CFF0FC"/>
          </w:tcPr>
          <w:p>
            <w:pPr>
              <w:spacing w:after="0"/>
              <w:rPr>
                <w:sz w:val="18"/>
                <w:szCs w:val="18"/>
                <w:color w:val="auto"/>
              </w:rPr>
            </w:pPr>
          </w:p>
        </w:tc>
        <w:tc>
          <w:tcPr>
            <w:tcW w:w="200" w:type="dxa"/>
            <w:vAlign w:val="bottom"/>
            <w:shd w:val="clear" w:color="auto" w:fill="CFF0FC"/>
          </w:tcPr>
          <w:p>
            <w:pPr>
              <w:spacing w:after="0"/>
              <w:rPr>
                <w:sz w:val="18"/>
                <w:szCs w:val="18"/>
                <w:color w:val="auto"/>
              </w:rPr>
            </w:pPr>
          </w:p>
        </w:tc>
        <w:tc>
          <w:tcPr>
            <w:tcW w:w="140" w:type="dxa"/>
            <w:vAlign w:val="bottom"/>
            <w:shd w:val="clear" w:color="auto" w:fill="CFF0FC"/>
          </w:tcPr>
          <w:p>
            <w:pPr>
              <w:spacing w:after="0"/>
              <w:rPr>
                <w:sz w:val="18"/>
                <w:szCs w:val="18"/>
                <w:color w:val="auto"/>
              </w:rPr>
            </w:pPr>
          </w:p>
        </w:tc>
        <w:tc>
          <w:tcPr>
            <w:tcW w:w="76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6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54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6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580" w:type="dxa"/>
            <w:vAlign w:val="bottom"/>
            <w:shd w:val="clear" w:color="auto" w:fill="CFF0FC"/>
          </w:tcPr>
          <w:p>
            <w:pPr>
              <w:spacing w:after="0"/>
              <w:rPr>
                <w:sz w:val="18"/>
                <w:szCs w:val="18"/>
                <w:color w:val="auto"/>
              </w:rPr>
            </w:pPr>
          </w:p>
        </w:tc>
        <w:tc>
          <w:tcPr>
            <w:tcW w:w="20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58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380" w:type="dxa"/>
            <w:vAlign w:val="bottom"/>
            <w:shd w:val="clear" w:color="auto" w:fill="CFF0FC"/>
          </w:tcPr>
          <w:p>
            <w:pPr>
              <w:spacing w:after="0"/>
              <w:rPr>
                <w:sz w:val="18"/>
                <w:szCs w:val="18"/>
                <w:color w:val="auto"/>
              </w:rPr>
            </w:pPr>
          </w:p>
        </w:tc>
        <w:tc>
          <w:tcPr>
            <w:tcW w:w="52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580" w:type="dxa"/>
            <w:vAlign w:val="bottom"/>
            <w:shd w:val="clear" w:color="auto" w:fill="CFF0FC"/>
          </w:tcPr>
          <w:p>
            <w:pPr>
              <w:spacing w:after="0"/>
              <w:rPr>
                <w:sz w:val="18"/>
                <w:szCs w:val="18"/>
                <w:color w:val="auto"/>
              </w:rPr>
            </w:pPr>
          </w:p>
        </w:tc>
        <w:tc>
          <w:tcPr>
            <w:tcW w:w="200" w:type="dxa"/>
            <w:vAlign w:val="bottom"/>
            <w:shd w:val="clear" w:color="auto" w:fill="CFF0FC"/>
          </w:tcPr>
          <w:p>
            <w:pPr>
              <w:spacing w:after="0"/>
              <w:rPr>
                <w:sz w:val="18"/>
                <w:szCs w:val="18"/>
                <w:color w:val="auto"/>
              </w:rPr>
            </w:pPr>
          </w:p>
        </w:tc>
        <w:tc>
          <w:tcPr>
            <w:tcW w:w="660" w:type="dxa"/>
            <w:vAlign w:val="bottom"/>
            <w:shd w:val="clear" w:color="auto" w:fill="CFF0FC"/>
          </w:tcPr>
          <w:p>
            <w:pPr>
              <w:spacing w:after="0"/>
              <w:rPr>
                <w:sz w:val="18"/>
                <w:szCs w:val="18"/>
                <w:color w:val="auto"/>
              </w:rPr>
            </w:pPr>
          </w:p>
        </w:tc>
        <w:tc>
          <w:tcPr>
            <w:tcW w:w="300" w:type="dxa"/>
            <w:vAlign w:val="bottom"/>
            <w:shd w:val="clear" w:color="auto" w:fill="CFF0FC"/>
          </w:tcPr>
          <w:p>
            <w:pPr>
              <w:spacing w:after="0"/>
              <w:rPr>
                <w:sz w:val="18"/>
                <w:szCs w:val="18"/>
                <w:color w:val="auto"/>
              </w:rPr>
            </w:pPr>
          </w:p>
        </w:tc>
        <w:tc>
          <w:tcPr>
            <w:tcW w:w="680" w:type="dxa"/>
            <w:vAlign w:val="bottom"/>
            <w:shd w:val="clear" w:color="auto" w:fill="CFF0FC"/>
          </w:tcPr>
          <w:p>
            <w:pPr>
              <w:spacing w:after="0"/>
              <w:rPr>
                <w:sz w:val="18"/>
                <w:szCs w:val="18"/>
                <w:color w:val="auto"/>
              </w:rPr>
            </w:pPr>
          </w:p>
        </w:tc>
        <w:tc>
          <w:tcPr>
            <w:tcW w:w="16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29"/>
        </w:trPr>
        <w:tc>
          <w:tcPr>
            <w:tcW w:w="2820" w:type="dxa"/>
            <w:vAlign w:val="bottom"/>
            <w:shd w:val="clear" w:color="auto" w:fill="CFF0FC"/>
          </w:tcPr>
          <w:p>
            <w:pPr>
              <w:ind w:left="380"/>
              <w:spacing w:after="0"/>
              <w:rPr>
                <w:sz w:val="20"/>
                <w:szCs w:val="20"/>
                <w:color w:val="auto"/>
              </w:rPr>
            </w:pPr>
            <w:r>
              <w:rPr>
                <w:rFonts w:ascii="Arial" w:cs="Arial" w:eastAsia="Arial" w:hAnsi="Arial"/>
                <w:sz w:val="18"/>
                <w:szCs w:val="18"/>
                <w:color w:val="auto"/>
              </w:rPr>
              <w:t>Other</w:t>
            </w:r>
          </w:p>
        </w:tc>
        <w:tc>
          <w:tcPr>
            <w:tcW w:w="4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760" w:type="dxa"/>
            <w:vAlign w:val="bottom"/>
            <w:gridSpan w:val="2"/>
            <w:shd w:val="clear" w:color="auto" w:fill="CFF0FC"/>
          </w:tcPr>
          <w:p>
            <w:pPr>
              <w:jc w:val="right"/>
              <w:ind w:right="140"/>
              <w:spacing w:after="0"/>
              <w:rPr>
                <w:sz w:val="20"/>
                <w:szCs w:val="20"/>
                <w:color w:val="auto"/>
              </w:rPr>
            </w:pPr>
            <w:r>
              <w:rPr>
                <w:rFonts w:ascii="Arial" w:cs="Arial" w:eastAsia="Arial" w:hAnsi="Arial"/>
                <w:sz w:val="18"/>
                <w:szCs w:val="18"/>
                <w:color w:val="auto"/>
              </w:rPr>
              <w:t>(206)</w:t>
            </w:r>
          </w:p>
        </w:tc>
        <w:tc>
          <w:tcPr>
            <w:tcW w:w="140" w:type="dxa"/>
            <w:vAlign w:val="bottom"/>
            <w:shd w:val="clear" w:color="auto" w:fill="CFF0FC"/>
          </w:tcPr>
          <w:p>
            <w:pPr>
              <w:spacing w:after="0"/>
              <w:rPr>
                <w:sz w:val="19"/>
                <w:szCs w:val="19"/>
                <w:color w:val="auto"/>
              </w:rPr>
            </w:pPr>
          </w:p>
        </w:tc>
        <w:tc>
          <w:tcPr>
            <w:tcW w:w="880" w:type="dxa"/>
            <w:vAlign w:val="bottom"/>
            <w:gridSpan w:val="2"/>
            <w:shd w:val="clear" w:color="auto" w:fill="CFF0FC"/>
          </w:tcPr>
          <w:p>
            <w:pPr>
              <w:jc w:val="right"/>
              <w:ind w:right="140"/>
              <w:spacing w:after="0"/>
              <w:rPr>
                <w:sz w:val="20"/>
                <w:szCs w:val="20"/>
                <w:color w:val="auto"/>
              </w:rPr>
            </w:pPr>
            <w:r>
              <w:rPr>
                <w:rFonts w:ascii="Arial" w:cs="Arial" w:eastAsia="Arial" w:hAnsi="Arial"/>
                <w:sz w:val="18"/>
                <w:szCs w:val="18"/>
                <w:color w:val="auto"/>
              </w:rPr>
              <w:t>—</w:t>
            </w:r>
          </w:p>
        </w:tc>
        <w:tc>
          <w:tcPr>
            <w:tcW w:w="6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660" w:type="dxa"/>
            <w:vAlign w:val="bottom"/>
            <w:gridSpan w:val="2"/>
            <w:shd w:val="clear" w:color="auto" w:fill="CFF0FC"/>
          </w:tcPr>
          <w:p>
            <w:pPr>
              <w:jc w:val="right"/>
              <w:ind w:right="60"/>
              <w:spacing w:after="0"/>
              <w:rPr>
                <w:sz w:val="20"/>
                <w:szCs w:val="20"/>
                <w:color w:val="auto"/>
              </w:rPr>
            </w:pPr>
            <w:r>
              <w:rPr>
                <w:rFonts w:ascii="Arial" w:cs="Arial" w:eastAsia="Arial" w:hAnsi="Arial"/>
                <w:sz w:val="18"/>
                <w:szCs w:val="18"/>
                <w:color w:val="auto"/>
              </w:rPr>
              <w:t>(8)</w:t>
            </w:r>
          </w:p>
        </w:tc>
        <w:tc>
          <w:tcPr>
            <w:tcW w:w="6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780" w:type="dxa"/>
            <w:vAlign w:val="bottom"/>
            <w:gridSpan w:val="2"/>
            <w:shd w:val="clear" w:color="auto" w:fill="CFF0FC"/>
          </w:tcPr>
          <w:p>
            <w:pPr>
              <w:jc w:val="right"/>
              <w:ind w:right="140"/>
              <w:spacing w:after="0"/>
              <w:rPr>
                <w:sz w:val="20"/>
                <w:szCs w:val="20"/>
                <w:color w:val="auto"/>
              </w:rPr>
            </w:pPr>
            <w:r>
              <w:rPr>
                <w:rFonts w:ascii="Arial" w:cs="Arial" w:eastAsia="Arial" w:hAnsi="Arial"/>
                <w:sz w:val="18"/>
                <w:szCs w:val="18"/>
                <w:color w:val="auto"/>
              </w:rPr>
              <w:t>(198)</w:t>
            </w:r>
          </w:p>
        </w:tc>
        <w:tc>
          <w:tcPr>
            <w:tcW w:w="100" w:type="dxa"/>
            <w:vAlign w:val="bottom"/>
            <w:shd w:val="clear" w:color="auto" w:fill="CFF0FC"/>
          </w:tcPr>
          <w:p>
            <w:pPr>
              <w:spacing w:after="0"/>
              <w:rPr>
                <w:sz w:val="19"/>
                <w:szCs w:val="19"/>
                <w:color w:val="auto"/>
              </w:rPr>
            </w:pPr>
          </w:p>
        </w:tc>
        <w:tc>
          <w:tcPr>
            <w:tcW w:w="700" w:type="dxa"/>
            <w:vAlign w:val="bottom"/>
            <w:gridSpan w:val="2"/>
            <w:shd w:val="clear" w:color="auto" w:fill="CFF0FC"/>
          </w:tcPr>
          <w:p>
            <w:pPr>
              <w:jc w:val="right"/>
              <w:ind w:right="60"/>
              <w:spacing w:after="0"/>
              <w:rPr>
                <w:sz w:val="20"/>
                <w:szCs w:val="20"/>
                <w:color w:val="auto"/>
              </w:rPr>
            </w:pPr>
            <w:r>
              <w:rPr>
                <w:rFonts w:ascii="Arial" w:cs="Arial" w:eastAsia="Arial" w:hAnsi="Arial"/>
                <w:sz w:val="18"/>
                <w:szCs w:val="18"/>
                <w:color w:val="auto"/>
              </w:rPr>
              <w:t>(41)</w:t>
            </w:r>
          </w:p>
        </w:tc>
        <w:tc>
          <w:tcPr>
            <w:tcW w:w="80" w:type="dxa"/>
            <w:vAlign w:val="bottom"/>
            <w:shd w:val="clear" w:color="auto" w:fill="CFF0FC"/>
          </w:tcPr>
          <w:p>
            <w:pPr>
              <w:spacing w:after="0"/>
              <w:rPr>
                <w:sz w:val="19"/>
                <w:szCs w:val="19"/>
                <w:color w:val="auto"/>
              </w:rPr>
            </w:pPr>
          </w:p>
        </w:tc>
        <w:tc>
          <w:tcPr>
            <w:tcW w:w="380" w:type="dxa"/>
            <w:vAlign w:val="bottom"/>
            <w:shd w:val="clear" w:color="auto" w:fill="CFF0FC"/>
          </w:tcPr>
          <w:p>
            <w:pPr>
              <w:spacing w:after="0"/>
              <w:rPr>
                <w:sz w:val="19"/>
                <w:szCs w:val="19"/>
                <w:color w:val="auto"/>
              </w:rPr>
            </w:pPr>
          </w:p>
        </w:tc>
        <w:tc>
          <w:tcPr>
            <w:tcW w:w="620" w:type="dxa"/>
            <w:vAlign w:val="bottom"/>
            <w:gridSpan w:val="2"/>
            <w:shd w:val="clear" w:color="auto" w:fill="CFF0FC"/>
          </w:tcPr>
          <w:p>
            <w:pPr>
              <w:ind w:left="320"/>
              <w:spacing w:after="0"/>
              <w:rPr>
                <w:sz w:val="20"/>
                <w:szCs w:val="20"/>
                <w:color w:val="auto"/>
              </w:rPr>
            </w:pPr>
            <w:r>
              <w:rPr>
                <w:rFonts w:ascii="Arial" w:cs="Arial" w:eastAsia="Arial" w:hAnsi="Arial"/>
                <w:sz w:val="18"/>
                <w:szCs w:val="18"/>
                <w:color w:val="auto"/>
              </w:rPr>
              <w:t>—</w:t>
            </w:r>
          </w:p>
        </w:tc>
        <w:tc>
          <w:tcPr>
            <w:tcW w:w="8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780" w:type="dxa"/>
            <w:vAlign w:val="bottom"/>
            <w:gridSpan w:val="2"/>
            <w:shd w:val="clear" w:color="auto" w:fill="CFF0FC"/>
          </w:tcPr>
          <w:p>
            <w:pPr>
              <w:jc w:val="right"/>
              <w:ind w:right="140"/>
              <w:spacing w:after="0"/>
              <w:rPr>
                <w:sz w:val="20"/>
                <w:szCs w:val="20"/>
                <w:color w:val="auto"/>
              </w:rPr>
            </w:pPr>
            <w:r>
              <w:rPr>
                <w:rFonts w:ascii="Arial" w:cs="Arial" w:eastAsia="Arial" w:hAnsi="Arial"/>
                <w:sz w:val="18"/>
                <w:szCs w:val="18"/>
                <w:color w:val="auto"/>
              </w:rPr>
              <w:t>(41)</w:t>
            </w:r>
          </w:p>
        </w:tc>
        <w:tc>
          <w:tcPr>
            <w:tcW w:w="6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300" w:type="dxa"/>
            <w:vAlign w:val="bottom"/>
            <w:shd w:val="clear" w:color="auto" w:fill="CFF0FC"/>
          </w:tcPr>
          <w:p>
            <w:pPr>
              <w:spacing w:after="0"/>
              <w:rPr>
                <w:sz w:val="19"/>
                <w:szCs w:val="19"/>
                <w:color w:val="auto"/>
              </w:rPr>
            </w:pPr>
          </w:p>
        </w:tc>
        <w:tc>
          <w:tcPr>
            <w:tcW w:w="6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6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820" w:type="dxa"/>
            <w:vAlign w:val="bottom"/>
            <w:vMerge w:val="restart"/>
          </w:tcPr>
          <w:p>
            <w:pPr>
              <w:spacing w:after="0"/>
              <w:rPr>
                <w:sz w:val="20"/>
                <w:szCs w:val="20"/>
                <w:color w:val="auto"/>
              </w:rPr>
            </w:pPr>
            <w:r>
              <w:rPr>
                <w:rFonts w:ascii="Arial" w:cs="Arial" w:eastAsia="Arial" w:hAnsi="Arial"/>
                <w:sz w:val="18"/>
                <w:szCs w:val="18"/>
                <w:color w:val="auto"/>
              </w:rPr>
              <w:t>Total Pursuit</w:t>
            </w:r>
          </w:p>
        </w:tc>
        <w:tc>
          <w:tcPr>
            <w:tcW w:w="420" w:type="dxa"/>
            <w:vAlign w:val="bottom"/>
            <w:vMerge w:val="restart"/>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120" w:type="dxa"/>
            <w:vAlign w:val="bottom"/>
            <w:vMerge w:val="restart"/>
          </w:tcPr>
          <w:p>
            <w:pPr>
              <w:spacing w:after="0" w:line="20" w:lineRule="exact"/>
              <w:rPr>
                <w:sz w:val="1"/>
                <w:szCs w:val="1"/>
                <w:color w:val="auto"/>
              </w:rPr>
            </w:pPr>
          </w:p>
        </w:tc>
        <w:tc>
          <w:tcPr>
            <w:tcW w:w="60" w:type="dxa"/>
            <w:vAlign w:val="bottom"/>
            <w:vMerge w:val="restart"/>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vMerge w:val="restart"/>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vMerge w:val="restart"/>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100" w:type="dxa"/>
            <w:vAlign w:val="bottom"/>
            <w:vMerge w:val="restart"/>
          </w:tcPr>
          <w:p>
            <w:pPr>
              <w:spacing w:after="0" w:line="20" w:lineRule="exact"/>
              <w:rPr>
                <w:sz w:val="1"/>
                <w:szCs w:val="1"/>
                <w:color w:val="auto"/>
              </w:rPr>
            </w:pPr>
          </w:p>
        </w:tc>
        <w:tc>
          <w:tcPr>
            <w:tcW w:w="80" w:type="dxa"/>
            <w:vAlign w:val="bottom"/>
            <w:vMerge w:val="restart"/>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2"/>
        </w:trPr>
        <w:tc>
          <w:tcPr>
            <w:tcW w:w="2820" w:type="dxa"/>
            <w:vAlign w:val="bottom"/>
            <w:vMerge w:val="continue"/>
          </w:tcPr>
          <w:p>
            <w:pPr>
              <w:spacing w:after="0"/>
              <w:rPr>
                <w:sz w:val="22"/>
                <w:szCs w:val="22"/>
                <w:color w:val="auto"/>
              </w:rPr>
            </w:pPr>
          </w:p>
        </w:tc>
        <w:tc>
          <w:tcPr>
            <w:tcW w:w="420" w:type="dxa"/>
            <w:vAlign w:val="bottom"/>
            <w:vMerge w:val="continue"/>
          </w:tcPr>
          <w:p>
            <w:pPr>
              <w:spacing w:after="0"/>
              <w:rPr>
                <w:sz w:val="22"/>
                <w:szCs w:val="22"/>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560" w:type="dxa"/>
            <w:vAlign w:val="bottom"/>
          </w:tcPr>
          <w:p>
            <w:pPr>
              <w:jc w:val="right"/>
              <w:spacing w:after="0"/>
              <w:rPr>
                <w:sz w:val="20"/>
                <w:szCs w:val="20"/>
                <w:color w:val="auto"/>
              </w:rPr>
            </w:pPr>
            <w:r>
              <w:rPr>
                <w:rFonts w:ascii="Arial" w:cs="Arial" w:eastAsia="Arial" w:hAnsi="Arial"/>
                <w:sz w:val="18"/>
                <w:szCs w:val="18"/>
                <w:color w:val="auto"/>
              </w:rPr>
              <w:t>9,722</w:t>
            </w:r>
          </w:p>
        </w:tc>
        <w:tc>
          <w:tcPr>
            <w:tcW w:w="200" w:type="dxa"/>
            <w:vAlign w:val="bottom"/>
          </w:tcPr>
          <w:p>
            <w:pPr>
              <w:spacing w:after="0"/>
              <w:rPr>
                <w:sz w:val="22"/>
                <w:szCs w:val="22"/>
                <w:color w:val="auto"/>
              </w:rPr>
            </w:pPr>
          </w:p>
        </w:tc>
        <w:tc>
          <w:tcPr>
            <w:tcW w:w="140" w:type="dxa"/>
            <w:vAlign w:val="bottom"/>
          </w:tcPr>
          <w:p>
            <w:pPr>
              <w:spacing w:after="0"/>
              <w:rPr>
                <w:sz w:val="20"/>
                <w:szCs w:val="20"/>
                <w:color w:val="auto"/>
              </w:rPr>
            </w:pPr>
            <w:r>
              <w:rPr>
                <w:rFonts w:ascii="Arial" w:cs="Arial" w:eastAsia="Arial" w:hAnsi="Arial"/>
                <w:sz w:val="18"/>
                <w:szCs w:val="18"/>
                <w:color w:val="auto"/>
              </w:rPr>
              <w:t>$</w:t>
            </w:r>
          </w:p>
        </w:tc>
        <w:tc>
          <w:tcPr>
            <w:tcW w:w="760" w:type="dxa"/>
            <w:vAlign w:val="bottom"/>
          </w:tcPr>
          <w:p>
            <w:pPr>
              <w:jc w:val="right"/>
              <w:spacing w:after="0"/>
              <w:rPr>
                <w:sz w:val="20"/>
                <w:szCs w:val="20"/>
                <w:color w:val="auto"/>
              </w:rPr>
            </w:pPr>
            <w:r>
              <w:rPr>
                <w:rFonts w:ascii="Arial" w:cs="Arial" w:eastAsia="Arial" w:hAnsi="Arial"/>
                <w:sz w:val="18"/>
                <w:szCs w:val="18"/>
                <w:color w:val="auto"/>
              </w:rPr>
              <w:t>—</w:t>
            </w:r>
          </w:p>
        </w:tc>
        <w:tc>
          <w:tcPr>
            <w:tcW w:w="120" w:type="dxa"/>
            <w:vAlign w:val="bottom"/>
            <w:vMerge w:val="continue"/>
          </w:tcPr>
          <w:p>
            <w:pPr>
              <w:spacing w:after="0"/>
              <w:rPr>
                <w:sz w:val="22"/>
                <w:szCs w:val="22"/>
                <w:color w:val="auto"/>
              </w:rPr>
            </w:pPr>
          </w:p>
        </w:tc>
        <w:tc>
          <w:tcPr>
            <w:tcW w:w="60" w:type="dxa"/>
            <w:vAlign w:val="bottom"/>
            <w:vMerge w:val="continue"/>
          </w:tcPr>
          <w:p>
            <w:pPr>
              <w:spacing w:after="0"/>
              <w:rPr>
                <w:sz w:val="22"/>
                <w:szCs w:val="22"/>
                <w:color w:val="auto"/>
              </w:rPr>
            </w:pP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540" w:type="dxa"/>
            <w:vAlign w:val="bottom"/>
          </w:tcPr>
          <w:p>
            <w:pPr>
              <w:jc w:val="right"/>
              <w:spacing w:after="0"/>
              <w:rPr>
                <w:sz w:val="20"/>
                <w:szCs w:val="20"/>
                <w:color w:val="auto"/>
              </w:rPr>
            </w:pPr>
            <w:r>
              <w:rPr>
                <w:rFonts w:ascii="Arial" w:cs="Arial" w:eastAsia="Arial" w:hAnsi="Arial"/>
                <w:sz w:val="18"/>
                <w:szCs w:val="18"/>
                <w:color w:val="auto"/>
              </w:rPr>
              <w:t>382</w:t>
            </w:r>
          </w:p>
        </w:tc>
        <w:tc>
          <w:tcPr>
            <w:tcW w:w="120" w:type="dxa"/>
            <w:vAlign w:val="bottom"/>
          </w:tcPr>
          <w:p>
            <w:pPr>
              <w:spacing w:after="0"/>
              <w:rPr>
                <w:sz w:val="22"/>
                <w:szCs w:val="22"/>
                <w:color w:val="auto"/>
              </w:rPr>
            </w:pPr>
          </w:p>
        </w:tc>
        <w:tc>
          <w:tcPr>
            <w:tcW w:w="60" w:type="dxa"/>
            <w:vAlign w:val="bottom"/>
            <w:vMerge w:val="continue"/>
          </w:tcPr>
          <w:p>
            <w:pPr>
              <w:spacing w:after="0"/>
              <w:rPr>
                <w:sz w:val="22"/>
                <w:szCs w:val="22"/>
                <w:color w:val="auto"/>
              </w:rPr>
            </w:pPr>
          </w:p>
        </w:tc>
        <w:tc>
          <w:tcPr>
            <w:tcW w:w="100" w:type="dxa"/>
            <w:vAlign w:val="bottom"/>
          </w:tcPr>
          <w:p>
            <w:pPr>
              <w:spacing w:after="0"/>
              <w:rPr>
                <w:sz w:val="20"/>
                <w:szCs w:val="20"/>
                <w:color w:val="auto"/>
              </w:rPr>
            </w:pPr>
            <w:r>
              <w:rPr>
                <w:rFonts w:ascii="Arial" w:cs="Arial" w:eastAsia="Arial" w:hAnsi="Arial"/>
                <w:sz w:val="18"/>
                <w:szCs w:val="18"/>
                <w:color w:val="auto"/>
                <w:w w:val="79"/>
              </w:rPr>
              <w:t>$</w:t>
            </w:r>
          </w:p>
        </w:tc>
        <w:tc>
          <w:tcPr>
            <w:tcW w:w="580" w:type="dxa"/>
            <w:vAlign w:val="bottom"/>
          </w:tcPr>
          <w:p>
            <w:pPr>
              <w:jc w:val="right"/>
              <w:spacing w:after="0"/>
              <w:rPr>
                <w:sz w:val="20"/>
                <w:szCs w:val="20"/>
                <w:color w:val="auto"/>
              </w:rPr>
            </w:pPr>
            <w:r>
              <w:rPr>
                <w:rFonts w:ascii="Arial" w:cs="Arial" w:eastAsia="Arial" w:hAnsi="Arial"/>
                <w:sz w:val="18"/>
                <w:szCs w:val="18"/>
                <w:color w:val="auto"/>
              </w:rPr>
              <w:t>9,340</w:t>
            </w:r>
          </w:p>
        </w:tc>
        <w:tc>
          <w:tcPr>
            <w:tcW w:w="200" w:type="dxa"/>
            <w:vAlign w:val="bottom"/>
          </w:tcPr>
          <w:p>
            <w:pPr>
              <w:spacing w:after="0"/>
              <w:rPr>
                <w:sz w:val="22"/>
                <w:szCs w:val="22"/>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580" w:type="dxa"/>
            <w:vAlign w:val="bottom"/>
          </w:tcPr>
          <w:p>
            <w:pPr>
              <w:jc w:val="right"/>
              <w:spacing w:after="0"/>
              <w:rPr>
                <w:sz w:val="20"/>
                <w:szCs w:val="20"/>
                <w:color w:val="auto"/>
              </w:rPr>
            </w:pPr>
            <w:r>
              <w:rPr>
                <w:rFonts w:ascii="Arial" w:cs="Arial" w:eastAsia="Arial" w:hAnsi="Arial"/>
                <w:sz w:val="18"/>
                <w:szCs w:val="18"/>
                <w:color w:val="auto"/>
              </w:rPr>
              <w:t>7,936</w:t>
            </w:r>
          </w:p>
        </w:tc>
        <w:tc>
          <w:tcPr>
            <w:tcW w:w="120" w:type="dxa"/>
            <w:vAlign w:val="bottom"/>
          </w:tcPr>
          <w:p>
            <w:pPr>
              <w:spacing w:after="0"/>
              <w:rPr>
                <w:sz w:val="22"/>
                <w:szCs w:val="22"/>
                <w:color w:val="auto"/>
              </w:rPr>
            </w:pPr>
          </w:p>
        </w:tc>
        <w:tc>
          <w:tcPr>
            <w:tcW w:w="80" w:type="dxa"/>
            <w:vAlign w:val="bottom"/>
            <w:vMerge w:val="continue"/>
          </w:tcPr>
          <w:p>
            <w:pPr>
              <w:spacing w:after="0"/>
              <w:rPr>
                <w:sz w:val="22"/>
                <w:szCs w:val="22"/>
                <w:color w:val="auto"/>
              </w:rPr>
            </w:pPr>
          </w:p>
        </w:tc>
        <w:tc>
          <w:tcPr>
            <w:tcW w:w="380" w:type="dxa"/>
            <w:vAlign w:val="bottom"/>
          </w:tcPr>
          <w:p>
            <w:pPr>
              <w:jc w:val="right"/>
              <w:ind w:right="228"/>
              <w:spacing w:after="0"/>
              <w:rPr>
                <w:sz w:val="20"/>
                <w:szCs w:val="20"/>
                <w:color w:val="auto"/>
              </w:rPr>
            </w:pPr>
            <w:r>
              <w:rPr>
                <w:rFonts w:ascii="Arial" w:cs="Arial" w:eastAsia="Arial" w:hAnsi="Arial"/>
                <w:sz w:val="15"/>
                <w:szCs w:val="15"/>
                <w:color w:val="auto"/>
                <w:w w:val="71"/>
              </w:rPr>
              <w:t>$</w:t>
            </w:r>
          </w:p>
        </w:tc>
        <w:tc>
          <w:tcPr>
            <w:tcW w:w="520" w:type="dxa"/>
            <w:vAlign w:val="bottom"/>
          </w:tcPr>
          <w:p>
            <w:pPr>
              <w:ind w:left="320"/>
              <w:spacing w:after="0"/>
              <w:rPr>
                <w:sz w:val="20"/>
                <w:szCs w:val="20"/>
                <w:color w:val="auto"/>
              </w:rPr>
            </w:pPr>
            <w:r>
              <w:rPr>
                <w:rFonts w:ascii="Arial" w:cs="Arial" w:eastAsia="Arial" w:hAnsi="Arial"/>
                <w:sz w:val="18"/>
                <w:szCs w:val="18"/>
                <w:color w:val="auto"/>
                <w:w w:val="99"/>
              </w:rPr>
              <w:t>—</w:t>
            </w:r>
          </w:p>
        </w:tc>
        <w:tc>
          <w:tcPr>
            <w:tcW w:w="100" w:type="dxa"/>
            <w:vAlign w:val="bottom"/>
            <w:vMerge w:val="continue"/>
          </w:tcPr>
          <w:p>
            <w:pPr>
              <w:spacing w:after="0"/>
              <w:rPr>
                <w:sz w:val="22"/>
                <w:szCs w:val="22"/>
                <w:color w:val="auto"/>
              </w:rPr>
            </w:pPr>
          </w:p>
        </w:tc>
        <w:tc>
          <w:tcPr>
            <w:tcW w:w="80" w:type="dxa"/>
            <w:vAlign w:val="bottom"/>
            <w:vMerge w:val="continue"/>
          </w:tcPr>
          <w:p>
            <w:pPr>
              <w:spacing w:after="0"/>
              <w:rPr>
                <w:sz w:val="22"/>
                <w:szCs w:val="22"/>
                <w:color w:val="auto"/>
              </w:rPr>
            </w:pPr>
          </w:p>
        </w:tc>
        <w:tc>
          <w:tcPr>
            <w:tcW w:w="100" w:type="dxa"/>
            <w:vAlign w:val="bottom"/>
          </w:tcPr>
          <w:p>
            <w:pPr>
              <w:spacing w:after="0"/>
              <w:rPr>
                <w:sz w:val="20"/>
                <w:szCs w:val="20"/>
                <w:color w:val="auto"/>
              </w:rPr>
            </w:pPr>
            <w:r>
              <w:rPr>
                <w:rFonts w:ascii="Arial" w:cs="Arial" w:eastAsia="Arial" w:hAnsi="Arial"/>
                <w:sz w:val="18"/>
                <w:szCs w:val="18"/>
                <w:color w:val="auto"/>
                <w:w w:val="79"/>
              </w:rPr>
              <w:t>$</w:t>
            </w:r>
          </w:p>
        </w:tc>
        <w:tc>
          <w:tcPr>
            <w:tcW w:w="580" w:type="dxa"/>
            <w:vAlign w:val="bottom"/>
          </w:tcPr>
          <w:p>
            <w:pPr>
              <w:jc w:val="right"/>
              <w:spacing w:after="0"/>
              <w:rPr>
                <w:sz w:val="20"/>
                <w:szCs w:val="20"/>
                <w:color w:val="auto"/>
              </w:rPr>
            </w:pPr>
            <w:r>
              <w:rPr>
                <w:rFonts w:ascii="Arial" w:cs="Arial" w:eastAsia="Arial" w:hAnsi="Arial"/>
                <w:sz w:val="18"/>
                <w:szCs w:val="18"/>
                <w:color w:val="auto"/>
              </w:rPr>
              <w:t>7,936</w:t>
            </w:r>
          </w:p>
        </w:tc>
        <w:tc>
          <w:tcPr>
            <w:tcW w:w="200" w:type="dxa"/>
            <w:vAlign w:val="bottom"/>
          </w:tcPr>
          <w:p>
            <w:pPr>
              <w:spacing w:after="0"/>
              <w:rPr>
                <w:sz w:val="22"/>
                <w:szCs w:val="22"/>
                <w:color w:val="auto"/>
              </w:rPr>
            </w:pPr>
          </w:p>
        </w:tc>
        <w:tc>
          <w:tcPr>
            <w:tcW w:w="960" w:type="dxa"/>
            <w:vAlign w:val="bottom"/>
            <w:gridSpan w:val="2"/>
          </w:tcPr>
          <w:p>
            <w:pPr>
              <w:jc w:val="right"/>
              <w:ind w:right="160"/>
              <w:spacing w:after="0"/>
              <w:rPr>
                <w:sz w:val="20"/>
                <w:szCs w:val="20"/>
                <w:color w:val="auto"/>
              </w:rPr>
            </w:pPr>
            <w:r>
              <w:rPr>
                <w:rFonts w:ascii="Arial" w:cs="Arial" w:eastAsia="Arial" w:hAnsi="Arial"/>
                <w:sz w:val="18"/>
                <w:szCs w:val="18"/>
                <w:color w:val="auto"/>
              </w:rPr>
              <w:t>22.5%</w:t>
            </w:r>
          </w:p>
        </w:tc>
        <w:tc>
          <w:tcPr>
            <w:tcW w:w="840" w:type="dxa"/>
            <w:vAlign w:val="bottom"/>
            <w:gridSpan w:val="2"/>
          </w:tcPr>
          <w:p>
            <w:pPr>
              <w:jc w:val="right"/>
              <w:ind w:right="20"/>
              <w:spacing w:after="0"/>
              <w:rPr>
                <w:sz w:val="20"/>
                <w:szCs w:val="20"/>
                <w:color w:val="auto"/>
              </w:rPr>
            </w:pPr>
            <w:r>
              <w:rPr>
                <w:rFonts w:ascii="Arial" w:cs="Arial" w:eastAsia="Arial" w:hAnsi="Arial"/>
                <w:sz w:val="18"/>
                <w:szCs w:val="18"/>
                <w:color w:val="auto"/>
              </w:rPr>
              <w:t>17.7%</w:t>
            </w:r>
          </w:p>
        </w:tc>
        <w:tc>
          <w:tcPr>
            <w:tcW w:w="0" w:type="dxa"/>
            <w:vAlign w:val="bottom"/>
          </w:tcPr>
          <w:p>
            <w:pPr>
              <w:spacing w:after="0"/>
              <w:rPr>
                <w:sz w:val="1"/>
                <w:szCs w:val="1"/>
                <w:color w:val="auto"/>
              </w:rPr>
            </w:pPr>
          </w:p>
        </w:tc>
      </w:tr>
      <w:tr>
        <w:trPr>
          <w:trHeight w:val="209"/>
        </w:trPr>
        <w:tc>
          <w:tcPr>
            <w:tcW w:w="2820" w:type="dxa"/>
            <w:vAlign w:val="bottom"/>
            <w:tcBorders>
              <w:top w:val="single" w:sz="8" w:color="CFF0FC"/>
            </w:tcBorders>
            <w:shd w:val="clear" w:color="auto" w:fill="CFF0FC"/>
          </w:tcPr>
          <w:p>
            <w:pPr>
              <w:spacing w:after="0"/>
              <w:rPr>
                <w:sz w:val="18"/>
                <w:szCs w:val="18"/>
                <w:color w:val="auto"/>
              </w:rPr>
            </w:pPr>
          </w:p>
        </w:tc>
        <w:tc>
          <w:tcPr>
            <w:tcW w:w="420" w:type="dxa"/>
            <w:vAlign w:val="bottom"/>
            <w:tcBorders>
              <w:top w:val="single" w:sz="8" w:color="CFF0FC"/>
            </w:tcBorders>
            <w:shd w:val="clear" w:color="auto" w:fill="CFF0FC"/>
          </w:tcPr>
          <w:p>
            <w:pPr>
              <w:spacing w:after="0"/>
              <w:rPr>
                <w:sz w:val="18"/>
                <w:szCs w:val="18"/>
                <w:color w:val="auto"/>
              </w:rPr>
            </w:pPr>
          </w:p>
        </w:tc>
        <w:tc>
          <w:tcPr>
            <w:tcW w:w="100" w:type="dxa"/>
            <w:vAlign w:val="bottom"/>
            <w:tcBorders>
              <w:top w:val="single" w:sz="8" w:color="auto"/>
            </w:tcBorders>
            <w:shd w:val="clear" w:color="auto" w:fill="CFF0FC"/>
          </w:tcPr>
          <w:p>
            <w:pPr>
              <w:spacing w:after="0"/>
              <w:rPr>
                <w:sz w:val="18"/>
                <w:szCs w:val="18"/>
                <w:color w:val="auto"/>
              </w:rPr>
            </w:pPr>
          </w:p>
        </w:tc>
        <w:tc>
          <w:tcPr>
            <w:tcW w:w="560" w:type="dxa"/>
            <w:vAlign w:val="bottom"/>
            <w:tcBorders>
              <w:top w:val="single" w:sz="8" w:color="auto"/>
            </w:tcBorders>
            <w:shd w:val="clear" w:color="auto" w:fill="CFF0FC"/>
          </w:tcPr>
          <w:p>
            <w:pPr>
              <w:spacing w:after="0"/>
              <w:rPr>
                <w:sz w:val="18"/>
                <w:szCs w:val="18"/>
                <w:color w:val="auto"/>
              </w:rPr>
            </w:pPr>
          </w:p>
        </w:tc>
        <w:tc>
          <w:tcPr>
            <w:tcW w:w="200" w:type="dxa"/>
            <w:vAlign w:val="bottom"/>
            <w:tcBorders>
              <w:top w:val="single" w:sz="8" w:color="CFF0FC"/>
            </w:tcBorders>
            <w:shd w:val="clear" w:color="auto" w:fill="CFF0FC"/>
          </w:tcPr>
          <w:p>
            <w:pPr>
              <w:spacing w:after="0"/>
              <w:rPr>
                <w:sz w:val="18"/>
                <w:szCs w:val="18"/>
                <w:color w:val="auto"/>
              </w:rPr>
            </w:pPr>
          </w:p>
        </w:tc>
        <w:tc>
          <w:tcPr>
            <w:tcW w:w="140" w:type="dxa"/>
            <w:vAlign w:val="bottom"/>
            <w:tcBorders>
              <w:top w:val="single" w:sz="8" w:color="auto"/>
            </w:tcBorders>
            <w:shd w:val="clear" w:color="auto" w:fill="CFF0FC"/>
          </w:tcPr>
          <w:p>
            <w:pPr>
              <w:spacing w:after="0"/>
              <w:rPr>
                <w:sz w:val="18"/>
                <w:szCs w:val="18"/>
                <w:color w:val="auto"/>
              </w:rPr>
            </w:pPr>
          </w:p>
        </w:tc>
        <w:tc>
          <w:tcPr>
            <w:tcW w:w="760" w:type="dxa"/>
            <w:vAlign w:val="bottom"/>
            <w:tcBorders>
              <w:top w:val="single" w:sz="8" w:color="auto"/>
            </w:tcBorders>
            <w:shd w:val="clear" w:color="auto" w:fill="CFF0FC"/>
          </w:tcPr>
          <w:p>
            <w:pPr>
              <w:spacing w:after="0"/>
              <w:rPr>
                <w:sz w:val="18"/>
                <w:szCs w:val="18"/>
                <w:color w:val="auto"/>
              </w:rPr>
            </w:pPr>
          </w:p>
        </w:tc>
        <w:tc>
          <w:tcPr>
            <w:tcW w:w="120" w:type="dxa"/>
            <w:vAlign w:val="bottom"/>
            <w:tcBorders>
              <w:top w:val="single" w:sz="8" w:color="CFF0FC"/>
            </w:tcBorders>
            <w:shd w:val="clear" w:color="auto" w:fill="CFF0FC"/>
          </w:tcPr>
          <w:p>
            <w:pPr>
              <w:spacing w:after="0"/>
              <w:rPr>
                <w:sz w:val="18"/>
                <w:szCs w:val="18"/>
                <w:color w:val="auto"/>
              </w:rPr>
            </w:pPr>
          </w:p>
        </w:tc>
        <w:tc>
          <w:tcPr>
            <w:tcW w:w="60" w:type="dxa"/>
            <w:vAlign w:val="bottom"/>
            <w:tcBorders>
              <w:top w:val="single" w:sz="8" w:color="CFF0FC"/>
            </w:tcBorders>
            <w:shd w:val="clear" w:color="auto" w:fill="CFF0FC"/>
          </w:tcPr>
          <w:p>
            <w:pPr>
              <w:spacing w:after="0"/>
              <w:rPr>
                <w:sz w:val="18"/>
                <w:szCs w:val="18"/>
                <w:color w:val="auto"/>
              </w:rPr>
            </w:pPr>
          </w:p>
        </w:tc>
        <w:tc>
          <w:tcPr>
            <w:tcW w:w="100" w:type="dxa"/>
            <w:vAlign w:val="bottom"/>
            <w:tcBorders>
              <w:top w:val="single" w:sz="8" w:color="auto"/>
            </w:tcBorders>
            <w:shd w:val="clear" w:color="auto" w:fill="CFF0FC"/>
          </w:tcPr>
          <w:p>
            <w:pPr>
              <w:spacing w:after="0"/>
              <w:rPr>
                <w:sz w:val="18"/>
                <w:szCs w:val="18"/>
                <w:color w:val="auto"/>
              </w:rPr>
            </w:pPr>
          </w:p>
        </w:tc>
        <w:tc>
          <w:tcPr>
            <w:tcW w:w="540" w:type="dxa"/>
            <w:vAlign w:val="bottom"/>
            <w:tcBorders>
              <w:top w:val="single" w:sz="8" w:color="auto"/>
            </w:tcBorders>
            <w:shd w:val="clear" w:color="auto" w:fill="CFF0FC"/>
          </w:tcPr>
          <w:p>
            <w:pPr>
              <w:spacing w:after="0"/>
              <w:rPr>
                <w:sz w:val="18"/>
                <w:szCs w:val="18"/>
                <w:color w:val="auto"/>
              </w:rPr>
            </w:pPr>
          </w:p>
        </w:tc>
        <w:tc>
          <w:tcPr>
            <w:tcW w:w="120" w:type="dxa"/>
            <w:vAlign w:val="bottom"/>
            <w:tcBorders>
              <w:top w:val="single" w:sz="8" w:color="CFF0FC"/>
            </w:tcBorders>
            <w:shd w:val="clear" w:color="auto" w:fill="CFF0FC"/>
          </w:tcPr>
          <w:p>
            <w:pPr>
              <w:spacing w:after="0"/>
              <w:rPr>
                <w:sz w:val="18"/>
                <w:szCs w:val="18"/>
                <w:color w:val="auto"/>
              </w:rPr>
            </w:pPr>
          </w:p>
        </w:tc>
        <w:tc>
          <w:tcPr>
            <w:tcW w:w="60" w:type="dxa"/>
            <w:vAlign w:val="bottom"/>
            <w:tcBorders>
              <w:top w:val="single" w:sz="8" w:color="CFF0FC"/>
            </w:tcBorders>
            <w:shd w:val="clear" w:color="auto" w:fill="CFF0FC"/>
          </w:tcPr>
          <w:p>
            <w:pPr>
              <w:spacing w:after="0"/>
              <w:rPr>
                <w:sz w:val="18"/>
                <w:szCs w:val="18"/>
                <w:color w:val="auto"/>
              </w:rPr>
            </w:pPr>
          </w:p>
        </w:tc>
        <w:tc>
          <w:tcPr>
            <w:tcW w:w="100" w:type="dxa"/>
            <w:vAlign w:val="bottom"/>
            <w:tcBorders>
              <w:top w:val="single" w:sz="8" w:color="auto"/>
            </w:tcBorders>
            <w:shd w:val="clear" w:color="auto" w:fill="CFF0FC"/>
          </w:tcPr>
          <w:p>
            <w:pPr>
              <w:spacing w:after="0"/>
              <w:rPr>
                <w:sz w:val="18"/>
                <w:szCs w:val="18"/>
                <w:color w:val="auto"/>
              </w:rPr>
            </w:pPr>
          </w:p>
        </w:tc>
        <w:tc>
          <w:tcPr>
            <w:tcW w:w="580" w:type="dxa"/>
            <w:vAlign w:val="bottom"/>
            <w:tcBorders>
              <w:top w:val="single" w:sz="8" w:color="auto"/>
            </w:tcBorders>
            <w:shd w:val="clear" w:color="auto" w:fill="CFF0FC"/>
          </w:tcPr>
          <w:p>
            <w:pPr>
              <w:spacing w:after="0"/>
              <w:rPr>
                <w:sz w:val="18"/>
                <w:szCs w:val="18"/>
                <w:color w:val="auto"/>
              </w:rPr>
            </w:pPr>
          </w:p>
        </w:tc>
        <w:tc>
          <w:tcPr>
            <w:tcW w:w="200" w:type="dxa"/>
            <w:vAlign w:val="bottom"/>
            <w:tcBorders>
              <w:top w:val="single" w:sz="8" w:color="CFF0FC"/>
            </w:tcBorders>
            <w:shd w:val="clear" w:color="auto" w:fill="CFF0FC"/>
          </w:tcPr>
          <w:p>
            <w:pPr>
              <w:spacing w:after="0"/>
              <w:rPr>
                <w:sz w:val="18"/>
                <w:szCs w:val="18"/>
                <w:color w:val="auto"/>
              </w:rPr>
            </w:pPr>
          </w:p>
        </w:tc>
        <w:tc>
          <w:tcPr>
            <w:tcW w:w="100" w:type="dxa"/>
            <w:vAlign w:val="bottom"/>
            <w:tcBorders>
              <w:top w:val="single" w:sz="8" w:color="auto"/>
            </w:tcBorders>
            <w:shd w:val="clear" w:color="auto" w:fill="CFF0FC"/>
          </w:tcPr>
          <w:p>
            <w:pPr>
              <w:spacing w:after="0"/>
              <w:rPr>
                <w:sz w:val="18"/>
                <w:szCs w:val="18"/>
                <w:color w:val="auto"/>
              </w:rPr>
            </w:pPr>
          </w:p>
        </w:tc>
        <w:tc>
          <w:tcPr>
            <w:tcW w:w="580" w:type="dxa"/>
            <w:vAlign w:val="bottom"/>
            <w:tcBorders>
              <w:top w:val="single" w:sz="8" w:color="auto"/>
            </w:tcBorders>
            <w:shd w:val="clear" w:color="auto" w:fill="CFF0FC"/>
          </w:tcPr>
          <w:p>
            <w:pPr>
              <w:spacing w:after="0"/>
              <w:rPr>
                <w:sz w:val="18"/>
                <w:szCs w:val="18"/>
                <w:color w:val="auto"/>
              </w:rPr>
            </w:pPr>
          </w:p>
        </w:tc>
        <w:tc>
          <w:tcPr>
            <w:tcW w:w="120" w:type="dxa"/>
            <w:vAlign w:val="bottom"/>
            <w:tcBorders>
              <w:top w:val="single" w:sz="8" w:color="CFF0FC"/>
            </w:tcBorders>
            <w:shd w:val="clear" w:color="auto" w:fill="CFF0FC"/>
          </w:tcPr>
          <w:p>
            <w:pPr>
              <w:spacing w:after="0"/>
              <w:rPr>
                <w:sz w:val="18"/>
                <w:szCs w:val="18"/>
                <w:color w:val="auto"/>
              </w:rPr>
            </w:pPr>
          </w:p>
        </w:tc>
        <w:tc>
          <w:tcPr>
            <w:tcW w:w="80" w:type="dxa"/>
            <w:vAlign w:val="bottom"/>
            <w:tcBorders>
              <w:top w:val="single" w:sz="8" w:color="CFF0FC"/>
            </w:tcBorders>
            <w:shd w:val="clear" w:color="auto" w:fill="CFF0FC"/>
          </w:tcPr>
          <w:p>
            <w:pPr>
              <w:spacing w:after="0"/>
              <w:rPr>
                <w:sz w:val="18"/>
                <w:szCs w:val="18"/>
                <w:color w:val="auto"/>
              </w:rPr>
            </w:pPr>
          </w:p>
        </w:tc>
        <w:tc>
          <w:tcPr>
            <w:tcW w:w="380" w:type="dxa"/>
            <w:vAlign w:val="bottom"/>
            <w:tcBorders>
              <w:top w:val="single" w:sz="8" w:color="auto"/>
            </w:tcBorders>
            <w:shd w:val="clear" w:color="auto" w:fill="CFF0FC"/>
          </w:tcPr>
          <w:p>
            <w:pPr>
              <w:spacing w:after="0"/>
              <w:rPr>
                <w:sz w:val="18"/>
                <w:szCs w:val="18"/>
                <w:color w:val="auto"/>
              </w:rPr>
            </w:pPr>
          </w:p>
        </w:tc>
        <w:tc>
          <w:tcPr>
            <w:tcW w:w="520" w:type="dxa"/>
            <w:vAlign w:val="bottom"/>
            <w:tcBorders>
              <w:top w:val="single" w:sz="8" w:color="auto"/>
            </w:tcBorders>
            <w:shd w:val="clear" w:color="auto" w:fill="CFF0FC"/>
          </w:tcPr>
          <w:p>
            <w:pPr>
              <w:spacing w:after="0"/>
              <w:rPr>
                <w:sz w:val="18"/>
                <w:szCs w:val="18"/>
                <w:color w:val="auto"/>
              </w:rPr>
            </w:pPr>
          </w:p>
        </w:tc>
        <w:tc>
          <w:tcPr>
            <w:tcW w:w="100" w:type="dxa"/>
            <w:vAlign w:val="bottom"/>
            <w:tcBorders>
              <w:top w:val="single" w:sz="8" w:color="CFF0FC"/>
            </w:tcBorders>
            <w:shd w:val="clear" w:color="auto" w:fill="CFF0FC"/>
          </w:tcPr>
          <w:p>
            <w:pPr>
              <w:spacing w:after="0"/>
              <w:rPr>
                <w:sz w:val="18"/>
                <w:szCs w:val="18"/>
                <w:color w:val="auto"/>
              </w:rPr>
            </w:pPr>
          </w:p>
        </w:tc>
        <w:tc>
          <w:tcPr>
            <w:tcW w:w="80" w:type="dxa"/>
            <w:vAlign w:val="bottom"/>
            <w:tcBorders>
              <w:top w:val="single" w:sz="8" w:color="CFF0FC"/>
            </w:tcBorders>
            <w:shd w:val="clear" w:color="auto" w:fill="CFF0FC"/>
          </w:tcPr>
          <w:p>
            <w:pPr>
              <w:spacing w:after="0"/>
              <w:rPr>
                <w:sz w:val="18"/>
                <w:szCs w:val="18"/>
                <w:color w:val="auto"/>
              </w:rPr>
            </w:pPr>
          </w:p>
        </w:tc>
        <w:tc>
          <w:tcPr>
            <w:tcW w:w="100" w:type="dxa"/>
            <w:vAlign w:val="bottom"/>
            <w:tcBorders>
              <w:top w:val="single" w:sz="8" w:color="auto"/>
            </w:tcBorders>
            <w:shd w:val="clear" w:color="auto" w:fill="CFF0FC"/>
          </w:tcPr>
          <w:p>
            <w:pPr>
              <w:spacing w:after="0"/>
              <w:rPr>
                <w:sz w:val="18"/>
                <w:szCs w:val="18"/>
                <w:color w:val="auto"/>
              </w:rPr>
            </w:pPr>
          </w:p>
        </w:tc>
        <w:tc>
          <w:tcPr>
            <w:tcW w:w="580" w:type="dxa"/>
            <w:vAlign w:val="bottom"/>
            <w:tcBorders>
              <w:top w:val="single" w:sz="8" w:color="auto"/>
            </w:tcBorders>
            <w:shd w:val="clear" w:color="auto" w:fill="CFF0FC"/>
          </w:tcPr>
          <w:p>
            <w:pPr>
              <w:spacing w:after="0"/>
              <w:rPr>
                <w:sz w:val="18"/>
                <w:szCs w:val="18"/>
                <w:color w:val="auto"/>
              </w:rPr>
            </w:pPr>
          </w:p>
        </w:tc>
        <w:tc>
          <w:tcPr>
            <w:tcW w:w="200" w:type="dxa"/>
            <w:vAlign w:val="bottom"/>
            <w:tcBorders>
              <w:top w:val="single" w:sz="8" w:color="CFF0FC"/>
            </w:tcBorders>
            <w:shd w:val="clear" w:color="auto" w:fill="CFF0FC"/>
          </w:tcPr>
          <w:p>
            <w:pPr>
              <w:spacing w:after="0"/>
              <w:rPr>
                <w:sz w:val="18"/>
                <w:szCs w:val="18"/>
                <w:color w:val="auto"/>
              </w:rPr>
            </w:pPr>
          </w:p>
        </w:tc>
        <w:tc>
          <w:tcPr>
            <w:tcW w:w="660" w:type="dxa"/>
            <w:vAlign w:val="bottom"/>
            <w:tcBorders>
              <w:top w:val="single" w:sz="8" w:color="auto"/>
            </w:tcBorders>
            <w:shd w:val="clear" w:color="auto" w:fill="CFF0FC"/>
          </w:tcPr>
          <w:p>
            <w:pPr>
              <w:spacing w:after="0"/>
              <w:rPr>
                <w:sz w:val="18"/>
                <w:szCs w:val="18"/>
                <w:color w:val="auto"/>
              </w:rPr>
            </w:pPr>
          </w:p>
        </w:tc>
        <w:tc>
          <w:tcPr>
            <w:tcW w:w="300" w:type="dxa"/>
            <w:vAlign w:val="bottom"/>
            <w:tcBorders>
              <w:top w:val="single" w:sz="8" w:color="CFF0FC"/>
            </w:tcBorders>
            <w:shd w:val="clear" w:color="auto" w:fill="CFF0FC"/>
          </w:tcPr>
          <w:p>
            <w:pPr>
              <w:spacing w:after="0"/>
              <w:rPr>
                <w:sz w:val="18"/>
                <w:szCs w:val="18"/>
                <w:color w:val="auto"/>
              </w:rPr>
            </w:pPr>
          </w:p>
        </w:tc>
        <w:tc>
          <w:tcPr>
            <w:tcW w:w="680" w:type="dxa"/>
            <w:vAlign w:val="bottom"/>
            <w:tcBorders>
              <w:top w:val="single" w:sz="8" w:color="auto"/>
            </w:tcBorders>
            <w:shd w:val="clear" w:color="auto" w:fill="CFF0FC"/>
          </w:tcPr>
          <w:p>
            <w:pPr>
              <w:spacing w:after="0"/>
              <w:rPr>
                <w:sz w:val="18"/>
                <w:szCs w:val="18"/>
                <w:color w:val="auto"/>
              </w:rPr>
            </w:pPr>
          </w:p>
        </w:tc>
        <w:tc>
          <w:tcPr>
            <w:tcW w:w="160" w:type="dxa"/>
            <w:vAlign w:val="bottom"/>
            <w:tcBorders>
              <w:top w:val="single" w:sz="8" w:color="CFF0FC"/>
            </w:tcBorders>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29"/>
        </w:trPr>
        <w:tc>
          <w:tcPr>
            <w:tcW w:w="2820" w:type="dxa"/>
            <w:vAlign w:val="bottom"/>
          </w:tcPr>
          <w:p>
            <w:pPr>
              <w:spacing w:after="0"/>
              <w:rPr>
                <w:sz w:val="20"/>
                <w:szCs w:val="20"/>
                <w:color w:val="auto"/>
              </w:rPr>
            </w:pPr>
            <w:r>
              <w:rPr>
                <w:rFonts w:ascii="Arial" w:cs="Arial" w:eastAsia="Arial" w:hAnsi="Arial"/>
                <w:sz w:val="18"/>
                <w:szCs w:val="18"/>
                <w:b w:val="1"/>
                <w:bCs w:val="1"/>
                <w:color w:val="auto"/>
              </w:rPr>
              <w:t xml:space="preserve">Segment operating loss </w:t>
            </w:r>
            <w:r>
              <w:rPr>
                <w:rFonts w:ascii="Arial" w:cs="Arial" w:eastAsia="Arial" w:hAnsi="Arial"/>
                <w:sz w:val="15"/>
                <w:szCs w:val="15"/>
                <w:b w:val="1"/>
                <w:bCs w:val="1"/>
                <w:color w:val="auto"/>
              </w:rPr>
              <w:t>(4)</w:t>
            </w:r>
            <w:r>
              <w:rPr>
                <w:rFonts w:ascii="Arial" w:cs="Arial" w:eastAsia="Arial" w:hAnsi="Arial"/>
                <w:sz w:val="18"/>
                <w:szCs w:val="18"/>
                <w:b w:val="1"/>
                <w:bCs w:val="1"/>
                <w:color w:val="auto"/>
              </w:rPr>
              <w:t>:</w:t>
            </w:r>
          </w:p>
        </w:tc>
        <w:tc>
          <w:tcPr>
            <w:tcW w:w="4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2820" w:type="dxa"/>
            <w:vAlign w:val="bottom"/>
            <w:shd w:val="clear" w:color="auto" w:fill="CFF0FC"/>
          </w:tcPr>
          <w:p>
            <w:pPr>
              <w:spacing w:after="0"/>
              <w:rPr>
                <w:sz w:val="20"/>
                <w:szCs w:val="20"/>
                <w:color w:val="auto"/>
              </w:rPr>
            </w:pPr>
            <w:r>
              <w:rPr>
                <w:rFonts w:ascii="Arial" w:cs="Arial" w:eastAsia="Arial" w:hAnsi="Arial"/>
                <w:sz w:val="18"/>
                <w:szCs w:val="18"/>
                <w:color w:val="auto"/>
              </w:rPr>
              <w:t>Total Pursuit</w:t>
            </w:r>
          </w:p>
        </w:tc>
        <w:tc>
          <w:tcPr>
            <w:tcW w:w="52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760" w:type="dxa"/>
            <w:vAlign w:val="bottom"/>
            <w:gridSpan w:val="2"/>
            <w:shd w:val="clear" w:color="auto" w:fill="CFF0FC"/>
          </w:tcPr>
          <w:p>
            <w:pPr>
              <w:jc w:val="right"/>
              <w:ind w:right="140"/>
              <w:spacing w:after="0"/>
              <w:rPr>
                <w:sz w:val="20"/>
                <w:szCs w:val="20"/>
                <w:color w:val="auto"/>
              </w:rPr>
            </w:pPr>
            <w:r>
              <w:rPr>
                <w:rFonts w:ascii="Arial" w:cs="Arial" w:eastAsia="Arial" w:hAnsi="Arial"/>
                <w:sz w:val="18"/>
                <w:szCs w:val="18"/>
                <w:color w:val="auto"/>
                <w:w w:val="89"/>
              </w:rPr>
              <w:t>(11,395)</w:t>
            </w:r>
          </w:p>
        </w:tc>
        <w:tc>
          <w:tcPr>
            <w:tcW w:w="140" w:type="dxa"/>
            <w:vAlign w:val="bottom"/>
            <w:shd w:val="clear" w:color="auto" w:fill="CFF0FC"/>
          </w:tcPr>
          <w:p>
            <w:pPr>
              <w:spacing w:after="0"/>
              <w:rPr>
                <w:sz w:val="20"/>
                <w:szCs w:val="20"/>
                <w:color w:val="auto"/>
              </w:rPr>
            </w:pPr>
            <w:r>
              <w:rPr>
                <w:rFonts w:ascii="Arial" w:cs="Arial" w:eastAsia="Arial" w:hAnsi="Arial"/>
                <w:sz w:val="18"/>
                <w:szCs w:val="18"/>
                <w:color w:val="auto"/>
              </w:rPr>
              <w:t>$</w:t>
            </w:r>
          </w:p>
        </w:tc>
        <w:tc>
          <w:tcPr>
            <w:tcW w:w="880" w:type="dxa"/>
            <w:vAlign w:val="bottom"/>
            <w:gridSpan w:val="2"/>
            <w:shd w:val="clear" w:color="auto" w:fill="CFF0FC"/>
          </w:tcPr>
          <w:p>
            <w:pPr>
              <w:jc w:val="right"/>
              <w:ind w:right="60"/>
              <w:spacing w:after="0"/>
              <w:rPr>
                <w:sz w:val="20"/>
                <w:szCs w:val="20"/>
                <w:color w:val="auto"/>
              </w:rPr>
            </w:pPr>
            <w:r>
              <w:rPr>
                <w:rFonts w:ascii="Arial" w:cs="Arial" w:eastAsia="Arial" w:hAnsi="Arial"/>
                <w:sz w:val="18"/>
                <w:szCs w:val="18"/>
                <w:color w:val="auto"/>
              </w:rPr>
              <w:t>(231)</w:t>
            </w:r>
          </w:p>
        </w:tc>
        <w:tc>
          <w:tcPr>
            <w:tcW w:w="16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660" w:type="dxa"/>
            <w:vAlign w:val="bottom"/>
            <w:gridSpan w:val="2"/>
            <w:shd w:val="clear" w:color="auto" w:fill="CFF0FC"/>
          </w:tcPr>
          <w:p>
            <w:pPr>
              <w:jc w:val="right"/>
              <w:ind w:right="60"/>
              <w:spacing w:after="0"/>
              <w:rPr>
                <w:sz w:val="20"/>
                <w:szCs w:val="20"/>
                <w:color w:val="auto"/>
              </w:rPr>
            </w:pPr>
            <w:r>
              <w:rPr>
                <w:rFonts w:ascii="Arial" w:cs="Arial" w:eastAsia="Arial" w:hAnsi="Arial"/>
                <w:sz w:val="18"/>
                <w:szCs w:val="18"/>
                <w:color w:val="auto"/>
              </w:rPr>
              <w:t>(213)</w:t>
            </w:r>
          </w:p>
        </w:tc>
        <w:tc>
          <w:tcPr>
            <w:tcW w:w="160" w:type="dxa"/>
            <w:vAlign w:val="bottom"/>
            <w:gridSpan w:val="2"/>
            <w:shd w:val="clear" w:color="auto" w:fill="CFF0FC"/>
          </w:tcPr>
          <w:p>
            <w:pPr>
              <w:ind w:left="60"/>
              <w:spacing w:after="0"/>
              <w:rPr>
                <w:sz w:val="20"/>
                <w:szCs w:val="20"/>
                <w:color w:val="auto"/>
              </w:rPr>
            </w:pPr>
            <w:r>
              <w:rPr>
                <w:rFonts w:ascii="Arial" w:cs="Arial" w:eastAsia="Arial" w:hAnsi="Arial"/>
                <w:sz w:val="18"/>
                <w:szCs w:val="18"/>
                <w:color w:val="auto"/>
                <w:w w:val="79"/>
              </w:rPr>
              <w:t>$</w:t>
            </w:r>
          </w:p>
        </w:tc>
        <w:tc>
          <w:tcPr>
            <w:tcW w:w="780" w:type="dxa"/>
            <w:vAlign w:val="bottom"/>
            <w:gridSpan w:val="2"/>
            <w:shd w:val="clear" w:color="auto" w:fill="CFF0FC"/>
          </w:tcPr>
          <w:p>
            <w:pPr>
              <w:jc w:val="right"/>
              <w:ind w:right="140"/>
              <w:spacing w:after="0"/>
              <w:rPr>
                <w:sz w:val="20"/>
                <w:szCs w:val="20"/>
                <w:color w:val="auto"/>
              </w:rPr>
            </w:pPr>
            <w:r>
              <w:rPr>
                <w:rFonts w:ascii="Arial" w:cs="Arial" w:eastAsia="Arial" w:hAnsi="Arial"/>
                <w:sz w:val="18"/>
                <w:szCs w:val="18"/>
                <w:color w:val="auto"/>
                <w:w w:val="92"/>
              </w:rPr>
              <w:t>(10,951)</w:t>
            </w:r>
          </w:p>
        </w:tc>
        <w:tc>
          <w:tcPr>
            <w:tcW w:w="100" w:type="dxa"/>
            <w:vAlign w:val="bottom"/>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700" w:type="dxa"/>
            <w:vAlign w:val="bottom"/>
            <w:gridSpan w:val="2"/>
            <w:shd w:val="clear" w:color="auto" w:fill="CFF0FC"/>
          </w:tcPr>
          <w:p>
            <w:pPr>
              <w:jc w:val="right"/>
              <w:ind w:right="60"/>
              <w:spacing w:after="0"/>
              <w:rPr>
                <w:sz w:val="20"/>
                <w:szCs w:val="20"/>
                <w:color w:val="auto"/>
              </w:rPr>
            </w:pPr>
            <w:r>
              <w:rPr>
                <w:rFonts w:ascii="Arial" w:cs="Arial" w:eastAsia="Arial" w:hAnsi="Arial"/>
                <w:sz w:val="18"/>
                <w:szCs w:val="18"/>
                <w:color w:val="auto"/>
                <w:w w:val="92"/>
              </w:rPr>
              <w:t>(10,275)</w:t>
            </w:r>
          </w:p>
        </w:tc>
        <w:tc>
          <w:tcPr>
            <w:tcW w:w="460" w:type="dxa"/>
            <w:vAlign w:val="bottom"/>
            <w:gridSpan w:val="2"/>
            <w:shd w:val="clear" w:color="auto" w:fill="CFF0FC"/>
          </w:tcPr>
          <w:p>
            <w:pPr>
              <w:jc w:val="right"/>
              <w:ind w:right="228"/>
              <w:spacing w:after="0"/>
              <w:rPr>
                <w:sz w:val="20"/>
                <w:szCs w:val="20"/>
                <w:color w:val="auto"/>
              </w:rPr>
            </w:pPr>
            <w:r>
              <w:rPr>
                <w:rFonts w:ascii="Arial" w:cs="Arial" w:eastAsia="Arial" w:hAnsi="Arial"/>
                <w:sz w:val="18"/>
                <w:szCs w:val="18"/>
                <w:color w:val="auto"/>
              </w:rPr>
              <w:t>$</w:t>
            </w:r>
          </w:p>
        </w:tc>
        <w:tc>
          <w:tcPr>
            <w:tcW w:w="620" w:type="dxa"/>
            <w:vAlign w:val="bottom"/>
            <w:gridSpan w:val="2"/>
            <w:shd w:val="clear" w:color="auto" w:fill="CFF0FC"/>
          </w:tcPr>
          <w:p>
            <w:pPr>
              <w:ind w:left="320"/>
              <w:spacing w:after="0"/>
              <w:rPr>
                <w:sz w:val="20"/>
                <w:szCs w:val="20"/>
                <w:color w:val="auto"/>
              </w:rPr>
            </w:pPr>
            <w:r>
              <w:rPr>
                <w:rFonts w:ascii="Arial" w:cs="Arial" w:eastAsia="Arial" w:hAnsi="Arial"/>
                <w:sz w:val="18"/>
                <w:szCs w:val="18"/>
                <w:color w:val="auto"/>
              </w:rPr>
              <w:t>—</w:t>
            </w:r>
          </w:p>
        </w:tc>
        <w:tc>
          <w:tcPr>
            <w:tcW w:w="180" w:type="dxa"/>
            <w:vAlign w:val="bottom"/>
            <w:gridSpan w:val="2"/>
            <w:shd w:val="clear" w:color="auto" w:fill="CFF0FC"/>
          </w:tcPr>
          <w:p>
            <w:pPr>
              <w:ind w:left="80"/>
              <w:spacing w:after="0"/>
              <w:rPr>
                <w:sz w:val="20"/>
                <w:szCs w:val="20"/>
                <w:color w:val="auto"/>
              </w:rPr>
            </w:pPr>
            <w:r>
              <w:rPr>
                <w:rFonts w:ascii="Arial" w:cs="Arial" w:eastAsia="Arial" w:hAnsi="Arial"/>
                <w:sz w:val="18"/>
                <w:szCs w:val="18"/>
                <w:color w:val="auto"/>
                <w:w w:val="79"/>
              </w:rPr>
              <w:t>$</w:t>
            </w:r>
          </w:p>
        </w:tc>
        <w:tc>
          <w:tcPr>
            <w:tcW w:w="780" w:type="dxa"/>
            <w:vAlign w:val="bottom"/>
            <w:gridSpan w:val="2"/>
            <w:shd w:val="clear" w:color="auto" w:fill="CFF0FC"/>
          </w:tcPr>
          <w:p>
            <w:pPr>
              <w:jc w:val="right"/>
              <w:ind w:right="140"/>
              <w:spacing w:after="0"/>
              <w:rPr>
                <w:sz w:val="20"/>
                <w:szCs w:val="20"/>
                <w:color w:val="auto"/>
              </w:rPr>
            </w:pPr>
            <w:r>
              <w:rPr>
                <w:rFonts w:ascii="Arial" w:cs="Arial" w:eastAsia="Arial" w:hAnsi="Arial"/>
                <w:sz w:val="18"/>
                <w:szCs w:val="18"/>
                <w:color w:val="auto"/>
                <w:w w:val="92"/>
              </w:rPr>
              <w:t>(10,275)</w:t>
            </w:r>
          </w:p>
        </w:tc>
        <w:tc>
          <w:tcPr>
            <w:tcW w:w="960" w:type="dxa"/>
            <w:vAlign w:val="bottom"/>
            <w:gridSpan w:val="2"/>
            <w:shd w:val="clear" w:color="auto" w:fill="CFF0FC"/>
          </w:tcPr>
          <w:p>
            <w:pPr>
              <w:jc w:val="right"/>
              <w:ind w:right="100"/>
              <w:spacing w:after="0"/>
              <w:rPr>
                <w:sz w:val="20"/>
                <w:szCs w:val="20"/>
                <w:color w:val="auto"/>
              </w:rPr>
            </w:pPr>
            <w:r>
              <w:rPr>
                <w:rFonts w:ascii="Arial" w:cs="Arial" w:eastAsia="Arial" w:hAnsi="Arial"/>
                <w:sz w:val="18"/>
                <w:szCs w:val="18"/>
                <w:color w:val="auto"/>
              </w:rPr>
              <w:t>(10.9)%</w:t>
            </w:r>
          </w:p>
        </w:tc>
        <w:tc>
          <w:tcPr>
            <w:tcW w:w="84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(6.6)%</w:t>
            </w:r>
          </w:p>
        </w:tc>
        <w:tc>
          <w:tcPr>
            <w:tcW w:w="0" w:type="dxa"/>
            <w:vAlign w:val="bottom"/>
          </w:tcPr>
          <w:p>
            <w:pPr>
              <w:spacing w:after="0"/>
              <w:rPr>
                <w:sz w:val="1"/>
                <w:szCs w:val="1"/>
                <w:color w:val="auto"/>
              </w:rPr>
            </w:pPr>
          </w:p>
        </w:tc>
      </w:tr>
      <w:tr>
        <w:trPr>
          <w:trHeight w:val="20"/>
        </w:trPr>
        <w:tc>
          <w:tcPr>
            <w:tcW w:w="2820" w:type="dxa"/>
            <w:vAlign w:val="bottom"/>
            <w:tcBorders>
              <w:top w:val="single" w:sz="8" w:color="CFF0FC"/>
            </w:tcBorders>
          </w:tcPr>
          <w:p>
            <w:pPr>
              <w:spacing w:after="0" w:line="20" w:lineRule="exact"/>
              <w:rPr>
                <w:sz w:val="1"/>
                <w:szCs w:val="1"/>
                <w:color w:val="auto"/>
              </w:rPr>
            </w:pPr>
          </w:p>
        </w:tc>
        <w:tc>
          <w:tcPr>
            <w:tcW w:w="420" w:type="dxa"/>
            <w:vAlign w:val="bottom"/>
            <w:tcBorders>
              <w:top w:val="single" w:sz="8" w:color="CFF0FC"/>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CFF0FC"/>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FF0FC"/>
            </w:tcBorders>
          </w:tcPr>
          <w:p>
            <w:pPr>
              <w:spacing w:after="0" w:line="20" w:lineRule="exact"/>
              <w:rPr>
                <w:sz w:val="1"/>
                <w:szCs w:val="1"/>
                <w:color w:val="auto"/>
              </w:rPr>
            </w:pPr>
          </w:p>
        </w:tc>
        <w:tc>
          <w:tcPr>
            <w:tcW w:w="60" w:type="dxa"/>
            <w:vAlign w:val="bottom"/>
            <w:tcBorders>
              <w:top w:val="single" w:sz="8" w:color="CFF0FC"/>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FF0FC"/>
            </w:tcBorders>
          </w:tcPr>
          <w:p>
            <w:pPr>
              <w:spacing w:after="0" w:line="20" w:lineRule="exact"/>
              <w:rPr>
                <w:sz w:val="1"/>
                <w:szCs w:val="1"/>
                <w:color w:val="auto"/>
              </w:rPr>
            </w:pPr>
          </w:p>
        </w:tc>
        <w:tc>
          <w:tcPr>
            <w:tcW w:w="60" w:type="dxa"/>
            <w:vAlign w:val="bottom"/>
            <w:tcBorders>
              <w:top w:val="single" w:sz="8" w:color="CFF0FC"/>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CFF0FC"/>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FF0FC"/>
            </w:tcBorders>
          </w:tcPr>
          <w:p>
            <w:pPr>
              <w:spacing w:after="0" w:line="20" w:lineRule="exact"/>
              <w:rPr>
                <w:sz w:val="1"/>
                <w:szCs w:val="1"/>
                <w:color w:val="auto"/>
              </w:rPr>
            </w:pPr>
          </w:p>
        </w:tc>
        <w:tc>
          <w:tcPr>
            <w:tcW w:w="80" w:type="dxa"/>
            <w:vAlign w:val="bottom"/>
            <w:tcBorders>
              <w:top w:val="single" w:sz="8" w:color="CFF0FC"/>
            </w:tcBorders>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80" w:type="dxa"/>
            <w:vAlign w:val="bottom"/>
            <w:tcBorders>
              <w:top w:val="single" w:sz="8" w:color="CFF0FC"/>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CFF0FC"/>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Borders>
              <w:top w:val="single" w:sz="8" w:color="CFF0FC"/>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CFF0F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74" w:lineRule="exact"/>
        <w:rPr>
          <w:sz w:val="20"/>
          <w:szCs w:val="20"/>
          <w:color w:val="auto"/>
        </w:rPr>
      </w:pPr>
    </w:p>
    <w:p>
      <w:pPr>
        <w:jc w:val="both"/>
        <w:ind w:left="380" w:right="100" w:hanging="372"/>
        <w:spacing w:after="0" w:line="262" w:lineRule="auto"/>
        <w:tabs>
          <w:tab w:leader="none" w:pos="380" w:val="left"/>
        </w:tabs>
        <w:numPr>
          <w:ilvl w:val="0"/>
          <w:numId w:val="21"/>
        </w:numPr>
        <w:rPr>
          <w:rFonts w:ascii="Arial" w:cs="Arial" w:eastAsia="Arial" w:hAnsi="Arial"/>
          <w:sz w:val="15"/>
          <w:szCs w:val="15"/>
          <w:color w:val="auto"/>
        </w:rPr>
      </w:pPr>
      <w:r>
        <w:rPr>
          <w:rFonts w:ascii="Arial" w:cs="Arial" w:eastAsia="Arial" w:hAnsi="Arial"/>
          <w:sz w:val="18"/>
          <w:szCs w:val="18"/>
          <w:color w:val="auto"/>
        </w:rPr>
        <w:t>Revenue by line of business does not agree to Note 2 – Revenue and Related Contract Costs and Contract Liabilities in the Notes to Condensed Consolidated Financial Statements (Part I, Item 1 of the this Form 10-Q) as the amounts in the above table include product revenue from food and beverage and retail operations within each line of business.</w:t>
      </w:r>
    </w:p>
    <w:p>
      <w:pPr>
        <w:spacing w:after="0" w:line="74" w:lineRule="exact"/>
        <w:rPr>
          <w:rFonts w:ascii="Arial" w:cs="Arial" w:eastAsia="Arial" w:hAnsi="Arial"/>
          <w:sz w:val="15"/>
          <w:szCs w:val="15"/>
          <w:color w:val="auto"/>
        </w:rPr>
      </w:pPr>
    </w:p>
    <w:p>
      <w:pPr>
        <w:ind w:left="380" w:hanging="372"/>
        <w:spacing w:after="0"/>
        <w:tabs>
          <w:tab w:leader="none" w:pos="380" w:val="left"/>
        </w:tabs>
        <w:numPr>
          <w:ilvl w:val="0"/>
          <w:numId w:val="21"/>
        </w:numPr>
        <w:rPr>
          <w:rFonts w:ascii="Arial" w:cs="Arial" w:eastAsia="Arial" w:hAnsi="Arial"/>
          <w:sz w:val="15"/>
          <w:szCs w:val="15"/>
          <w:color w:val="auto"/>
        </w:rPr>
      </w:pPr>
      <w:r>
        <w:rPr>
          <w:rFonts w:ascii="Arial" w:cs="Arial" w:eastAsia="Arial" w:hAnsi="Arial"/>
          <w:sz w:val="18"/>
          <w:szCs w:val="18"/>
          <w:color w:val="auto"/>
        </w:rPr>
        <w:t>Acquisitions for the three months ended March 31, 2018 include FlyOver Iceland (acquired November 2017).</w:t>
      </w:r>
    </w:p>
    <w:p>
      <w:pPr>
        <w:spacing w:after="0" w:line="115" w:lineRule="exact"/>
        <w:rPr>
          <w:rFonts w:ascii="Arial" w:cs="Arial" w:eastAsia="Arial" w:hAnsi="Arial"/>
          <w:sz w:val="15"/>
          <w:szCs w:val="15"/>
          <w:color w:val="auto"/>
        </w:rPr>
      </w:pPr>
    </w:p>
    <w:p>
      <w:pPr>
        <w:jc w:val="both"/>
        <w:ind w:left="380" w:right="100" w:hanging="372"/>
        <w:spacing w:after="0" w:line="262" w:lineRule="auto"/>
        <w:tabs>
          <w:tab w:leader="none" w:pos="380" w:val="left"/>
        </w:tabs>
        <w:numPr>
          <w:ilvl w:val="0"/>
          <w:numId w:val="21"/>
        </w:numPr>
        <w:rPr>
          <w:rFonts w:ascii="Arial" w:cs="Arial" w:eastAsia="Arial" w:hAnsi="Arial"/>
          <w:sz w:val="15"/>
          <w:szCs w:val="15"/>
          <w:color w:val="auto"/>
        </w:rPr>
      </w:pPr>
      <w:r>
        <w:rPr>
          <w:rFonts w:ascii="Arial" w:cs="Arial" w:eastAsia="Arial" w:hAnsi="Arial"/>
          <w:sz w:val="18"/>
          <w:szCs w:val="18"/>
          <w:color w:val="auto"/>
        </w:rPr>
        <w:t>Organic revenue and organic segment operating results are non-GAAP financial measures that adjust for the impacts of exchange rate variances and acquisitions, if any, until such acquisitions are included in the entirety of both comparable periods presented. For more information about organic revenue and organic segment operating results, see the “Non-GAAP Measures” section of this MD&amp;A.</w:t>
      </w:r>
    </w:p>
    <w:p>
      <w:pPr>
        <w:spacing w:after="0" w:line="74" w:lineRule="exact"/>
        <w:rPr>
          <w:rFonts w:ascii="Arial" w:cs="Arial" w:eastAsia="Arial" w:hAnsi="Arial"/>
          <w:sz w:val="15"/>
          <w:szCs w:val="15"/>
          <w:color w:val="auto"/>
        </w:rPr>
      </w:pPr>
    </w:p>
    <w:p>
      <w:pPr>
        <w:ind w:left="380" w:right="120" w:hanging="372"/>
        <w:spacing w:after="0" w:line="275" w:lineRule="auto"/>
        <w:tabs>
          <w:tab w:leader="none" w:pos="380" w:val="left"/>
        </w:tabs>
        <w:numPr>
          <w:ilvl w:val="0"/>
          <w:numId w:val="21"/>
        </w:numPr>
        <w:rPr>
          <w:rFonts w:ascii="Arial" w:cs="Arial" w:eastAsia="Arial" w:hAnsi="Arial"/>
          <w:sz w:val="15"/>
          <w:szCs w:val="15"/>
          <w:color w:val="auto"/>
        </w:rPr>
      </w:pPr>
      <w:r>
        <w:rPr>
          <w:rFonts w:ascii="Arial" w:cs="Arial" w:eastAsia="Arial" w:hAnsi="Arial"/>
          <w:sz w:val="18"/>
          <w:szCs w:val="18"/>
          <w:color w:val="auto"/>
        </w:rPr>
        <w:t xml:space="preserve">Refer to Note 21 </w:t>
      </w:r>
      <w:r>
        <w:rPr>
          <w:rFonts w:ascii="Arial" w:cs="Arial" w:eastAsia="Arial" w:hAnsi="Arial"/>
          <w:sz w:val="18"/>
          <w:szCs w:val="18"/>
          <w:b w:val="1"/>
          <w:bCs w:val="1"/>
          <w:i w:val="1"/>
          <w:iCs w:val="1"/>
          <w:color w:val="auto"/>
        </w:rPr>
        <w:t>–</w:t>
      </w:r>
      <w:r>
        <w:rPr>
          <w:rFonts w:ascii="Arial" w:cs="Arial" w:eastAsia="Arial" w:hAnsi="Arial"/>
          <w:sz w:val="18"/>
          <w:szCs w:val="18"/>
          <w:color w:val="auto"/>
        </w:rPr>
        <w:t xml:space="preserve"> Segment Information of the Notes to Condensed Consolidated Financial Statements for a reconciliation of the non-GAAP financial measure, segment operating loss, to the most directly comparable GAAP measure.</w:t>
      </w:r>
    </w:p>
    <w:p>
      <w:pPr>
        <w:spacing w:after="0" w:line="113" w:lineRule="exact"/>
        <w:rPr>
          <w:sz w:val="20"/>
          <w:szCs w:val="20"/>
          <w:color w:val="auto"/>
        </w:rPr>
      </w:pPr>
    </w:p>
    <w:p>
      <w:pPr>
        <w:ind w:right="100"/>
        <w:spacing w:after="0" w:line="280" w:lineRule="auto"/>
        <w:rPr>
          <w:sz w:val="20"/>
          <w:szCs w:val="20"/>
          <w:color w:val="auto"/>
        </w:rPr>
      </w:pPr>
      <w:r>
        <w:rPr>
          <w:rFonts w:ascii="Arial" w:cs="Arial" w:eastAsia="Arial" w:hAnsi="Arial"/>
          <w:sz w:val="18"/>
          <w:szCs w:val="18"/>
          <w:b w:val="1"/>
          <w:bCs w:val="1"/>
          <w:color w:val="auto"/>
        </w:rPr>
        <w:t xml:space="preserve">Pursuit revenue </w:t>
      </w:r>
      <w:r>
        <w:rPr>
          <w:rFonts w:ascii="Arial" w:cs="Arial" w:eastAsia="Arial" w:hAnsi="Arial"/>
          <w:sz w:val="18"/>
          <w:szCs w:val="18"/>
          <w:color w:val="auto"/>
        </w:rPr>
        <w:t>increased $1.8 million or 22.5%, primarily driven by growth at the Banff Gondola and FlyOver Canada attractions and a favorable FX</w:t>
      </w:r>
      <w:r>
        <w:rPr>
          <w:rFonts w:ascii="Arial" w:cs="Arial" w:eastAsia="Arial" w:hAnsi="Arial"/>
          <w:sz w:val="18"/>
          <w:szCs w:val="18"/>
          <w:b w:val="1"/>
          <w:bCs w:val="1"/>
          <w:color w:val="auto"/>
        </w:rPr>
        <w:t xml:space="preserve"> </w:t>
      </w:r>
      <w:r>
        <w:rPr>
          <w:rFonts w:ascii="Arial" w:cs="Arial" w:eastAsia="Arial" w:hAnsi="Arial"/>
          <w:sz w:val="18"/>
          <w:szCs w:val="18"/>
          <w:color w:val="auto"/>
        </w:rPr>
        <w:t>Impact of $0.4 million. Organic revenue* increased $1.4 million or 17.7%.</w:t>
      </w:r>
    </w:p>
    <w:p>
      <w:pPr>
        <w:spacing w:after="0" w:line="109" w:lineRule="exact"/>
        <w:rPr>
          <w:sz w:val="20"/>
          <w:szCs w:val="20"/>
          <w:color w:val="auto"/>
        </w:rPr>
      </w:pPr>
    </w:p>
    <w:p>
      <w:pPr>
        <w:ind w:right="100"/>
        <w:spacing w:after="0" w:line="280" w:lineRule="auto"/>
        <w:rPr>
          <w:sz w:val="20"/>
          <w:szCs w:val="20"/>
          <w:color w:val="auto"/>
        </w:rPr>
      </w:pPr>
      <w:r>
        <w:rPr>
          <w:rFonts w:ascii="Arial" w:cs="Arial" w:eastAsia="Arial" w:hAnsi="Arial"/>
          <w:sz w:val="18"/>
          <w:szCs w:val="18"/>
          <w:b w:val="1"/>
          <w:bCs w:val="1"/>
          <w:color w:val="auto"/>
        </w:rPr>
        <w:t xml:space="preserve">Pursuit operating loss increased </w:t>
      </w:r>
      <w:r>
        <w:rPr>
          <w:rFonts w:ascii="Arial" w:cs="Arial" w:eastAsia="Arial" w:hAnsi="Arial"/>
          <w:sz w:val="18"/>
          <w:szCs w:val="18"/>
          <w:color w:val="auto"/>
        </w:rPr>
        <w:t>$1.1 million or 10.9%, primarily due to additional costs to support continued growth initiatives, as well as the timing of</w:t>
      </w:r>
      <w:r>
        <w:rPr>
          <w:rFonts w:ascii="Arial" w:cs="Arial" w:eastAsia="Arial" w:hAnsi="Arial"/>
          <w:sz w:val="18"/>
          <w:szCs w:val="18"/>
          <w:b w:val="1"/>
          <w:bCs w:val="1"/>
          <w:color w:val="auto"/>
        </w:rPr>
        <w:t xml:space="preserve"> </w:t>
      </w:r>
      <w:r>
        <w:rPr>
          <w:rFonts w:ascii="Arial" w:cs="Arial" w:eastAsia="Arial" w:hAnsi="Arial"/>
          <w:sz w:val="18"/>
          <w:szCs w:val="18"/>
          <w:color w:val="auto"/>
        </w:rPr>
        <w:t>certain other expenses and an unfavorable FX impact of $0.2 million. Organic operating loss* increased $0.7 million or 6.6%.</w:t>
      </w:r>
    </w:p>
    <w:p>
      <w:pPr>
        <w:spacing w:after="0" w:line="113" w:lineRule="exact"/>
        <w:rPr>
          <w:sz w:val="20"/>
          <w:szCs w:val="20"/>
          <w:color w:val="auto"/>
        </w:rPr>
      </w:pPr>
    </w:p>
    <w:p>
      <w:pPr>
        <w:ind w:right="120" w:firstLine="8"/>
        <w:spacing w:after="0" w:line="275" w:lineRule="auto"/>
        <w:tabs>
          <w:tab w:leader="none" w:pos="146" w:val="left"/>
        </w:tabs>
        <w:numPr>
          <w:ilvl w:val="0"/>
          <w:numId w:val="22"/>
        </w:numPr>
        <w:rPr>
          <w:rFonts w:ascii="Arial" w:cs="Arial" w:eastAsia="Arial" w:hAnsi="Arial"/>
          <w:sz w:val="18"/>
          <w:szCs w:val="18"/>
          <w:color w:val="auto"/>
        </w:rPr>
      </w:pPr>
      <w:r>
        <w:rPr>
          <w:rFonts w:ascii="Arial" w:cs="Arial" w:eastAsia="Arial" w:hAnsi="Arial"/>
          <w:sz w:val="18"/>
          <w:szCs w:val="18"/>
          <w:color w:val="auto"/>
        </w:rPr>
        <w:t>Refer to footnote (3) in the above tables for more information about the non-GAAP financial measures of organic revenue and organic segment operating results.</w:t>
      </w:r>
    </w:p>
    <w:p>
      <w:pPr>
        <w:spacing w:after="0" w:line="27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Performance Measures</w:t>
      </w:r>
    </w:p>
    <w:p>
      <w:pPr>
        <w:spacing w:after="0" w:line="120" w:lineRule="exact"/>
        <w:rPr>
          <w:sz w:val="20"/>
          <w:szCs w:val="20"/>
          <w:color w:val="auto"/>
        </w:rPr>
      </w:pPr>
    </w:p>
    <w:p>
      <w:pPr>
        <w:jc w:val="both"/>
        <w:ind w:right="100"/>
        <w:spacing w:after="0" w:line="295" w:lineRule="auto"/>
        <w:rPr>
          <w:sz w:val="20"/>
          <w:szCs w:val="20"/>
          <w:color w:val="auto"/>
        </w:rPr>
      </w:pPr>
      <w:r>
        <w:rPr>
          <w:rFonts w:ascii="Arial" w:cs="Arial" w:eastAsia="Arial" w:hAnsi="Arial"/>
          <w:sz w:val="16"/>
          <w:szCs w:val="16"/>
          <w:color w:val="auto"/>
        </w:rPr>
        <w:t>We evaluate the performance of Pursuit’s attractions business utilizing the number of passengers and total attractions revenue per passenger. The number of passengers allows us to assess the volume of visitor activity at each attraction during the period. Total attractions revenue per passenger is calculated as total attractions revenue divided by the total number of passengers at all Pursuit attractions during the period. Total attractions revenue includes ticket sales and ancillary revenue generated by attractions, such as food and beverage and retail revenue. Total attractions revenue per passenger measures the total spend per visitor that attraction properties are able to capture, which is important to the profitability of the attractions business.</w:t>
      </w:r>
    </w:p>
    <w:p>
      <w:pPr>
        <w:spacing w:after="0" w:line="106" w:lineRule="exact"/>
        <w:rPr>
          <w:sz w:val="20"/>
          <w:szCs w:val="20"/>
          <w:color w:val="auto"/>
        </w:rPr>
      </w:pPr>
    </w:p>
    <w:p>
      <w:pPr>
        <w:spacing w:after="0"/>
        <w:rPr>
          <w:sz w:val="20"/>
          <w:szCs w:val="20"/>
          <w:color w:val="auto"/>
        </w:rPr>
      </w:pPr>
      <w:r>
        <w:rPr>
          <w:rFonts w:ascii="Arial" w:cs="Arial" w:eastAsia="Arial" w:hAnsi="Arial"/>
          <w:sz w:val="18"/>
          <w:szCs w:val="18"/>
          <w:color w:val="auto"/>
        </w:rPr>
        <w:t>We use the following key business metrics, common in the hospitality industry, to evaluate Pursuit’s hospitality business:</w:t>
      </w:r>
    </w:p>
    <w:p>
      <w:pPr>
        <w:spacing w:after="0" w:line="23" w:lineRule="exact"/>
        <w:rPr>
          <w:sz w:val="20"/>
          <w:szCs w:val="20"/>
          <w:color w:val="auto"/>
        </w:rPr>
      </w:pPr>
    </w:p>
    <w:p>
      <w:pPr>
        <w:jc w:val="both"/>
        <w:ind w:left="760" w:right="100" w:hanging="376"/>
        <w:spacing w:after="0" w:line="251" w:lineRule="auto"/>
        <w:tabs>
          <w:tab w:leader="none" w:pos="760" w:val="left"/>
        </w:tabs>
        <w:numPr>
          <w:ilvl w:val="0"/>
          <w:numId w:val="23"/>
        </w:numPr>
        <w:rPr>
          <w:rFonts w:ascii="Arial" w:cs="Arial" w:eastAsia="Arial" w:hAnsi="Arial"/>
          <w:sz w:val="18"/>
          <w:szCs w:val="18"/>
          <w:color w:val="auto"/>
        </w:rPr>
      </w:pPr>
      <w:r>
        <w:rPr>
          <w:rFonts w:ascii="Arial" w:cs="Arial" w:eastAsia="Arial" w:hAnsi="Arial"/>
          <w:sz w:val="18"/>
          <w:szCs w:val="18"/>
          <w:b w:val="1"/>
          <w:bCs w:val="1"/>
          <w:color w:val="auto"/>
        </w:rPr>
        <w:t xml:space="preserve">Revenue per Available Room. </w:t>
      </w:r>
      <w:r>
        <w:rPr>
          <w:rFonts w:ascii="Arial" w:cs="Arial" w:eastAsia="Arial" w:hAnsi="Arial"/>
          <w:sz w:val="18"/>
          <w:szCs w:val="18"/>
          <w:color w:val="auto"/>
        </w:rPr>
        <w:t>RevPAR is calculated as total rooms revenue divided by the total number of room nights available for all</w:t>
      </w:r>
      <w:r>
        <w:rPr>
          <w:rFonts w:ascii="Arial" w:cs="Arial" w:eastAsia="Arial" w:hAnsi="Arial"/>
          <w:sz w:val="18"/>
          <w:szCs w:val="18"/>
          <w:b w:val="1"/>
          <w:bCs w:val="1"/>
          <w:color w:val="auto"/>
        </w:rPr>
        <w:t xml:space="preserve"> </w:t>
      </w:r>
      <w:r>
        <w:rPr>
          <w:rFonts w:ascii="Arial" w:cs="Arial" w:eastAsia="Arial" w:hAnsi="Arial"/>
          <w:sz w:val="18"/>
          <w:szCs w:val="18"/>
          <w:color w:val="auto"/>
        </w:rPr>
        <w:t>comparable Pursuit hospitality properties during the period. Total rooms revenue does not include non-rooms revenue, which consists of ancillary revenue generated by hospitality properties, such as food and beverage and retail revenue. RevPAR measures the period-over-period change in rooms revenue for comparable hospitality properties. RevPAR is affected by average daily rate and occupancy, which have different implications on profitability.</w:t>
      </w:r>
    </w:p>
    <w:p>
      <w:pPr>
        <w:spacing w:after="0" w:line="194" w:lineRule="exact"/>
        <w:rPr>
          <w:sz w:val="20"/>
          <w:szCs w:val="20"/>
          <w:color w:val="auto"/>
        </w:rPr>
      </w:pPr>
    </w:p>
    <w:p>
      <w:pPr>
        <w:jc w:val="center"/>
        <w:ind w:right="100"/>
        <w:spacing w:after="0"/>
        <w:rPr>
          <w:sz w:val="20"/>
          <w:szCs w:val="20"/>
          <w:color w:val="auto"/>
        </w:rPr>
      </w:pPr>
      <w:r>
        <w:rPr>
          <w:rFonts w:ascii="Arial" w:cs="Arial" w:eastAsia="Arial" w:hAnsi="Arial"/>
          <w:sz w:val="18"/>
          <w:szCs w:val="18"/>
          <w:color w:val="auto"/>
        </w:rPr>
        <w:t>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69850</wp:posOffset>
            </wp:positionV>
            <wp:extent cx="7289800" cy="4254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1520"/>
          </w:cols>
          <w:pgMar w:left="240" w:top="659" w:right="139" w:bottom="1440" w:gutter="0" w:footer="0" w:header="0"/>
        </w:sectPr>
      </w:pPr>
    </w:p>
    <w:bookmarkStart w:id="34" w:name="page35"/>
    <w:bookmarkEnd w:id="34"/>
    <w:p>
      <w:pPr>
        <w:jc w:val="both"/>
        <w:ind w:left="760" w:hanging="376"/>
        <w:spacing w:after="0" w:line="254" w:lineRule="auto"/>
        <w:tabs>
          <w:tab w:leader="none" w:pos="760" w:val="left"/>
        </w:tabs>
        <w:numPr>
          <w:ilvl w:val="0"/>
          <w:numId w:val="24"/>
        </w:numPr>
        <w:rPr>
          <w:rFonts w:ascii="Arial" w:cs="Arial" w:eastAsia="Arial" w:hAnsi="Arial"/>
          <w:sz w:val="18"/>
          <w:szCs w:val="18"/>
          <w:color w:val="auto"/>
        </w:rPr>
      </w:pPr>
      <w:r>
        <w:rPr>
          <w:rFonts w:ascii="Arial" w:cs="Arial" w:eastAsia="Arial" w:hAnsi="Arial"/>
          <w:sz w:val="18"/>
          <w:szCs w:val="18"/>
          <w:b w:val="1"/>
          <w:bCs w:val="1"/>
          <w:color w:val="auto"/>
        </w:rPr>
        <w:t xml:space="preserve">Average Daily Rate. </w:t>
      </w:r>
      <w:r>
        <w:rPr>
          <w:rFonts w:ascii="Arial" w:cs="Arial" w:eastAsia="Arial" w:hAnsi="Arial"/>
          <w:sz w:val="18"/>
          <w:szCs w:val="18"/>
          <w:color w:val="auto"/>
        </w:rPr>
        <w:t>ADR is calculated as total rooms revenue divided by the total number of room nights sold for all comparable Pursuit</w:t>
      </w:r>
      <w:r>
        <w:rPr>
          <w:rFonts w:ascii="Arial" w:cs="Arial" w:eastAsia="Arial" w:hAnsi="Arial"/>
          <w:sz w:val="18"/>
          <w:szCs w:val="18"/>
          <w:b w:val="1"/>
          <w:bCs w:val="1"/>
          <w:color w:val="auto"/>
        </w:rPr>
        <w:t xml:space="preserve"> </w:t>
      </w:r>
      <w:r>
        <w:rPr>
          <w:rFonts w:ascii="Arial" w:cs="Arial" w:eastAsia="Arial" w:hAnsi="Arial"/>
          <w:sz w:val="18"/>
          <w:szCs w:val="18"/>
          <w:color w:val="auto"/>
        </w:rPr>
        <w:t>hospitality properties during the period. ADR is used to assess the pricing levels that the hospitality properties are able to generate. Increases in ADR at hospitality properties lead to increases in rooms revenue with no substantial effect on variable costs, therefore having a greater impact on margins than increases in occupancy.</w:t>
      </w:r>
    </w:p>
    <w:p>
      <w:pPr>
        <w:spacing w:after="0" w:line="2" w:lineRule="exact"/>
        <w:rPr>
          <w:rFonts w:ascii="Arial" w:cs="Arial" w:eastAsia="Arial" w:hAnsi="Arial"/>
          <w:sz w:val="18"/>
          <w:szCs w:val="18"/>
          <w:color w:val="auto"/>
        </w:rPr>
      </w:pPr>
    </w:p>
    <w:p>
      <w:pPr>
        <w:jc w:val="both"/>
        <w:ind w:left="760" w:hanging="376"/>
        <w:spacing w:after="0" w:line="294" w:lineRule="auto"/>
        <w:tabs>
          <w:tab w:leader="none" w:pos="760" w:val="left"/>
        </w:tabs>
        <w:numPr>
          <w:ilvl w:val="0"/>
          <w:numId w:val="24"/>
        </w:numPr>
        <w:rPr>
          <w:rFonts w:ascii="Arial" w:cs="Arial" w:eastAsia="Arial" w:hAnsi="Arial"/>
          <w:sz w:val="16"/>
          <w:szCs w:val="16"/>
          <w:color w:val="auto"/>
        </w:rPr>
      </w:pPr>
      <w:r>
        <w:rPr>
          <w:rFonts w:ascii="Arial" w:cs="Arial" w:eastAsia="Arial" w:hAnsi="Arial"/>
          <w:sz w:val="16"/>
          <w:szCs w:val="16"/>
          <w:b w:val="1"/>
          <w:bCs w:val="1"/>
          <w:color w:val="auto"/>
        </w:rPr>
        <w:t xml:space="preserve">Occupancy. </w:t>
      </w:r>
      <w:r>
        <w:rPr>
          <w:rFonts w:ascii="Arial" w:cs="Arial" w:eastAsia="Arial" w:hAnsi="Arial"/>
          <w:sz w:val="16"/>
          <w:szCs w:val="16"/>
          <w:color w:val="auto"/>
        </w:rPr>
        <w:t>Occupancy is calculated as the total number of room nights sold divided by the total number of room nights available for all</w:t>
      </w:r>
      <w:r>
        <w:rPr>
          <w:rFonts w:ascii="Arial" w:cs="Arial" w:eastAsia="Arial" w:hAnsi="Arial"/>
          <w:sz w:val="16"/>
          <w:szCs w:val="16"/>
          <w:b w:val="1"/>
          <w:bCs w:val="1"/>
          <w:color w:val="auto"/>
        </w:rPr>
        <w:t xml:space="preserve"> </w:t>
      </w:r>
      <w:r>
        <w:rPr>
          <w:rFonts w:ascii="Arial" w:cs="Arial" w:eastAsia="Arial" w:hAnsi="Arial"/>
          <w:sz w:val="16"/>
          <w:szCs w:val="16"/>
          <w:color w:val="auto"/>
        </w:rPr>
        <w:t>comparable Pursuit hospitality properties during the period. Occupancy measures the utilization of the available capacity at the hospitality properties. Increases in occupancy result in increases in rooms revenue and additional variable operating costs (including housekeeping services, utilities, and room amenity costs), as well as increased ancillary non-rooms revenue (including food and beverage and retail revenue).</w:t>
      </w:r>
    </w:p>
    <w:p>
      <w:pPr>
        <w:spacing w:after="0" w:line="106"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The following table provides Pursuit’s same-store key performance indicators for the three months ended March 31, 2018 and 2017. The same-store metrics indicate the performance of all Pursuit’s properties and attractions that we owned and operated at full capacity, considering seasonal closures, for the entirety of both periods presented. For Pursuit properties and attractions located in Canada, comparisons to the prior year are on a constant U.S. dollar basis, using the current year quarterly average exchange rates for previous periods, to eliminate the FX Impact. We believe this same-store constant currency basis provides better comparability between reporting periods.</w:t>
      </w:r>
    </w:p>
    <w:p>
      <w:pPr>
        <w:spacing w:after="0" w:line="196"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860" w:type="dxa"/>
            <w:vAlign w:val="bottom"/>
          </w:tcPr>
          <w:p>
            <w:pPr>
              <w:spacing w:after="0"/>
              <w:rPr>
                <w:sz w:val="14"/>
                <w:szCs w:val="14"/>
                <w:color w:val="auto"/>
              </w:rPr>
            </w:pPr>
          </w:p>
        </w:tc>
        <w:tc>
          <w:tcPr>
            <w:tcW w:w="172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660" w:type="dxa"/>
            <w:vAlign w:val="bottom"/>
            <w:gridSpan w:val="3"/>
          </w:tcPr>
          <w:p>
            <w:pPr>
              <w:spacing w:after="0"/>
              <w:rPr>
                <w:sz w:val="20"/>
                <w:szCs w:val="20"/>
                <w:color w:val="auto"/>
              </w:rPr>
            </w:pPr>
            <w:r>
              <w:rPr>
                <w:rFonts w:ascii="Arial" w:cs="Arial" w:eastAsia="Arial" w:hAnsi="Arial"/>
                <w:sz w:val="14"/>
                <w:szCs w:val="14"/>
                <w:b w:val="1"/>
                <w:bCs w:val="1"/>
                <w:color w:val="auto"/>
              </w:rPr>
              <w:t>Three Months Ended</w:t>
            </w:r>
          </w:p>
        </w:tc>
        <w:tc>
          <w:tcPr>
            <w:tcW w:w="1320" w:type="dxa"/>
            <w:vAlign w:val="bottom"/>
          </w:tcPr>
          <w:p>
            <w:pPr>
              <w:spacing w:after="0"/>
              <w:rPr>
                <w:sz w:val="14"/>
                <w:szCs w:val="14"/>
                <w:color w:val="auto"/>
              </w:rPr>
            </w:pPr>
          </w:p>
        </w:tc>
        <w:tc>
          <w:tcPr>
            <w:tcW w:w="220" w:type="dxa"/>
            <w:vAlign w:val="bottom"/>
          </w:tcPr>
          <w:p>
            <w:pPr>
              <w:spacing w:after="0"/>
              <w:rPr>
                <w:sz w:val="14"/>
                <w:szCs w:val="14"/>
                <w:color w:val="auto"/>
              </w:rPr>
            </w:pPr>
          </w:p>
        </w:tc>
      </w:tr>
      <w:tr>
        <w:trPr>
          <w:trHeight w:val="171"/>
        </w:trPr>
        <w:tc>
          <w:tcPr>
            <w:tcW w:w="4860" w:type="dxa"/>
            <w:vAlign w:val="bottom"/>
          </w:tcPr>
          <w:p>
            <w:pPr>
              <w:spacing w:after="0"/>
              <w:rPr>
                <w:sz w:val="14"/>
                <w:szCs w:val="14"/>
                <w:color w:val="auto"/>
              </w:rPr>
            </w:pPr>
          </w:p>
        </w:tc>
        <w:tc>
          <w:tcPr>
            <w:tcW w:w="1720" w:type="dxa"/>
            <w:vAlign w:val="bottom"/>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1020" w:type="dxa"/>
            <w:vAlign w:val="bottom"/>
            <w:tcBorders>
              <w:bottom w:val="single" w:sz="8" w:color="auto"/>
            </w:tcBorders>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1440" w:type="dxa"/>
            <w:vAlign w:val="bottom"/>
            <w:tcBorders>
              <w:bottom w:val="single" w:sz="8" w:color="auto"/>
            </w:tcBorders>
            <w:gridSpan w:val="2"/>
          </w:tcPr>
          <w:p>
            <w:pPr>
              <w:jc w:val="right"/>
              <w:ind w:right="680"/>
              <w:spacing w:after="0"/>
              <w:rPr>
                <w:sz w:val="20"/>
                <w:szCs w:val="20"/>
                <w:color w:val="auto"/>
              </w:rPr>
            </w:pPr>
            <w:r>
              <w:rPr>
                <w:rFonts w:ascii="Arial" w:cs="Arial" w:eastAsia="Arial" w:hAnsi="Arial"/>
                <w:sz w:val="14"/>
                <w:szCs w:val="14"/>
                <w:b w:val="1"/>
                <w:bCs w:val="1"/>
                <w:color w:val="auto"/>
              </w:rPr>
              <w:t>March 31,</w:t>
            </w:r>
          </w:p>
        </w:tc>
        <w:tc>
          <w:tcPr>
            <w:tcW w:w="1320" w:type="dxa"/>
            <w:vAlign w:val="bottom"/>
            <w:tcBorders>
              <w:bottom w:val="single" w:sz="8" w:color="auto"/>
            </w:tcBorders>
          </w:tcPr>
          <w:p>
            <w:pPr>
              <w:spacing w:after="0"/>
              <w:rPr>
                <w:sz w:val="14"/>
                <w:szCs w:val="14"/>
                <w:color w:val="auto"/>
              </w:rPr>
            </w:pPr>
          </w:p>
        </w:tc>
        <w:tc>
          <w:tcPr>
            <w:tcW w:w="220" w:type="dxa"/>
            <w:vAlign w:val="bottom"/>
          </w:tcPr>
          <w:p>
            <w:pPr>
              <w:spacing w:after="0"/>
              <w:rPr>
                <w:sz w:val="14"/>
                <w:szCs w:val="14"/>
                <w:color w:val="auto"/>
              </w:rPr>
            </w:pPr>
          </w:p>
        </w:tc>
      </w:tr>
      <w:tr>
        <w:trPr>
          <w:trHeight w:val="155"/>
        </w:trPr>
        <w:tc>
          <w:tcPr>
            <w:tcW w:w="4860" w:type="dxa"/>
            <w:vAlign w:val="bottom"/>
            <w:tcBorders>
              <w:bottom w:val="single" w:sz="8" w:color="CFF0FC"/>
            </w:tcBorders>
          </w:tcPr>
          <w:p>
            <w:pPr>
              <w:spacing w:after="0"/>
              <w:rPr>
                <w:sz w:val="13"/>
                <w:szCs w:val="13"/>
                <w:color w:val="auto"/>
              </w:rPr>
            </w:pPr>
          </w:p>
        </w:tc>
        <w:tc>
          <w:tcPr>
            <w:tcW w:w="1720" w:type="dxa"/>
            <w:vAlign w:val="bottom"/>
            <w:tcBorders>
              <w:bottom w:val="single" w:sz="8" w:color="CFF0FC"/>
            </w:tcBorders>
          </w:tcPr>
          <w:p>
            <w:pPr>
              <w:spacing w:after="0"/>
              <w:rPr>
                <w:sz w:val="13"/>
                <w:szCs w:val="13"/>
                <w:color w:val="auto"/>
              </w:rPr>
            </w:pPr>
          </w:p>
        </w:tc>
        <w:tc>
          <w:tcPr>
            <w:tcW w:w="300" w:type="dxa"/>
            <w:vAlign w:val="bottom"/>
            <w:tcBorders>
              <w:bottom w:val="single" w:sz="8" w:color="auto"/>
            </w:tcBorders>
          </w:tcPr>
          <w:p>
            <w:pPr>
              <w:spacing w:after="0"/>
              <w:rPr>
                <w:sz w:val="13"/>
                <w:szCs w:val="13"/>
                <w:color w:val="auto"/>
              </w:rPr>
            </w:pPr>
          </w:p>
        </w:tc>
        <w:tc>
          <w:tcPr>
            <w:tcW w:w="1020" w:type="dxa"/>
            <w:vAlign w:val="bottom"/>
            <w:tcBorders>
              <w:bottom w:val="single" w:sz="8" w:color="auto"/>
            </w:tcBorders>
          </w:tcPr>
          <w:p>
            <w:pPr>
              <w:jc w:val="right"/>
              <w:ind w:right="433"/>
              <w:spacing w:after="0" w:line="155" w:lineRule="exact"/>
              <w:rPr>
                <w:sz w:val="20"/>
                <w:szCs w:val="20"/>
                <w:color w:val="auto"/>
              </w:rPr>
            </w:pPr>
            <w:r>
              <w:rPr>
                <w:rFonts w:ascii="Arial" w:cs="Arial" w:eastAsia="Arial" w:hAnsi="Arial"/>
                <w:sz w:val="14"/>
                <w:szCs w:val="14"/>
                <w:b w:val="1"/>
                <w:bCs w:val="1"/>
                <w:color w:val="auto"/>
              </w:rPr>
              <w:t>2018</w:t>
            </w:r>
          </w:p>
        </w:tc>
        <w:tc>
          <w:tcPr>
            <w:tcW w:w="240" w:type="dxa"/>
            <w:vAlign w:val="bottom"/>
            <w:tcBorders>
              <w:bottom w:val="single" w:sz="8" w:color="CFF0FC"/>
            </w:tcBorders>
          </w:tcPr>
          <w:p>
            <w:pPr>
              <w:spacing w:after="0"/>
              <w:rPr>
                <w:sz w:val="13"/>
                <w:szCs w:val="13"/>
                <w:color w:val="auto"/>
              </w:rPr>
            </w:pPr>
          </w:p>
        </w:tc>
        <w:tc>
          <w:tcPr>
            <w:tcW w:w="80" w:type="dxa"/>
            <w:vAlign w:val="bottom"/>
            <w:tcBorders>
              <w:bottom w:val="single" w:sz="8" w:color="CFF0FC"/>
            </w:tcBorders>
          </w:tcPr>
          <w:p>
            <w:pPr>
              <w:spacing w:after="0"/>
              <w:rPr>
                <w:sz w:val="13"/>
                <w:szCs w:val="13"/>
                <w:color w:val="auto"/>
              </w:rPr>
            </w:pPr>
          </w:p>
        </w:tc>
        <w:tc>
          <w:tcPr>
            <w:tcW w:w="220" w:type="dxa"/>
            <w:vAlign w:val="bottom"/>
            <w:tcBorders>
              <w:bottom w:val="single" w:sz="8" w:color="auto"/>
            </w:tcBorders>
          </w:tcPr>
          <w:p>
            <w:pPr>
              <w:spacing w:after="0"/>
              <w:rPr>
                <w:sz w:val="13"/>
                <w:szCs w:val="13"/>
                <w:color w:val="auto"/>
              </w:rPr>
            </w:pPr>
          </w:p>
        </w:tc>
        <w:tc>
          <w:tcPr>
            <w:tcW w:w="1120" w:type="dxa"/>
            <w:vAlign w:val="bottom"/>
            <w:tcBorders>
              <w:bottom w:val="single" w:sz="8" w:color="auto"/>
            </w:tcBorders>
          </w:tcPr>
          <w:p>
            <w:pPr>
              <w:jc w:val="right"/>
              <w:ind w:right="455"/>
              <w:spacing w:after="0" w:line="155" w:lineRule="exact"/>
              <w:rPr>
                <w:sz w:val="20"/>
                <w:szCs w:val="20"/>
                <w:color w:val="auto"/>
              </w:rPr>
            </w:pPr>
            <w:r>
              <w:rPr>
                <w:rFonts w:ascii="Arial" w:cs="Arial" w:eastAsia="Arial" w:hAnsi="Arial"/>
                <w:sz w:val="14"/>
                <w:szCs w:val="14"/>
                <w:b w:val="1"/>
                <w:bCs w:val="1"/>
                <w:color w:val="auto"/>
              </w:rPr>
              <w:t>2017</w:t>
            </w:r>
          </w:p>
        </w:tc>
        <w:tc>
          <w:tcPr>
            <w:tcW w:w="320" w:type="dxa"/>
            <w:vAlign w:val="bottom"/>
            <w:tcBorders>
              <w:bottom w:val="single" w:sz="8" w:color="CFF0FC"/>
            </w:tcBorders>
          </w:tcPr>
          <w:p>
            <w:pPr>
              <w:spacing w:after="0"/>
              <w:rPr>
                <w:sz w:val="13"/>
                <w:szCs w:val="13"/>
                <w:color w:val="auto"/>
              </w:rPr>
            </w:pPr>
          </w:p>
        </w:tc>
        <w:tc>
          <w:tcPr>
            <w:tcW w:w="1320" w:type="dxa"/>
            <w:vAlign w:val="bottom"/>
            <w:tcBorders>
              <w:bottom w:val="single" w:sz="8" w:color="auto"/>
            </w:tcBorders>
          </w:tcPr>
          <w:p>
            <w:pPr>
              <w:ind w:left="320"/>
              <w:spacing w:after="0" w:line="155" w:lineRule="exact"/>
              <w:rPr>
                <w:sz w:val="20"/>
                <w:szCs w:val="20"/>
                <w:color w:val="auto"/>
              </w:rPr>
            </w:pPr>
            <w:r>
              <w:rPr>
                <w:rFonts w:ascii="Arial" w:cs="Arial" w:eastAsia="Arial" w:hAnsi="Arial"/>
                <w:sz w:val="14"/>
                <w:szCs w:val="14"/>
                <w:b w:val="1"/>
                <w:bCs w:val="1"/>
                <w:color w:val="auto"/>
              </w:rPr>
              <w:t>% Change</w:t>
            </w:r>
          </w:p>
        </w:tc>
        <w:tc>
          <w:tcPr>
            <w:tcW w:w="220" w:type="dxa"/>
            <w:vAlign w:val="bottom"/>
            <w:tcBorders>
              <w:bottom w:val="single" w:sz="8" w:color="CFF0FC"/>
            </w:tcBorders>
          </w:tcPr>
          <w:p>
            <w:pPr>
              <w:spacing w:after="0"/>
              <w:rPr>
                <w:sz w:val="13"/>
                <w:szCs w:val="13"/>
                <w:color w:val="auto"/>
              </w:rPr>
            </w:pPr>
          </w:p>
        </w:tc>
      </w:tr>
      <w:tr>
        <w:trPr>
          <w:trHeight w:val="222"/>
        </w:trPr>
        <w:tc>
          <w:tcPr>
            <w:tcW w:w="4860" w:type="dxa"/>
            <w:vAlign w:val="bottom"/>
            <w:shd w:val="clear" w:color="auto" w:fill="CFF0FC"/>
          </w:tcPr>
          <w:p>
            <w:pPr>
              <w:spacing w:after="0"/>
              <w:rPr>
                <w:sz w:val="20"/>
                <w:szCs w:val="20"/>
                <w:color w:val="auto"/>
              </w:rPr>
            </w:pPr>
            <w:r>
              <w:rPr>
                <w:rFonts w:ascii="Arial" w:cs="Arial" w:eastAsia="Arial" w:hAnsi="Arial"/>
                <w:sz w:val="18"/>
                <w:szCs w:val="18"/>
                <w:color w:val="auto"/>
              </w:rPr>
              <w:t xml:space="preserve">Same-Store Key Performance Indicators </w:t>
            </w:r>
            <w:r>
              <w:rPr>
                <w:rFonts w:ascii="Arial" w:cs="Arial" w:eastAsia="Arial" w:hAnsi="Arial"/>
                <w:sz w:val="15"/>
                <w:szCs w:val="15"/>
                <w:color w:val="auto"/>
              </w:rPr>
              <w:t>(1)</w:t>
            </w:r>
          </w:p>
        </w:tc>
        <w:tc>
          <w:tcPr>
            <w:tcW w:w="172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102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1120" w:type="dxa"/>
            <w:vAlign w:val="bottom"/>
            <w:shd w:val="clear" w:color="auto" w:fill="CFF0FC"/>
          </w:tcPr>
          <w:p>
            <w:pPr>
              <w:spacing w:after="0"/>
              <w:rPr>
                <w:sz w:val="19"/>
                <w:szCs w:val="19"/>
                <w:color w:val="auto"/>
              </w:rPr>
            </w:pPr>
          </w:p>
        </w:tc>
        <w:tc>
          <w:tcPr>
            <w:tcW w:w="320" w:type="dxa"/>
            <w:vAlign w:val="bottom"/>
            <w:shd w:val="clear" w:color="auto" w:fill="CFF0FC"/>
          </w:tcPr>
          <w:p>
            <w:pPr>
              <w:spacing w:after="0"/>
              <w:rPr>
                <w:sz w:val="19"/>
                <w:szCs w:val="19"/>
                <w:color w:val="auto"/>
              </w:rPr>
            </w:pPr>
          </w:p>
        </w:tc>
        <w:tc>
          <w:tcPr>
            <w:tcW w:w="132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r>
      <w:tr>
        <w:trPr>
          <w:trHeight w:val="229"/>
        </w:trPr>
        <w:tc>
          <w:tcPr>
            <w:tcW w:w="4860" w:type="dxa"/>
            <w:vAlign w:val="bottom"/>
          </w:tcPr>
          <w:p>
            <w:pPr>
              <w:spacing w:after="0"/>
              <w:rPr>
                <w:sz w:val="20"/>
                <w:szCs w:val="20"/>
                <w:color w:val="auto"/>
              </w:rPr>
            </w:pPr>
            <w:r>
              <w:rPr>
                <w:rFonts w:ascii="Arial" w:cs="Arial" w:eastAsia="Arial" w:hAnsi="Arial"/>
                <w:sz w:val="18"/>
                <w:szCs w:val="18"/>
                <w:b w:val="1"/>
                <w:bCs w:val="1"/>
                <w:color w:val="auto"/>
              </w:rPr>
              <w:t>Attractions:</w:t>
            </w:r>
          </w:p>
        </w:tc>
        <w:tc>
          <w:tcPr>
            <w:tcW w:w="17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320" w:type="dxa"/>
            <w:vAlign w:val="bottom"/>
          </w:tcPr>
          <w:p>
            <w:pPr>
              <w:spacing w:after="0"/>
              <w:rPr>
                <w:sz w:val="19"/>
                <w:szCs w:val="19"/>
                <w:color w:val="auto"/>
              </w:rPr>
            </w:pPr>
          </w:p>
        </w:tc>
        <w:tc>
          <w:tcPr>
            <w:tcW w:w="220" w:type="dxa"/>
            <w:vAlign w:val="bottom"/>
          </w:tcPr>
          <w:p>
            <w:pPr>
              <w:spacing w:after="0"/>
              <w:rPr>
                <w:sz w:val="19"/>
                <w:szCs w:val="19"/>
                <w:color w:val="auto"/>
              </w:rPr>
            </w:pPr>
          </w:p>
        </w:tc>
      </w:tr>
      <w:tr>
        <w:trPr>
          <w:trHeight w:val="229"/>
        </w:trPr>
        <w:tc>
          <w:tcPr>
            <w:tcW w:w="4860" w:type="dxa"/>
            <w:vAlign w:val="bottom"/>
            <w:shd w:val="clear" w:color="auto" w:fill="CFF0FC"/>
          </w:tcPr>
          <w:p>
            <w:pPr>
              <w:ind w:left="260"/>
              <w:spacing w:after="0"/>
              <w:rPr>
                <w:sz w:val="20"/>
                <w:szCs w:val="20"/>
                <w:color w:val="auto"/>
              </w:rPr>
            </w:pPr>
            <w:r>
              <w:rPr>
                <w:rFonts w:ascii="Arial" w:cs="Arial" w:eastAsia="Arial" w:hAnsi="Arial"/>
                <w:sz w:val="18"/>
                <w:szCs w:val="18"/>
                <w:color w:val="auto"/>
              </w:rPr>
              <w:t>Passengers</w:t>
            </w:r>
          </w:p>
        </w:tc>
        <w:tc>
          <w:tcPr>
            <w:tcW w:w="172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10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158,472</w:t>
            </w:r>
          </w:p>
        </w:tc>
        <w:tc>
          <w:tcPr>
            <w:tcW w:w="24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11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150,397</w:t>
            </w:r>
          </w:p>
        </w:tc>
        <w:tc>
          <w:tcPr>
            <w:tcW w:w="320" w:type="dxa"/>
            <w:vAlign w:val="bottom"/>
            <w:shd w:val="clear" w:color="auto" w:fill="CFF0FC"/>
          </w:tcPr>
          <w:p>
            <w:pPr>
              <w:spacing w:after="0"/>
              <w:rPr>
                <w:sz w:val="19"/>
                <w:szCs w:val="19"/>
                <w:color w:val="auto"/>
              </w:rPr>
            </w:pPr>
          </w:p>
        </w:tc>
        <w:tc>
          <w:tcPr>
            <w:tcW w:w="1540" w:type="dxa"/>
            <w:vAlign w:val="bottom"/>
            <w:gridSpan w:val="2"/>
            <w:shd w:val="clear" w:color="auto" w:fill="CFF0FC"/>
          </w:tcPr>
          <w:p>
            <w:pPr>
              <w:jc w:val="right"/>
              <w:ind w:right="80"/>
              <w:spacing w:after="0"/>
              <w:rPr>
                <w:sz w:val="20"/>
                <w:szCs w:val="20"/>
                <w:color w:val="auto"/>
              </w:rPr>
            </w:pPr>
            <w:r>
              <w:rPr>
                <w:rFonts w:ascii="Arial" w:cs="Arial" w:eastAsia="Arial" w:hAnsi="Arial"/>
                <w:sz w:val="18"/>
                <w:szCs w:val="18"/>
                <w:color w:val="auto"/>
              </w:rPr>
              <w:t>5.4%</w:t>
            </w:r>
          </w:p>
        </w:tc>
      </w:tr>
      <w:tr>
        <w:trPr>
          <w:trHeight w:val="229"/>
        </w:trPr>
        <w:tc>
          <w:tcPr>
            <w:tcW w:w="4860" w:type="dxa"/>
            <w:vAlign w:val="bottom"/>
          </w:tcPr>
          <w:p>
            <w:pPr>
              <w:ind w:left="260"/>
              <w:spacing w:after="0"/>
              <w:rPr>
                <w:sz w:val="20"/>
                <w:szCs w:val="20"/>
                <w:color w:val="auto"/>
              </w:rPr>
            </w:pPr>
            <w:r>
              <w:rPr>
                <w:rFonts w:ascii="Arial" w:cs="Arial" w:eastAsia="Arial" w:hAnsi="Arial"/>
                <w:sz w:val="18"/>
                <w:szCs w:val="18"/>
                <w:color w:val="auto"/>
              </w:rPr>
              <w:t>Revenue per passenger</w:t>
            </w:r>
          </w:p>
        </w:tc>
        <w:tc>
          <w:tcPr>
            <w:tcW w:w="20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020" w:type="dxa"/>
            <w:vAlign w:val="bottom"/>
          </w:tcPr>
          <w:p>
            <w:pPr>
              <w:jc w:val="right"/>
              <w:spacing w:after="0"/>
              <w:rPr>
                <w:sz w:val="20"/>
                <w:szCs w:val="20"/>
                <w:color w:val="auto"/>
              </w:rPr>
            </w:pPr>
            <w:r>
              <w:rPr>
                <w:rFonts w:ascii="Arial" w:cs="Arial" w:eastAsia="Arial" w:hAnsi="Arial"/>
                <w:sz w:val="18"/>
                <w:szCs w:val="18"/>
                <w:color w:val="auto"/>
              </w:rPr>
              <w:t>28</w:t>
            </w:r>
          </w:p>
        </w:tc>
        <w:tc>
          <w:tcPr>
            <w:tcW w:w="240" w:type="dxa"/>
            <w:vAlign w:val="bottom"/>
          </w:tcPr>
          <w:p>
            <w:pPr>
              <w:spacing w:after="0"/>
              <w:rPr>
                <w:sz w:val="19"/>
                <w:szCs w:val="19"/>
                <w:color w:val="auto"/>
              </w:rPr>
            </w:pPr>
          </w:p>
        </w:tc>
        <w:tc>
          <w:tcPr>
            <w:tcW w:w="300" w:type="dxa"/>
            <w:vAlign w:val="bottom"/>
            <w:gridSpan w:val="2"/>
          </w:tcPr>
          <w:p>
            <w:pPr>
              <w:ind w:left="80"/>
              <w:spacing w:after="0"/>
              <w:rPr>
                <w:sz w:val="20"/>
                <w:szCs w:val="20"/>
                <w:color w:val="auto"/>
              </w:rPr>
            </w:pPr>
            <w:r>
              <w:rPr>
                <w:rFonts w:ascii="Arial" w:cs="Arial" w:eastAsia="Arial" w:hAnsi="Arial"/>
                <w:sz w:val="18"/>
                <w:szCs w:val="18"/>
                <w:color w:val="auto"/>
              </w:rPr>
              <w:t>$</w:t>
            </w:r>
          </w:p>
        </w:tc>
        <w:tc>
          <w:tcPr>
            <w:tcW w:w="1120" w:type="dxa"/>
            <w:vAlign w:val="bottom"/>
          </w:tcPr>
          <w:p>
            <w:pPr>
              <w:jc w:val="right"/>
              <w:spacing w:after="0"/>
              <w:rPr>
                <w:sz w:val="20"/>
                <w:szCs w:val="20"/>
                <w:color w:val="auto"/>
              </w:rPr>
            </w:pPr>
            <w:r>
              <w:rPr>
                <w:rFonts w:ascii="Arial" w:cs="Arial" w:eastAsia="Arial" w:hAnsi="Arial"/>
                <w:sz w:val="18"/>
                <w:szCs w:val="18"/>
                <w:color w:val="auto"/>
              </w:rPr>
              <w:t>25</w:t>
            </w:r>
          </w:p>
        </w:tc>
        <w:tc>
          <w:tcPr>
            <w:tcW w:w="320" w:type="dxa"/>
            <w:vAlign w:val="bottom"/>
          </w:tcPr>
          <w:p>
            <w:pPr>
              <w:spacing w:after="0"/>
              <w:rPr>
                <w:sz w:val="19"/>
                <w:szCs w:val="19"/>
                <w:color w:val="auto"/>
              </w:rPr>
            </w:pPr>
          </w:p>
        </w:tc>
        <w:tc>
          <w:tcPr>
            <w:tcW w:w="1540" w:type="dxa"/>
            <w:vAlign w:val="bottom"/>
            <w:gridSpan w:val="2"/>
          </w:tcPr>
          <w:p>
            <w:pPr>
              <w:jc w:val="right"/>
              <w:ind w:right="80"/>
              <w:spacing w:after="0"/>
              <w:rPr>
                <w:sz w:val="20"/>
                <w:szCs w:val="20"/>
                <w:color w:val="auto"/>
              </w:rPr>
            </w:pPr>
            <w:r>
              <w:rPr>
                <w:rFonts w:ascii="Arial" w:cs="Arial" w:eastAsia="Arial" w:hAnsi="Arial"/>
                <w:sz w:val="18"/>
                <w:szCs w:val="18"/>
                <w:color w:val="auto"/>
              </w:rPr>
              <w:t>12.0%</w:t>
            </w:r>
          </w:p>
        </w:tc>
      </w:tr>
      <w:tr>
        <w:trPr>
          <w:trHeight w:val="229"/>
        </w:trPr>
        <w:tc>
          <w:tcPr>
            <w:tcW w:w="4860" w:type="dxa"/>
            <w:vAlign w:val="bottom"/>
            <w:shd w:val="clear" w:color="auto" w:fill="CFF0FC"/>
          </w:tcPr>
          <w:p>
            <w:pPr>
              <w:spacing w:after="0"/>
              <w:rPr>
                <w:sz w:val="20"/>
                <w:szCs w:val="20"/>
                <w:color w:val="auto"/>
              </w:rPr>
            </w:pPr>
            <w:r>
              <w:rPr>
                <w:rFonts w:ascii="Arial" w:cs="Arial" w:eastAsia="Arial" w:hAnsi="Arial"/>
                <w:sz w:val="18"/>
                <w:szCs w:val="18"/>
                <w:b w:val="1"/>
                <w:bCs w:val="1"/>
                <w:color w:val="auto"/>
              </w:rPr>
              <w:t>Hospitality:</w:t>
            </w:r>
          </w:p>
        </w:tc>
        <w:tc>
          <w:tcPr>
            <w:tcW w:w="172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102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1120" w:type="dxa"/>
            <w:vAlign w:val="bottom"/>
            <w:shd w:val="clear" w:color="auto" w:fill="CFF0FC"/>
          </w:tcPr>
          <w:p>
            <w:pPr>
              <w:spacing w:after="0"/>
              <w:rPr>
                <w:sz w:val="19"/>
                <w:szCs w:val="19"/>
                <w:color w:val="auto"/>
              </w:rPr>
            </w:pPr>
          </w:p>
        </w:tc>
        <w:tc>
          <w:tcPr>
            <w:tcW w:w="320" w:type="dxa"/>
            <w:vAlign w:val="bottom"/>
            <w:shd w:val="clear" w:color="auto" w:fill="CFF0FC"/>
          </w:tcPr>
          <w:p>
            <w:pPr>
              <w:spacing w:after="0"/>
              <w:rPr>
                <w:sz w:val="19"/>
                <w:szCs w:val="19"/>
                <w:color w:val="auto"/>
              </w:rPr>
            </w:pPr>
          </w:p>
        </w:tc>
        <w:tc>
          <w:tcPr>
            <w:tcW w:w="132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r>
      <w:tr>
        <w:trPr>
          <w:trHeight w:val="229"/>
        </w:trPr>
        <w:tc>
          <w:tcPr>
            <w:tcW w:w="4860" w:type="dxa"/>
            <w:vAlign w:val="bottom"/>
          </w:tcPr>
          <w:p>
            <w:pPr>
              <w:ind w:left="260"/>
              <w:spacing w:after="0"/>
              <w:rPr>
                <w:sz w:val="20"/>
                <w:szCs w:val="20"/>
                <w:color w:val="auto"/>
              </w:rPr>
            </w:pPr>
            <w:r>
              <w:rPr>
                <w:rFonts w:ascii="Arial" w:cs="Arial" w:eastAsia="Arial" w:hAnsi="Arial"/>
                <w:sz w:val="18"/>
                <w:szCs w:val="18"/>
                <w:color w:val="auto"/>
              </w:rPr>
              <w:t>Room nights available</w:t>
            </w:r>
          </w:p>
        </w:tc>
        <w:tc>
          <w:tcPr>
            <w:tcW w:w="17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27,810</w:t>
            </w:r>
          </w:p>
        </w:tc>
        <w:tc>
          <w:tcPr>
            <w:tcW w:w="2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27,720</w:t>
            </w:r>
          </w:p>
        </w:tc>
        <w:tc>
          <w:tcPr>
            <w:tcW w:w="320" w:type="dxa"/>
            <w:vAlign w:val="bottom"/>
          </w:tcPr>
          <w:p>
            <w:pPr>
              <w:spacing w:after="0"/>
              <w:rPr>
                <w:sz w:val="19"/>
                <w:szCs w:val="19"/>
                <w:color w:val="auto"/>
              </w:rPr>
            </w:pPr>
          </w:p>
        </w:tc>
        <w:tc>
          <w:tcPr>
            <w:tcW w:w="1540" w:type="dxa"/>
            <w:vAlign w:val="bottom"/>
            <w:gridSpan w:val="2"/>
          </w:tcPr>
          <w:p>
            <w:pPr>
              <w:jc w:val="right"/>
              <w:ind w:right="80"/>
              <w:spacing w:after="0"/>
              <w:rPr>
                <w:sz w:val="20"/>
                <w:szCs w:val="20"/>
                <w:color w:val="auto"/>
              </w:rPr>
            </w:pPr>
            <w:r>
              <w:rPr>
                <w:rFonts w:ascii="Arial" w:cs="Arial" w:eastAsia="Arial" w:hAnsi="Arial"/>
                <w:sz w:val="18"/>
                <w:szCs w:val="18"/>
                <w:color w:val="auto"/>
              </w:rPr>
              <w:t>0.3%</w:t>
            </w:r>
          </w:p>
        </w:tc>
      </w:tr>
      <w:tr>
        <w:trPr>
          <w:trHeight w:val="229"/>
        </w:trPr>
        <w:tc>
          <w:tcPr>
            <w:tcW w:w="4860" w:type="dxa"/>
            <w:vAlign w:val="bottom"/>
            <w:shd w:val="clear" w:color="auto" w:fill="CFF0FC"/>
          </w:tcPr>
          <w:p>
            <w:pPr>
              <w:ind w:left="260"/>
              <w:spacing w:after="0"/>
              <w:rPr>
                <w:sz w:val="20"/>
                <w:szCs w:val="20"/>
                <w:color w:val="auto"/>
              </w:rPr>
            </w:pPr>
            <w:r>
              <w:rPr>
                <w:rFonts w:ascii="Arial" w:cs="Arial" w:eastAsia="Arial" w:hAnsi="Arial"/>
                <w:sz w:val="18"/>
                <w:szCs w:val="18"/>
                <w:color w:val="auto"/>
              </w:rPr>
              <w:t>RevPAR</w:t>
            </w:r>
          </w:p>
        </w:tc>
        <w:tc>
          <w:tcPr>
            <w:tcW w:w="2020" w:type="dxa"/>
            <w:vAlign w:val="bottom"/>
            <w:gridSpan w:val="2"/>
            <w:shd w:val="clear" w:color="auto" w:fill="CFF0FC"/>
          </w:tcPr>
          <w:p>
            <w:pPr>
              <w:jc w:val="right"/>
              <w:ind w:right="200"/>
              <w:spacing w:after="0"/>
              <w:rPr>
                <w:sz w:val="20"/>
                <w:szCs w:val="20"/>
                <w:color w:val="auto"/>
              </w:rPr>
            </w:pPr>
            <w:r>
              <w:rPr>
                <w:rFonts w:ascii="Arial" w:cs="Arial" w:eastAsia="Arial" w:hAnsi="Arial"/>
                <w:sz w:val="18"/>
                <w:szCs w:val="18"/>
                <w:color w:val="auto"/>
              </w:rPr>
              <w:t>$</w:t>
            </w:r>
          </w:p>
        </w:tc>
        <w:tc>
          <w:tcPr>
            <w:tcW w:w="10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55</w:t>
            </w:r>
          </w:p>
        </w:tc>
        <w:tc>
          <w:tcPr>
            <w:tcW w:w="240" w:type="dxa"/>
            <w:vAlign w:val="bottom"/>
            <w:shd w:val="clear" w:color="auto" w:fill="CFF0FC"/>
          </w:tcPr>
          <w:p>
            <w:pPr>
              <w:spacing w:after="0"/>
              <w:rPr>
                <w:sz w:val="19"/>
                <w:szCs w:val="19"/>
                <w:color w:val="auto"/>
              </w:rPr>
            </w:pPr>
          </w:p>
        </w:tc>
        <w:tc>
          <w:tcPr>
            <w:tcW w:w="300" w:type="dxa"/>
            <w:vAlign w:val="bottom"/>
            <w:gridSpan w:val="2"/>
            <w:shd w:val="clear" w:color="auto" w:fill="CFF0FC"/>
          </w:tcPr>
          <w:p>
            <w:pPr>
              <w:ind w:left="80"/>
              <w:spacing w:after="0"/>
              <w:rPr>
                <w:sz w:val="20"/>
                <w:szCs w:val="20"/>
                <w:color w:val="auto"/>
              </w:rPr>
            </w:pPr>
            <w:r>
              <w:rPr>
                <w:rFonts w:ascii="Arial" w:cs="Arial" w:eastAsia="Arial" w:hAnsi="Arial"/>
                <w:sz w:val="18"/>
                <w:szCs w:val="18"/>
                <w:color w:val="auto"/>
              </w:rPr>
              <w:t>$</w:t>
            </w:r>
          </w:p>
        </w:tc>
        <w:tc>
          <w:tcPr>
            <w:tcW w:w="11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49</w:t>
            </w:r>
          </w:p>
        </w:tc>
        <w:tc>
          <w:tcPr>
            <w:tcW w:w="320" w:type="dxa"/>
            <w:vAlign w:val="bottom"/>
            <w:shd w:val="clear" w:color="auto" w:fill="CFF0FC"/>
          </w:tcPr>
          <w:p>
            <w:pPr>
              <w:spacing w:after="0"/>
              <w:rPr>
                <w:sz w:val="19"/>
                <w:szCs w:val="19"/>
                <w:color w:val="auto"/>
              </w:rPr>
            </w:pPr>
          </w:p>
        </w:tc>
        <w:tc>
          <w:tcPr>
            <w:tcW w:w="1540" w:type="dxa"/>
            <w:vAlign w:val="bottom"/>
            <w:gridSpan w:val="2"/>
            <w:shd w:val="clear" w:color="auto" w:fill="CFF0FC"/>
          </w:tcPr>
          <w:p>
            <w:pPr>
              <w:jc w:val="right"/>
              <w:ind w:right="80"/>
              <w:spacing w:after="0"/>
              <w:rPr>
                <w:sz w:val="20"/>
                <w:szCs w:val="20"/>
                <w:color w:val="auto"/>
              </w:rPr>
            </w:pPr>
            <w:r>
              <w:rPr>
                <w:rFonts w:ascii="Arial" w:cs="Arial" w:eastAsia="Arial" w:hAnsi="Arial"/>
                <w:sz w:val="18"/>
                <w:szCs w:val="18"/>
                <w:color w:val="auto"/>
              </w:rPr>
              <w:t>12.2%</w:t>
            </w:r>
          </w:p>
        </w:tc>
      </w:tr>
      <w:tr>
        <w:trPr>
          <w:trHeight w:val="229"/>
        </w:trPr>
        <w:tc>
          <w:tcPr>
            <w:tcW w:w="4860" w:type="dxa"/>
            <w:vAlign w:val="bottom"/>
          </w:tcPr>
          <w:p>
            <w:pPr>
              <w:ind w:left="260"/>
              <w:spacing w:after="0"/>
              <w:rPr>
                <w:sz w:val="20"/>
                <w:szCs w:val="20"/>
                <w:color w:val="auto"/>
              </w:rPr>
            </w:pPr>
            <w:r>
              <w:rPr>
                <w:rFonts w:ascii="Arial" w:cs="Arial" w:eastAsia="Arial" w:hAnsi="Arial"/>
                <w:sz w:val="18"/>
                <w:szCs w:val="18"/>
                <w:color w:val="auto"/>
              </w:rPr>
              <w:t>ADR</w:t>
            </w:r>
          </w:p>
        </w:tc>
        <w:tc>
          <w:tcPr>
            <w:tcW w:w="20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020" w:type="dxa"/>
            <w:vAlign w:val="bottom"/>
          </w:tcPr>
          <w:p>
            <w:pPr>
              <w:jc w:val="right"/>
              <w:spacing w:after="0"/>
              <w:rPr>
                <w:sz w:val="20"/>
                <w:szCs w:val="20"/>
                <w:color w:val="auto"/>
              </w:rPr>
            </w:pPr>
            <w:r>
              <w:rPr>
                <w:rFonts w:ascii="Arial" w:cs="Arial" w:eastAsia="Arial" w:hAnsi="Arial"/>
                <w:sz w:val="18"/>
                <w:szCs w:val="18"/>
                <w:color w:val="auto"/>
              </w:rPr>
              <w:t>103</w:t>
            </w:r>
          </w:p>
        </w:tc>
        <w:tc>
          <w:tcPr>
            <w:tcW w:w="240" w:type="dxa"/>
            <w:vAlign w:val="bottom"/>
          </w:tcPr>
          <w:p>
            <w:pPr>
              <w:spacing w:after="0"/>
              <w:rPr>
                <w:sz w:val="19"/>
                <w:szCs w:val="19"/>
                <w:color w:val="auto"/>
              </w:rPr>
            </w:pPr>
          </w:p>
        </w:tc>
        <w:tc>
          <w:tcPr>
            <w:tcW w:w="300" w:type="dxa"/>
            <w:vAlign w:val="bottom"/>
            <w:gridSpan w:val="2"/>
          </w:tcPr>
          <w:p>
            <w:pPr>
              <w:ind w:left="80"/>
              <w:spacing w:after="0"/>
              <w:rPr>
                <w:sz w:val="20"/>
                <w:szCs w:val="20"/>
                <w:color w:val="auto"/>
              </w:rPr>
            </w:pPr>
            <w:r>
              <w:rPr>
                <w:rFonts w:ascii="Arial" w:cs="Arial" w:eastAsia="Arial" w:hAnsi="Arial"/>
                <w:sz w:val="18"/>
                <w:szCs w:val="18"/>
                <w:color w:val="auto"/>
              </w:rPr>
              <w:t>$</w:t>
            </w:r>
          </w:p>
        </w:tc>
        <w:tc>
          <w:tcPr>
            <w:tcW w:w="1120" w:type="dxa"/>
            <w:vAlign w:val="bottom"/>
          </w:tcPr>
          <w:p>
            <w:pPr>
              <w:jc w:val="right"/>
              <w:spacing w:after="0"/>
              <w:rPr>
                <w:sz w:val="20"/>
                <w:szCs w:val="20"/>
                <w:color w:val="auto"/>
              </w:rPr>
            </w:pPr>
            <w:r>
              <w:rPr>
                <w:rFonts w:ascii="Arial" w:cs="Arial" w:eastAsia="Arial" w:hAnsi="Arial"/>
                <w:sz w:val="18"/>
                <w:szCs w:val="18"/>
                <w:color w:val="auto"/>
              </w:rPr>
              <w:t>92</w:t>
            </w:r>
          </w:p>
        </w:tc>
        <w:tc>
          <w:tcPr>
            <w:tcW w:w="320" w:type="dxa"/>
            <w:vAlign w:val="bottom"/>
          </w:tcPr>
          <w:p>
            <w:pPr>
              <w:spacing w:after="0"/>
              <w:rPr>
                <w:sz w:val="19"/>
                <w:szCs w:val="19"/>
                <w:color w:val="auto"/>
              </w:rPr>
            </w:pPr>
          </w:p>
        </w:tc>
        <w:tc>
          <w:tcPr>
            <w:tcW w:w="1540" w:type="dxa"/>
            <w:vAlign w:val="bottom"/>
            <w:gridSpan w:val="2"/>
          </w:tcPr>
          <w:p>
            <w:pPr>
              <w:jc w:val="right"/>
              <w:ind w:right="80"/>
              <w:spacing w:after="0"/>
              <w:rPr>
                <w:sz w:val="20"/>
                <w:szCs w:val="20"/>
                <w:color w:val="auto"/>
              </w:rPr>
            </w:pPr>
            <w:r>
              <w:rPr>
                <w:rFonts w:ascii="Arial" w:cs="Arial" w:eastAsia="Arial" w:hAnsi="Arial"/>
                <w:sz w:val="18"/>
                <w:szCs w:val="18"/>
                <w:color w:val="auto"/>
              </w:rPr>
              <w:t>12.0%</w:t>
            </w:r>
          </w:p>
        </w:tc>
      </w:tr>
      <w:tr>
        <w:trPr>
          <w:trHeight w:val="229"/>
        </w:trPr>
        <w:tc>
          <w:tcPr>
            <w:tcW w:w="4860" w:type="dxa"/>
            <w:vAlign w:val="bottom"/>
            <w:shd w:val="clear" w:color="auto" w:fill="CFF0FC"/>
          </w:tcPr>
          <w:p>
            <w:pPr>
              <w:ind w:left="260"/>
              <w:spacing w:after="0"/>
              <w:rPr>
                <w:sz w:val="20"/>
                <w:szCs w:val="20"/>
                <w:color w:val="auto"/>
              </w:rPr>
            </w:pPr>
            <w:r>
              <w:rPr>
                <w:rFonts w:ascii="Arial" w:cs="Arial" w:eastAsia="Arial" w:hAnsi="Arial"/>
                <w:sz w:val="18"/>
                <w:szCs w:val="18"/>
                <w:color w:val="auto"/>
              </w:rPr>
              <w:t>Occupancy</w:t>
            </w:r>
          </w:p>
        </w:tc>
        <w:tc>
          <w:tcPr>
            <w:tcW w:w="172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1260" w:type="dxa"/>
            <w:vAlign w:val="bottom"/>
            <w:gridSpan w:val="2"/>
            <w:shd w:val="clear" w:color="auto" w:fill="CFF0FC"/>
          </w:tcPr>
          <w:p>
            <w:pPr>
              <w:jc w:val="right"/>
              <w:ind w:right="100"/>
              <w:spacing w:after="0"/>
              <w:rPr>
                <w:sz w:val="20"/>
                <w:szCs w:val="20"/>
                <w:color w:val="auto"/>
              </w:rPr>
            </w:pPr>
            <w:r>
              <w:rPr>
                <w:rFonts w:ascii="Arial" w:cs="Arial" w:eastAsia="Arial" w:hAnsi="Arial"/>
                <w:sz w:val="18"/>
                <w:szCs w:val="18"/>
                <w:color w:val="auto"/>
              </w:rPr>
              <w:t>53.4%</w:t>
            </w:r>
          </w:p>
        </w:tc>
        <w:tc>
          <w:tcPr>
            <w:tcW w:w="8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1440" w:type="dxa"/>
            <w:vAlign w:val="bottom"/>
            <w:gridSpan w:val="2"/>
            <w:shd w:val="clear" w:color="auto" w:fill="CFF0FC"/>
          </w:tcPr>
          <w:p>
            <w:pPr>
              <w:jc w:val="right"/>
              <w:ind w:right="180"/>
              <w:spacing w:after="0"/>
              <w:rPr>
                <w:sz w:val="20"/>
                <w:szCs w:val="20"/>
                <w:color w:val="auto"/>
              </w:rPr>
            </w:pPr>
            <w:r>
              <w:rPr>
                <w:rFonts w:ascii="Arial" w:cs="Arial" w:eastAsia="Arial" w:hAnsi="Arial"/>
                <w:sz w:val="18"/>
                <w:szCs w:val="18"/>
                <w:color w:val="auto"/>
              </w:rPr>
              <w:t>53.6%</w:t>
            </w:r>
          </w:p>
        </w:tc>
        <w:tc>
          <w:tcPr>
            <w:tcW w:w="1540" w:type="dxa"/>
            <w:vAlign w:val="bottom"/>
            <w:gridSpan w:val="2"/>
            <w:shd w:val="clear" w:color="auto" w:fill="CFF0FC"/>
          </w:tcPr>
          <w:p>
            <w:pPr>
              <w:jc w:val="right"/>
              <w:ind w:right="20"/>
              <w:spacing w:after="0"/>
              <w:rPr>
                <w:sz w:val="20"/>
                <w:szCs w:val="20"/>
                <w:color w:val="auto"/>
              </w:rPr>
            </w:pPr>
            <w:r>
              <w:rPr>
                <w:rFonts w:ascii="Arial" w:cs="Arial" w:eastAsia="Arial" w:hAnsi="Arial"/>
                <w:sz w:val="18"/>
                <w:szCs w:val="18"/>
                <w:color w:val="auto"/>
              </w:rPr>
              <w:t>(0.2)%</w:t>
            </w:r>
          </w:p>
        </w:tc>
      </w:tr>
    </w:tbl>
    <w:p>
      <w:pPr>
        <w:spacing w:after="0" w:line="93" w:lineRule="exact"/>
        <w:rPr>
          <w:sz w:val="20"/>
          <w:szCs w:val="20"/>
          <w:color w:val="auto"/>
        </w:rPr>
      </w:pPr>
    </w:p>
    <w:p>
      <w:pPr>
        <w:ind w:left="380" w:hanging="372"/>
        <w:spacing w:after="0"/>
        <w:tabs>
          <w:tab w:leader="none" w:pos="380" w:val="left"/>
        </w:tabs>
        <w:numPr>
          <w:ilvl w:val="0"/>
          <w:numId w:val="25"/>
        </w:numPr>
        <w:rPr>
          <w:rFonts w:ascii="Arial" w:cs="Arial" w:eastAsia="Arial" w:hAnsi="Arial"/>
          <w:sz w:val="13"/>
          <w:szCs w:val="13"/>
          <w:color w:val="auto"/>
        </w:rPr>
      </w:pPr>
      <w:r>
        <w:rPr>
          <w:rFonts w:ascii="Arial" w:cs="Arial" w:eastAsia="Arial" w:hAnsi="Arial"/>
          <w:sz w:val="16"/>
          <w:szCs w:val="16"/>
          <w:color w:val="auto"/>
        </w:rPr>
        <w:t>Same-Store Key Performance Indicators exclude the Mount Royal Hotel hospitality property due to its fire-related closure (effective December 2016).</w:t>
      </w:r>
    </w:p>
    <w:p>
      <w:pPr>
        <w:spacing w:after="0" w:line="188" w:lineRule="exact"/>
        <w:rPr>
          <w:sz w:val="20"/>
          <w:szCs w:val="20"/>
          <w:color w:val="auto"/>
        </w:rPr>
      </w:pPr>
    </w:p>
    <w:p>
      <w:pPr>
        <w:jc w:val="both"/>
        <w:spacing w:after="0" w:line="264" w:lineRule="auto"/>
        <w:rPr>
          <w:sz w:val="20"/>
          <w:szCs w:val="20"/>
          <w:color w:val="auto"/>
        </w:rPr>
      </w:pPr>
      <w:r>
        <w:rPr>
          <w:rFonts w:ascii="Arial" w:cs="Arial" w:eastAsia="Arial" w:hAnsi="Arial"/>
          <w:sz w:val="18"/>
          <w:szCs w:val="18"/>
          <w:b w:val="1"/>
          <w:bCs w:val="1"/>
          <w:color w:val="auto"/>
        </w:rPr>
        <w:t>Attractions</w:t>
      </w:r>
      <w:r>
        <w:rPr>
          <w:rFonts w:ascii="Arial" w:cs="Arial" w:eastAsia="Arial" w:hAnsi="Arial"/>
          <w:sz w:val="18"/>
          <w:szCs w:val="18"/>
          <w:color w:val="auto"/>
        </w:rPr>
        <w:t>. The increase in the same-store passengers and revenue per passenger was primarily due to higher visitation at FlyOver Canada and increased</w:t>
      </w:r>
      <w:r>
        <w:rPr>
          <w:rFonts w:ascii="Arial" w:cs="Arial" w:eastAsia="Arial" w:hAnsi="Arial"/>
          <w:sz w:val="18"/>
          <w:szCs w:val="18"/>
          <w:b w:val="1"/>
          <w:bCs w:val="1"/>
          <w:color w:val="auto"/>
        </w:rPr>
        <w:t xml:space="preserve"> </w:t>
      </w:r>
      <w:r>
        <w:rPr>
          <w:rFonts w:ascii="Arial" w:cs="Arial" w:eastAsia="Arial" w:hAnsi="Arial"/>
          <w:sz w:val="18"/>
          <w:szCs w:val="18"/>
          <w:color w:val="auto"/>
        </w:rPr>
        <w:t>revenue at both the Banff Gondola and FlyOver Canada, driven by our revenue management efforts. All other attractions were seasonally closed during the three months ended March 31, 2018.</w:t>
      </w:r>
    </w:p>
    <w:p>
      <w:pPr>
        <w:spacing w:after="0" w:line="124" w:lineRule="exact"/>
        <w:rPr>
          <w:sz w:val="20"/>
          <w:szCs w:val="20"/>
          <w:color w:val="auto"/>
        </w:rPr>
      </w:pPr>
    </w:p>
    <w:p>
      <w:pPr>
        <w:jc w:val="both"/>
        <w:spacing w:after="0" w:line="257" w:lineRule="auto"/>
        <w:rPr>
          <w:sz w:val="20"/>
          <w:szCs w:val="20"/>
          <w:color w:val="auto"/>
        </w:rPr>
      </w:pPr>
      <w:r>
        <w:rPr>
          <w:rFonts w:ascii="Arial" w:cs="Arial" w:eastAsia="Arial" w:hAnsi="Arial"/>
          <w:sz w:val="18"/>
          <w:szCs w:val="18"/>
          <w:b w:val="1"/>
          <w:bCs w:val="1"/>
          <w:color w:val="auto"/>
        </w:rPr>
        <w:t>Hospitality</w:t>
      </w:r>
      <w:r>
        <w:rPr>
          <w:rFonts w:ascii="Arial" w:cs="Arial" w:eastAsia="Arial" w:hAnsi="Arial"/>
          <w:sz w:val="18"/>
          <w:szCs w:val="18"/>
          <w:color w:val="auto"/>
        </w:rPr>
        <w:t>. Pursuit owns three year-round lodging properties: the Elk + Avenue Hotel, the Mount Royal Hotel, and Grouse Mountain Lodge. The Mount</w:t>
      </w:r>
      <w:r>
        <w:rPr>
          <w:rFonts w:ascii="Arial" w:cs="Arial" w:eastAsia="Arial" w:hAnsi="Arial"/>
          <w:sz w:val="18"/>
          <w:szCs w:val="18"/>
          <w:b w:val="1"/>
          <w:bCs w:val="1"/>
          <w:color w:val="auto"/>
        </w:rPr>
        <w:t xml:space="preserve"> </w:t>
      </w:r>
      <w:r>
        <w:rPr>
          <w:rFonts w:ascii="Arial" w:cs="Arial" w:eastAsia="Arial" w:hAnsi="Arial"/>
          <w:sz w:val="18"/>
          <w:szCs w:val="18"/>
          <w:color w:val="auto"/>
        </w:rPr>
        <w:t>Royal Hotel suffered fire damage on December 29, 2016 and has been closed for renovations. All other lodging properties were seasonally closed during the first quarter. Accordingly, the only Pursuit lodging properties with rooms available during the first quarter were the Elk + Avenue Hotel and Grouse Mountain Lodge. The increase in RevPAR during the three months ended March 31, 2018 was primarily due to stronger ADR and increased occupancy at the Elk + Avenue Hotel driven by our revenue management efforts.</w:t>
      </w:r>
    </w:p>
    <w:p>
      <w:pPr>
        <w:spacing w:after="0" w:line="133" w:lineRule="exact"/>
        <w:rPr>
          <w:sz w:val="20"/>
          <w:szCs w:val="20"/>
          <w:color w:val="auto"/>
        </w:rPr>
      </w:pPr>
    </w:p>
    <w:p>
      <w:pPr>
        <w:jc w:val="both"/>
        <w:spacing w:after="0" w:line="285" w:lineRule="auto"/>
        <w:rPr>
          <w:sz w:val="20"/>
          <w:szCs w:val="20"/>
          <w:color w:val="auto"/>
        </w:rPr>
      </w:pPr>
      <w:r>
        <w:rPr>
          <w:rFonts w:ascii="Arial" w:cs="Arial" w:eastAsia="Arial" w:hAnsi="Arial"/>
          <w:sz w:val="17"/>
          <w:szCs w:val="17"/>
          <w:color w:val="auto"/>
        </w:rPr>
        <w:t>During 2017, Pursuit derived approximately 64% of its revenue and 86% of its segment operating income from its Canadian operations, which are largely dependent on foreign customer visitation. Accordingly, the strengthening or weakening of the Canadian dollar, relative to other currencies, could affect customer volumes and the results of operations. Additionally, Pursuit is affected by consumer discretionary spending on tourism activities.</w:t>
      </w:r>
    </w:p>
    <w:p>
      <w:pPr>
        <w:spacing w:after="0" w:line="26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2018 Outlook</w:t>
      </w:r>
    </w:p>
    <w:p>
      <w:pPr>
        <w:spacing w:after="0" w:line="120"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For the 2018 full year, we expect Pursuit’s revenue to increase at a high-single to low-double digit rate. We expect a favorable impact to Pursuit’s revenue of approximately $5 million from the planned re-opening of the Mount Royal Hotel in July 2018. We expect to incur start-up costs related to the development of our FlyOver Iceland attraction, which is expected to open in 2019, of approximately $1 million during 2018 ($0.2 million of which was incurred during the first quarter). We anticipate a favorable FX Impact of approximately $2 million on Pursuit’s 2018 revenue. In addition to these factors, we expect organic growth across the rest of Pursuit’s lines of business.</w:t>
      </w:r>
    </w:p>
    <w:p>
      <w:pPr>
        <w:spacing w:after="0" w:line="19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69850</wp:posOffset>
            </wp:positionV>
            <wp:extent cx="7289800" cy="4254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1420"/>
          </w:cols>
          <w:pgMar w:left="240" w:top="336" w:right="239" w:bottom="1440" w:gutter="0" w:footer="0" w:header="0"/>
        </w:sectPr>
      </w:pPr>
    </w:p>
    <w:bookmarkStart w:id="35" w:name="page36"/>
    <w:bookmarkEnd w:id="35"/>
    <w:p>
      <w:pPr>
        <w:spacing w:after="0"/>
        <w:rPr>
          <w:sz w:val="20"/>
          <w:szCs w:val="20"/>
          <w:color w:val="auto"/>
        </w:rPr>
      </w:pPr>
      <w:r>
        <w:rPr>
          <w:rFonts w:ascii="Arial" w:cs="Arial" w:eastAsia="Arial" w:hAnsi="Arial"/>
          <w:sz w:val="18"/>
          <w:szCs w:val="18"/>
          <w:b w:val="1"/>
          <w:bCs w:val="1"/>
          <w:color w:val="auto"/>
        </w:rPr>
        <w:t>Corporate Activities</w:t>
      </w:r>
    </w:p>
    <w:p>
      <w:pPr>
        <w:spacing w:after="0" w:line="299"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000" w:type="dxa"/>
            <w:vAlign w:val="bottom"/>
          </w:tcPr>
          <w:p>
            <w:pPr>
              <w:spacing w:after="0"/>
              <w:rPr>
                <w:sz w:val="14"/>
                <w:szCs w:val="14"/>
                <w:color w:val="auto"/>
              </w:rPr>
            </w:pPr>
          </w:p>
        </w:tc>
        <w:tc>
          <w:tcPr>
            <w:tcW w:w="1560" w:type="dxa"/>
            <w:vAlign w:val="bottom"/>
          </w:tcPr>
          <w:p>
            <w:pPr>
              <w:spacing w:after="0"/>
              <w:rPr>
                <w:sz w:val="14"/>
                <w:szCs w:val="14"/>
                <w:color w:val="auto"/>
              </w:rPr>
            </w:pPr>
          </w:p>
        </w:tc>
        <w:tc>
          <w:tcPr>
            <w:tcW w:w="1320" w:type="dxa"/>
            <w:vAlign w:val="bottom"/>
          </w:tcPr>
          <w:p>
            <w:pPr>
              <w:spacing w:after="0"/>
              <w:rPr>
                <w:sz w:val="14"/>
                <w:szCs w:val="14"/>
                <w:color w:val="auto"/>
              </w:rPr>
            </w:pPr>
          </w:p>
        </w:tc>
        <w:tc>
          <w:tcPr>
            <w:tcW w:w="1660" w:type="dxa"/>
            <w:vAlign w:val="bottom"/>
            <w:gridSpan w:val="3"/>
          </w:tcPr>
          <w:p>
            <w:pPr>
              <w:jc w:val="center"/>
              <w:spacing w:after="0"/>
              <w:rPr>
                <w:sz w:val="20"/>
                <w:szCs w:val="20"/>
                <w:color w:val="auto"/>
              </w:rPr>
            </w:pPr>
            <w:r>
              <w:rPr>
                <w:rFonts w:ascii="Arial" w:cs="Arial" w:eastAsia="Arial" w:hAnsi="Arial"/>
                <w:sz w:val="14"/>
                <w:szCs w:val="14"/>
                <w:b w:val="1"/>
                <w:bCs w:val="1"/>
                <w:color w:val="auto"/>
                <w:w w:val="93"/>
              </w:rPr>
              <w:t>Three Months Ended</w:t>
            </w:r>
          </w:p>
        </w:tc>
        <w:tc>
          <w:tcPr>
            <w:tcW w:w="132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20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1"/>
        </w:trPr>
        <w:tc>
          <w:tcPr>
            <w:tcW w:w="3000" w:type="dxa"/>
            <w:vAlign w:val="bottom"/>
          </w:tcPr>
          <w:p>
            <w:pPr>
              <w:spacing w:after="0"/>
              <w:rPr>
                <w:sz w:val="14"/>
                <w:szCs w:val="14"/>
                <w:color w:val="auto"/>
              </w:rPr>
            </w:pPr>
          </w:p>
        </w:tc>
        <w:tc>
          <w:tcPr>
            <w:tcW w:w="1560" w:type="dxa"/>
            <w:vAlign w:val="bottom"/>
          </w:tcPr>
          <w:p>
            <w:pPr>
              <w:spacing w:after="0"/>
              <w:rPr>
                <w:sz w:val="14"/>
                <w:szCs w:val="14"/>
                <w:color w:val="auto"/>
              </w:rPr>
            </w:pPr>
          </w:p>
        </w:tc>
        <w:tc>
          <w:tcPr>
            <w:tcW w:w="1320" w:type="dxa"/>
            <w:vAlign w:val="bottom"/>
            <w:tcBorders>
              <w:bottom w:val="single" w:sz="8" w:color="auto"/>
            </w:tcBorders>
          </w:tcPr>
          <w:p>
            <w:pPr>
              <w:spacing w:after="0"/>
              <w:rPr>
                <w:sz w:val="14"/>
                <w:szCs w:val="14"/>
                <w:color w:val="auto"/>
              </w:rPr>
            </w:pPr>
          </w:p>
        </w:tc>
        <w:tc>
          <w:tcPr>
            <w:tcW w:w="1660" w:type="dxa"/>
            <w:vAlign w:val="bottom"/>
            <w:tcBorders>
              <w:bottom w:val="single" w:sz="8" w:color="auto"/>
            </w:tcBorders>
            <w:gridSpan w:val="3"/>
          </w:tcPr>
          <w:p>
            <w:pPr>
              <w:jc w:val="center"/>
              <w:spacing w:after="0"/>
              <w:rPr>
                <w:sz w:val="20"/>
                <w:szCs w:val="20"/>
                <w:color w:val="auto"/>
              </w:rPr>
            </w:pPr>
            <w:r>
              <w:rPr>
                <w:rFonts w:ascii="Arial" w:cs="Arial" w:eastAsia="Arial" w:hAnsi="Arial"/>
                <w:sz w:val="14"/>
                <w:szCs w:val="14"/>
                <w:b w:val="1"/>
                <w:bCs w:val="1"/>
                <w:color w:val="auto"/>
                <w:w w:val="95"/>
              </w:rPr>
              <w:t>March 31,</w:t>
            </w:r>
          </w:p>
        </w:tc>
        <w:tc>
          <w:tcPr>
            <w:tcW w:w="1320" w:type="dxa"/>
            <w:vAlign w:val="bottom"/>
            <w:tcBorders>
              <w:bottom w:val="single" w:sz="8" w:color="auto"/>
            </w:tcBorders>
          </w:tcPr>
          <w:p>
            <w:pPr>
              <w:spacing w:after="0"/>
              <w:rPr>
                <w:sz w:val="14"/>
                <w:szCs w:val="14"/>
                <w:color w:val="auto"/>
              </w:rPr>
            </w:pPr>
          </w:p>
        </w:tc>
        <w:tc>
          <w:tcPr>
            <w:tcW w:w="340" w:type="dxa"/>
            <w:vAlign w:val="bottom"/>
          </w:tcPr>
          <w:p>
            <w:pPr>
              <w:spacing w:after="0"/>
              <w:rPr>
                <w:sz w:val="14"/>
                <w:szCs w:val="14"/>
                <w:color w:val="auto"/>
              </w:rPr>
            </w:pPr>
          </w:p>
        </w:tc>
        <w:tc>
          <w:tcPr>
            <w:tcW w:w="2220" w:type="dxa"/>
            <w:vAlign w:val="bottom"/>
            <w:gridSpan w:val="2"/>
            <w:vMerge w:val="restart"/>
          </w:tcPr>
          <w:p>
            <w:pPr>
              <w:jc w:val="center"/>
              <w:ind w:right="240"/>
              <w:spacing w:after="0"/>
              <w:rPr>
                <w:sz w:val="20"/>
                <w:szCs w:val="20"/>
                <w:color w:val="auto"/>
              </w:rPr>
            </w:pPr>
            <w:r>
              <w:rPr>
                <w:rFonts w:ascii="Arial" w:cs="Arial" w:eastAsia="Arial" w:hAnsi="Arial"/>
                <w:sz w:val="14"/>
                <w:szCs w:val="14"/>
                <w:b w:val="1"/>
                <w:bCs w:val="1"/>
                <w:color w:val="auto"/>
                <w:w w:val="90"/>
              </w:rPr>
              <w:t>Percentage Change</w:t>
            </w:r>
          </w:p>
        </w:tc>
        <w:tc>
          <w:tcPr>
            <w:tcW w:w="0" w:type="dxa"/>
            <w:vAlign w:val="bottom"/>
          </w:tcPr>
          <w:p>
            <w:pPr>
              <w:spacing w:after="0"/>
              <w:rPr>
                <w:sz w:val="1"/>
                <w:szCs w:val="1"/>
                <w:color w:val="auto"/>
              </w:rPr>
            </w:pPr>
          </w:p>
        </w:tc>
      </w:tr>
      <w:tr>
        <w:trPr>
          <w:trHeight w:val="119"/>
        </w:trPr>
        <w:tc>
          <w:tcPr>
            <w:tcW w:w="3000" w:type="dxa"/>
            <w:vAlign w:val="bottom"/>
          </w:tcPr>
          <w:p>
            <w:pPr>
              <w:spacing w:after="0"/>
              <w:rPr>
                <w:sz w:val="10"/>
                <w:szCs w:val="10"/>
                <w:color w:val="auto"/>
              </w:rPr>
            </w:pPr>
          </w:p>
        </w:tc>
        <w:tc>
          <w:tcPr>
            <w:tcW w:w="1560" w:type="dxa"/>
            <w:vAlign w:val="bottom"/>
            <w:vMerge w:val="restart"/>
          </w:tcPr>
          <w:p>
            <w:pPr>
              <w:spacing w:after="0"/>
              <w:rPr>
                <w:sz w:val="10"/>
                <w:szCs w:val="10"/>
                <w:color w:val="auto"/>
              </w:rPr>
            </w:pPr>
          </w:p>
        </w:tc>
        <w:tc>
          <w:tcPr>
            <w:tcW w:w="1320" w:type="dxa"/>
            <w:vAlign w:val="bottom"/>
            <w:vMerge w:val="restart"/>
          </w:tcPr>
          <w:p>
            <w:pPr>
              <w:jc w:val="right"/>
              <w:ind w:right="119"/>
              <w:spacing w:after="0"/>
              <w:rPr>
                <w:sz w:val="20"/>
                <w:szCs w:val="20"/>
                <w:color w:val="auto"/>
              </w:rPr>
            </w:pPr>
            <w:r>
              <w:rPr>
                <w:rFonts w:ascii="Arial" w:cs="Arial" w:eastAsia="Arial" w:hAnsi="Arial"/>
                <w:sz w:val="14"/>
                <w:szCs w:val="14"/>
                <w:b w:val="1"/>
                <w:bCs w:val="1"/>
                <w:color w:val="auto"/>
              </w:rPr>
              <w:t>2018</w:t>
            </w:r>
          </w:p>
        </w:tc>
        <w:tc>
          <w:tcPr>
            <w:tcW w:w="660" w:type="dxa"/>
            <w:vAlign w:val="bottom"/>
          </w:tcPr>
          <w:p>
            <w:pPr>
              <w:spacing w:after="0"/>
              <w:rPr>
                <w:sz w:val="10"/>
                <w:szCs w:val="10"/>
                <w:color w:val="auto"/>
              </w:rPr>
            </w:pPr>
          </w:p>
        </w:tc>
        <w:tc>
          <w:tcPr>
            <w:tcW w:w="34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1320" w:type="dxa"/>
            <w:vAlign w:val="bottom"/>
            <w:vMerge w:val="restart"/>
          </w:tcPr>
          <w:p>
            <w:pPr>
              <w:jc w:val="right"/>
              <w:ind w:right="779"/>
              <w:spacing w:after="0"/>
              <w:rPr>
                <w:sz w:val="20"/>
                <w:szCs w:val="20"/>
                <w:color w:val="auto"/>
              </w:rPr>
            </w:pPr>
            <w:r>
              <w:rPr>
                <w:rFonts w:ascii="Arial" w:cs="Arial" w:eastAsia="Arial" w:hAnsi="Arial"/>
                <w:sz w:val="14"/>
                <w:szCs w:val="14"/>
                <w:b w:val="1"/>
                <w:bCs w:val="1"/>
                <w:color w:val="auto"/>
              </w:rPr>
              <w:t>2017</w:t>
            </w:r>
          </w:p>
        </w:tc>
        <w:tc>
          <w:tcPr>
            <w:tcW w:w="340" w:type="dxa"/>
            <w:vAlign w:val="bottom"/>
          </w:tcPr>
          <w:p>
            <w:pPr>
              <w:spacing w:after="0"/>
              <w:rPr>
                <w:sz w:val="10"/>
                <w:szCs w:val="10"/>
                <w:color w:val="auto"/>
              </w:rPr>
            </w:pPr>
          </w:p>
        </w:tc>
        <w:tc>
          <w:tcPr>
            <w:tcW w:w="2220" w:type="dxa"/>
            <w:vAlign w:val="bottom"/>
            <w:gridSpan w:val="2"/>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71"/>
        </w:trPr>
        <w:tc>
          <w:tcPr>
            <w:tcW w:w="3000" w:type="dxa"/>
            <w:vAlign w:val="bottom"/>
            <w:tcBorders>
              <w:bottom w:val="single" w:sz="8" w:color="CFF0FC"/>
            </w:tcBorders>
          </w:tcPr>
          <w:p>
            <w:pPr>
              <w:spacing w:after="0"/>
              <w:rPr>
                <w:sz w:val="20"/>
                <w:szCs w:val="20"/>
                <w:color w:val="auto"/>
              </w:rPr>
            </w:pPr>
            <w:r>
              <w:rPr>
                <w:rFonts w:ascii="Arial" w:cs="Arial" w:eastAsia="Arial" w:hAnsi="Arial"/>
                <w:sz w:val="14"/>
                <w:szCs w:val="14"/>
                <w:i w:val="1"/>
                <w:iCs w:val="1"/>
                <w:color w:val="auto"/>
              </w:rPr>
              <w:t>(in thousands)</w:t>
            </w:r>
          </w:p>
        </w:tc>
        <w:tc>
          <w:tcPr>
            <w:tcW w:w="1560" w:type="dxa"/>
            <w:vAlign w:val="bottom"/>
            <w:tcBorders>
              <w:bottom w:val="single" w:sz="8" w:color="CFF0FC"/>
            </w:tcBorders>
            <w:vMerge w:val="continue"/>
          </w:tcPr>
          <w:p>
            <w:pPr>
              <w:spacing w:after="0"/>
              <w:rPr>
                <w:sz w:val="14"/>
                <w:szCs w:val="14"/>
                <w:color w:val="auto"/>
              </w:rPr>
            </w:pPr>
          </w:p>
        </w:tc>
        <w:tc>
          <w:tcPr>
            <w:tcW w:w="1320" w:type="dxa"/>
            <w:vAlign w:val="bottom"/>
            <w:tcBorders>
              <w:bottom w:val="single" w:sz="8" w:color="auto"/>
            </w:tcBorders>
            <w:vMerge w:val="continue"/>
          </w:tcPr>
          <w:p>
            <w:pPr>
              <w:spacing w:after="0"/>
              <w:rPr>
                <w:sz w:val="14"/>
                <w:szCs w:val="14"/>
                <w:color w:val="auto"/>
              </w:rPr>
            </w:pPr>
          </w:p>
        </w:tc>
        <w:tc>
          <w:tcPr>
            <w:tcW w:w="660" w:type="dxa"/>
            <w:vAlign w:val="bottom"/>
            <w:tcBorders>
              <w:bottom w:val="single" w:sz="8" w:color="auto"/>
            </w:tcBorders>
          </w:tcPr>
          <w:p>
            <w:pPr>
              <w:spacing w:after="0"/>
              <w:rPr>
                <w:sz w:val="14"/>
                <w:szCs w:val="14"/>
                <w:color w:val="auto"/>
              </w:rPr>
            </w:pPr>
          </w:p>
        </w:tc>
        <w:tc>
          <w:tcPr>
            <w:tcW w:w="340" w:type="dxa"/>
            <w:vAlign w:val="bottom"/>
            <w:tcBorders>
              <w:bottom w:val="single" w:sz="8" w:color="CFF0FC"/>
            </w:tcBorders>
          </w:tcPr>
          <w:p>
            <w:pPr>
              <w:spacing w:after="0"/>
              <w:rPr>
                <w:sz w:val="14"/>
                <w:szCs w:val="14"/>
                <w:color w:val="auto"/>
              </w:rPr>
            </w:pPr>
          </w:p>
        </w:tc>
        <w:tc>
          <w:tcPr>
            <w:tcW w:w="660" w:type="dxa"/>
            <w:vAlign w:val="bottom"/>
            <w:tcBorders>
              <w:bottom w:val="single" w:sz="8" w:color="auto"/>
            </w:tcBorders>
          </w:tcPr>
          <w:p>
            <w:pPr>
              <w:spacing w:after="0"/>
              <w:rPr>
                <w:sz w:val="14"/>
                <w:szCs w:val="14"/>
                <w:color w:val="auto"/>
              </w:rPr>
            </w:pPr>
          </w:p>
        </w:tc>
        <w:tc>
          <w:tcPr>
            <w:tcW w:w="1320" w:type="dxa"/>
            <w:vAlign w:val="bottom"/>
            <w:tcBorders>
              <w:bottom w:val="single" w:sz="8" w:color="auto"/>
            </w:tcBorders>
            <w:vMerge w:val="continue"/>
          </w:tcPr>
          <w:p>
            <w:pPr>
              <w:spacing w:after="0"/>
              <w:rPr>
                <w:sz w:val="14"/>
                <w:szCs w:val="14"/>
                <w:color w:val="auto"/>
              </w:rPr>
            </w:pPr>
          </w:p>
        </w:tc>
        <w:tc>
          <w:tcPr>
            <w:tcW w:w="340" w:type="dxa"/>
            <w:vAlign w:val="bottom"/>
            <w:tcBorders>
              <w:bottom w:val="single" w:sz="8" w:color="CFF0FC"/>
            </w:tcBorders>
          </w:tcPr>
          <w:p>
            <w:pPr>
              <w:spacing w:after="0"/>
              <w:rPr>
                <w:sz w:val="14"/>
                <w:szCs w:val="14"/>
                <w:color w:val="auto"/>
              </w:rPr>
            </w:pPr>
          </w:p>
        </w:tc>
        <w:tc>
          <w:tcPr>
            <w:tcW w:w="20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1"/>
              </w:rPr>
              <w:t>2018 vs. 2017</w:t>
            </w:r>
          </w:p>
        </w:tc>
        <w:tc>
          <w:tcPr>
            <w:tcW w:w="220" w:type="dxa"/>
            <w:vAlign w:val="bottom"/>
            <w:tcBorders>
              <w:bottom w:val="single" w:sz="8" w:color="CFF0FC"/>
            </w:tcBorders>
          </w:tcPr>
          <w:p>
            <w:pPr>
              <w:spacing w:after="0"/>
              <w:rPr>
                <w:sz w:val="14"/>
                <w:szCs w:val="14"/>
                <w:color w:val="auto"/>
              </w:rPr>
            </w:pPr>
          </w:p>
        </w:tc>
        <w:tc>
          <w:tcPr>
            <w:tcW w:w="0" w:type="dxa"/>
            <w:vAlign w:val="bottom"/>
          </w:tcPr>
          <w:p>
            <w:pPr>
              <w:spacing w:after="0"/>
              <w:rPr>
                <w:sz w:val="1"/>
                <w:szCs w:val="1"/>
                <w:color w:val="auto"/>
              </w:rPr>
            </w:pPr>
          </w:p>
        </w:tc>
      </w:tr>
      <w:tr>
        <w:trPr>
          <w:trHeight w:val="222"/>
        </w:trPr>
        <w:tc>
          <w:tcPr>
            <w:tcW w:w="3000" w:type="dxa"/>
            <w:vAlign w:val="bottom"/>
            <w:shd w:val="clear" w:color="auto" w:fill="CFF0FC"/>
          </w:tcPr>
          <w:p>
            <w:pPr>
              <w:spacing w:after="0"/>
              <w:rPr>
                <w:sz w:val="20"/>
                <w:szCs w:val="20"/>
                <w:color w:val="auto"/>
              </w:rPr>
            </w:pPr>
            <w:r>
              <w:rPr>
                <w:rFonts w:ascii="Arial" w:cs="Arial" w:eastAsia="Arial" w:hAnsi="Arial"/>
                <w:sz w:val="18"/>
                <w:szCs w:val="18"/>
                <w:color w:val="auto"/>
              </w:rPr>
              <w:t>Corporate activities</w:t>
            </w:r>
          </w:p>
        </w:tc>
        <w:tc>
          <w:tcPr>
            <w:tcW w:w="1560" w:type="dxa"/>
            <w:vAlign w:val="bottom"/>
            <w:shd w:val="clear" w:color="auto" w:fill="CFF0FC"/>
          </w:tcPr>
          <w:p>
            <w:pPr>
              <w:spacing w:after="0"/>
              <w:rPr>
                <w:sz w:val="19"/>
                <w:szCs w:val="19"/>
                <w:color w:val="auto"/>
              </w:rPr>
            </w:pPr>
          </w:p>
        </w:tc>
        <w:tc>
          <w:tcPr>
            <w:tcW w:w="1320" w:type="dxa"/>
            <w:vAlign w:val="bottom"/>
            <w:shd w:val="clear" w:color="auto" w:fill="CFF0FC"/>
          </w:tcPr>
          <w:p>
            <w:pPr>
              <w:jc w:val="right"/>
              <w:ind w:right="1139"/>
              <w:spacing w:after="0"/>
              <w:rPr>
                <w:sz w:val="20"/>
                <w:szCs w:val="20"/>
                <w:color w:val="auto"/>
              </w:rPr>
            </w:pPr>
            <w:r>
              <w:rPr>
                <w:rFonts w:ascii="Arial" w:cs="Arial" w:eastAsia="Arial" w:hAnsi="Arial"/>
                <w:sz w:val="18"/>
                <w:szCs w:val="18"/>
                <w:color w:val="auto"/>
                <w:w w:val="79"/>
              </w:rPr>
              <w:t>$</w:t>
            </w:r>
          </w:p>
        </w:tc>
        <w:tc>
          <w:tcPr>
            <w:tcW w:w="6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2,217</w:t>
            </w:r>
          </w:p>
        </w:tc>
        <w:tc>
          <w:tcPr>
            <w:tcW w:w="340" w:type="dxa"/>
            <w:vAlign w:val="bottom"/>
            <w:shd w:val="clear" w:color="auto" w:fill="CFF0FC"/>
          </w:tcPr>
          <w:p>
            <w:pPr>
              <w:spacing w:after="0"/>
              <w:rPr>
                <w:sz w:val="19"/>
                <w:szCs w:val="19"/>
                <w:color w:val="auto"/>
              </w:rPr>
            </w:pPr>
          </w:p>
        </w:tc>
        <w:tc>
          <w:tcPr>
            <w:tcW w:w="660" w:type="dxa"/>
            <w:vAlign w:val="bottom"/>
            <w:shd w:val="clear" w:color="auto" w:fill="CFF0FC"/>
          </w:tcPr>
          <w:p>
            <w:pPr>
              <w:jc w:val="right"/>
              <w:ind w:right="507"/>
              <w:spacing w:after="0"/>
              <w:rPr>
                <w:sz w:val="20"/>
                <w:szCs w:val="20"/>
                <w:color w:val="auto"/>
              </w:rPr>
            </w:pPr>
            <w:r>
              <w:rPr>
                <w:rFonts w:ascii="Arial" w:cs="Arial" w:eastAsia="Arial" w:hAnsi="Arial"/>
                <w:sz w:val="15"/>
                <w:szCs w:val="15"/>
                <w:color w:val="auto"/>
                <w:w w:val="71"/>
              </w:rPr>
              <w:t>$</w:t>
            </w:r>
          </w:p>
        </w:tc>
        <w:tc>
          <w:tcPr>
            <w:tcW w:w="13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2,541</w:t>
            </w:r>
          </w:p>
        </w:tc>
        <w:tc>
          <w:tcPr>
            <w:tcW w:w="340" w:type="dxa"/>
            <w:vAlign w:val="bottom"/>
            <w:shd w:val="clear" w:color="auto" w:fill="CFF0FC"/>
          </w:tcPr>
          <w:p>
            <w:pPr>
              <w:spacing w:after="0"/>
              <w:rPr>
                <w:sz w:val="19"/>
                <w:szCs w:val="19"/>
                <w:color w:val="auto"/>
              </w:rPr>
            </w:pPr>
          </w:p>
        </w:tc>
        <w:tc>
          <w:tcPr>
            <w:tcW w:w="2220" w:type="dxa"/>
            <w:vAlign w:val="bottom"/>
            <w:gridSpan w:val="2"/>
            <w:shd w:val="clear" w:color="auto" w:fill="CFF0FC"/>
          </w:tcPr>
          <w:p>
            <w:pPr>
              <w:jc w:val="right"/>
              <w:ind w:right="20"/>
              <w:spacing w:after="0"/>
              <w:rPr>
                <w:sz w:val="20"/>
                <w:szCs w:val="20"/>
                <w:color w:val="auto"/>
              </w:rPr>
            </w:pPr>
            <w:r>
              <w:rPr>
                <w:rFonts w:ascii="Arial" w:cs="Arial" w:eastAsia="Arial" w:hAnsi="Arial"/>
                <w:sz w:val="18"/>
                <w:szCs w:val="18"/>
                <w:color w:val="auto"/>
              </w:rPr>
              <w:t>(12.8)%</w:t>
            </w:r>
          </w:p>
        </w:tc>
        <w:tc>
          <w:tcPr>
            <w:tcW w:w="0" w:type="dxa"/>
            <w:vAlign w:val="bottom"/>
          </w:tcPr>
          <w:p>
            <w:pPr>
              <w:spacing w:after="0"/>
              <w:rPr>
                <w:sz w:val="1"/>
                <w:szCs w:val="1"/>
                <w:color w:val="auto"/>
              </w:rPr>
            </w:pPr>
          </w:p>
        </w:tc>
      </w:tr>
      <w:tr>
        <w:trPr>
          <w:trHeight w:val="20"/>
        </w:trPr>
        <w:tc>
          <w:tcPr>
            <w:tcW w:w="3000" w:type="dxa"/>
            <w:vAlign w:val="bottom"/>
            <w:tcBorders>
              <w:top w:val="single" w:sz="8" w:color="CFF0FC"/>
            </w:tcBorders>
          </w:tcPr>
          <w:p>
            <w:pPr>
              <w:spacing w:after="0" w:line="20" w:lineRule="exact"/>
              <w:rPr>
                <w:sz w:val="1"/>
                <w:szCs w:val="1"/>
                <w:color w:val="auto"/>
              </w:rPr>
            </w:pPr>
          </w:p>
        </w:tc>
        <w:tc>
          <w:tcPr>
            <w:tcW w:w="1560" w:type="dxa"/>
            <w:vAlign w:val="bottom"/>
            <w:tcBorders>
              <w:top w:val="single" w:sz="8" w:color="CFF0FC"/>
            </w:tcBorders>
          </w:tcPr>
          <w:p>
            <w:pPr>
              <w:spacing w:after="0" w:line="20" w:lineRule="exact"/>
              <w:rPr>
                <w:sz w:val="1"/>
                <w:szCs w:val="1"/>
                <w:color w:val="auto"/>
              </w:rPr>
            </w:pPr>
          </w:p>
        </w:tc>
        <w:tc>
          <w:tcPr>
            <w:tcW w:w="132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CFF0FC"/>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132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CFF0FC"/>
            </w:tcBorders>
          </w:tcPr>
          <w:p>
            <w:pPr>
              <w:spacing w:after="0" w:line="20" w:lineRule="exact"/>
              <w:rPr>
                <w:sz w:val="1"/>
                <w:szCs w:val="1"/>
                <w:color w:val="auto"/>
              </w:rPr>
            </w:pPr>
          </w:p>
        </w:tc>
        <w:tc>
          <w:tcPr>
            <w:tcW w:w="20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FF0F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93" w:lineRule="exact"/>
        <w:rPr>
          <w:sz w:val="20"/>
          <w:szCs w:val="20"/>
          <w:color w:val="auto"/>
        </w:rPr>
      </w:pPr>
    </w:p>
    <w:p>
      <w:pPr>
        <w:jc w:val="both"/>
        <w:spacing w:after="0" w:line="275" w:lineRule="auto"/>
        <w:rPr>
          <w:sz w:val="20"/>
          <w:szCs w:val="20"/>
          <w:color w:val="auto"/>
        </w:rPr>
      </w:pPr>
      <w:r>
        <w:rPr>
          <w:rFonts w:ascii="Arial" w:cs="Arial" w:eastAsia="Arial" w:hAnsi="Arial"/>
          <w:sz w:val="18"/>
          <w:szCs w:val="18"/>
          <w:color w:val="auto"/>
        </w:rPr>
        <w:t>The decrease in corporate activities during the three months ended March 31, 2018 was primarily due to a decrease in performance-based compensation expense and lower acquisition transaction-related costs in 2018.</w:t>
      </w:r>
    </w:p>
    <w:p>
      <w:pPr>
        <w:spacing w:after="0" w:line="27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Other Expense</w:t>
      </w:r>
    </w:p>
    <w:p>
      <w:pPr>
        <w:spacing w:after="0" w:line="23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800" w:type="dxa"/>
            <w:vAlign w:val="bottom"/>
          </w:tcPr>
          <w:p>
            <w:pPr>
              <w:spacing w:after="0"/>
              <w:rPr>
                <w:sz w:val="14"/>
                <w:szCs w:val="14"/>
                <w:color w:val="auto"/>
              </w:rPr>
            </w:pPr>
          </w:p>
        </w:tc>
        <w:tc>
          <w:tcPr>
            <w:tcW w:w="1760" w:type="dxa"/>
            <w:vAlign w:val="bottom"/>
          </w:tcPr>
          <w:p>
            <w:pPr>
              <w:spacing w:after="0"/>
              <w:rPr>
                <w:sz w:val="14"/>
                <w:szCs w:val="14"/>
                <w:color w:val="auto"/>
              </w:rPr>
            </w:pPr>
          </w:p>
        </w:tc>
        <w:tc>
          <w:tcPr>
            <w:tcW w:w="1320" w:type="dxa"/>
            <w:vAlign w:val="bottom"/>
          </w:tcPr>
          <w:p>
            <w:pPr>
              <w:spacing w:after="0"/>
              <w:rPr>
                <w:sz w:val="14"/>
                <w:szCs w:val="14"/>
                <w:color w:val="auto"/>
              </w:rPr>
            </w:pPr>
          </w:p>
        </w:tc>
        <w:tc>
          <w:tcPr>
            <w:tcW w:w="1660" w:type="dxa"/>
            <w:vAlign w:val="bottom"/>
            <w:gridSpan w:val="3"/>
          </w:tcPr>
          <w:p>
            <w:pPr>
              <w:jc w:val="center"/>
              <w:spacing w:after="0"/>
              <w:rPr>
                <w:sz w:val="20"/>
                <w:szCs w:val="20"/>
                <w:color w:val="auto"/>
              </w:rPr>
            </w:pPr>
            <w:r>
              <w:rPr>
                <w:rFonts w:ascii="Arial" w:cs="Arial" w:eastAsia="Arial" w:hAnsi="Arial"/>
                <w:sz w:val="14"/>
                <w:szCs w:val="14"/>
                <w:b w:val="1"/>
                <w:bCs w:val="1"/>
                <w:color w:val="auto"/>
                <w:w w:val="93"/>
              </w:rPr>
              <w:t>Three Months Ended</w:t>
            </w:r>
          </w:p>
        </w:tc>
        <w:tc>
          <w:tcPr>
            <w:tcW w:w="132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20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1"/>
        </w:trPr>
        <w:tc>
          <w:tcPr>
            <w:tcW w:w="2800" w:type="dxa"/>
            <w:vAlign w:val="bottom"/>
          </w:tcPr>
          <w:p>
            <w:pPr>
              <w:spacing w:after="0"/>
              <w:rPr>
                <w:sz w:val="14"/>
                <w:szCs w:val="14"/>
                <w:color w:val="auto"/>
              </w:rPr>
            </w:pPr>
          </w:p>
        </w:tc>
        <w:tc>
          <w:tcPr>
            <w:tcW w:w="1760" w:type="dxa"/>
            <w:vAlign w:val="bottom"/>
          </w:tcPr>
          <w:p>
            <w:pPr>
              <w:spacing w:after="0"/>
              <w:rPr>
                <w:sz w:val="14"/>
                <w:szCs w:val="14"/>
                <w:color w:val="auto"/>
              </w:rPr>
            </w:pPr>
          </w:p>
        </w:tc>
        <w:tc>
          <w:tcPr>
            <w:tcW w:w="1320" w:type="dxa"/>
            <w:vAlign w:val="bottom"/>
            <w:tcBorders>
              <w:bottom w:val="single" w:sz="8" w:color="auto"/>
            </w:tcBorders>
          </w:tcPr>
          <w:p>
            <w:pPr>
              <w:spacing w:after="0"/>
              <w:rPr>
                <w:sz w:val="14"/>
                <w:szCs w:val="14"/>
                <w:color w:val="auto"/>
              </w:rPr>
            </w:pPr>
          </w:p>
        </w:tc>
        <w:tc>
          <w:tcPr>
            <w:tcW w:w="1660" w:type="dxa"/>
            <w:vAlign w:val="bottom"/>
            <w:tcBorders>
              <w:bottom w:val="single" w:sz="8" w:color="auto"/>
            </w:tcBorders>
            <w:gridSpan w:val="3"/>
          </w:tcPr>
          <w:p>
            <w:pPr>
              <w:jc w:val="center"/>
              <w:spacing w:after="0"/>
              <w:rPr>
                <w:sz w:val="20"/>
                <w:szCs w:val="20"/>
                <w:color w:val="auto"/>
              </w:rPr>
            </w:pPr>
            <w:r>
              <w:rPr>
                <w:rFonts w:ascii="Arial" w:cs="Arial" w:eastAsia="Arial" w:hAnsi="Arial"/>
                <w:sz w:val="14"/>
                <w:szCs w:val="14"/>
                <w:b w:val="1"/>
                <w:bCs w:val="1"/>
                <w:color w:val="auto"/>
                <w:w w:val="95"/>
              </w:rPr>
              <w:t>March 31,</w:t>
            </w:r>
          </w:p>
        </w:tc>
        <w:tc>
          <w:tcPr>
            <w:tcW w:w="1320" w:type="dxa"/>
            <w:vAlign w:val="bottom"/>
            <w:tcBorders>
              <w:bottom w:val="single" w:sz="8" w:color="auto"/>
            </w:tcBorders>
          </w:tcPr>
          <w:p>
            <w:pPr>
              <w:spacing w:after="0"/>
              <w:rPr>
                <w:sz w:val="14"/>
                <w:szCs w:val="14"/>
                <w:color w:val="auto"/>
              </w:rPr>
            </w:pPr>
          </w:p>
        </w:tc>
        <w:tc>
          <w:tcPr>
            <w:tcW w:w="340" w:type="dxa"/>
            <w:vAlign w:val="bottom"/>
          </w:tcPr>
          <w:p>
            <w:pPr>
              <w:spacing w:after="0"/>
              <w:rPr>
                <w:sz w:val="14"/>
                <w:szCs w:val="14"/>
                <w:color w:val="auto"/>
              </w:rPr>
            </w:pPr>
          </w:p>
        </w:tc>
        <w:tc>
          <w:tcPr>
            <w:tcW w:w="2220" w:type="dxa"/>
            <w:vAlign w:val="bottom"/>
            <w:gridSpan w:val="2"/>
            <w:vMerge w:val="restart"/>
          </w:tcPr>
          <w:p>
            <w:pPr>
              <w:jc w:val="center"/>
              <w:ind w:right="240"/>
              <w:spacing w:after="0"/>
              <w:rPr>
                <w:sz w:val="20"/>
                <w:szCs w:val="20"/>
                <w:color w:val="auto"/>
              </w:rPr>
            </w:pPr>
            <w:r>
              <w:rPr>
                <w:rFonts w:ascii="Arial" w:cs="Arial" w:eastAsia="Arial" w:hAnsi="Arial"/>
                <w:sz w:val="14"/>
                <w:szCs w:val="14"/>
                <w:b w:val="1"/>
                <w:bCs w:val="1"/>
                <w:color w:val="auto"/>
                <w:w w:val="90"/>
              </w:rPr>
              <w:t>Percentage Change</w:t>
            </w:r>
          </w:p>
        </w:tc>
        <w:tc>
          <w:tcPr>
            <w:tcW w:w="0" w:type="dxa"/>
            <w:vAlign w:val="bottom"/>
          </w:tcPr>
          <w:p>
            <w:pPr>
              <w:spacing w:after="0"/>
              <w:rPr>
                <w:sz w:val="1"/>
                <w:szCs w:val="1"/>
                <w:color w:val="auto"/>
              </w:rPr>
            </w:pPr>
          </w:p>
        </w:tc>
      </w:tr>
      <w:tr>
        <w:trPr>
          <w:trHeight w:val="119"/>
        </w:trPr>
        <w:tc>
          <w:tcPr>
            <w:tcW w:w="2800" w:type="dxa"/>
            <w:vAlign w:val="bottom"/>
          </w:tcPr>
          <w:p>
            <w:pPr>
              <w:spacing w:after="0"/>
              <w:rPr>
                <w:sz w:val="10"/>
                <w:szCs w:val="10"/>
                <w:color w:val="auto"/>
              </w:rPr>
            </w:pPr>
          </w:p>
        </w:tc>
        <w:tc>
          <w:tcPr>
            <w:tcW w:w="1760" w:type="dxa"/>
            <w:vAlign w:val="bottom"/>
            <w:vMerge w:val="restart"/>
          </w:tcPr>
          <w:p>
            <w:pPr>
              <w:spacing w:after="0"/>
              <w:rPr>
                <w:sz w:val="10"/>
                <w:szCs w:val="10"/>
                <w:color w:val="auto"/>
              </w:rPr>
            </w:pPr>
          </w:p>
        </w:tc>
        <w:tc>
          <w:tcPr>
            <w:tcW w:w="1320" w:type="dxa"/>
            <w:vAlign w:val="bottom"/>
            <w:vMerge w:val="restart"/>
          </w:tcPr>
          <w:p>
            <w:pPr>
              <w:jc w:val="right"/>
              <w:ind w:right="119"/>
              <w:spacing w:after="0"/>
              <w:rPr>
                <w:sz w:val="20"/>
                <w:szCs w:val="20"/>
                <w:color w:val="auto"/>
              </w:rPr>
            </w:pPr>
            <w:r>
              <w:rPr>
                <w:rFonts w:ascii="Arial" w:cs="Arial" w:eastAsia="Arial" w:hAnsi="Arial"/>
                <w:sz w:val="14"/>
                <w:szCs w:val="14"/>
                <w:b w:val="1"/>
                <w:bCs w:val="1"/>
                <w:color w:val="auto"/>
              </w:rPr>
              <w:t>2018</w:t>
            </w:r>
          </w:p>
        </w:tc>
        <w:tc>
          <w:tcPr>
            <w:tcW w:w="660" w:type="dxa"/>
            <w:vAlign w:val="bottom"/>
          </w:tcPr>
          <w:p>
            <w:pPr>
              <w:spacing w:after="0"/>
              <w:rPr>
                <w:sz w:val="10"/>
                <w:szCs w:val="10"/>
                <w:color w:val="auto"/>
              </w:rPr>
            </w:pPr>
          </w:p>
        </w:tc>
        <w:tc>
          <w:tcPr>
            <w:tcW w:w="34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1320" w:type="dxa"/>
            <w:vAlign w:val="bottom"/>
            <w:vMerge w:val="restart"/>
          </w:tcPr>
          <w:p>
            <w:pPr>
              <w:jc w:val="right"/>
              <w:ind w:right="779"/>
              <w:spacing w:after="0"/>
              <w:rPr>
                <w:sz w:val="20"/>
                <w:szCs w:val="20"/>
                <w:color w:val="auto"/>
              </w:rPr>
            </w:pPr>
            <w:r>
              <w:rPr>
                <w:rFonts w:ascii="Arial" w:cs="Arial" w:eastAsia="Arial" w:hAnsi="Arial"/>
                <w:sz w:val="14"/>
                <w:szCs w:val="14"/>
                <w:b w:val="1"/>
                <w:bCs w:val="1"/>
                <w:color w:val="auto"/>
              </w:rPr>
              <w:t>2017</w:t>
            </w:r>
          </w:p>
        </w:tc>
        <w:tc>
          <w:tcPr>
            <w:tcW w:w="340" w:type="dxa"/>
            <w:vAlign w:val="bottom"/>
          </w:tcPr>
          <w:p>
            <w:pPr>
              <w:spacing w:after="0"/>
              <w:rPr>
                <w:sz w:val="10"/>
                <w:szCs w:val="10"/>
                <w:color w:val="auto"/>
              </w:rPr>
            </w:pPr>
          </w:p>
        </w:tc>
        <w:tc>
          <w:tcPr>
            <w:tcW w:w="2220" w:type="dxa"/>
            <w:vAlign w:val="bottom"/>
            <w:gridSpan w:val="2"/>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71"/>
        </w:trPr>
        <w:tc>
          <w:tcPr>
            <w:tcW w:w="2800" w:type="dxa"/>
            <w:vAlign w:val="bottom"/>
            <w:tcBorders>
              <w:bottom w:val="single" w:sz="8" w:color="CFF0FC"/>
            </w:tcBorders>
          </w:tcPr>
          <w:p>
            <w:pPr>
              <w:spacing w:after="0"/>
              <w:rPr>
                <w:sz w:val="20"/>
                <w:szCs w:val="20"/>
                <w:color w:val="auto"/>
              </w:rPr>
            </w:pPr>
            <w:r>
              <w:rPr>
                <w:rFonts w:ascii="Arial" w:cs="Arial" w:eastAsia="Arial" w:hAnsi="Arial"/>
                <w:sz w:val="14"/>
                <w:szCs w:val="14"/>
                <w:i w:val="1"/>
                <w:iCs w:val="1"/>
                <w:color w:val="auto"/>
              </w:rPr>
              <w:t>(in thousands)</w:t>
            </w:r>
          </w:p>
        </w:tc>
        <w:tc>
          <w:tcPr>
            <w:tcW w:w="1760" w:type="dxa"/>
            <w:vAlign w:val="bottom"/>
            <w:tcBorders>
              <w:bottom w:val="single" w:sz="8" w:color="CFF0FC"/>
            </w:tcBorders>
            <w:vMerge w:val="continue"/>
          </w:tcPr>
          <w:p>
            <w:pPr>
              <w:spacing w:after="0"/>
              <w:rPr>
                <w:sz w:val="14"/>
                <w:szCs w:val="14"/>
                <w:color w:val="auto"/>
              </w:rPr>
            </w:pPr>
          </w:p>
        </w:tc>
        <w:tc>
          <w:tcPr>
            <w:tcW w:w="1320" w:type="dxa"/>
            <w:vAlign w:val="bottom"/>
            <w:tcBorders>
              <w:bottom w:val="single" w:sz="8" w:color="auto"/>
            </w:tcBorders>
            <w:vMerge w:val="continue"/>
          </w:tcPr>
          <w:p>
            <w:pPr>
              <w:spacing w:after="0"/>
              <w:rPr>
                <w:sz w:val="14"/>
                <w:szCs w:val="14"/>
                <w:color w:val="auto"/>
              </w:rPr>
            </w:pPr>
          </w:p>
        </w:tc>
        <w:tc>
          <w:tcPr>
            <w:tcW w:w="660" w:type="dxa"/>
            <w:vAlign w:val="bottom"/>
            <w:tcBorders>
              <w:bottom w:val="single" w:sz="8" w:color="auto"/>
            </w:tcBorders>
          </w:tcPr>
          <w:p>
            <w:pPr>
              <w:spacing w:after="0"/>
              <w:rPr>
                <w:sz w:val="14"/>
                <w:szCs w:val="14"/>
                <w:color w:val="auto"/>
              </w:rPr>
            </w:pPr>
          </w:p>
        </w:tc>
        <w:tc>
          <w:tcPr>
            <w:tcW w:w="340" w:type="dxa"/>
            <w:vAlign w:val="bottom"/>
            <w:tcBorders>
              <w:bottom w:val="single" w:sz="8" w:color="CFF0FC"/>
            </w:tcBorders>
          </w:tcPr>
          <w:p>
            <w:pPr>
              <w:spacing w:after="0"/>
              <w:rPr>
                <w:sz w:val="14"/>
                <w:szCs w:val="14"/>
                <w:color w:val="auto"/>
              </w:rPr>
            </w:pPr>
          </w:p>
        </w:tc>
        <w:tc>
          <w:tcPr>
            <w:tcW w:w="660" w:type="dxa"/>
            <w:vAlign w:val="bottom"/>
            <w:tcBorders>
              <w:bottom w:val="single" w:sz="8" w:color="auto"/>
            </w:tcBorders>
          </w:tcPr>
          <w:p>
            <w:pPr>
              <w:spacing w:after="0"/>
              <w:rPr>
                <w:sz w:val="14"/>
                <w:szCs w:val="14"/>
                <w:color w:val="auto"/>
              </w:rPr>
            </w:pPr>
          </w:p>
        </w:tc>
        <w:tc>
          <w:tcPr>
            <w:tcW w:w="1320" w:type="dxa"/>
            <w:vAlign w:val="bottom"/>
            <w:tcBorders>
              <w:bottom w:val="single" w:sz="8" w:color="auto"/>
            </w:tcBorders>
            <w:vMerge w:val="continue"/>
          </w:tcPr>
          <w:p>
            <w:pPr>
              <w:spacing w:after="0"/>
              <w:rPr>
                <w:sz w:val="14"/>
                <w:szCs w:val="14"/>
                <w:color w:val="auto"/>
              </w:rPr>
            </w:pPr>
          </w:p>
        </w:tc>
        <w:tc>
          <w:tcPr>
            <w:tcW w:w="340" w:type="dxa"/>
            <w:vAlign w:val="bottom"/>
            <w:tcBorders>
              <w:bottom w:val="single" w:sz="8" w:color="CFF0FC"/>
            </w:tcBorders>
          </w:tcPr>
          <w:p>
            <w:pPr>
              <w:spacing w:after="0"/>
              <w:rPr>
                <w:sz w:val="14"/>
                <w:szCs w:val="14"/>
                <w:color w:val="auto"/>
              </w:rPr>
            </w:pPr>
          </w:p>
        </w:tc>
        <w:tc>
          <w:tcPr>
            <w:tcW w:w="20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1"/>
              </w:rPr>
              <w:t>2018 vs. 2017</w:t>
            </w:r>
          </w:p>
        </w:tc>
        <w:tc>
          <w:tcPr>
            <w:tcW w:w="220" w:type="dxa"/>
            <w:vAlign w:val="bottom"/>
            <w:tcBorders>
              <w:bottom w:val="single" w:sz="8" w:color="CFF0FC"/>
            </w:tcBorders>
          </w:tcPr>
          <w:p>
            <w:pPr>
              <w:spacing w:after="0"/>
              <w:rPr>
                <w:sz w:val="14"/>
                <w:szCs w:val="14"/>
                <w:color w:val="auto"/>
              </w:rPr>
            </w:pPr>
          </w:p>
        </w:tc>
        <w:tc>
          <w:tcPr>
            <w:tcW w:w="0" w:type="dxa"/>
            <w:vAlign w:val="bottom"/>
          </w:tcPr>
          <w:p>
            <w:pPr>
              <w:spacing w:after="0"/>
              <w:rPr>
                <w:sz w:val="1"/>
                <w:szCs w:val="1"/>
                <w:color w:val="auto"/>
              </w:rPr>
            </w:pPr>
          </w:p>
        </w:tc>
      </w:tr>
      <w:tr>
        <w:trPr>
          <w:trHeight w:val="222"/>
        </w:trPr>
        <w:tc>
          <w:tcPr>
            <w:tcW w:w="2800" w:type="dxa"/>
            <w:vAlign w:val="bottom"/>
            <w:shd w:val="clear" w:color="auto" w:fill="CFF0FC"/>
          </w:tcPr>
          <w:p>
            <w:pPr>
              <w:spacing w:after="0"/>
              <w:rPr>
                <w:sz w:val="20"/>
                <w:szCs w:val="20"/>
                <w:color w:val="auto"/>
              </w:rPr>
            </w:pPr>
            <w:r>
              <w:rPr>
                <w:rFonts w:ascii="Arial" w:cs="Arial" w:eastAsia="Arial" w:hAnsi="Arial"/>
                <w:sz w:val="18"/>
                <w:szCs w:val="18"/>
                <w:color w:val="auto"/>
              </w:rPr>
              <w:t>Other expense</w:t>
            </w:r>
          </w:p>
        </w:tc>
        <w:tc>
          <w:tcPr>
            <w:tcW w:w="1760" w:type="dxa"/>
            <w:vAlign w:val="bottom"/>
            <w:shd w:val="clear" w:color="auto" w:fill="CFF0FC"/>
          </w:tcPr>
          <w:p>
            <w:pPr>
              <w:spacing w:after="0"/>
              <w:rPr>
                <w:sz w:val="19"/>
                <w:szCs w:val="19"/>
                <w:color w:val="auto"/>
              </w:rPr>
            </w:pPr>
          </w:p>
        </w:tc>
        <w:tc>
          <w:tcPr>
            <w:tcW w:w="1320" w:type="dxa"/>
            <w:vAlign w:val="bottom"/>
            <w:shd w:val="clear" w:color="auto" w:fill="CFF0FC"/>
          </w:tcPr>
          <w:p>
            <w:pPr>
              <w:jc w:val="right"/>
              <w:ind w:right="1139"/>
              <w:spacing w:after="0"/>
              <w:rPr>
                <w:sz w:val="20"/>
                <w:szCs w:val="20"/>
                <w:color w:val="auto"/>
              </w:rPr>
            </w:pPr>
            <w:r>
              <w:rPr>
                <w:rFonts w:ascii="Arial" w:cs="Arial" w:eastAsia="Arial" w:hAnsi="Arial"/>
                <w:sz w:val="18"/>
                <w:szCs w:val="18"/>
                <w:color w:val="auto"/>
                <w:w w:val="79"/>
              </w:rPr>
              <w:t>$</w:t>
            </w:r>
          </w:p>
        </w:tc>
        <w:tc>
          <w:tcPr>
            <w:tcW w:w="6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238</w:t>
            </w:r>
          </w:p>
        </w:tc>
        <w:tc>
          <w:tcPr>
            <w:tcW w:w="340" w:type="dxa"/>
            <w:vAlign w:val="bottom"/>
            <w:shd w:val="clear" w:color="auto" w:fill="CFF0FC"/>
          </w:tcPr>
          <w:p>
            <w:pPr>
              <w:spacing w:after="0"/>
              <w:rPr>
                <w:sz w:val="19"/>
                <w:szCs w:val="19"/>
                <w:color w:val="auto"/>
              </w:rPr>
            </w:pPr>
          </w:p>
        </w:tc>
        <w:tc>
          <w:tcPr>
            <w:tcW w:w="660" w:type="dxa"/>
            <w:vAlign w:val="bottom"/>
            <w:shd w:val="clear" w:color="auto" w:fill="CFF0FC"/>
          </w:tcPr>
          <w:p>
            <w:pPr>
              <w:jc w:val="right"/>
              <w:ind w:right="507"/>
              <w:spacing w:after="0"/>
              <w:rPr>
                <w:sz w:val="20"/>
                <w:szCs w:val="20"/>
                <w:color w:val="auto"/>
              </w:rPr>
            </w:pPr>
            <w:r>
              <w:rPr>
                <w:rFonts w:ascii="Arial" w:cs="Arial" w:eastAsia="Arial" w:hAnsi="Arial"/>
                <w:sz w:val="15"/>
                <w:szCs w:val="15"/>
                <w:color w:val="auto"/>
                <w:w w:val="71"/>
              </w:rPr>
              <w:t>$</w:t>
            </w:r>
          </w:p>
        </w:tc>
        <w:tc>
          <w:tcPr>
            <w:tcW w:w="13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452</w:t>
            </w:r>
          </w:p>
        </w:tc>
        <w:tc>
          <w:tcPr>
            <w:tcW w:w="340" w:type="dxa"/>
            <w:vAlign w:val="bottom"/>
            <w:shd w:val="clear" w:color="auto" w:fill="CFF0FC"/>
          </w:tcPr>
          <w:p>
            <w:pPr>
              <w:spacing w:after="0"/>
              <w:rPr>
                <w:sz w:val="19"/>
                <w:szCs w:val="19"/>
                <w:color w:val="auto"/>
              </w:rPr>
            </w:pPr>
          </w:p>
        </w:tc>
        <w:tc>
          <w:tcPr>
            <w:tcW w:w="2220" w:type="dxa"/>
            <w:vAlign w:val="bottom"/>
            <w:gridSpan w:val="2"/>
            <w:shd w:val="clear" w:color="auto" w:fill="CFF0FC"/>
          </w:tcPr>
          <w:p>
            <w:pPr>
              <w:jc w:val="right"/>
              <w:ind w:right="20"/>
              <w:spacing w:after="0"/>
              <w:rPr>
                <w:sz w:val="20"/>
                <w:szCs w:val="20"/>
                <w:color w:val="auto"/>
              </w:rPr>
            </w:pPr>
            <w:r>
              <w:rPr>
                <w:rFonts w:ascii="Arial" w:cs="Arial" w:eastAsia="Arial" w:hAnsi="Arial"/>
                <w:sz w:val="18"/>
                <w:szCs w:val="18"/>
                <w:color w:val="auto"/>
              </w:rPr>
              <w:t>(47.3)%</w:t>
            </w:r>
          </w:p>
        </w:tc>
        <w:tc>
          <w:tcPr>
            <w:tcW w:w="0" w:type="dxa"/>
            <w:vAlign w:val="bottom"/>
          </w:tcPr>
          <w:p>
            <w:pPr>
              <w:spacing w:after="0"/>
              <w:rPr>
                <w:sz w:val="1"/>
                <w:szCs w:val="1"/>
                <w:color w:val="auto"/>
              </w:rPr>
            </w:pPr>
          </w:p>
        </w:tc>
      </w:tr>
      <w:tr>
        <w:trPr>
          <w:trHeight w:val="20"/>
        </w:trPr>
        <w:tc>
          <w:tcPr>
            <w:tcW w:w="2800" w:type="dxa"/>
            <w:vAlign w:val="bottom"/>
            <w:tcBorders>
              <w:top w:val="single" w:sz="8" w:color="CFF0FC"/>
            </w:tcBorders>
          </w:tcPr>
          <w:p>
            <w:pPr>
              <w:spacing w:after="0" w:line="20" w:lineRule="exact"/>
              <w:rPr>
                <w:sz w:val="1"/>
                <w:szCs w:val="1"/>
                <w:color w:val="auto"/>
              </w:rPr>
            </w:pPr>
          </w:p>
        </w:tc>
        <w:tc>
          <w:tcPr>
            <w:tcW w:w="1760" w:type="dxa"/>
            <w:vAlign w:val="bottom"/>
            <w:tcBorders>
              <w:top w:val="single" w:sz="8" w:color="CFF0FC"/>
            </w:tcBorders>
          </w:tcPr>
          <w:p>
            <w:pPr>
              <w:spacing w:after="0" w:line="20" w:lineRule="exact"/>
              <w:rPr>
                <w:sz w:val="1"/>
                <w:szCs w:val="1"/>
                <w:color w:val="auto"/>
              </w:rPr>
            </w:pPr>
          </w:p>
        </w:tc>
        <w:tc>
          <w:tcPr>
            <w:tcW w:w="132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CFF0FC"/>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132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CFF0FC"/>
            </w:tcBorders>
          </w:tcPr>
          <w:p>
            <w:pPr>
              <w:spacing w:after="0" w:line="20" w:lineRule="exact"/>
              <w:rPr>
                <w:sz w:val="1"/>
                <w:szCs w:val="1"/>
                <w:color w:val="auto"/>
              </w:rPr>
            </w:pPr>
          </w:p>
        </w:tc>
        <w:tc>
          <w:tcPr>
            <w:tcW w:w="20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FF0F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93" w:lineRule="exact"/>
        <w:rPr>
          <w:sz w:val="20"/>
          <w:szCs w:val="20"/>
          <w:color w:val="auto"/>
        </w:rPr>
      </w:pPr>
    </w:p>
    <w:p>
      <w:pPr>
        <w:jc w:val="both"/>
        <w:spacing w:after="0" w:line="310" w:lineRule="auto"/>
        <w:rPr>
          <w:sz w:val="20"/>
          <w:szCs w:val="20"/>
          <w:color w:val="auto"/>
        </w:rPr>
      </w:pPr>
      <w:r>
        <w:rPr>
          <w:rFonts w:ascii="Arial" w:cs="Arial" w:eastAsia="Arial" w:hAnsi="Arial"/>
          <w:sz w:val="16"/>
          <w:szCs w:val="16"/>
          <w:color w:val="auto"/>
        </w:rPr>
        <w:t>On January 1, 2018, we adopted ASU 2017-07, which requires retrospective adoption. As a result, we recorded the nonservice cost component of net periodic benefit cost within other expense for the three months ended March 31, 2018, and we reclassified $0.5 million from operating expenses to other expense for the three months ended March 31, 2017 to conform to current period presentation. Refer to Note 17 – Pension and Postretirement Benefits.</w:t>
      </w:r>
    </w:p>
    <w:p>
      <w:pPr>
        <w:spacing w:after="0" w:line="25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Impairment Recoveries</w:t>
      </w:r>
    </w:p>
    <w:p>
      <w:pPr>
        <w:spacing w:after="0" w:line="299"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100" w:type="dxa"/>
            <w:vAlign w:val="bottom"/>
          </w:tcPr>
          <w:p>
            <w:pPr>
              <w:spacing w:after="0"/>
              <w:rPr>
                <w:sz w:val="14"/>
                <w:szCs w:val="14"/>
                <w:color w:val="auto"/>
              </w:rPr>
            </w:pPr>
          </w:p>
        </w:tc>
        <w:tc>
          <w:tcPr>
            <w:tcW w:w="1460" w:type="dxa"/>
            <w:vAlign w:val="bottom"/>
          </w:tcPr>
          <w:p>
            <w:pPr>
              <w:spacing w:after="0"/>
              <w:rPr>
                <w:sz w:val="14"/>
                <w:szCs w:val="14"/>
                <w:color w:val="auto"/>
              </w:rPr>
            </w:pPr>
          </w:p>
        </w:tc>
        <w:tc>
          <w:tcPr>
            <w:tcW w:w="1320" w:type="dxa"/>
            <w:vAlign w:val="bottom"/>
          </w:tcPr>
          <w:p>
            <w:pPr>
              <w:spacing w:after="0"/>
              <w:rPr>
                <w:sz w:val="14"/>
                <w:szCs w:val="14"/>
                <w:color w:val="auto"/>
              </w:rPr>
            </w:pPr>
          </w:p>
        </w:tc>
        <w:tc>
          <w:tcPr>
            <w:tcW w:w="1660" w:type="dxa"/>
            <w:vAlign w:val="bottom"/>
            <w:gridSpan w:val="3"/>
          </w:tcPr>
          <w:p>
            <w:pPr>
              <w:jc w:val="center"/>
              <w:spacing w:after="0"/>
              <w:rPr>
                <w:sz w:val="20"/>
                <w:szCs w:val="20"/>
                <w:color w:val="auto"/>
              </w:rPr>
            </w:pPr>
            <w:r>
              <w:rPr>
                <w:rFonts w:ascii="Arial" w:cs="Arial" w:eastAsia="Arial" w:hAnsi="Arial"/>
                <w:sz w:val="14"/>
                <w:szCs w:val="14"/>
                <w:b w:val="1"/>
                <w:bCs w:val="1"/>
                <w:color w:val="auto"/>
                <w:w w:val="93"/>
              </w:rPr>
              <w:t>Three Months Ended</w:t>
            </w:r>
          </w:p>
        </w:tc>
        <w:tc>
          <w:tcPr>
            <w:tcW w:w="132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20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1"/>
        </w:trPr>
        <w:tc>
          <w:tcPr>
            <w:tcW w:w="3100" w:type="dxa"/>
            <w:vAlign w:val="bottom"/>
          </w:tcPr>
          <w:p>
            <w:pPr>
              <w:spacing w:after="0"/>
              <w:rPr>
                <w:sz w:val="14"/>
                <w:szCs w:val="14"/>
                <w:color w:val="auto"/>
              </w:rPr>
            </w:pPr>
          </w:p>
        </w:tc>
        <w:tc>
          <w:tcPr>
            <w:tcW w:w="1460" w:type="dxa"/>
            <w:vAlign w:val="bottom"/>
          </w:tcPr>
          <w:p>
            <w:pPr>
              <w:spacing w:after="0"/>
              <w:rPr>
                <w:sz w:val="14"/>
                <w:szCs w:val="14"/>
                <w:color w:val="auto"/>
              </w:rPr>
            </w:pPr>
          </w:p>
        </w:tc>
        <w:tc>
          <w:tcPr>
            <w:tcW w:w="1320" w:type="dxa"/>
            <w:vAlign w:val="bottom"/>
            <w:tcBorders>
              <w:bottom w:val="single" w:sz="8" w:color="auto"/>
            </w:tcBorders>
          </w:tcPr>
          <w:p>
            <w:pPr>
              <w:spacing w:after="0"/>
              <w:rPr>
                <w:sz w:val="14"/>
                <w:szCs w:val="14"/>
                <w:color w:val="auto"/>
              </w:rPr>
            </w:pPr>
          </w:p>
        </w:tc>
        <w:tc>
          <w:tcPr>
            <w:tcW w:w="1660" w:type="dxa"/>
            <w:vAlign w:val="bottom"/>
            <w:tcBorders>
              <w:bottom w:val="single" w:sz="8" w:color="auto"/>
            </w:tcBorders>
            <w:gridSpan w:val="3"/>
          </w:tcPr>
          <w:p>
            <w:pPr>
              <w:jc w:val="center"/>
              <w:spacing w:after="0"/>
              <w:rPr>
                <w:sz w:val="20"/>
                <w:szCs w:val="20"/>
                <w:color w:val="auto"/>
              </w:rPr>
            </w:pPr>
            <w:r>
              <w:rPr>
                <w:rFonts w:ascii="Arial" w:cs="Arial" w:eastAsia="Arial" w:hAnsi="Arial"/>
                <w:sz w:val="14"/>
                <w:szCs w:val="14"/>
                <w:b w:val="1"/>
                <w:bCs w:val="1"/>
                <w:color w:val="auto"/>
                <w:w w:val="95"/>
              </w:rPr>
              <w:t>March 31,</w:t>
            </w:r>
          </w:p>
        </w:tc>
        <w:tc>
          <w:tcPr>
            <w:tcW w:w="1320" w:type="dxa"/>
            <w:vAlign w:val="bottom"/>
            <w:tcBorders>
              <w:bottom w:val="single" w:sz="8" w:color="auto"/>
            </w:tcBorders>
          </w:tcPr>
          <w:p>
            <w:pPr>
              <w:spacing w:after="0"/>
              <w:rPr>
                <w:sz w:val="14"/>
                <w:szCs w:val="14"/>
                <w:color w:val="auto"/>
              </w:rPr>
            </w:pPr>
          </w:p>
        </w:tc>
        <w:tc>
          <w:tcPr>
            <w:tcW w:w="340" w:type="dxa"/>
            <w:vAlign w:val="bottom"/>
          </w:tcPr>
          <w:p>
            <w:pPr>
              <w:spacing w:after="0"/>
              <w:rPr>
                <w:sz w:val="14"/>
                <w:szCs w:val="14"/>
                <w:color w:val="auto"/>
              </w:rPr>
            </w:pPr>
          </w:p>
        </w:tc>
        <w:tc>
          <w:tcPr>
            <w:tcW w:w="2220" w:type="dxa"/>
            <w:vAlign w:val="bottom"/>
            <w:gridSpan w:val="2"/>
            <w:vMerge w:val="restart"/>
          </w:tcPr>
          <w:p>
            <w:pPr>
              <w:jc w:val="center"/>
              <w:ind w:right="240"/>
              <w:spacing w:after="0"/>
              <w:rPr>
                <w:sz w:val="20"/>
                <w:szCs w:val="20"/>
                <w:color w:val="auto"/>
              </w:rPr>
            </w:pPr>
            <w:r>
              <w:rPr>
                <w:rFonts w:ascii="Arial" w:cs="Arial" w:eastAsia="Arial" w:hAnsi="Arial"/>
                <w:sz w:val="14"/>
                <w:szCs w:val="14"/>
                <w:b w:val="1"/>
                <w:bCs w:val="1"/>
                <w:color w:val="auto"/>
                <w:w w:val="90"/>
              </w:rPr>
              <w:t>Percentage Change</w:t>
            </w:r>
          </w:p>
        </w:tc>
        <w:tc>
          <w:tcPr>
            <w:tcW w:w="0" w:type="dxa"/>
            <w:vAlign w:val="bottom"/>
          </w:tcPr>
          <w:p>
            <w:pPr>
              <w:spacing w:after="0"/>
              <w:rPr>
                <w:sz w:val="1"/>
                <w:szCs w:val="1"/>
                <w:color w:val="auto"/>
              </w:rPr>
            </w:pPr>
          </w:p>
        </w:tc>
      </w:tr>
      <w:tr>
        <w:trPr>
          <w:trHeight w:val="119"/>
        </w:trPr>
        <w:tc>
          <w:tcPr>
            <w:tcW w:w="3100" w:type="dxa"/>
            <w:vAlign w:val="bottom"/>
          </w:tcPr>
          <w:p>
            <w:pPr>
              <w:spacing w:after="0"/>
              <w:rPr>
                <w:sz w:val="10"/>
                <w:szCs w:val="10"/>
                <w:color w:val="auto"/>
              </w:rPr>
            </w:pPr>
          </w:p>
        </w:tc>
        <w:tc>
          <w:tcPr>
            <w:tcW w:w="1460" w:type="dxa"/>
            <w:vAlign w:val="bottom"/>
            <w:vMerge w:val="restart"/>
          </w:tcPr>
          <w:p>
            <w:pPr>
              <w:spacing w:after="0"/>
              <w:rPr>
                <w:sz w:val="10"/>
                <w:szCs w:val="10"/>
                <w:color w:val="auto"/>
              </w:rPr>
            </w:pPr>
          </w:p>
        </w:tc>
        <w:tc>
          <w:tcPr>
            <w:tcW w:w="1320" w:type="dxa"/>
            <w:vAlign w:val="bottom"/>
            <w:vMerge w:val="restart"/>
          </w:tcPr>
          <w:p>
            <w:pPr>
              <w:jc w:val="right"/>
              <w:ind w:right="119"/>
              <w:spacing w:after="0"/>
              <w:rPr>
                <w:sz w:val="20"/>
                <w:szCs w:val="20"/>
                <w:color w:val="auto"/>
              </w:rPr>
            </w:pPr>
            <w:r>
              <w:rPr>
                <w:rFonts w:ascii="Arial" w:cs="Arial" w:eastAsia="Arial" w:hAnsi="Arial"/>
                <w:sz w:val="14"/>
                <w:szCs w:val="14"/>
                <w:b w:val="1"/>
                <w:bCs w:val="1"/>
                <w:color w:val="auto"/>
              </w:rPr>
              <w:t>2018</w:t>
            </w:r>
          </w:p>
        </w:tc>
        <w:tc>
          <w:tcPr>
            <w:tcW w:w="660" w:type="dxa"/>
            <w:vAlign w:val="bottom"/>
          </w:tcPr>
          <w:p>
            <w:pPr>
              <w:spacing w:after="0"/>
              <w:rPr>
                <w:sz w:val="10"/>
                <w:szCs w:val="10"/>
                <w:color w:val="auto"/>
              </w:rPr>
            </w:pPr>
          </w:p>
        </w:tc>
        <w:tc>
          <w:tcPr>
            <w:tcW w:w="34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1320" w:type="dxa"/>
            <w:vAlign w:val="bottom"/>
            <w:vMerge w:val="restart"/>
          </w:tcPr>
          <w:p>
            <w:pPr>
              <w:jc w:val="right"/>
              <w:ind w:right="779"/>
              <w:spacing w:after="0"/>
              <w:rPr>
                <w:sz w:val="20"/>
                <w:szCs w:val="20"/>
                <w:color w:val="auto"/>
              </w:rPr>
            </w:pPr>
            <w:r>
              <w:rPr>
                <w:rFonts w:ascii="Arial" w:cs="Arial" w:eastAsia="Arial" w:hAnsi="Arial"/>
                <w:sz w:val="14"/>
                <w:szCs w:val="14"/>
                <w:b w:val="1"/>
                <w:bCs w:val="1"/>
                <w:color w:val="auto"/>
              </w:rPr>
              <w:t>2017</w:t>
            </w:r>
          </w:p>
        </w:tc>
        <w:tc>
          <w:tcPr>
            <w:tcW w:w="340" w:type="dxa"/>
            <w:vAlign w:val="bottom"/>
          </w:tcPr>
          <w:p>
            <w:pPr>
              <w:spacing w:after="0"/>
              <w:rPr>
                <w:sz w:val="10"/>
                <w:szCs w:val="10"/>
                <w:color w:val="auto"/>
              </w:rPr>
            </w:pPr>
          </w:p>
        </w:tc>
        <w:tc>
          <w:tcPr>
            <w:tcW w:w="2220" w:type="dxa"/>
            <w:vAlign w:val="bottom"/>
            <w:gridSpan w:val="2"/>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71"/>
        </w:trPr>
        <w:tc>
          <w:tcPr>
            <w:tcW w:w="3100" w:type="dxa"/>
            <w:vAlign w:val="bottom"/>
            <w:tcBorders>
              <w:bottom w:val="single" w:sz="8" w:color="CFF0FC"/>
            </w:tcBorders>
          </w:tcPr>
          <w:p>
            <w:pPr>
              <w:spacing w:after="0"/>
              <w:rPr>
                <w:sz w:val="20"/>
                <w:szCs w:val="20"/>
                <w:color w:val="auto"/>
              </w:rPr>
            </w:pPr>
            <w:r>
              <w:rPr>
                <w:rFonts w:ascii="Arial" w:cs="Arial" w:eastAsia="Arial" w:hAnsi="Arial"/>
                <w:sz w:val="14"/>
                <w:szCs w:val="14"/>
                <w:i w:val="1"/>
                <w:iCs w:val="1"/>
                <w:color w:val="auto"/>
              </w:rPr>
              <w:t>(in thousands)</w:t>
            </w:r>
          </w:p>
        </w:tc>
        <w:tc>
          <w:tcPr>
            <w:tcW w:w="1460" w:type="dxa"/>
            <w:vAlign w:val="bottom"/>
            <w:tcBorders>
              <w:bottom w:val="single" w:sz="8" w:color="CFF0FC"/>
            </w:tcBorders>
            <w:vMerge w:val="continue"/>
          </w:tcPr>
          <w:p>
            <w:pPr>
              <w:spacing w:after="0"/>
              <w:rPr>
                <w:sz w:val="14"/>
                <w:szCs w:val="14"/>
                <w:color w:val="auto"/>
              </w:rPr>
            </w:pPr>
          </w:p>
        </w:tc>
        <w:tc>
          <w:tcPr>
            <w:tcW w:w="1320" w:type="dxa"/>
            <w:vAlign w:val="bottom"/>
            <w:tcBorders>
              <w:bottom w:val="single" w:sz="8" w:color="auto"/>
            </w:tcBorders>
            <w:vMerge w:val="continue"/>
          </w:tcPr>
          <w:p>
            <w:pPr>
              <w:spacing w:after="0"/>
              <w:rPr>
                <w:sz w:val="14"/>
                <w:szCs w:val="14"/>
                <w:color w:val="auto"/>
              </w:rPr>
            </w:pPr>
          </w:p>
        </w:tc>
        <w:tc>
          <w:tcPr>
            <w:tcW w:w="660" w:type="dxa"/>
            <w:vAlign w:val="bottom"/>
            <w:tcBorders>
              <w:bottom w:val="single" w:sz="8" w:color="auto"/>
            </w:tcBorders>
          </w:tcPr>
          <w:p>
            <w:pPr>
              <w:spacing w:after="0"/>
              <w:rPr>
                <w:sz w:val="14"/>
                <w:szCs w:val="14"/>
                <w:color w:val="auto"/>
              </w:rPr>
            </w:pPr>
          </w:p>
        </w:tc>
        <w:tc>
          <w:tcPr>
            <w:tcW w:w="340" w:type="dxa"/>
            <w:vAlign w:val="bottom"/>
            <w:tcBorders>
              <w:bottom w:val="single" w:sz="8" w:color="CFF0FC"/>
            </w:tcBorders>
          </w:tcPr>
          <w:p>
            <w:pPr>
              <w:spacing w:after="0"/>
              <w:rPr>
                <w:sz w:val="14"/>
                <w:szCs w:val="14"/>
                <w:color w:val="auto"/>
              </w:rPr>
            </w:pPr>
          </w:p>
        </w:tc>
        <w:tc>
          <w:tcPr>
            <w:tcW w:w="660" w:type="dxa"/>
            <w:vAlign w:val="bottom"/>
            <w:tcBorders>
              <w:bottom w:val="single" w:sz="8" w:color="auto"/>
            </w:tcBorders>
          </w:tcPr>
          <w:p>
            <w:pPr>
              <w:spacing w:after="0"/>
              <w:rPr>
                <w:sz w:val="14"/>
                <w:szCs w:val="14"/>
                <w:color w:val="auto"/>
              </w:rPr>
            </w:pPr>
          </w:p>
        </w:tc>
        <w:tc>
          <w:tcPr>
            <w:tcW w:w="1320" w:type="dxa"/>
            <w:vAlign w:val="bottom"/>
            <w:tcBorders>
              <w:bottom w:val="single" w:sz="8" w:color="auto"/>
            </w:tcBorders>
            <w:vMerge w:val="continue"/>
          </w:tcPr>
          <w:p>
            <w:pPr>
              <w:spacing w:after="0"/>
              <w:rPr>
                <w:sz w:val="14"/>
                <w:szCs w:val="14"/>
                <w:color w:val="auto"/>
              </w:rPr>
            </w:pPr>
          </w:p>
        </w:tc>
        <w:tc>
          <w:tcPr>
            <w:tcW w:w="340" w:type="dxa"/>
            <w:vAlign w:val="bottom"/>
            <w:tcBorders>
              <w:bottom w:val="single" w:sz="8" w:color="CFF0FC"/>
            </w:tcBorders>
          </w:tcPr>
          <w:p>
            <w:pPr>
              <w:spacing w:after="0"/>
              <w:rPr>
                <w:sz w:val="14"/>
                <w:szCs w:val="14"/>
                <w:color w:val="auto"/>
              </w:rPr>
            </w:pPr>
          </w:p>
        </w:tc>
        <w:tc>
          <w:tcPr>
            <w:tcW w:w="20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1"/>
              </w:rPr>
              <w:t>2018 vs. 2017</w:t>
            </w:r>
          </w:p>
        </w:tc>
        <w:tc>
          <w:tcPr>
            <w:tcW w:w="220" w:type="dxa"/>
            <w:vAlign w:val="bottom"/>
            <w:tcBorders>
              <w:bottom w:val="single" w:sz="8" w:color="CFF0FC"/>
            </w:tcBorders>
          </w:tcPr>
          <w:p>
            <w:pPr>
              <w:spacing w:after="0"/>
              <w:rPr>
                <w:sz w:val="14"/>
                <w:szCs w:val="14"/>
                <w:color w:val="auto"/>
              </w:rPr>
            </w:pPr>
          </w:p>
        </w:tc>
        <w:tc>
          <w:tcPr>
            <w:tcW w:w="0" w:type="dxa"/>
            <w:vAlign w:val="bottom"/>
          </w:tcPr>
          <w:p>
            <w:pPr>
              <w:spacing w:after="0"/>
              <w:rPr>
                <w:sz w:val="1"/>
                <w:szCs w:val="1"/>
                <w:color w:val="auto"/>
              </w:rPr>
            </w:pPr>
          </w:p>
        </w:tc>
      </w:tr>
      <w:tr>
        <w:trPr>
          <w:trHeight w:val="222"/>
        </w:trPr>
        <w:tc>
          <w:tcPr>
            <w:tcW w:w="3100" w:type="dxa"/>
            <w:vAlign w:val="bottom"/>
            <w:shd w:val="clear" w:color="auto" w:fill="CFF0FC"/>
          </w:tcPr>
          <w:p>
            <w:pPr>
              <w:spacing w:after="0"/>
              <w:rPr>
                <w:sz w:val="20"/>
                <w:szCs w:val="20"/>
                <w:color w:val="auto"/>
              </w:rPr>
            </w:pPr>
            <w:r>
              <w:rPr>
                <w:rFonts w:ascii="Arial" w:cs="Arial" w:eastAsia="Arial" w:hAnsi="Arial"/>
                <w:sz w:val="18"/>
                <w:szCs w:val="18"/>
                <w:color w:val="auto"/>
              </w:rPr>
              <w:t>Impairment recoveries</w:t>
            </w:r>
          </w:p>
        </w:tc>
        <w:tc>
          <w:tcPr>
            <w:tcW w:w="1460" w:type="dxa"/>
            <w:vAlign w:val="bottom"/>
            <w:shd w:val="clear" w:color="auto" w:fill="CFF0FC"/>
          </w:tcPr>
          <w:p>
            <w:pPr>
              <w:spacing w:after="0"/>
              <w:rPr>
                <w:sz w:val="19"/>
                <w:szCs w:val="19"/>
                <w:color w:val="auto"/>
              </w:rPr>
            </w:pPr>
          </w:p>
        </w:tc>
        <w:tc>
          <w:tcPr>
            <w:tcW w:w="1320" w:type="dxa"/>
            <w:vAlign w:val="bottom"/>
            <w:shd w:val="clear" w:color="auto" w:fill="CFF0FC"/>
          </w:tcPr>
          <w:p>
            <w:pPr>
              <w:jc w:val="right"/>
              <w:ind w:right="1139"/>
              <w:spacing w:after="0"/>
              <w:rPr>
                <w:sz w:val="20"/>
                <w:szCs w:val="20"/>
                <w:color w:val="auto"/>
              </w:rPr>
            </w:pPr>
            <w:r>
              <w:rPr>
                <w:rFonts w:ascii="Arial" w:cs="Arial" w:eastAsia="Arial" w:hAnsi="Arial"/>
                <w:sz w:val="18"/>
                <w:szCs w:val="18"/>
                <w:color w:val="auto"/>
                <w:w w:val="79"/>
              </w:rPr>
              <w:t>$</w:t>
            </w:r>
          </w:p>
        </w:tc>
        <w:tc>
          <w:tcPr>
            <w:tcW w:w="660" w:type="dxa"/>
            <w:vAlign w:val="bottom"/>
            <w:shd w:val="clear" w:color="auto" w:fill="CFF0FC"/>
          </w:tcPr>
          <w:p>
            <w:pPr>
              <w:ind w:left="460"/>
              <w:spacing w:after="0"/>
              <w:rPr>
                <w:sz w:val="20"/>
                <w:szCs w:val="20"/>
                <w:color w:val="auto"/>
              </w:rPr>
            </w:pPr>
            <w:r>
              <w:rPr>
                <w:rFonts w:ascii="Arial" w:cs="Arial" w:eastAsia="Arial" w:hAnsi="Arial"/>
                <w:sz w:val="18"/>
                <w:szCs w:val="18"/>
                <w:color w:val="auto"/>
                <w:w w:val="99"/>
              </w:rPr>
              <w:t>—</w:t>
            </w:r>
          </w:p>
        </w:tc>
        <w:tc>
          <w:tcPr>
            <w:tcW w:w="340" w:type="dxa"/>
            <w:vAlign w:val="bottom"/>
            <w:shd w:val="clear" w:color="auto" w:fill="CFF0FC"/>
          </w:tcPr>
          <w:p>
            <w:pPr>
              <w:spacing w:after="0"/>
              <w:rPr>
                <w:sz w:val="19"/>
                <w:szCs w:val="19"/>
                <w:color w:val="auto"/>
              </w:rPr>
            </w:pPr>
          </w:p>
        </w:tc>
        <w:tc>
          <w:tcPr>
            <w:tcW w:w="660" w:type="dxa"/>
            <w:vAlign w:val="bottom"/>
            <w:shd w:val="clear" w:color="auto" w:fill="CFF0FC"/>
          </w:tcPr>
          <w:p>
            <w:pPr>
              <w:jc w:val="right"/>
              <w:ind w:right="507"/>
              <w:spacing w:after="0"/>
              <w:rPr>
                <w:sz w:val="20"/>
                <w:szCs w:val="20"/>
                <w:color w:val="auto"/>
              </w:rPr>
            </w:pPr>
            <w:r>
              <w:rPr>
                <w:rFonts w:ascii="Arial" w:cs="Arial" w:eastAsia="Arial" w:hAnsi="Arial"/>
                <w:sz w:val="15"/>
                <w:szCs w:val="15"/>
                <w:color w:val="auto"/>
                <w:w w:val="71"/>
              </w:rPr>
              <w:t>$</w:t>
            </w:r>
          </w:p>
        </w:tc>
        <w:tc>
          <w:tcPr>
            <w:tcW w:w="13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(2,384)</w:t>
            </w:r>
          </w:p>
        </w:tc>
        <w:tc>
          <w:tcPr>
            <w:tcW w:w="340" w:type="dxa"/>
            <w:vAlign w:val="bottom"/>
            <w:shd w:val="clear" w:color="auto" w:fill="CFF0FC"/>
          </w:tcPr>
          <w:p>
            <w:pPr>
              <w:spacing w:after="0"/>
              <w:rPr>
                <w:sz w:val="19"/>
                <w:szCs w:val="19"/>
                <w:color w:val="auto"/>
              </w:rPr>
            </w:pPr>
          </w:p>
        </w:tc>
        <w:tc>
          <w:tcPr>
            <w:tcW w:w="2220" w:type="dxa"/>
            <w:vAlign w:val="bottom"/>
            <w:gridSpan w:val="2"/>
            <w:shd w:val="clear" w:color="auto" w:fill="CFF0FC"/>
          </w:tcPr>
          <w:p>
            <w:pPr>
              <w:jc w:val="right"/>
              <w:ind w:right="20"/>
              <w:spacing w:after="0"/>
              <w:rPr>
                <w:sz w:val="20"/>
                <w:szCs w:val="20"/>
                <w:color w:val="auto"/>
              </w:rPr>
            </w:pPr>
            <w:r>
              <w:rPr>
                <w:rFonts w:ascii="Arial" w:cs="Arial" w:eastAsia="Arial" w:hAnsi="Arial"/>
                <w:sz w:val="18"/>
                <w:szCs w:val="18"/>
                <w:color w:val="auto"/>
              </w:rPr>
              <w:t>(100.0)%</w:t>
            </w:r>
          </w:p>
        </w:tc>
        <w:tc>
          <w:tcPr>
            <w:tcW w:w="0" w:type="dxa"/>
            <w:vAlign w:val="bottom"/>
          </w:tcPr>
          <w:p>
            <w:pPr>
              <w:spacing w:after="0"/>
              <w:rPr>
                <w:sz w:val="1"/>
                <w:szCs w:val="1"/>
                <w:color w:val="auto"/>
              </w:rPr>
            </w:pPr>
          </w:p>
        </w:tc>
      </w:tr>
      <w:tr>
        <w:trPr>
          <w:trHeight w:val="20"/>
        </w:trPr>
        <w:tc>
          <w:tcPr>
            <w:tcW w:w="3100" w:type="dxa"/>
            <w:vAlign w:val="bottom"/>
            <w:tcBorders>
              <w:top w:val="single" w:sz="8" w:color="CFF0FC"/>
            </w:tcBorders>
          </w:tcPr>
          <w:p>
            <w:pPr>
              <w:spacing w:after="0" w:line="20" w:lineRule="exact"/>
              <w:rPr>
                <w:sz w:val="1"/>
                <w:szCs w:val="1"/>
                <w:color w:val="auto"/>
              </w:rPr>
            </w:pPr>
          </w:p>
        </w:tc>
        <w:tc>
          <w:tcPr>
            <w:tcW w:w="1460" w:type="dxa"/>
            <w:vAlign w:val="bottom"/>
            <w:tcBorders>
              <w:top w:val="single" w:sz="8" w:color="CFF0FC"/>
            </w:tcBorders>
          </w:tcPr>
          <w:p>
            <w:pPr>
              <w:spacing w:after="0" w:line="20" w:lineRule="exact"/>
              <w:rPr>
                <w:sz w:val="1"/>
                <w:szCs w:val="1"/>
                <w:color w:val="auto"/>
              </w:rPr>
            </w:pPr>
          </w:p>
        </w:tc>
        <w:tc>
          <w:tcPr>
            <w:tcW w:w="132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CFF0FC"/>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132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CFF0FC"/>
            </w:tcBorders>
          </w:tcPr>
          <w:p>
            <w:pPr>
              <w:spacing w:after="0" w:line="20" w:lineRule="exact"/>
              <w:rPr>
                <w:sz w:val="1"/>
                <w:szCs w:val="1"/>
                <w:color w:val="auto"/>
              </w:rPr>
            </w:pPr>
          </w:p>
        </w:tc>
        <w:tc>
          <w:tcPr>
            <w:tcW w:w="20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FF0F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93" w:lineRule="exact"/>
        <w:rPr>
          <w:sz w:val="20"/>
          <w:szCs w:val="20"/>
          <w:color w:val="auto"/>
        </w:rPr>
      </w:pPr>
    </w:p>
    <w:p>
      <w:pPr>
        <w:jc w:val="both"/>
        <w:spacing w:after="0" w:line="275" w:lineRule="auto"/>
        <w:rPr>
          <w:sz w:val="20"/>
          <w:szCs w:val="20"/>
          <w:color w:val="auto"/>
        </w:rPr>
      </w:pPr>
      <w:r>
        <w:rPr>
          <w:rFonts w:ascii="Arial" w:cs="Arial" w:eastAsia="Arial" w:hAnsi="Arial"/>
          <w:sz w:val="18"/>
          <w:szCs w:val="18"/>
          <w:color w:val="auto"/>
        </w:rPr>
        <w:t>The impairment recovery recorded during the three months ended March 31, 2017 was related to insurance proceeds received as a partial settlement for fire damage to the Mount Royal Hotel.</w:t>
      </w:r>
    </w:p>
    <w:p>
      <w:pPr>
        <w:spacing w:after="0" w:line="27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Income Taxes</w:t>
      </w:r>
    </w:p>
    <w:p>
      <w:pPr>
        <w:spacing w:after="0" w:line="120" w:lineRule="exact"/>
        <w:rPr>
          <w:sz w:val="20"/>
          <w:szCs w:val="20"/>
          <w:color w:val="auto"/>
        </w:rPr>
      </w:pPr>
    </w:p>
    <w:p>
      <w:pPr>
        <w:jc w:val="both"/>
        <w:spacing w:after="0" w:line="285" w:lineRule="auto"/>
        <w:rPr>
          <w:sz w:val="20"/>
          <w:szCs w:val="20"/>
          <w:color w:val="auto"/>
        </w:rPr>
      </w:pPr>
      <w:r>
        <w:rPr>
          <w:rFonts w:ascii="Arial" w:cs="Arial" w:eastAsia="Arial" w:hAnsi="Arial"/>
          <w:sz w:val="17"/>
          <w:szCs w:val="17"/>
          <w:color w:val="auto"/>
        </w:rPr>
        <w:t>The effective tax rate was 30.1% for the three months ended March 31, 2018 and 27.2% for the three months ended March 31, 2017. The increase was primarily due to our mix of domestic versus foreign income, which is taxed at higher rates. Additionally, as a result of the Tax Act, we are now subject to the GILTI tax, increased non-deductible expenses, and a higher effective state tax rate, which partially offset the reduction in the federal tax rate.</w:t>
      </w:r>
    </w:p>
    <w:p>
      <w:pPr>
        <w:spacing w:after="0" w:line="26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Discontinued Operations</w:t>
      </w:r>
    </w:p>
    <w:p>
      <w:pPr>
        <w:spacing w:after="0" w:line="299" w:lineRule="exact"/>
        <w:rPr>
          <w:sz w:val="20"/>
          <w:szCs w:val="20"/>
          <w:color w:val="auto"/>
        </w:rPr>
      </w:pPr>
    </w:p>
    <w:p>
      <w:pPr>
        <w:jc w:val="center"/>
        <w:ind w:left="2140"/>
        <w:spacing w:after="0"/>
        <w:rPr>
          <w:sz w:val="20"/>
          <w:szCs w:val="20"/>
          <w:color w:val="auto"/>
        </w:rPr>
      </w:pPr>
      <w:r>
        <w:rPr>
          <w:rFonts w:ascii="Arial" w:cs="Arial" w:eastAsia="Arial" w:hAnsi="Arial"/>
          <w:sz w:val="14"/>
          <w:szCs w:val="14"/>
          <w:b w:val="1"/>
          <w:bCs w:val="1"/>
          <w:color w:val="auto"/>
        </w:rPr>
        <w:t>Three Months Ended</w:t>
      </w:r>
    </w:p>
    <w:p>
      <w:pPr>
        <w:spacing w:after="0" w:line="10" w:lineRule="exact"/>
        <w:rPr>
          <w:sz w:val="20"/>
          <w:szCs w:val="20"/>
          <w:color w:val="auto"/>
        </w:rPr>
      </w:pPr>
    </w:p>
    <w:p>
      <w:pPr>
        <w:jc w:val="center"/>
        <w:ind w:left="2140"/>
        <w:spacing w:after="0"/>
        <w:rPr>
          <w:sz w:val="20"/>
          <w:szCs w:val="20"/>
          <w:color w:val="auto"/>
        </w:rPr>
      </w:pPr>
      <w:r>
        <w:rPr>
          <w:rFonts w:ascii="Arial" w:cs="Arial" w:eastAsia="Arial" w:hAnsi="Arial"/>
          <w:sz w:val="14"/>
          <w:szCs w:val="14"/>
          <w:b w:val="1"/>
          <w:bCs w:val="1"/>
          <w:color w:val="auto"/>
        </w:rPr>
        <w:t>March 31,</w:t>
      </w:r>
    </w:p>
    <w:tbl>
      <w:tblPr>
        <w:tblLayout w:type="fixed"/>
        <w:tblInd w:w="0" w:type="dxa"/>
        <w:tblCellMar>
          <w:top w:w="0" w:type="dxa"/>
          <w:left w:w="0" w:type="dxa"/>
          <w:bottom w:w="0" w:type="dxa"/>
          <w:right w:w="0" w:type="dxa"/>
        </w:tblCellMar>
      </w:tblPr>
      <w:tr>
        <w:trPr>
          <w:trHeight w:val="155"/>
        </w:trPr>
        <w:tc>
          <w:tcPr>
            <w:tcW w:w="4620" w:type="dxa"/>
            <w:vAlign w:val="bottom"/>
            <w:tcBorders>
              <w:bottom w:val="single" w:sz="8" w:color="CFF0FC"/>
            </w:tcBorders>
          </w:tcPr>
          <w:p>
            <w:pPr>
              <w:spacing w:after="0" w:line="155" w:lineRule="exact"/>
              <w:rPr>
                <w:sz w:val="20"/>
                <w:szCs w:val="20"/>
                <w:color w:val="auto"/>
              </w:rPr>
            </w:pPr>
            <w:r>
              <w:rPr>
                <w:rFonts w:ascii="Arial" w:cs="Arial" w:eastAsia="Arial" w:hAnsi="Arial"/>
                <w:sz w:val="14"/>
                <w:szCs w:val="14"/>
                <w:i w:val="1"/>
                <w:iCs w:val="1"/>
                <w:color w:val="auto"/>
              </w:rPr>
              <w:t>(in thousands)</w:t>
            </w:r>
          </w:p>
        </w:tc>
        <w:tc>
          <w:tcPr>
            <w:tcW w:w="460" w:type="dxa"/>
            <w:vAlign w:val="bottom"/>
            <w:tcBorders>
              <w:top w:val="single" w:sz="8" w:color="auto"/>
              <w:bottom w:val="single" w:sz="8" w:color="auto"/>
            </w:tcBorders>
          </w:tcPr>
          <w:p>
            <w:pPr>
              <w:spacing w:after="0"/>
              <w:rPr>
                <w:sz w:val="13"/>
                <w:szCs w:val="13"/>
                <w:color w:val="auto"/>
              </w:rPr>
            </w:pPr>
          </w:p>
        </w:tc>
        <w:tc>
          <w:tcPr>
            <w:tcW w:w="1520" w:type="dxa"/>
            <w:vAlign w:val="bottom"/>
            <w:tcBorders>
              <w:top w:val="single" w:sz="8" w:color="auto"/>
              <w:bottom w:val="single" w:sz="8" w:color="auto"/>
            </w:tcBorders>
          </w:tcPr>
          <w:p>
            <w:pPr>
              <w:jc w:val="right"/>
              <w:ind w:right="779"/>
              <w:spacing w:after="0" w:line="155" w:lineRule="exact"/>
              <w:rPr>
                <w:sz w:val="20"/>
                <w:szCs w:val="20"/>
                <w:color w:val="auto"/>
              </w:rPr>
            </w:pPr>
            <w:r>
              <w:rPr>
                <w:rFonts w:ascii="Arial" w:cs="Arial" w:eastAsia="Arial" w:hAnsi="Arial"/>
                <w:sz w:val="14"/>
                <w:szCs w:val="14"/>
                <w:b w:val="1"/>
                <w:bCs w:val="1"/>
                <w:color w:val="auto"/>
              </w:rPr>
              <w:t>2018</w:t>
            </w:r>
          </w:p>
        </w:tc>
        <w:tc>
          <w:tcPr>
            <w:tcW w:w="340" w:type="dxa"/>
            <w:vAlign w:val="bottom"/>
            <w:tcBorders>
              <w:top w:val="single" w:sz="8" w:color="auto"/>
              <w:bottom w:val="single" w:sz="8" w:color="CFF0FC"/>
            </w:tcBorders>
          </w:tcPr>
          <w:p>
            <w:pPr>
              <w:spacing w:after="0"/>
              <w:rPr>
                <w:sz w:val="13"/>
                <w:szCs w:val="13"/>
                <w:color w:val="auto"/>
              </w:rPr>
            </w:pPr>
          </w:p>
        </w:tc>
        <w:tc>
          <w:tcPr>
            <w:tcW w:w="480" w:type="dxa"/>
            <w:vAlign w:val="bottom"/>
            <w:tcBorders>
              <w:top w:val="single" w:sz="8" w:color="auto"/>
              <w:bottom w:val="single" w:sz="8" w:color="auto"/>
            </w:tcBorders>
          </w:tcPr>
          <w:p>
            <w:pPr>
              <w:spacing w:after="0"/>
              <w:rPr>
                <w:sz w:val="13"/>
                <w:szCs w:val="13"/>
                <w:color w:val="auto"/>
              </w:rPr>
            </w:pPr>
          </w:p>
        </w:tc>
        <w:tc>
          <w:tcPr>
            <w:tcW w:w="1520" w:type="dxa"/>
            <w:vAlign w:val="bottom"/>
            <w:tcBorders>
              <w:top w:val="single" w:sz="8" w:color="auto"/>
              <w:bottom w:val="single" w:sz="8" w:color="auto"/>
            </w:tcBorders>
          </w:tcPr>
          <w:p>
            <w:pPr>
              <w:jc w:val="right"/>
              <w:ind w:right="779"/>
              <w:spacing w:after="0" w:line="155" w:lineRule="exact"/>
              <w:rPr>
                <w:sz w:val="20"/>
                <w:szCs w:val="20"/>
                <w:color w:val="auto"/>
              </w:rPr>
            </w:pPr>
            <w:r>
              <w:rPr>
                <w:rFonts w:ascii="Arial" w:cs="Arial" w:eastAsia="Arial" w:hAnsi="Arial"/>
                <w:sz w:val="14"/>
                <w:szCs w:val="14"/>
                <w:b w:val="1"/>
                <w:bCs w:val="1"/>
                <w:color w:val="auto"/>
              </w:rPr>
              <w:t>2017</w:t>
            </w:r>
          </w:p>
        </w:tc>
        <w:tc>
          <w:tcPr>
            <w:tcW w:w="340" w:type="dxa"/>
            <w:vAlign w:val="bottom"/>
            <w:tcBorders>
              <w:bottom w:val="single" w:sz="8" w:color="CFF0FC"/>
            </w:tcBorders>
          </w:tcPr>
          <w:p>
            <w:pPr>
              <w:spacing w:after="0"/>
              <w:rPr>
                <w:sz w:val="13"/>
                <w:szCs w:val="13"/>
                <w:color w:val="auto"/>
              </w:rPr>
            </w:pPr>
          </w:p>
        </w:tc>
        <w:tc>
          <w:tcPr>
            <w:tcW w:w="2140" w:type="dxa"/>
            <w:vAlign w:val="bottom"/>
            <w:tcBorders>
              <w:bottom w:val="single" w:sz="8" w:color="auto"/>
            </w:tcBorders>
          </w:tcPr>
          <w:p>
            <w:pPr>
              <w:jc w:val="right"/>
              <w:spacing w:after="0" w:line="155" w:lineRule="exact"/>
              <w:rPr>
                <w:sz w:val="20"/>
                <w:szCs w:val="20"/>
                <w:color w:val="auto"/>
              </w:rPr>
            </w:pPr>
            <w:r>
              <w:rPr>
                <w:rFonts w:ascii="Arial" w:cs="Arial" w:eastAsia="Arial" w:hAnsi="Arial"/>
                <w:sz w:val="14"/>
                <w:szCs w:val="14"/>
                <w:b w:val="1"/>
                <w:bCs w:val="1"/>
                <w:color w:val="auto"/>
                <w:w w:val="91"/>
              </w:rPr>
              <w:t>Percentage Change 2018 vs. 2017</w:t>
            </w:r>
          </w:p>
        </w:tc>
      </w:tr>
      <w:tr>
        <w:trPr>
          <w:trHeight w:val="222"/>
        </w:trPr>
        <w:tc>
          <w:tcPr>
            <w:tcW w:w="4620" w:type="dxa"/>
            <w:vAlign w:val="bottom"/>
            <w:tcBorders>
              <w:bottom w:val="single" w:sz="8" w:color="CFF0FC"/>
            </w:tcBorders>
            <w:shd w:val="clear" w:color="auto" w:fill="CFF0FC"/>
          </w:tcPr>
          <w:p>
            <w:pPr>
              <w:spacing w:after="0"/>
              <w:rPr>
                <w:sz w:val="20"/>
                <w:szCs w:val="20"/>
                <w:color w:val="auto"/>
              </w:rPr>
            </w:pPr>
            <w:r>
              <w:rPr>
                <w:rFonts w:ascii="Arial" w:cs="Arial" w:eastAsia="Arial" w:hAnsi="Arial"/>
                <w:sz w:val="18"/>
                <w:szCs w:val="18"/>
                <w:color w:val="auto"/>
              </w:rPr>
              <w:t>Income (loss) from discontinued operations</w:t>
            </w:r>
          </w:p>
        </w:tc>
        <w:tc>
          <w:tcPr>
            <w:tcW w:w="460" w:type="dxa"/>
            <w:vAlign w:val="bottom"/>
            <w:tcBorders>
              <w:bottom w:val="single" w:sz="8" w:color="auto"/>
            </w:tcBorders>
            <w:shd w:val="clear" w:color="auto" w:fill="CFF0FC"/>
          </w:tcPr>
          <w:p>
            <w:pPr>
              <w:jc w:val="right"/>
              <w:ind w:right="307"/>
              <w:spacing w:after="0"/>
              <w:rPr>
                <w:sz w:val="20"/>
                <w:szCs w:val="20"/>
                <w:color w:val="auto"/>
              </w:rPr>
            </w:pPr>
            <w:r>
              <w:rPr>
                <w:rFonts w:ascii="Arial" w:cs="Arial" w:eastAsia="Arial" w:hAnsi="Arial"/>
                <w:sz w:val="15"/>
                <w:szCs w:val="15"/>
                <w:color w:val="auto"/>
                <w:w w:val="71"/>
              </w:rPr>
              <w:t>$</w:t>
            </w:r>
          </w:p>
        </w:tc>
        <w:tc>
          <w:tcPr>
            <w:tcW w:w="15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928</w:t>
            </w:r>
          </w:p>
        </w:tc>
        <w:tc>
          <w:tcPr>
            <w:tcW w:w="340" w:type="dxa"/>
            <w:vAlign w:val="bottom"/>
            <w:tcBorders>
              <w:bottom w:val="single" w:sz="8" w:color="CFF0FC"/>
            </w:tcBorders>
            <w:shd w:val="clear" w:color="auto" w:fill="CFF0FC"/>
          </w:tcPr>
          <w:p>
            <w:pPr>
              <w:spacing w:after="0"/>
              <w:rPr>
                <w:sz w:val="19"/>
                <w:szCs w:val="19"/>
                <w:color w:val="auto"/>
              </w:rPr>
            </w:pPr>
          </w:p>
        </w:tc>
        <w:tc>
          <w:tcPr>
            <w:tcW w:w="480" w:type="dxa"/>
            <w:vAlign w:val="bottom"/>
            <w:tcBorders>
              <w:bottom w:val="single" w:sz="8" w:color="auto"/>
            </w:tcBorders>
            <w:shd w:val="clear" w:color="auto" w:fill="CFF0FC"/>
          </w:tcPr>
          <w:p>
            <w:pPr>
              <w:jc w:val="right"/>
              <w:ind w:right="290"/>
              <w:spacing w:after="0"/>
              <w:rPr>
                <w:sz w:val="20"/>
                <w:szCs w:val="20"/>
                <w:color w:val="auto"/>
              </w:rPr>
            </w:pPr>
            <w:r>
              <w:rPr>
                <w:rFonts w:ascii="Arial" w:cs="Arial" w:eastAsia="Arial" w:hAnsi="Arial"/>
                <w:sz w:val="18"/>
                <w:szCs w:val="18"/>
                <w:color w:val="auto"/>
                <w:w w:val="79"/>
              </w:rPr>
              <w:t>$</w:t>
            </w:r>
          </w:p>
        </w:tc>
        <w:tc>
          <w:tcPr>
            <w:tcW w:w="15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(816)</w:t>
            </w:r>
          </w:p>
        </w:tc>
        <w:tc>
          <w:tcPr>
            <w:tcW w:w="340" w:type="dxa"/>
            <w:vAlign w:val="bottom"/>
            <w:tcBorders>
              <w:bottom w:val="single" w:sz="8" w:color="CFF0FC"/>
            </w:tcBorders>
            <w:shd w:val="clear" w:color="auto" w:fill="CFF0FC"/>
          </w:tcPr>
          <w:p>
            <w:pPr>
              <w:spacing w:after="0"/>
              <w:rPr>
                <w:sz w:val="19"/>
                <w:szCs w:val="19"/>
                <w:color w:val="auto"/>
              </w:rPr>
            </w:pPr>
          </w:p>
        </w:tc>
        <w:tc>
          <w:tcPr>
            <w:tcW w:w="21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w:t>
            </w:r>
          </w:p>
        </w:tc>
      </w:tr>
      <w:tr>
        <w:trPr>
          <w:trHeight w:val="20"/>
        </w:trPr>
        <w:tc>
          <w:tcPr>
            <w:tcW w:w="4620" w:type="dxa"/>
            <w:vAlign w:val="bottom"/>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1520" w:type="dxa"/>
            <w:vAlign w:val="bottom"/>
            <w:tcBorders>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520" w:type="dxa"/>
            <w:vAlign w:val="bottom"/>
            <w:tcBorders>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140" w:type="dxa"/>
            <w:vAlign w:val="bottom"/>
            <w:tcBorders>
              <w:bottom w:val="single" w:sz="8" w:color="auto"/>
            </w:tcBorders>
          </w:tcPr>
          <w:p>
            <w:pPr>
              <w:spacing w:after="0" w:line="20" w:lineRule="exact"/>
              <w:rPr>
                <w:sz w:val="1"/>
                <w:szCs w:val="1"/>
                <w:color w:val="auto"/>
              </w:rPr>
            </w:pPr>
          </w:p>
        </w:tc>
      </w:tr>
    </w:tbl>
    <w:p>
      <w:pPr>
        <w:spacing w:after="0" w:line="93" w:lineRule="exact"/>
        <w:rPr>
          <w:sz w:val="20"/>
          <w:szCs w:val="20"/>
          <w:color w:val="auto"/>
        </w:rPr>
      </w:pPr>
    </w:p>
    <w:p>
      <w:pPr>
        <w:spacing w:after="0"/>
        <w:rPr>
          <w:sz w:val="20"/>
          <w:szCs w:val="20"/>
          <w:color w:val="auto"/>
        </w:rPr>
      </w:pPr>
      <w:r>
        <w:rPr>
          <w:rFonts w:ascii="Arial" w:cs="Arial" w:eastAsia="Arial" w:hAnsi="Arial"/>
          <w:sz w:val="18"/>
          <w:szCs w:val="18"/>
          <w:color w:val="auto"/>
        </w:rPr>
        <w:t>** Change is greater than +/- 100%</w:t>
      </w:r>
    </w:p>
    <w:p>
      <w:pPr>
        <w:spacing w:after="0" w:line="169" w:lineRule="exact"/>
        <w:rPr>
          <w:sz w:val="20"/>
          <w:szCs w:val="20"/>
          <w:color w:val="auto"/>
        </w:rPr>
      </w:pPr>
    </w:p>
    <w:p>
      <w:pPr>
        <w:jc w:val="both"/>
        <w:spacing w:after="0" w:line="262" w:lineRule="auto"/>
        <w:rPr>
          <w:sz w:val="20"/>
          <w:szCs w:val="20"/>
          <w:color w:val="auto"/>
        </w:rPr>
      </w:pPr>
      <w:r>
        <w:rPr>
          <w:rFonts w:ascii="Arial" w:cs="Arial" w:eastAsia="Arial" w:hAnsi="Arial"/>
          <w:sz w:val="18"/>
          <w:szCs w:val="18"/>
          <w:color w:val="auto"/>
        </w:rPr>
        <w:t>Income from discontinued operations for the three months ended March 31, 2018 was primarily related to a favorable legal settlement of $1.4 million related to previously sold operations. The loss from discontinued operations for the three months ended March 31, 2017 was primarily related to an increase in reserves to resolve certain environmental matters related to previously sold operations.</w:t>
      </w:r>
    </w:p>
    <w:p>
      <w:pPr>
        <w:spacing w:after="0" w:line="18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69850</wp:posOffset>
            </wp:positionV>
            <wp:extent cx="7289800" cy="4254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1420"/>
          </w:cols>
          <w:pgMar w:left="240" w:top="659" w:right="239" w:bottom="1440" w:gutter="0" w:footer="0" w:header="0"/>
        </w:sectPr>
      </w:pPr>
    </w:p>
    <w:bookmarkStart w:id="36" w:name="page37"/>
    <w:bookmarkEnd w:id="36"/>
    <w:p>
      <w:pPr>
        <w:spacing w:after="0"/>
        <w:rPr>
          <w:sz w:val="20"/>
          <w:szCs w:val="20"/>
          <w:color w:val="auto"/>
        </w:rPr>
      </w:pPr>
      <w:r>
        <w:rPr>
          <w:rFonts w:ascii="Arial" w:cs="Arial" w:eastAsia="Arial" w:hAnsi="Arial"/>
          <w:sz w:val="18"/>
          <w:szCs w:val="18"/>
          <w:b w:val="1"/>
          <w:bCs w:val="1"/>
          <w:color w:val="auto"/>
        </w:rPr>
        <w:t>Liquidity and Capital Resources</w:t>
      </w:r>
    </w:p>
    <w:p>
      <w:pPr>
        <w:spacing w:after="0" w:line="120" w:lineRule="exact"/>
        <w:rPr>
          <w:sz w:val="20"/>
          <w:szCs w:val="20"/>
          <w:color w:val="auto"/>
        </w:rPr>
      </w:pPr>
    </w:p>
    <w:p>
      <w:pPr>
        <w:jc w:val="both"/>
        <w:spacing w:after="0" w:line="262" w:lineRule="auto"/>
        <w:rPr>
          <w:sz w:val="20"/>
          <w:szCs w:val="20"/>
          <w:color w:val="auto"/>
        </w:rPr>
      </w:pPr>
      <w:r>
        <w:rPr>
          <w:rFonts w:ascii="Arial" w:cs="Arial" w:eastAsia="Arial" w:hAnsi="Arial"/>
          <w:sz w:val="18"/>
          <w:szCs w:val="18"/>
          <w:color w:val="auto"/>
        </w:rPr>
        <w:t>Cash and cash equivalents were $42.3 million as of March 31, 2018, as compared to $53.7 million as of December 31, 2017. During the three months ended March 31, 2018, we generated a net cash outflow from operating activities of $3.4 million. We believe that our existing sources of liquidity will be sufficient to fund operations and capital commitments for at least the next 12 months.</w:t>
      </w:r>
    </w:p>
    <w:p>
      <w:pPr>
        <w:spacing w:after="0" w:line="129" w:lineRule="exact"/>
        <w:rPr>
          <w:sz w:val="20"/>
          <w:szCs w:val="20"/>
          <w:color w:val="auto"/>
        </w:rPr>
      </w:pPr>
    </w:p>
    <w:p>
      <w:pPr>
        <w:jc w:val="both"/>
        <w:spacing w:after="0" w:line="262" w:lineRule="auto"/>
        <w:rPr>
          <w:sz w:val="20"/>
          <w:szCs w:val="20"/>
          <w:color w:val="auto"/>
        </w:rPr>
      </w:pPr>
      <w:r>
        <w:rPr>
          <w:rFonts w:ascii="Arial" w:cs="Arial" w:eastAsia="Arial" w:hAnsi="Arial"/>
          <w:sz w:val="18"/>
          <w:szCs w:val="18"/>
          <w:color w:val="auto"/>
        </w:rPr>
        <w:t>As of March 31, 2018, essentially all of our cash and cash equivalents was held outside of the United States, consisting of $16.7 million in Canada, $6.9 million in the United Kingdom, $6.7 million in the Netherlands and $4.8 million in certain other countries. In addition, there is $8.0 million in Iceland related to our investment in Esja, which will be used to develop the FlyOver Iceland attraction.</w:t>
      </w:r>
    </w:p>
    <w:p>
      <w:pPr>
        <w:spacing w:after="0" w:line="28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Cash Flows</w:t>
      </w:r>
    </w:p>
    <w:p>
      <w:pPr>
        <w:spacing w:after="0" w:line="12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Operating Activities</w:t>
      </w:r>
    </w:p>
    <w:p>
      <w:pPr>
        <w:spacing w:after="0" w:line="22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786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2060" w:type="dxa"/>
            <w:vAlign w:val="bottom"/>
            <w:gridSpan w:val="4"/>
          </w:tcPr>
          <w:p>
            <w:pPr>
              <w:jc w:val="right"/>
              <w:ind w:right="10"/>
              <w:spacing w:after="0"/>
              <w:rPr>
                <w:sz w:val="20"/>
                <w:szCs w:val="20"/>
                <w:color w:val="auto"/>
              </w:rPr>
            </w:pPr>
            <w:r>
              <w:rPr>
                <w:rFonts w:ascii="Arial" w:cs="Arial" w:eastAsia="Arial" w:hAnsi="Arial"/>
                <w:sz w:val="14"/>
                <w:szCs w:val="14"/>
                <w:b w:val="1"/>
                <w:bCs w:val="1"/>
                <w:color w:val="auto"/>
              </w:rPr>
              <w:t>Three Months Ended</w:t>
            </w:r>
          </w:p>
        </w:tc>
        <w:tc>
          <w:tcPr>
            <w:tcW w:w="10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1"/>
        </w:trPr>
        <w:tc>
          <w:tcPr>
            <w:tcW w:w="7860" w:type="dxa"/>
            <w:vAlign w:val="bottom"/>
            <w:vMerge w:val="restart"/>
          </w:tcPr>
          <w:p>
            <w:pPr>
              <w:spacing w:after="0"/>
              <w:rPr>
                <w:sz w:val="20"/>
                <w:szCs w:val="20"/>
                <w:color w:val="auto"/>
              </w:rPr>
            </w:pPr>
            <w:r>
              <w:rPr>
                <w:rFonts w:ascii="Arial" w:cs="Arial" w:eastAsia="Arial" w:hAnsi="Arial"/>
                <w:sz w:val="14"/>
                <w:szCs w:val="14"/>
                <w:i w:val="1"/>
                <w:iCs w:val="1"/>
                <w:color w:val="auto"/>
              </w:rPr>
              <w:t>(in thousands)</w:t>
            </w:r>
          </w:p>
        </w:tc>
        <w:tc>
          <w:tcPr>
            <w:tcW w:w="360" w:type="dxa"/>
            <w:vAlign w:val="bottom"/>
            <w:tcBorders>
              <w:bottom w:val="single" w:sz="8" w:color="auto"/>
            </w:tcBorders>
          </w:tcPr>
          <w:p>
            <w:pPr>
              <w:spacing w:after="0"/>
              <w:rPr>
                <w:sz w:val="14"/>
                <w:szCs w:val="14"/>
                <w:color w:val="auto"/>
              </w:rPr>
            </w:pPr>
          </w:p>
        </w:tc>
        <w:tc>
          <w:tcPr>
            <w:tcW w:w="2060" w:type="dxa"/>
            <w:vAlign w:val="bottom"/>
            <w:tcBorders>
              <w:bottom w:val="single" w:sz="8" w:color="auto"/>
            </w:tcBorders>
            <w:gridSpan w:val="4"/>
          </w:tcPr>
          <w:p>
            <w:pPr>
              <w:jc w:val="right"/>
              <w:ind w:right="350"/>
              <w:spacing w:after="0"/>
              <w:rPr>
                <w:sz w:val="20"/>
                <w:szCs w:val="20"/>
                <w:color w:val="auto"/>
              </w:rPr>
            </w:pPr>
            <w:r>
              <w:rPr>
                <w:rFonts w:ascii="Arial" w:cs="Arial" w:eastAsia="Arial" w:hAnsi="Arial"/>
                <w:sz w:val="14"/>
                <w:szCs w:val="14"/>
                <w:b w:val="1"/>
                <w:bCs w:val="1"/>
                <w:color w:val="auto"/>
              </w:rPr>
              <w:t>March 31,</w:t>
            </w:r>
          </w:p>
        </w:tc>
        <w:tc>
          <w:tcPr>
            <w:tcW w:w="1020" w:type="dxa"/>
            <w:vAlign w:val="bottom"/>
            <w:tcBorders>
              <w:bottom w:val="single" w:sz="8" w:color="auto"/>
            </w:tcBorders>
          </w:tcPr>
          <w:p>
            <w:pPr>
              <w:spacing w:after="0"/>
              <w:rPr>
                <w:sz w:val="14"/>
                <w:szCs w:val="14"/>
                <w:color w:val="auto"/>
              </w:rPr>
            </w:pP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5"/>
        </w:trPr>
        <w:tc>
          <w:tcPr>
            <w:tcW w:w="7860" w:type="dxa"/>
            <w:vAlign w:val="bottom"/>
            <w:tcBorders>
              <w:bottom w:val="single" w:sz="8" w:color="CFF0FC"/>
            </w:tcBorders>
            <w:vMerge w:val="continue"/>
          </w:tcPr>
          <w:p>
            <w:pPr>
              <w:spacing w:after="0"/>
              <w:rPr>
                <w:sz w:val="13"/>
                <w:szCs w:val="13"/>
                <w:color w:val="auto"/>
              </w:rPr>
            </w:pPr>
          </w:p>
        </w:tc>
        <w:tc>
          <w:tcPr>
            <w:tcW w:w="360" w:type="dxa"/>
            <w:vAlign w:val="bottom"/>
            <w:tcBorders>
              <w:bottom w:val="single" w:sz="8" w:color="auto"/>
            </w:tcBorders>
          </w:tcPr>
          <w:p>
            <w:pPr>
              <w:spacing w:after="0"/>
              <w:rPr>
                <w:sz w:val="13"/>
                <w:szCs w:val="13"/>
                <w:color w:val="auto"/>
              </w:rPr>
            </w:pPr>
          </w:p>
        </w:tc>
        <w:tc>
          <w:tcPr>
            <w:tcW w:w="1220" w:type="dxa"/>
            <w:vAlign w:val="bottom"/>
            <w:tcBorders>
              <w:bottom w:val="single" w:sz="8" w:color="auto"/>
            </w:tcBorders>
          </w:tcPr>
          <w:p>
            <w:pPr>
              <w:jc w:val="right"/>
              <w:ind w:right="575"/>
              <w:spacing w:after="0" w:line="155" w:lineRule="exact"/>
              <w:rPr>
                <w:sz w:val="20"/>
                <w:szCs w:val="20"/>
                <w:color w:val="auto"/>
              </w:rPr>
            </w:pPr>
            <w:r>
              <w:rPr>
                <w:rFonts w:ascii="Arial" w:cs="Arial" w:eastAsia="Arial" w:hAnsi="Arial"/>
                <w:sz w:val="14"/>
                <w:szCs w:val="14"/>
                <w:b w:val="1"/>
                <w:bCs w:val="1"/>
                <w:color w:val="auto"/>
              </w:rPr>
              <w:t>2018</w:t>
            </w:r>
          </w:p>
        </w:tc>
        <w:tc>
          <w:tcPr>
            <w:tcW w:w="280" w:type="dxa"/>
            <w:vAlign w:val="bottom"/>
            <w:tcBorders>
              <w:bottom w:val="single" w:sz="8" w:color="CFF0FC"/>
            </w:tcBorders>
          </w:tcPr>
          <w:p>
            <w:pPr>
              <w:spacing w:after="0"/>
              <w:rPr>
                <w:sz w:val="13"/>
                <w:szCs w:val="13"/>
                <w:color w:val="auto"/>
              </w:rPr>
            </w:pPr>
          </w:p>
        </w:tc>
        <w:tc>
          <w:tcPr>
            <w:tcW w:w="20" w:type="dxa"/>
            <w:vAlign w:val="bottom"/>
            <w:tcBorders>
              <w:bottom w:val="single" w:sz="8" w:color="CFF0FC"/>
            </w:tcBorders>
          </w:tcPr>
          <w:p>
            <w:pPr>
              <w:spacing w:after="0"/>
              <w:rPr>
                <w:sz w:val="13"/>
                <w:szCs w:val="13"/>
                <w:color w:val="auto"/>
              </w:rPr>
            </w:pPr>
          </w:p>
        </w:tc>
        <w:tc>
          <w:tcPr>
            <w:tcW w:w="540" w:type="dxa"/>
            <w:vAlign w:val="bottom"/>
            <w:tcBorders>
              <w:bottom w:val="single" w:sz="8" w:color="auto"/>
            </w:tcBorders>
          </w:tcPr>
          <w:p>
            <w:pPr>
              <w:spacing w:after="0"/>
              <w:rPr>
                <w:sz w:val="13"/>
                <w:szCs w:val="13"/>
                <w:color w:val="auto"/>
              </w:rPr>
            </w:pPr>
          </w:p>
        </w:tc>
        <w:tc>
          <w:tcPr>
            <w:tcW w:w="1020" w:type="dxa"/>
            <w:vAlign w:val="bottom"/>
            <w:tcBorders>
              <w:bottom w:val="single" w:sz="8" w:color="auto"/>
            </w:tcBorders>
          </w:tcPr>
          <w:p>
            <w:pPr>
              <w:jc w:val="right"/>
              <w:ind w:right="572"/>
              <w:spacing w:after="0" w:line="155" w:lineRule="exact"/>
              <w:rPr>
                <w:sz w:val="20"/>
                <w:szCs w:val="20"/>
                <w:color w:val="auto"/>
              </w:rPr>
            </w:pPr>
            <w:r>
              <w:rPr>
                <w:rFonts w:ascii="Arial" w:cs="Arial" w:eastAsia="Arial" w:hAnsi="Arial"/>
                <w:sz w:val="14"/>
                <w:szCs w:val="14"/>
                <w:b w:val="1"/>
                <w:bCs w:val="1"/>
                <w:color w:val="auto"/>
              </w:rPr>
              <w:t>2017</w:t>
            </w:r>
          </w:p>
        </w:tc>
        <w:tc>
          <w:tcPr>
            <w:tcW w:w="120" w:type="dxa"/>
            <w:vAlign w:val="bottom"/>
            <w:tcBorders>
              <w:bottom w:val="single" w:sz="8" w:color="CFF0FC"/>
            </w:tcBorders>
          </w:tcPr>
          <w:p>
            <w:pPr>
              <w:spacing w:after="0"/>
              <w:rPr>
                <w:sz w:val="13"/>
                <w:szCs w:val="13"/>
                <w:color w:val="auto"/>
              </w:rPr>
            </w:pPr>
          </w:p>
        </w:tc>
        <w:tc>
          <w:tcPr>
            <w:tcW w:w="0" w:type="dxa"/>
            <w:vAlign w:val="bottom"/>
          </w:tcPr>
          <w:p>
            <w:pPr>
              <w:spacing w:after="0"/>
              <w:rPr>
                <w:sz w:val="1"/>
                <w:szCs w:val="1"/>
                <w:color w:val="auto"/>
              </w:rPr>
            </w:pPr>
          </w:p>
        </w:tc>
      </w:tr>
      <w:tr>
        <w:trPr>
          <w:trHeight w:val="222"/>
        </w:trPr>
        <w:tc>
          <w:tcPr>
            <w:tcW w:w="7860" w:type="dxa"/>
            <w:vAlign w:val="bottom"/>
            <w:shd w:val="clear" w:color="auto" w:fill="CFF0FC"/>
          </w:tcPr>
          <w:p>
            <w:pPr>
              <w:spacing w:after="0"/>
              <w:rPr>
                <w:sz w:val="20"/>
                <w:szCs w:val="20"/>
                <w:color w:val="auto"/>
              </w:rPr>
            </w:pPr>
            <w:r>
              <w:rPr>
                <w:rFonts w:ascii="Arial" w:cs="Arial" w:eastAsia="Arial" w:hAnsi="Arial"/>
                <w:sz w:val="18"/>
                <w:szCs w:val="18"/>
                <w:color w:val="auto"/>
              </w:rPr>
              <w:t>Net income (loss)</w:t>
            </w:r>
          </w:p>
        </w:tc>
        <w:tc>
          <w:tcPr>
            <w:tcW w:w="360" w:type="dxa"/>
            <w:vAlign w:val="bottom"/>
            <w:shd w:val="clear" w:color="auto" w:fill="CFF0FC"/>
          </w:tcPr>
          <w:p>
            <w:pPr>
              <w:jc w:val="right"/>
              <w:ind w:right="207"/>
              <w:spacing w:after="0"/>
              <w:rPr>
                <w:sz w:val="20"/>
                <w:szCs w:val="20"/>
                <w:color w:val="auto"/>
              </w:rPr>
            </w:pPr>
            <w:r>
              <w:rPr>
                <w:rFonts w:ascii="Arial" w:cs="Arial" w:eastAsia="Arial" w:hAnsi="Arial"/>
                <w:sz w:val="15"/>
                <w:szCs w:val="15"/>
                <w:color w:val="auto"/>
                <w:w w:val="71"/>
              </w:rPr>
              <w:t>$</w:t>
            </w:r>
          </w:p>
        </w:tc>
        <w:tc>
          <w:tcPr>
            <w:tcW w:w="12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(9,835)</w:t>
            </w:r>
          </w:p>
        </w:tc>
        <w:tc>
          <w:tcPr>
            <w:tcW w:w="28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540" w:type="dxa"/>
            <w:vAlign w:val="bottom"/>
            <w:shd w:val="clear" w:color="auto" w:fill="CFF0FC"/>
          </w:tcPr>
          <w:p>
            <w:pPr>
              <w:jc w:val="right"/>
              <w:ind w:right="430"/>
              <w:spacing w:after="0"/>
              <w:rPr>
                <w:sz w:val="20"/>
                <w:szCs w:val="20"/>
                <w:color w:val="auto"/>
              </w:rPr>
            </w:pPr>
            <w:r>
              <w:rPr>
                <w:rFonts w:ascii="Arial" w:cs="Arial" w:eastAsia="Arial" w:hAnsi="Arial"/>
                <w:sz w:val="10"/>
                <w:szCs w:val="10"/>
                <w:color w:val="auto"/>
                <w:w w:val="71"/>
              </w:rPr>
              <w:t>$</w:t>
            </w:r>
          </w:p>
        </w:tc>
        <w:tc>
          <w:tcPr>
            <w:tcW w:w="10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6,513</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7860" w:type="dxa"/>
            <w:vAlign w:val="bottom"/>
          </w:tcPr>
          <w:p>
            <w:pPr>
              <w:spacing w:after="0"/>
              <w:rPr>
                <w:sz w:val="20"/>
                <w:szCs w:val="20"/>
                <w:color w:val="auto"/>
              </w:rPr>
            </w:pPr>
            <w:r>
              <w:rPr>
                <w:rFonts w:ascii="Arial" w:cs="Arial" w:eastAsia="Arial" w:hAnsi="Arial"/>
                <w:sz w:val="18"/>
                <w:szCs w:val="18"/>
                <w:color w:val="auto"/>
              </w:rPr>
              <w:t>Depreciation and amortization</w:t>
            </w:r>
          </w:p>
        </w:tc>
        <w:tc>
          <w:tcPr>
            <w:tcW w:w="360" w:type="dxa"/>
            <w:vAlign w:val="bottom"/>
          </w:tcPr>
          <w:p>
            <w:pPr>
              <w:spacing w:after="0"/>
              <w:rPr>
                <w:sz w:val="19"/>
                <w:szCs w:val="19"/>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13,063</w:t>
            </w:r>
          </w:p>
        </w:tc>
        <w:tc>
          <w:tcPr>
            <w:tcW w:w="2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12,144</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7860" w:type="dxa"/>
            <w:vAlign w:val="bottom"/>
            <w:shd w:val="clear" w:color="auto" w:fill="CFF0FC"/>
          </w:tcPr>
          <w:p>
            <w:pPr>
              <w:spacing w:after="0"/>
              <w:rPr>
                <w:sz w:val="20"/>
                <w:szCs w:val="20"/>
                <w:color w:val="auto"/>
              </w:rPr>
            </w:pPr>
            <w:r>
              <w:rPr>
                <w:rFonts w:ascii="Arial" w:cs="Arial" w:eastAsia="Arial" w:hAnsi="Arial"/>
                <w:sz w:val="18"/>
                <w:szCs w:val="18"/>
                <w:color w:val="auto"/>
              </w:rPr>
              <w:t>Deferred income taxes</w:t>
            </w:r>
          </w:p>
        </w:tc>
        <w:tc>
          <w:tcPr>
            <w:tcW w:w="360" w:type="dxa"/>
            <w:vAlign w:val="bottom"/>
            <w:shd w:val="clear" w:color="auto" w:fill="CFF0FC"/>
          </w:tcPr>
          <w:p>
            <w:pPr>
              <w:spacing w:after="0"/>
              <w:rPr>
                <w:sz w:val="19"/>
                <w:szCs w:val="19"/>
                <w:color w:val="auto"/>
              </w:rPr>
            </w:pPr>
          </w:p>
        </w:tc>
        <w:tc>
          <w:tcPr>
            <w:tcW w:w="1500" w:type="dxa"/>
            <w:vAlign w:val="bottom"/>
            <w:gridSpan w:val="2"/>
            <w:shd w:val="clear" w:color="auto" w:fill="CFF0FC"/>
          </w:tcPr>
          <w:p>
            <w:pPr>
              <w:jc w:val="right"/>
              <w:ind w:right="220"/>
              <w:spacing w:after="0"/>
              <w:rPr>
                <w:sz w:val="20"/>
                <w:szCs w:val="20"/>
                <w:color w:val="auto"/>
              </w:rPr>
            </w:pPr>
            <w:r>
              <w:rPr>
                <w:rFonts w:ascii="Arial" w:cs="Arial" w:eastAsia="Arial" w:hAnsi="Arial"/>
                <w:sz w:val="18"/>
                <w:szCs w:val="18"/>
                <w:color w:val="auto"/>
              </w:rPr>
              <w:t>(4,507)</w:t>
            </w:r>
          </w:p>
        </w:tc>
        <w:tc>
          <w:tcPr>
            <w:tcW w:w="20" w:type="dxa"/>
            <w:vAlign w:val="bottom"/>
            <w:shd w:val="clear" w:color="auto" w:fill="CFF0FC"/>
          </w:tcPr>
          <w:p>
            <w:pPr>
              <w:spacing w:after="0"/>
              <w:rPr>
                <w:sz w:val="19"/>
                <w:szCs w:val="19"/>
                <w:color w:val="auto"/>
              </w:rPr>
            </w:pPr>
          </w:p>
        </w:tc>
        <w:tc>
          <w:tcPr>
            <w:tcW w:w="540" w:type="dxa"/>
            <w:vAlign w:val="bottom"/>
            <w:shd w:val="clear" w:color="auto" w:fill="CFF0FC"/>
          </w:tcPr>
          <w:p>
            <w:pPr>
              <w:spacing w:after="0"/>
              <w:rPr>
                <w:sz w:val="19"/>
                <w:szCs w:val="19"/>
                <w:color w:val="auto"/>
              </w:rPr>
            </w:pPr>
          </w:p>
        </w:tc>
        <w:tc>
          <w:tcPr>
            <w:tcW w:w="10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374</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7860" w:type="dxa"/>
            <w:vAlign w:val="bottom"/>
          </w:tcPr>
          <w:p>
            <w:pPr>
              <w:spacing w:after="0"/>
              <w:rPr>
                <w:sz w:val="20"/>
                <w:szCs w:val="20"/>
                <w:color w:val="auto"/>
              </w:rPr>
            </w:pPr>
            <w:r>
              <w:rPr>
                <w:rFonts w:ascii="Arial" w:cs="Arial" w:eastAsia="Arial" w:hAnsi="Arial"/>
                <w:sz w:val="18"/>
                <w:szCs w:val="18"/>
                <w:color w:val="auto"/>
              </w:rPr>
              <w:t>Loss (income) from discontinued operations</w:t>
            </w:r>
          </w:p>
        </w:tc>
        <w:tc>
          <w:tcPr>
            <w:tcW w:w="360" w:type="dxa"/>
            <w:vAlign w:val="bottom"/>
          </w:tcPr>
          <w:p>
            <w:pPr>
              <w:spacing w:after="0"/>
              <w:rPr>
                <w:sz w:val="19"/>
                <w:szCs w:val="19"/>
                <w:color w:val="auto"/>
              </w:rPr>
            </w:pPr>
          </w:p>
        </w:tc>
        <w:tc>
          <w:tcPr>
            <w:tcW w:w="1500" w:type="dxa"/>
            <w:vAlign w:val="bottom"/>
            <w:gridSpan w:val="2"/>
          </w:tcPr>
          <w:p>
            <w:pPr>
              <w:jc w:val="right"/>
              <w:ind w:right="220"/>
              <w:spacing w:after="0"/>
              <w:rPr>
                <w:sz w:val="20"/>
                <w:szCs w:val="20"/>
                <w:color w:val="auto"/>
              </w:rPr>
            </w:pPr>
            <w:r>
              <w:rPr>
                <w:rFonts w:ascii="Arial" w:cs="Arial" w:eastAsia="Arial" w:hAnsi="Arial"/>
                <w:sz w:val="18"/>
                <w:szCs w:val="18"/>
                <w:color w:val="auto"/>
              </w:rPr>
              <w:t>(928)</w:t>
            </w:r>
          </w:p>
        </w:tc>
        <w:tc>
          <w:tcPr>
            <w:tcW w:w="2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816</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7860" w:type="dxa"/>
            <w:vAlign w:val="bottom"/>
            <w:shd w:val="clear" w:color="auto" w:fill="CFF0FC"/>
          </w:tcPr>
          <w:p>
            <w:pPr>
              <w:spacing w:after="0"/>
              <w:rPr>
                <w:sz w:val="20"/>
                <w:szCs w:val="20"/>
                <w:color w:val="auto"/>
              </w:rPr>
            </w:pPr>
            <w:r>
              <w:rPr>
                <w:rFonts w:ascii="Arial" w:cs="Arial" w:eastAsia="Arial" w:hAnsi="Arial"/>
                <w:sz w:val="18"/>
                <w:szCs w:val="18"/>
                <w:color w:val="auto"/>
              </w:rPr>
              <w:t>Impairment recoveries</w:t>
            </w:r>
          </w:p>
        </w:tc>
        <w:tc>
          <w:tcPr>
            <w:tcW w:w="360" w:type="dxa"/>
            <w:vAlign w:val="bottom"/>
            <w:shd w:val="clear" w:color="auto" w:fill="CFF0FC"/>
          </w:tcPr>
          <w:p>
            <w:pPr>
              <w:spacing w:after="0"/>
              <w:rPr>
                <w:sz w:val="19"/>
                <w:szCs w:val="19"/>
                <w:color w:val="auto"/>
              </w:rPr>
            </w:pPr>
          </w:p>
        </w:tc>
        <w:tc>
          <w:tcPr>
            <w:tcW w:w="1500" w:type="dxa"/>
            <w:vAlign w:val="bottom"/>
            <w:gridSpan w:val="2"/>
            <w:shd w:val="clear" w:color="auto" w:fill="CFF0FC"/>
          </w:tcPr>
          <w:p>
            <w:pPr>
              <w:jc w:val="right"/>
              <w:ind w:right="300"/>
              <w:spacing w:after="0"/>
              <w:rPr>
                <w:sz w:val="20"/>
                <w:szCs w:val="20"/>
                <w:color w:val="auto"/>
              </w:rPr>
            </w:pPr>
            <w:r>
              <w:rPr>
                <w:rFonts w:ascii="Arial" w:cs="Arial" w:eastAsia="Arial" w:hAnsi="Arial"/>
                <w:sz w:val="18"/>
                <w:szCs w:val="18"/>
                <w:color w:val="auto"/>
              </w:rPr>
              <w:t>—</w:t>
            </w:r>
          </w:p>
        </w:tc>
        <w:tc>
          <w:tcPr>
            <w:tcW w:w="20" w:type="dxa"/>
            <w:vAlign w:val="bottom"/>
            <w:shd w:val="clear" w:color="auto" w:fill="CFF0FC"/>
          </w:tcPr>
          <w:p>
            <w:pPr>
              <w:spacing w:after="0"/>
              <w:rPr>
                <w:sz w:val="19"/>
                <w:szCs w:val="19"/>
                <w:color w:val="auto"/>
              </w:rPr>
            </w:pPr>
          </w:p>
        </w:tc>
        <w:tc>
          <w:tcPr>
            <w:tcW w:w="540" w:type="dxa"/>
            <w:vAlign w:val="bottom"/>
            <w:shd w:val="clear" w:color="auto" w:fill="CFF0FC"/>
          </w:tcPr>
          <w:p>
            <w:pPr>
              <w:spacing w:after="0"/>
              <w:rPr>
                <w:sz w:val="19"/>
                <w:szCs w:val="19"/>
                <w:color w:val="auto"/>
              </w:rPr>
            </w:pPr>
          </w:p>
        </w:tc>
        <w:tc>
          <w:tcPr>
            <w:tcW w:w="1140" w:type="dxa"/>
            <w:vAlign w:val="bottom"/>
            <w:gridSpan w:val="2"/>
            <w:shd w:val="clear" w:color="auto" w:fill="CFF0FC"/>
          </w:tcPr>
          <w:p>
            <w:pPr>
              <w:jc w:val="right"/>
              <w:ind w:right="60"/>
              <w:spacing w:after="0"/>
              <w:rPr>
                <w:sz w:val="20"/>
                <w:szCs w:val="20"/>
                <w:color w:val="auto"/>
              </w:rPr>
            </w:pPr>
            <w:r>
              <w:rPr>
                <w:rFonts w:ascii="Arial" w:cs="Arial" w:eastAsia="Arial" w:hAnsi="Arial"/>
                <w:sz w:val="18"/>
                <w:szCs w:val="18"/>
                <w:color w:val="auto"/>
              </w:rPr>
              <w:t>(2,384)</w:t>
            </w:r>
          </w:p>
        </w:tc>
        <w:tc>
          <w:tcPr>
            <w:tcW w:w="0" w:type="dxa"/>
            <w:vAlign w:val="bottom"/>
          </w:tcPr>
          <w:p>
            <w:pPr>
              <w:spacing w:after="0"/>
              <w:rPr>
                <w:sz w:val="1"/>
                <w:szCs w:val="1"/>
                <w:color w:val="auto"/>
              </w:rPr>
            </w:pPr>
          </w:p>
        </w:tc>
      </w:tr>
      <w:tr>
        <w:trPr>
          <w:trHeight w:val="229"/>
        </w:trPr>
        <w:tc>
          <w:tcPr>
            <w:tcW w:w="7860" w:type="dxa"/>
            <w:vAlign w:val="bottom"/>
          </w:tcPr>
          <w:p>
            <w:pPr>
              <w:spacing w:after="0"/>
              <w:rPr>
                <w:sz w:val="20"/>
                <w:szCs w:val="20"/>
                <w:color w:val="auto"/>
              </w:rPr>
            </w:pPr>
            <w:r>
              <w:rPr>
                <w:rFonts w:ascii="Arial" w:cs="Arial" w:eastAsia="Arial" w:hAnsi="Arial"/>
                <w:sz w:val="18"/>
                <w:szCs w:val="18"/>
                <w:color w:val="auto"/>
              </w:rPr>
              <w:t>Other non-cash items</w:t>
            </w:r>
          </w:p>
        </w:tc>
        <w:tc>
          <w:tcPr>
            <w:tcW w:w="360" w:type="dxa"/>
            <w:vAlign w:val="bottom"/>
          </w:tcPr>
          <w:p>
            <w:pPr>
              <w:spacing w:after="0"/>
              <w:rPr>
                <w:sz w:val="19"/>
                <w:szCs w:val="19"/>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2,609</w:t>
            </w:r>
          </w:p>
        </w:tc>
        <w:tc>
          <w:tcPr>
            <w:tcW w:w="2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3,630</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7860" w:type="dxa"/>
            <w:vAlign w:val="bottom"/>
            <w:shd w:val="clear" w:color="auto" w:fill="CFF0FC"/>
          </w:tcPr>
          <w:p>
            <w:pPr>
              <w:spacing w:after="0"/>
              <w:rPr>
                <w:sz w:val="20"/>
                <w:szCs w:val="20"/>
                <w:color w:val="auto"/>
              </w:rPr>
            </w:pPr>
            <w:r>
              <w:rPr>
                <w:rFonts w:ascii="Arial" w:cs="Arial" w:eastAsia="Arial" w:hAnsi="Arial"/>
                <w:sz w:val="18"/>
                <w:szCs w:val="18"/>
                <w:color w:val="auto"/>
              </w:rPr>
              <w:t>Changes in assets and liabilities</w:t>
            </w:r>
          </w:p>
        </w:tc>
        <w:tc>
          <w:tcPr>
            <w:tcW w:w="360" w:type="dxa"/>
            <w:vAlign w:val="bottom"/>
            <w:shd w:val="clear" w:color="auto" w:fill="CFF0FC"/>
          </w:tcPr>
          <w:p>
            <w:pPr>
              <w:spacing w:after="0"/>
              <w:rPr>
                <w:sz w:val="19"/>
                <w:szCs w:val="19"/>
                <w:color w:val="auto"/>
              </w:rPr>
            </w:pPr>
          </w:p>
        </w:tc>
        <w:tc>
          <w:tcPr>
            <w:tcW w:w="1500" w:type="dxa"/>
            <w:vAlign w:val="bottom"/>
            <w:gridSpan w:val="2"/>
            <w:shd w:val="clear" w:color="auto" w:fill="CFF0FC"/>
          </w:tcPr>
          <w:p>
            <w:pPr>
              <w:jc w:val="right"/>
              <w:ind w:right="220"/>
              <w:spacing w:after="0"/>
              <w:rPr>
                <w:sz w:val="20"/>
                <w:szCs w:val="20"/>
                <w:color w:val="auto"/>
              </w:rPr>
            </w:pPr>
            <w:r>
              <w:rPr>
                <w:rFonts w:ascii="Arial" w:cs="Arial" w:eastAsia="Arial" w:hAnsi="Arial"/>
                <w:sz w:val="18"/>
                <w:szCs w:val="18"/>
                <w:color w:val="auto"/>
              </w:rPr>
              <w:t>(3,821)</w:t>
            </w:r>
          </w:p>
        </w:tc>
        <w:tc>
          <w:tcPr>
            <w:tcW w:w="20" w:type="dxa"/>
            <w:vAlign w:val="bottom"/>
            <w:shd w:val="clear" w:color="auto" w:fill="CFF0FC"/>
          </w:tcPr>
          <w:p>
            <w:pPr>
              <w:spacing w:after="0"/>
              <w:rPr>
                <w:sz w:val="19"/>
                <w:szCs w:val="19"/>
                <w:color w:val="auto"/>
              </w:rPr>
            </w:pPr>
          </w:p>
        </w:tc>
        <w:tc>
          <w:tcPr>
            <w:tcW w:w="540" w:type="dxa"/>
            <w:vAlign w:val="bottom"/>
            <w:shd w:val="clear" w:color="auto" w:fill="CFF0FC"/>
          </w:tcPr>
          <w:p>
            <w:pPr>
              <w:spacing w:after="0"/>
              <w:rPr>
                <w:sz w:val="19"/>
                <w:szCs w:val="19"/>
                <w:color w:val="auto"/>
              </w:rPr>
            </w:pPr>
          </w:p>
        </w:tc>
        <w:tc>
          <w:tcPr>
            <w:tcW w:w="10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11,145</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2"/>
        </w:trPr>
        <w:tc>
          <w:tcPr>
            <w:tcW w:w="7860" w:type="dxa"/>
            <w:vAlign w:val="bottom"/>
          </w:tcPr>
          <w:p>
            <w:pPr>
              <w:ind w:left="260"/>
              <w:spacing w:after="0"/>
              <w:rPr>
                <w:sz w:val="20"/>
                <w:szCs w:val="20"/>
                <w:color w:val="auto"/>
              </w:rPr>
            </w:pPr>
            <w:r>
              <w:rPr>
                <w:rFonts w:ascii="Arial" w:cs="Arial" w:eastAsia="Arial" w:hAnsi="Arial"/>
                <w:sz w:val="18"/>
                <w:szCs w:val="18"/>
                <w:b w:val="1"/>
                <w:bCs w:val="1"/>
                <w:color w:val="auto"/>
              </w:rPr>
              <w:t>Net cash provided by (used in) operating activities</w:t>
            </w:r>
          </w:p>
        </w:tc>
        <w:tc>
          <w:tcPr>
            <w:tcW w:w="360" w:type="dxa"/>
            <w:vAlign w:val="bottom"/>
            <w:tcBorders>
              <w:top w:val="single" w:sz="8" w:color="auto"/>
              <w:bottom w:val="single" w:sz="8" w:color="auto"/>
            </w:tcBorders>
          </w:tcPr>
          <w:p>
            <w:pPr>
              <w:jc w:val="right"/>
              <w:ind w:right="207"/>
              <w:spacing w:after="0"/>
              <w:rPr>
                <w:sz w:val="20"/>
                <w:szCs w:val="20"/>
                <w:color w:val="auto"/>
              </w:rPr>
            </w:pPr>
            <w:r>
              <w:rPr>
                <w:rFonts w:ascii="Arial" w:cs="Arial" w:eastAsia="Arial" w:hAnsi="Arial"/>
                <w:sz w:val="15"/>
                <w:szCs w:val="15"/>
                <w:color w:val="auto"/>
                <w:w w:val="71"/>
              </w:rPr>
              <w:t>$</w:t>
            </w:r>
          </w:p>
        </w:tc>
        <w:tc>
          <w:tcPr>
            <w:tcW w:w="12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(3,419)</w:t>
            </w:r>
          </w:p>
        </w:tc>
        <w:tc>
          <w:tcPr>
            <w:tcW w:w="280" w:type="dxa"/>
            <w:vAlign w:val="bottom"/>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540" w:type="dxa"/>
            <w:vAlign w:val="bottom"/>
            <w:tcBorders>
              <w:top w:val="single" w:sz="8" w:color="auto"/>
              <w:bottom w:val="single" w:sz="8" w:color="auto"/>
            </w:tcBorders>
          </w:tcPr>
          <w:p>
            <w:pPr>
              <w:jc w:val="right"/>
              <w:ind w:right="430"/>
              <w:spacing w:after="0"/>
              <w:rPr>
                <w:sz w:val="20"/>
                <w:szCs w:val="20"/>
                <w:color w:val="auto"/>
              </w:rPr>
            </w:pPr>
            <w:r>
              <w:rPr>
                <w:rFonts w:ascii="Arial" w:cs="Arial" w:eastAsia="Arial" w:hAnsi="Arial"/>
                <w:sz w:val="10"/>
                <w:szCs w:val="10"/>
                <w:color w:val="auto"/>
                <w:w w:val="71"/>
              </w:rPr>
              <w:t>$</w:t>
            </w:r>
          </w:p>
        </w:tc>
        <w:tc>
          <w:tcPr>
            <w:tcW w:w="10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32,238</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786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93" w:lineRule="exact"/>
        <w:rPr>
          <w:sz w:val="20"/>
          <w:szCs w:val="20"/>
          <w:color w:val="auto"/>
        </w:rPr>
      </w:pPr>
    </w:p>
    <w:p>
      <w:pPr>
        <w:spacing w:after="0"/>
        <w:rPr>
          <w:sz w:val="20"/>
          <w:szCs w:val="20"/>
          <w:color w:val="auto"/>
        </w:rPr>
      </w:pPr>
      <w:r>
        <w:rPr>
          <w:rFonts w:ascii="Arial" w:cs="Arial" w:eastAsia="Arial" w:hAnsi="Arial"/>
          <w:sz w:val="17"/>
          <w:szCs w:val="17"/>
          <w:color w:val="auto"/>
        </w:rPr>
        <w:t>The change in cash provided by (used in) operating activities of $35.7 million, was primarily due to lower income and changes in working capital.</w:t>
      </w:r>
    </w:p>
    <w:p>
      <w:pPr>
        <w:spacing w:after="0" w:line="34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Investing Activities</w:t>
      </w:r>
    </w:p>
    <w:p>
      <w:pPr>
        <w:spacing w:after="0" w:line="22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786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2060" w:type="dxa"/>
            <w:vAlign w:val="bottom"/>
            <w:gridSpan w:val="3"/>
          </w:tcPr>
          <w:p>
            <w:pPr>
              <w:jc w:val="right"/>
              <w:spacing w:after="0"/>
              <w:rPr>
                <w:sz w:val="20"/>
                <w:szCs w:val="20"/>
                <w:color w:val="auto"/>
              </w:rPr>
            </w:pPr>
            <w:r>
              <w:rPr>
                <w:rFonts w:ascii="Arial" w:cs="Arial" w:eastAsia="Arial" w:hAnsi="Arial"/>
                <w:sz w:val="14"/>
                <w:szCs w:val="14"/>
                <w:b w:val="1"/>
                <w:bCs w:val="1"/>
                <w:color w:val="auto"/>
              </w:rPr>
              <w:t>Three Months Ended</w:t>
            </w:r>
          </w:p>
        </w:tc>
        <w:tc>
          <w:tcPr>
            <w:tcW w:w="10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1"/>
        </w:trPr>
        <w:tc>
          <w:tcPr>
            <w:tcW w:w="7860" w:type="dxa"/>
            <w:vAlign w:val="bottom"/>
            <w:vMerge w:val="restart"/>
          </w:tcPr>
          <w:p>
            <w:pPr>
              <w:spacing w:after="0"/>
              <w:rPr>
                <w:sz w:val="20"/>
                <w:szCs w:val="20"/>
                <w:color w:val="auto"/>
              </w:rPr>
            </w:pPr>
            <w:r>
              <w:rPr>
                <w:rFonts w:ascii="Arial" w:cs="Arial" w:eastAsia="Arial" w:hAnsi="Arial"/>
                <w:sz w:val="14"/>
                <w:szCs w:val="14"/>
                <w:i w:val="1"/>
                <w:iCs w:val="1"/>
                <w:color w:val="auto"/>
              </w:rPr>
              <w:t>(in thousands)</w:t>
            </w:r>
          </w:p>
        </w:tc>
        <w:tc>
          <w:tcPr>
            <w:tcW w:w="360" w:type="dxa"/>
            <w:vAlign w:val="bottom"/>
            <w:tcBorders>
              <w:bottom w:val="single" w:sz="8" w:color="auto"/>
            </w:tcBorders>
          </w:tcPr>
          <w:p>
            <w:pPr>
              <w:spacing w:after="0"/>
              <w:rPr>
                <w:sz w:val="14"/>
                <w:szCs w:val="14"/>
                <w:color w:val="auto"/>
              </w:rPr>
            </w:pPr>
          </w:p>
        </w:tc>
        <w:tc>
          <w:tcPr>
            <w:tcW w:w="2060" w:type="dxa"/>
            <w:vAlign w:val="bottom"/>
            <w:tcBorders>
              <w:bottom w:val="single" w:sz="8" w:color="auto"/>
            </w:tcBorders>
            <w:gridSpan w:val="3"/>
          </w:tcPr>
          <w:p>
            <w:pPr>
              <w:jc w:val="right"/>
              <w:ind w:right="327"/>
              <w:spacing w:after="0"/>
              <w:rPr>
                <w:sz w:val="20"/>
                <w:szCs w:val="20"/>
                <w:color w:val="auto"/>
              </w:rPr>
            </w:pPr>
            <w:r>
              <w:rPr>
                <w:rFonts w:ascii="Arial" w:cs="Arial" w:eastAsia="Arial" w:hAnsi="Arial"/>
                <w:sz w:val="14"/>
                <w:szCs w:val="14"/>
                <w:b w:val="1"/>
                <w:bCs w:val="1"/>
                <w:color w:val="auto"/>
              </w:rPr>
              <w:t>March 31,</w:t>
            </w:r>
          </w:p>
        </w:tc>
        <w:tc>
          <w:tcPr>
            <w:tcW w:w="1020" w:type="dxa"/>
            <w:vAlign w:val="bottom"/>
            <w:tcBorders>
              <w:bottom w:val="single" w:sz="8" w:color="auto"/>
            </w:tcBorders>
          </w:tcPr>
          <w:p>
            <w:pPr>
              <w:spacing w:after="0"/>
              <w:rPr>
                <w:sz w:val="14"/>
                <w:szCs w:val="14"/>
                <w:color w:val="auto"/>
              </w:rPr>
            </w:pP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5"/>
        </w:trPr>
        <w:tc>
          <w:tcPr>
            <w:tcW w:w="7860" w:type="dxa"/>
            <w:vAlign w:val="bottom"/>
            <w:tcBorders>
              <w:bottom w:val="single" w:sz="8" w:color="CFF0FC"/>
            </w:tcBorders>
            <w:vMerge w:val="continue"/>
          </w:tcPr>
          <w:p>
            <w:pPr>
              <w:spacing w:after="0"/>
              <w:rPr>
                <w:sz w:val="13"/>
                <w:szCs w:val="13"/>
                <w:color w:val="auto"/>
              </w:rPr>
            </w:pPr>
          </w:p>
        </w:tc>
        <w:tc>
          <w:tcPr>
            <w:tcW w:w="360" w:type="dxa"/>
            <w:vAlign w:val="bottom"/>
            <w:tcBorders>
              <w:bottom w:val="single" w:sz="8" w:color="auto"/>
            </w:tcBorders>
          </w:tcPr>
          <w:p>
            <w:pPr>
              <w:spacing w:after="0"/>
              <w:rPr>
                <w:sz w:val="13"/>
                <w:szCs w:val="13"/>
                <w:color w:val="auto"/>
              </w:rPr>
            </w:pPr>
          </w:p>
        </w:tc>
        <w:tc>
          <w:tcPr>
            <w:tcW w:w="1220" w:type="dxa"/>
            <w:vAlign w:val="bottom"/>
            <w:tcBorders>
              <w:bottom w:val="single" w:sz="8" w:color="auto"/>
            </w:tcBorders>
          </w:tcPr>
          <w:p>
            <w:pPr>
              <w:jc w:val="right"/>
              <w:ind w:right="577"/>
              <w:spacing w:after="0" w:line="155" w:lineRule="exact"/>
              <w:rPr>
                <w:sz w:val="20"/>
                <w:szCs w:val="20"/>
                <w:color w:val="auto"/>
              </w:rPr>
            </w:pPr>
            <w:r>
              <w:rPr>
                <w:rFonts w:ascii="Arial" w:cs="Arial" w:eastAsia="Arial" w:hAnsi="Arial"/>
                <w:sz w:val="14"/>
                <w:szCs w:val="14"/>
                <w:b w:val="1"/>
                <w:bCs w:val="1"/>
                <w:color w:val="auto"/>
              </w:rPr>
              <w:t>2018</w:t>
            </w:r>
          </w:p>
        </w:tc>
        <w:tc>
          <w:tcPr>
            <w:tcW w:w="280" w:type="dxa"/>
            <w:vAlign w:val="bottom"/>
            <w:tcBorders>
              <w:bottom w:val="single" w:sz="8" w:color="CFF0FC"/>
            </w:tcBorders>
          </w:tcPr>
          <w:p>
            <w:pPr>
              <w:spacing w:after="0"/>
              <w:rPr>
                <w:sz w:val="13"/>
                <w:szCs w:val="13"/>
                <w:color w:val="auto"/>
              </w:rPr>
            </w:pPr>
          </w:p>
        </w:tc>
        <w:tc>
          <w:tcPr>
            <w:tcW w:w="560" w:type="dxa"/>
            <w:vAlign w:val="bottom"/>
            <w:tcBorders>
              <w:bottom w:val="single" w:sz="8" w:color="auto"/>
            </w:tcBorders>
          </w:tcPr>
          <w:p>
            <w:pPr>
              <w:spacing w:after="0"/>
              <w:rPr>
                <w:sz w:val="13"/>
                <w:szCs w:val="13"/>
                <w:color w:val="auto"/>
              </w:rPr>
            </w:pPr>
          </w:p>
        </w:tc>
        <w:tc>
          <w:tcPr>
            <w:tcW w:w="1020" w:type="dxa"/>
            <w:vAlign w:val="bottom"/>
            <w:tcBorders>
              <w:bottom w:val="single" w:sz="8" w:color="auto"/>
            </w:tcBorders>
          </w:tcPr>
          <w:p>
            <w:pPr>
              <w:jc w:val="right"/>
              <w:ind w:right="573"/>
              <w:spacing w:after="0" w:line="155" w:lineRule="exact"/>
              <w:rPr>
                <w:sz w:val="20"/>
                <w:szCs w:val="20"/>
                <w:color w:val="auto"/>
              </w:rPr>
            </w:pPr>
            <w:r>
              <w:rPr>
                <w:rFonts w:ascii="Arial" w:cs="Arial" w:eastAsia="Arial" w:hAnsi="Arial"/>
                <w:sz w:val="14"/>
                <w:szCs w:val="14"/>
                <w:b w:val="1"/>
                <w:bCs w:val="1"/>
                <w:color w:val="auto"/>
              </w:rPr>
              <w:t>2017</w:t>
            </w:r>
          </w:p>
        </w:tc>
        <w:tc>
          <w:tcPr>
            <w:tcW w:w="120" w:type="dxa"/>
            <w:vAlign w:val="bottom"/>
            <w:tcBorders>
              <w:bottom w:val="single" w:sz="8" w:color="CFF0FC"/>
            </w:tcBorders>
          </w:tcPr>
          <w:p>
            <w:pPr>
              <w:spacing w:after="0"/>
              <w:rPr>
                <w:sz w:val="13"/>
                <w:szCs w:val="13"/>
                <w:color w:val="auto"/>
              </w:rPr>
            </w:pPr>
          </w:p>
        </w:tc>
        <w:tc>
          <w:tcPr>
            <w:tcW w:w="0" w:type="dxa"/>
            <w:vAlign w:val="bottom"/>
          </w:tcPr>
          <w:p>
            <w:pPr>
              <w:spacing w:after="0"/>
              <w:rPr>
                <w:sz w:val="1"/>
                <w:szCs w:val="1"/>
                <w:color w:val="auto"/>
              </w:rPr>
            </w:pPr>
          </w:p>
        </w:tc>
      </w:tr>
      <w:tr>
        <w:trPr>
          <w:trHeight w:val="222"/>
        </w:trPr>
        <w:tc>
          <w:tcPr>
            <w:tcW w:w="7860" w:type="dxa"/>
            <w:vAlign w:val="bottom"/>
            <w:shd w:val="clear" w:color="auto" w:fill="CFF0FC"/>
          </w:tcPr>
          <w:p>
            <w:pPr>
              <w:spacing w:after="0"/>
              <w:rPr>
                <w:sz w:val="20"/>
                <w:szCs w:val="20"/>
                <w:color w:val="auto"/>
              </w:rPr>
            </w:pPr>
            <w:r>
              <w:rPr>
                <w:rFonts w:ascii="Arial" w:cs="Arial" w:eastAsia="Arial" w:hAnsi="Arial"/>
                <w:sz w:val="18"/>
                <w:szCs w:val="18"/>
                <w:color w:val="auto"/>
              </w:rPr>
              <w:t>Capital expenditures</w:t>
            </w:r>
          </w:p>
        </w:tc>
        <w:tc>
          <w:tcPr>
            <w:tcW w:w="360" w:type="dxa"/>
            <w:vAlign w:val="bottom"/>
            <w:shd w:val="clear" w:color="auto" w:fill="CFF0FC"/>
          </w:tcPr>
          <w:p>
            <w:pPr>
              <w:jc w:val="right"/>
              <w:ind w:right="207"/>
              <w:spacing w:after="0"/>
              <w:rPr>
                <w:sz w:val="20"/>
                <w:szCs w:val="20"/>
                <w:color w:val="auto"/>
              </w:rPr>
            </w:pPr>
            <w:r>
              <w:rPr>
                <w:rFonts w:ascii="Arial" w:cs="Arial" w:eastAsia="Arial" w:hAnsi="Arial"/>
                <w:sz w:val="15"/>
                <w:szCs w:val="15"/>
                <w:color w:val="auto"/>
                <w:w w:val="71"/>
              </w:rPr>
              <w:t>$</w:t>
            </w:r>
          </w:p>
        </w:tc>
        <w:tc>
          <w:tcPr>
            <w:tcW w:w="12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(26,586)</w:t>
            </w:r>
          </w:p>
        </w:tc>
        <w:tc>
          <w:tcPr>
            <w:tcW w:w="280" w:type="dxa"/>
            <w:vAlign w:val="bottom"/>
            <w:shd w:val="clear" w:color="auto" w:fill="CFF0FC"/>
          </w:tcPr>
          <w:p>
            <w:pPr>
              <w:spacing w:after="0"/>
              <w:rPr>
                <w:sz w:val="19"/>
                <w:szCs w:val="19"/>
                <w:color w:val="auto"/>
              </w:rPr>
            </w:pPr>
          </w:p>
        </w:tc>
        <w:tc>
          <w:tcPr>
            <w:tcW w:w="560" w:type="dxa"/>
            <w:vAlign w:val="bottom"/>
            <w:shd w:val="clear" w:color="auto" w:fill="CFF0FC"/>
          </w:tcPr>
          <w:p>
            <w:pPr>
              <w:jc w:val="right"/>
              <w:ind w:right="407"/>
              <w:spacing w:after="0"/>
              <w:rPr>
                <w:sz w:val="20"/>
                <w:szCs w:val="20"/>
                <w:color w:val="auto"/>
              </w:rPr>
            </w:pPr>
            <w:r>
              <w:rPr>
                <w:rFonts w:ascii="Arial" w:cs="Arial" w:eastAsia="Arial" w:hAnsi="Arial"/>
                <w:sz w:val="15"/>
                <w:szCs w:val="15"/>
                <w:color w:val="auto"/>
                <w:w w:val="71"/>
              </w:rPr>
              <w:t>$</w:t>
            </w:r>
          </w:p>
        </w:tc>
        <w:tc>
          <w:tcPr>
            <w:tcW w:w="10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(14,662)</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7860" w:type="dxa"/>
            <w:vAlign w:val="bottom"/>
          </w:tcPr>
          <w:p>
            <w:pPr>
              <w:spacing w:after="0"/>
              <w:rPr>
                <w:sz w:val="20"/>
                <w:szCs w:val="20"/>
                <w:color w:val="auto"/>
              </w:rPr>
            </w:pPr>
            <w:r>
              <w:rPr>
                <w:rFonts w:ascii="Arial" w:cs="Arial" w:eastAsia="Arial" w:hAnsi="Arial"/>
                <w:sz w:val="18"/>
                <w:szCs w:val="18"/>
                <w:color w:val="auto"/>
              </w:rPr>
              <w:t>Proceeds from insurance</w:t>
            </w:r>
          </w:p>
        </w:tc>
        <w:tc>
          <w:tcPr>
            <w:tcW w:w="360" w:type="dxa"/>
            <w:vAlign w:val="bottom"/>
          </w:tcPr>
          <w:p>
            <w:pPr>
              <w:spacing w:after="0"/>
              <w:rPr>
                <w:sz w:val="19"/>
                <w:szCs w:val="19"/>
                <w:color w:val="auto"/>
              </w:rPr>
            </w:pPr>
          </w:p>
        </w:tc>
        <w:tc>
          <w:tcPr>
            <w:tcW w:w="150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560" w:type="dxa"/>
            <w:vAlign w:val="bottom"/>
          </w:tcPr>
          <w:p>
            <w:pPr>
              <w:spacing w:after="0"/>
              <w:rPr>
                <w:sz w:val="19"/>
                <w:szCs w:val="19"/>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4,583</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7860" w:type="dxa"/>
            <w:vAlign w:val="bottom"/>
            <w:shd w:val="clear" w:color="auto" w:fill="CFF0FC"/>
          </w:tcPr>
          <w:p>
            <w:pPr>
              <w:spacing w:after="0"/>
              <w:rPr>
                <w:sz w:val="20"/>
                <w:szCs w:val="20"/>
                <w:color w:val="auto"/>
              </w:rPr>
            </w:pPr>
            <w:r>
              <w:rPr>
                <w:rFonts w:ascii="Arial" w:cs="Arial" w:eastAsia="Arial" w:hAnsi="Arial"/>
                <w:sz w:val="18"/>
                <w:szCs w:val="18"/>
                <w:color w:val="auto"/>
              </w:rPr>
              <w:t>Cash paid for acquired businesses, net</w:t>
            </w:r>
          </w:p>
        </w:tc>
        <w:tc>
          <w:tcPr>
            <w:tcW w:w="360" w:type="dxa"/>
            <w:vAlign w:val="bottom"/>
            <w:shd w:val="clear" w:color="auto" w:fill="CFF0FC"/>
          </w:tcPr>
          <w:p>
            <w:pPr>
              <w:spacing w:after="0"/>
              <w:rPr>
                <w:sz w:val="19"/>
                <w:szCs w:val="19"/>
                <w:color w:val="auto"/>
              </w:rPr>
            </w:pPr>
          </w:p>
        </w:tc>
        <w:tc>
          <w:tcPr>
            <w:tcW w:w="1500" w:type="dxa"/>
            <w:vAlign w:val="bottom"/>
            <w:gridSpan w:val="2"/>
            <w:shd w:val="clear" w:color="auto" w:fill="CFF0FC"/>
          </w:tcPr>
          <w:p>
            <w:pPr>
              <w:jc w:val="right"/>
              <w:ind w:right="300"/>
              <w:spacing w:after="0"/>
              <w:rPr>
                <w:sz w:val="20"/>
                <w:szCs w:val="20"/>
                <w:color w:val="auto"/>
              </w:rPr>
            </w:pPr>
            <w:r>
              <w:rPr>
                <w:rFonts w:ascii="Arial" w:cs="Arial" w:eastAsia="Arial" w:hAnsi="Arial"/>
                <w:sz w:val="18"/>
                <w:szCs w:val="18"/>
                <w:color w:val="auto"/>
              </w:rPr>
              <w:t>—</w:t>
            </w:r>
          </w:p>
        </w:tc>
        <w:tc>
          <w:tcPr>
            <w:tcW w:w="560" w:type="dxa"/>
            <w:vAlign w:val="bottom"/>
            <w:shd w:val="clear" w:color="auto" w:fill="CFF0FC"/>
          </w:tcPr>
          <w:p>
            <w:pPr>
              <w:spacing w:after="0"/>
              <w:rPr>
                <w:sz w:val="19"/>
                <w:szCs w:val="19"/>
                <w:color w:val="auto"/>
              </w:rPr>
            </w:pPr>
          </w:p>
        </w:tc>
        <w:tc>
          <w:tcPr>
            <w:tcW w:w="1140" w:type="dxa"/>
            <w:vAlign w:val="bottom"/>
            <w:gridSpan w:val="2"/>
            <w:shd w:val="clear" w:color="auto" w:fill="CFF0FC"/>
          </w:tcPr>
          <w:p>
            <w:pPr>
              <w:jc w:val="right"/>
              <w:ind w:right="60"/>
              <w:spacing w:after="0"/>
              <w:rPr>
                <w:sz w:val="20"/>
                <w:szCs w:val="20"/>
                <w:color w:val="auto"/>
              </w:rPr>
            </w:pPr>
            <w:r>
              <w:rPr>
                <w:rFonts w:ascii="Arial" w:cs="Arial" w:eastAsia="Arial" w:hAnsi="Arial"/>
                <w:sz w:val="18"/>
                <w:szCs w:val="18"/>
                <w:color w:val="auto"/>
              </w:rPr>
              <w:t>(1,661)</w:t>
            </w:r>
          </w:p>
        </w:tc>
        <w:tc>
          <w:tcPr>
            <w:tcW w:w="0" w:type="dxa"/>
            <w:vAlign w:val="bottom"/>
          </w:tcPr>
          <w:p>
            <w:pPr>
              <w:spacing w:after="0"/>
              <w:rPr>
                <w:sz w:val="1"/>
                <w:szCs w:val="1"/>
                <w:color w:val="auto"/>
              </w:rPr>
            </w:pPr>
          </w:p>
        </w:tc>
      </w:tr>
      <w:tr>
        <w:trPr>
          <w:trHeight w:val="229"/>
        </w:trPr>
        <w:tc>
          <w:tcPr>
            <w:tcW w:w="7860" w:type="dxa"/>
            <w:vAlign w:val="bottom"/>
            <w:tcBorders>
              <w:bottom w:val="single" w:sz="8" w:color="CFF0FC"/>
            </w:tcBorders>
          </w:tcPr>
          <w:p>
            <w:pPr>
              <w:spacing w:after="0"/>
              <w:rPr>
                <w:sz w:val="20"/>
                <w:szCs w:val="20"/>
                <w:color w:val="auto"/>
              </w:rPr>
            </w:pPr>
            <w:r>
              <w:rPr>
                <w:rFonts w:ascii="Arial" w:cs="Arial" w:eastAsia="Arial" w:hAnsi="Arial"/>
                <w:sz w:val="18"/>
                <w:szCs w:val="18"/>
                <w:color w:val="auto"/>
              </w:rPr>
              <w:t>Proceeds from dispositions of property and other assets</w:t>
            </w:r>
          </w:p>
        </w:tc>
        <w:tc>
          <w:tcPr>
            <w:tcW w:w="360" w:type="dxa"/>
            <w:vAlign w:val="bottom"/>
            <w:tcBorders>
              <w:bottom w:val="single" w:sz="8" w:color="auto"/>
            </w:tcBorders>
          </w:tcPr>
          <w:p>
            <w:pPr>
              <w:spacing w:after="0"/>
              <w:rPr>
                <w:sz w:val="19"/>
                <w:szCs w:val="19"/>
                <w:color w:val="auto"/>
              </w:rPr>
            </w:pP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1,139</w:t>
            </w:r>
          </w:p>
        </w:tc>
        <w:tc>
          <w:tcPr>
            <w:tcW w:w="280" w:type="dxa"/>
            <w:vAlign w:val="bottom"/>
            <w:tcBorders>
              <w:bottom w:val="single" w:sz="8" w:color="CFF0FC"/>
            </w:tcBorders>
          </w:tcPr>
          <w:p>
            <w:pPr>
              <w:spacing w:after="0"/>
              <w:rPr>
                <w:sz w:val="19"/>
                <w:szCs w:val="19"/>
                <w:color w:val="auto"/>
              </w:rPr>
            </w:pPr>
          </w:p>
        </w:tc>
        <w:tc>
          <w:tcPr>
            <w:tcW w:w="560" w:type="dxa"/>
            <w:vAlign w:val="bottom"/>
            <w:tcBorders>
              <w:bottom w:val="single" w:sz="8" w:color="auto"/>
            </w:tcBorders>
          </w:tcPr>
          <w:p>
            <w:pPr>
              <w:spacing w:after="0"/>
              <w:rPr>
                <w:sz w:val="19"/>
                <w:szCs w:val="19"/>
                <w:color w:val="auto"/>
              </w:rPr>
            </w:pP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550</w:t>
            </w:r>
          </w:p>
        </w:tc>
        <w:tc>
          <w:tcPr>
            <w:tcW w:w="120" w:type="dxa"/>
            <w:vAlign w:val="bottom"/>
            <w:tcBorders>
              <w:bottom w:val="single" w:sz="8" w:color="CFF0FC"/>
            </w:tcBorders>
          </w:tcPr>
          <w:p>
            <w:pPr>
              <w:spacing w:after="0"/>
              <w:rPr>
                <w:sz w:val="19"/>
                <w:szCs w:val="19"/>
                <w:color w:val="auto"/>
              </w:rPr>
            </w:pPr>
          </w:p>
        </w:tc>
        <w:tc>
          <w:tcPr>
            <w:tcW w:w="0" w:type="dxa"/>
            <w:vAlign w:val="bottom"/>
          </w:tcPr>
          <w:p>
            <w:pPr>
              <w:spacing w:after="0"/>
              <w:rPr>
                <w:sz w:val="1"/>
                <w:szCs w:val="1"/>
                <w:color w:val="auto"/>
              </w:rPr>
            </w:pPr>
          </w:p>
        </w:tc>
      </w:tr>
      <w:tr>
        <w:trPr>
          <w:trHeight w:val="222"/>
        </w:trPr>
        <w:tc>
          <w:tcPr>
            <w:tcW w:w="7860" w:type="dxa"/>
            <w:vAlign w:val="bottom"/>
            <w:tcBorders>
              <w:bottom w:val="single" w:sz="8" w:color="CFF0FC"/>
            </w:tcBorders>
            <w:shd w:val="clear" w:color="auto" w:fill="CFF0FC"/>
          </w:tcPr>
          <w:p>
            <w:pPr>
              <w:ind w:left="260"/>
              <w:spacing w:after="0"/>
              <w:rPr>
                <w:sz w:val="20"/>
                <w:szCs w:val="20"/>
                <w:color w:val="auto"/>
              </w:rPr>
            </w:pPr>
            <w:r>
              <w:rPr>
                <w:rFonts w:ascii="Arial" w:cs="Arial" w:eastAsia="Arial" w:hAnsi="Arial"/>
                <w:sz w:val="18"/>
                <w:szCs w:val="18"/>
                <w:b w:val="1"/>
                <w:bCs w:val="1"/>
                <w:color w:val="auto"/>
              </w:rPr>
              <w:t>Net cash used in investing activities</w:t>
            </w:r>
          </w:p>
        </w:tc>
        <w:tc>
          <w:tcPr>
            <w:tcW w:w="360" w:type="dxa"/>
            <w:vAlign w:val="bottom"/>
            <w:tcBorders>
              <w:bottom w:val="single" w:sz="8" w:color="auto"/>
            </w:tcBorders>
            <w:shd w:val="clear" w:color="auto" w:fill="CFF0FC"/>
          </w:tcPr>
          <w:p>
            <w:pPr>
              <w:jc w:val="right"/>
              <w:ind w:right="207"/>
              <w:spacing w:after="0"/>
              <w:rPr>
                <w:sz w:val="20"/>
                <w:szCs w:val="20"/>
                <w:color w:val="auto"/>
              </w:rPr>
            </w:pPr>
            <w:r>
              <w:rPr>
                <w:rFonts w:ascii="Arial" w:cs="Arial" w:eastAsia="Arial" w:hAnsi="Arial"/>
                <w:sz w:val="15"/>
                <w:szCs w:val="15"/>
                <w:color w:val="auto"/>
                <w:w w:val="71"/>
              </w:rPr>
              <w:t>$</w:t>
            </w:r>
          </w:p>
        </w:tc>
        <w:tc>
          <w:tcPr>
            <w:tcW w:w="12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(25,447)</w:t>
            </w:r>
          </w:p>
        </w:tc>
        <w:tc>
          <w:tcPr>
            <w:tcW w:w="280" w:type="dxa"/>
            <w:vAlign w:val="bottom"/>
            <w:tcBorders>
              <w:bottom w:val="single" w:sz="8" w:color="CFF0FC"/>
            </w:tcBorders>
            <w:shd w:val="clear" w:color="auto" w:fill="CFF0FC"/>
          </w:tcPr>
          <w:p>
            <w:pPr>
              <w:spacing w:after="0"/>
              <w:rPr>
                <w:sz w:val="19"/>
                <w:szCs w:val="19"/>
                <w:color w:val="auto"/>
              </w:rPr>
            </w:pPr>
          </w:p>
        </w:tc>
        <w:tc>
          <w:tcPr>
            <w:tcW w:w="560" w:type="dxa"/>
            <w:vAlign w:val="bottom"/>
            <w:tcBorders>
              <w:bottom w:val="single" w:sz="8" w:color="auto"/>
            </w:tcBorders>
            <w:shd w:val="clear" w:color="auto" w:fill="CFF0FC"/>
          </w:tcPr>
          <w:p>
            <w:pPr>
              <w:jc w:val="right"/>
              <w:ind w:right="407"/>
              <w:spacing w:after="0"/>
              <w:rPr>
                <w:sz w:val="20"/>
                <w:szCs w:val="20"/>
                <w:color w:val="auto"/>
              </w:rPr>
            </w:pPr>
            <w:r>
              <w:rPr>
                <w:rFonts w:ascii="Arial" w:cs="Arial" w:eastAsia="Arial" w:hAnsi="Arial"/>
                <w:sz w:val="15"/>
                <w:szCs w:val="15"/>
                <w:color w:val="auto"/>
                <w:w w:val="71"/>
              </w:rPr>
              <w:t>$</w:t>
            </w:r>
          </w:p>
        </w:tc>
        <w:tc>
          <w:tcPr>
            <w:tcW w:w="10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(11,190)</w:t>
            </w:r>
          </w:p>
        </w:tc>
        <w:tc>
          <w:tcPr>
            <w:tcW w:w="120" w:type="dxa"/>
            <w:vAlign w:val="bottom"/>
            <w:tcBorders>
              <w:bottom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786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93" w:lineRule="exact"/>
        <w:rPr>
          <w:sz w:val="20"/>
          <w:szCs w:val="20"/>
          <w:color w:val="auto"/>
        </w:rPr>
      </w:pPr>
    </w:p>
    <w:p>
      <w:pPr>
        <w:jc w:val="both"/>
        <w:spacing w:after="0" w:line="275" w:lineRule="auto"/>
        <w:rPr>
          <w:sz w:val="20"/>
          <w:szCs w:val="20"/>
          <w:color w:val="auto"/>
        </w:rPr>
      </w:pPr>
      <w:r>
        <w:rPr>
          <w:rFonts w:ascii="Arial" w:cs="Arial" w:eastAsia="Arial" w:hAnsi="Arial"/>
          <w:sz w:val="18"/>
          <w:szCs w:val="18"/>
          <w:color w:val="auto"/>
        </w:rPr>
        <w:t>Net cash used in investing activities increased $14.3 million, primarily due to an increase in capital expenditures and the receipt in 2017 of $4.6 million of Mount Royal Hotel fire-related insurance proceeds.</w:t>
      </w:r>
    </w:p>
    <w:p>
      <w:pPr>
        <w:spacing w:after="0" w:line="27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Financing Activities</w:t>
      </w:r>
    </w:p>
    <w:p>
      <w:pPr>
        <w:spacing w:after="0" w:line="22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786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2060" w:type="dxa"/>
            <w:vAlign w:val="bottom"/>
            <w:gridSpan w:val="4"/>
          </w:tcPr>
          <w:p>
            <w:pPr>
              <w:jc w:val="right"/>
              <w:ind w:right="10"/>
              <w:spacing w:after="0"/>
              <w:rPr>
                <w:sz w:val="20"/>
                <w:szCs w:val="20"/>
                <w:color w:val="auto"/>
              </w:rPr>
            </w:pPr>
            <w:r>
              <w:rPr>
                <w:rFonts w:ascii="Arial" w:cs="Arial" w:eastAsia="Arial" w:hAnsi="Arial"/>
                <w:sz w:val="14"/>
                <w:szCs w:val="14"/>
                <w:b w:val="1"/>
                <w:bCs w:val="1"/>
                <w:color w:val="auto"/>
              </w:rPr>
              <w:t>Three Months Ended</w:t>
            </w:r>
          </w:p>
        </w:tc>
        <w:tc>
          <w:tcPr>
            <w:tcW w:w="10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1"/>
        </w:trPr>
        <w:tc>
          <w:tcPr>
            <w:tcW w:w="7860" w:type="dxa"/>
            <w:vAlign w:val="bottom"/>
            <w:vMerge w:val="restart"/>
          </w:tcPr>
          <w:p>
            <w:pPr>
              <w:spacing w:after="0"/>
              <w:rPr>
                <w:sz w:val="20"/>
                <w:szCs w:val="20"/>
                <w:color w:val="auto"/>
              </w:rPr>
            </w:pPr>
            <w:r>
              <w:rPr>
                <w:rFonts w:ascii="Arial" w:cs="Arial" w:eastAsia="Arial" w:hAnsi="Arial"/>
                <w:sz w:val="14"/>
                <w:szCs w:val="14"/>
                <w:i w:val="1"/>
                <w:iCs w:val="1"/>
                <w:color w:val="auto"/>
              </w:rPr>
              <w:t>(in thousands)</w:t>
            </w:r>
          </w:p>
        </w:tc>
        <w:tc>
          <w:tcPr>
            <w:tcW w:w="360" w:type="dxa"/>
            <w:vAlign w:val="bottom"/>
            <w:tcBorders>
              <w:bottom w:val="single" w:sz="8" w:color="auto"/>
            </w:tcBorders>
          </w:tcPr>
          <w:p>
            <w:pPr>
              <w:spacing w:after="0"/>
              <w:rPr>
                <w:sz w:val="14"/>
                <w:szCs w:val="14"/>
                <w:color w:val="auto"/>
              </w:rPr>
            </w:pPr>
          </w:p>
        </w:tc>
        <w:tc>
          <w:tcPr>
            <w:tcW w:w="2060" w:type="dxa"/>
            <w:vAlign w:val="bottom"/>
            <w:tcBorders>
              <w:bottom w:val="single" w:sz="8" w:color="auto"/>
            </w:tcBorders>
            <w:gridSpan w:val="4"/>
          </w:tcPr>
          <w:p>
            <w:pPr>
              <w:jc w:val="right"/>
              <w:ind w:right="350"/>
              <w:spacing w:after="0"/>
              <w:rPr>
                <w:sz w:val="20"/>
                <w:szCs w:val="20"/>
                <w:color w:val="auto"/>
              </w:rPr>
            </w:pPr>
            <w:r>
              <w:rPr>
                <w:rFonts w:ascii="Arial" w:cs="Arial" w:eastAsia="Arial" w:hAnsi="Arial"/>
                <w:sz w:val="14"/>
                <w:szCs w:val="14"/>
                <w:b w:val="1"/>
                <w:bCs w:val="1"/>
                <w:color w:val="auto"/>
              </w:rPr>
              <w:t>March 31,</w:t>
            </w:r>
          </w:p>
        </w:tc>
        <w:tc>
          <w:tcPr>
            <w:tcW w:w="1020" w:type="dxa"/>
            <w:vAlign w:val="bottom"/>
            <w:tcBorders>
              <w:bottom w:val="single" w:sz="8" w:color="auto"/>
            </w:tcBorders>
          </w:tcPr>
          <w:p>
            <w:pPr>
              <w:spacing w:after="0"/>
              <w:rPr>
                <w:sz w:val="14"/>
                <w:szCs w:val="14"/>
                <w:color w:val="auto"/>
              </w:rPr>
            </w:pP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5"/>
        </w:trPr>
        <w:tc>
          <w:tcPr>
            <w:tcW w:w="7860" w:type="dxa"/>
            <w:vAlign w:val="bottom"/>
            <w:tcBorders>
              <w:bottom w:val="single" w:sz="8" w:color="CFF0FC"/>
            </w:tcBorders>
            <w:vMerge w:val="continue"/>
          </w:tcPr>
          <w:p>
            <w:pPr>
              <w:spacing w:after="0"/>
              <w:rPr>
                <w:sz w:val="13"/>
                <w:szCs w:val="13"/>
                <w:color w:val="auto"/>
              </w:rPr>
            </w:pPr>
          </w:p>
        </w:tc>
        <w:tc>
          <w:tcPr>
            <w:tcW w:w="360" w:type="dxa"/>
            <w:vAlign w:val="bottom"/>
            <w:tcBorders>
              <w:bottom w:val="single" w:sz="8" w:color="auto"/>
            </w:tcBorders>
          </w:tcPr>
          <w:p>
            <w:pPr>
              <w:spacing w:after="0"/>
              <w:rPr>
                <w:sz w:val="13"/>
                <w:szCs w:val="13"/>
                <w:color w:val="auto"/>
              </w:rPr>
            </w:pPr>
          </w:p>
        </w:tc>
        <w:tc>
          <w:tcPr>
            <w:tcW w:w="1220" w:type="dxa"/>
            <w:vAlign w:val="bottom"/>
            <w:tcBorders>
              <w:bottom w:val="single" w:sz="8" w:color="auto"/>
            </w:tcBorders>
          </w:tcPr>
          <w:p>
            <w:pPr>
              <w:jc w:val="right"/>
              <w:ind w:right="576"/>
              <w:spacing w:after="0" w:line="155" w:lineRule="exact"/>
              <w:rPr>
                <w:sz w:val="20"/>
                <w:szCs w:val="20"/>
                <w:color w:val="auto"/>
              </w:rPr>
            </w:pPr>
            <w:r>
              <w:rPr>
                <w:rFonts w:ascii="Arial" w:cs="Arial" w:eastAsia="Arial" w:hAnsi="Arial"/>
                <w:sz w:val="14"/>
                <w:szCs w:val="14"/>
                <w:b w:val="1"/>
                <w:bCs w:val="1"/>
                <w:color w:val="auto"/>
              </w:rPr>
              <w:t>2018</w:t>
            </w:r>
          </w:p>
        </w:tc>
        <w:tc>
          <w:tcPr>
            <w:tcW w:w="280" w:type="dxa"/>
            <w:vAlign w:val="bottom"/>
            <w:tcBorders>
              <w:bottom w:val="single" w:sz="8" w:color="CFF0FC"/>
            </w:tcBorders>
          </w:tcPr>
          <w:p>
            <w:pPr>
              <w:spacing w:after="0"/>
              <w:rPr>
                <w:sz w:val="13"/>
                <w:szCs w:val="13"/>
                <w:color w:val="auto"/>
              </w:rPr>
            </w:pPr>
          </w:p>
        </w:tc>
        <w:tc>
          <w:tcPr>
            <w:tcW w:w="20" w:type="dxa"/>
            <w:vAlign w:val="bottom"/>
            <w:tcBorders>
              <w:bottom w:val="single" w:sz="8" w:color="CFF0FC"/>
            </w:tcBorders>
          </w:tcPr>
          <w:p>
            <w:pPr>
              <w:spacing w:after="0"/>
              <w:rPr>
                <w:sz w:val="13"/>
                <w:szCs w:val="13"/>
                <w:color w:val="auto"/>
              </w:rPr>
            </w:pPr>
          </w:p>
        </w:tc>
        <w:tc>
          <w:tcPr>
            <w:tcW w:w="540" w:type="dxa"/>
            <w:vAlign w:val="bottom"/>
            <w:tcBorders>
              <w:bottom w:val="single" w:sz="8" w:color="auto"/>
            </w:tcBorders>
          </w:tcPr>
          <w:p>
            <w:pPr>
              <w:spacing w:after="0"/>
              <w:rPr>
                <w:sz w:val="13"/>
                <w:szCs w:val="13"/>
                <w:color w:val="auto"/>
              </w:rPr>
            </w:pPr>
          </w:p>
        </w:tc>
        <w:tc>
          <w:tcPr>
            <w:tcW w:w="1020" w:type="dxa"/>
            <w:vAlign w:val="bottom"/>
            <w:tcBorders>
              <w:bottom w:val="single" w:sz="8" w:color="auto"/>
            </w:tcBorders>
          </w:tcPr>
          <w:p>
            <w:pPr>
              <w:jc w:val="right"/>
              <w:ind w:right="573"/>
              <w:spacing w:after="0" w:line="155" w:lineRule="exact"/>
              <w:rPr>
                <w:sz w:val="20"/>
                <w:szCs w:val="20"/>
                <w:color w:val="auto"/>
              </w:rPr>
            </w:pPr>
            <w:r>
              <w:rPr>
                <w:rFonts w:ascii="Arial" w:cs="Arial" w:eastAsia="Arial" w:hAnsi="Arial"/>
                <w:sz w:val="14"/>
                <w:szCs w:val="14"/>
                <w:b w:val="1"/>
                <w:bCs w:val="1"/>
                <w:color w:val="auto"/>
              </w:rPr>
              <w:t>2017</w:t>
            </w:r>
          </w:p>
        </w:tc>
        <w:tc>
          <w:tcPr>
            <w:tcW w:w="120" w:type="dxa"/>
            <w:vAlign w:val="bottom"/>
            <w:tcBorders>
              <w:bottom w:val="single" w:sz="8" w:color="CFF0FC"/>
            </w:tcBorders>
          </w:tcPr>
          <w:p>
            <w:pPr>
              <w:spacing w:after="0"/>
              <w:rPr>
                <w:sz w:val="13"/>
                <w:szCs w:val="13"/>
                <w:color w:val="auto"/>
              </w:rPr>
            </w:pPr>
          </w:p>
        </w:tc>
        <w:tc>
          <w:tcPr>
            <w:tcW w:w="0" w:type="dxa"/>
            <w:vAlign w:val="bottom"/>
          </w:tcPr>
          <w:p>
            <w:pPr>
              <w:spacing w:after="0"/>
              <w:rPr>
                <w:sz w:val="1"/>
                <w:szCs w:val="1"/>
                <w:color w:val="auto"/>
              </w:rPr>
            </w:pPr>
          </w:p>
        </w:tc>
      </w:tr>
      <w:tr>
        <w:trPr>
          <w:trHeight w:val="222"/>
        </w:trPr>
        <w:tc>
          <w:tcPr>
            <w:tcW w:w="7860" w:type="dxa"/>
            <w:vAlign w:val="bottom"/>
            <w:shd w:val="clear" w:color="auto" w:fill="CFF0FC"/>
          </w:tcPr>
          <w:p>
            <w:pPr>
              <w:spacing w:after="0"/>
              <w:rPr>
                <w:sz w:val="20"/>
                <w:szCs w:val="20"/>
                <w:color w:val="auto"/>
              </w:rPr>
            </w:pPr>
            <w:r>
              <w:rPr>
                <w:rFonts w:ascii="Arial" w:cs="Arial" w:eastAsia="Arial" w:hAnsi="Arial"/>
                <w:sz w:val="18"/>
                <w:szCs w:val="18"/>
                <w:color w:val="auto"/>
              </w:rPr>
              <w:t>Proceeds from borrowings</w:t>
            </w:r>
          </w:p>
        </w:tc>
        <w:tc>
          <w:tcPr>
            <w:tcW w:w="360" w:type="dxa"/>
            <w:vAlign w:val="bottom"/>
            <w:shd w:val="clear" w:color="auto" w:fill="CFF0FC"/>
          </w:tcPr>
          <w:p>
            <w:pPr>
              <w:jc w:val="right"/>
              <w:ind w:right="207"/>
              <w:spacing w:after="0"/>
              <w:rPr>
                <w:sz w:val="20"/>
                <w:szCs w:val="20"/>
                <w:color w:val="auto"/>
              </w:rPr>
            </w:pPr>
            <w:r>
              <w:rPr>
                <w:rFonts w:ascii="Arial" w:cs="Arial" w:eastAsia="Arial" w:hAnsi="Arial"/>
                <w:sz w:val="15"/>
                <w:szCs w:val="15"/>
                <w:color w:val="auto"/>
                <w:w w:val="71"/>
              </w:rPr>
              <w:t>$</w:t>
            </w:r>
          </w:p>
        </w:tc>
        <w:tc>
          <w:tcPr>
            <w:tcW w:w="12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36,038</w:t>
            </w:r>
          </w:p>
        </w:tc>
        <w:tc>
          <w:tcPr>
            <w:tcW w:w="28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540" w:type="dxa"/>
            <w:vAlign w:val="bottom"/>
            <w:shd w:val="clear" w:color="auto" w:fill="CFF0FC"/>
          </w:tcPr>
          <w:p>
            <w:pPr>
              <w:jc w:val="right"/>
              <w:ind w:right="430"/>
              <w:spacing w:after="0"/>
              <w:rPr>
                <w:sz w:val="20"/>
                <w:szCs w:val="20"/>
                <w:color w:val="auto"/>
              </w:rPr>
            </w:pPr>
            <w:r>
              <w:rPr>
                <w:rFonts w:ascii="Arial" w:cs="Arial" w:eastAsia="Arial" w:hAnsi="Arial"/>
                <w:sz w:val="10"/>
                <w:szCs w:val="10"/>
                <w:color w:val="auto"/>
                <w:w w:val="71"/>
              </w:rPr>
              <w:t>$</w:t>
            </w:r>
          </w:p>
        </w:tc>
        <w:tc>
          <w:tcPr>
            <w:tcW w:w="10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17,574</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7860" w:type="dxa"/>
            <w:vAlign w:val="bottom"/>
          </w:tcPr>
          <w:p>
            <w:pPr>
              <w:spacing w:after="0"/>
              <w:rPr>
                <w:sz w:val="20"/>
                <w:szCs w:val="20"/>
                <w:color w:val="auto"/>
              </w:rPr>
            </w:pPr>
            <w:r>
              <w:rPr>
                <w:rFonts w:ascii="Arial" w:cs="Arial" w:eastAsia="Arial" w:hAnsi="Arial"/>
                <w:sz w:val="18"/>
                <w:szCs w:val="18"/>
                <w:color w:val="auto"/>
              </w:rPr>
              <w:t>Payments on debt and capital lease obligations</w:t>
            </w:r>
          </w:p>
        </w:tc>
        <w:tc>
          <w:tcPr>
            <w:tcW w:w="360" w:type="dxa"/>
            <w:vAlign w:val="bottom"/>
          </w:tcPr>
          <w:p>
            <w:pPr>
              <w:spacing w:after="0"/>
              <w:rPr>
                <w:sz w:val="19"/>
                <w:szCs w:val="19"/>
                <w:color w:val="auto"/>
              </w:rPr>
            </w:pPr>
          </w:p>
        </w:tc>
        <w:tc>
          <w:tcPr>
            <w:tcW w:w="1500" w:type="dxa"/>
            <w:vAlign w:val="bottom"/>
            <w:gridSpan w:val="2"/>
          </w:tcPr>
          <w:p>
            <w:pPr>
              <w:jc w:val="right"/>
              <w:ind w:right="220"/>
              <w:spacing w:after="0"/>
              <w:rPr>
                <w:sz w:val="20"/>
                <w:szCs w:val="20"/>
                <w:color w:val="auto"/>
              </w:rPr>
            </w:pPr>
            <w:r>
              <w:rPr>
                <w:rFonts w:ascii="Arial" w:cs="Arial" w:eastAsia="Arial" w:hAnsi="Arial"/>
                <w:sz w:val="18"/>
                <w:szCs w:val="18"/>
                <w:color w:val="auto"/>
              </w:rPr>
              <w:t>(15,348)</w:t>
            </w:r>
          </w:p>
        </w:tc>
        <w:tc>
          <w:tcPr>
            <w:tcW w:w="2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1140" w:type="dxa"/>
            <w:vAlign w:val="bottom"/>
            <w:gridSpan w:val="2"/>
          </w:tcPr>
          <w:p>
            <w:pPr>
              <w:jc w:val="right"/>
              <w:ind w:right="60"/>
              <w:spacing w:after="0"/>
              <w:rPr>
                <w:sz w:val="20"/>
                <w:szCs w:val="20"/>
                <w:color w:val="auto"/>
              </w:rPr>
            </w:pPr>
            <w:r>
              <w:rPr>
                <w:rFonts w:ascii="Arial" w:cs="Arial" w:eastAsia="Arial" w:hAnsi="Arial"/>
                <w:sz w:val="18"/>
                <w:szCs w:val="18"/>
                <w:color w:val="auto"/>
              </w:rPr>
              <w:t>(30,985)</w:t>
            </w:r>
          </w:p>
        </w:tc>
        <w:tc>
          <w:tcPr>
            <w:tcW w:w="0" w:type="dxa"/>
            <w:vAlign w:val="bottom"/>
          </w:tcPr>
          <w:p>
            <w:pPr>
              <w:spacing w:after="0"/>
              <w:rPr>
                <w:sz w:val="1"/>
                <w:szCs w:val="1"/>
                <w:color w:val="auto"/>
              </w:rPr>
            </w:pPr>
          </w:p>
        </w:tc>
      </w:tr>
      <w:tr>
        <w:trPr>
          <w:trHeight w:val="229"/>
        </w:trPr>
        <w:tc>
          <w:tcPr>
            <w:tcW w:w="7860" w:type="dxa"/>
            <w:vAlign w:val="bottom"/>
            <w:shd w:val="clear" w:color="auto" w:fill="CFF0FC"/>
          </w:tcPr>
          <w:p>
            <w:pPr>
              <w:spacing w:after="0"/>
              <w:rPr>
                <w:sz w:val="20"/>
                <w:szCs w:val="20"/>
                <w:color w:val="auto"/>
              </w:rPr>
            </w:pPr>
            <w:r>
              <w:rPr>
                <w:rFonts w:ascii="Arial" w:cs="Arial" w:eastAsia="Arial" w:hAnsi="Arial"/>
                <w:sz w:val="18"/>
                <w:szCs w:val="18"/>
                <w:color w:val="auto"/>
              </w:rPr>
              <w:t>Dividends paid on common stock</w:t>
            </w:r>
          </w:p>
        </w:tc>
        <w:tc>
          <w:tcPr>
            <w:tcW w:w="360" w:type="dxa"/>
            <w:vAlign w:val="bottom"/>
            <w:shd w:val="clear" w:color="auto" w:fill="CFF0FC"/>
          </w:tcPr>
          <w:p>
            <w:pPr>
              <w:spacing w:after="0"/>
              <w:rPr>
                <w:sz w:val="19"/>
                <w:szCs w:val="19"/>
                <w:color w:val="auto"/>
              </w:rPr>
            </w:pPr>
          </w:p>
        </w:tc>
        <w:tc>
          <w:tcPr>
            <w:tcW w:w="1500" w:type="dxa"/>
            <w:vAlign w:val="bottom"/>
            <w:gridSpan w:val="2"/>
            <w:shd w:val="clear" w:color="auto" w:fill="CFF0FC"/>
          </w:tcPr>
          <w:p>
            <w:pPr>
              <w:jc w:val="right"/>
              <w:ind w:right="220"/>
              <w:spacing w:after="0"/>
              <w:rPr>
                <w:sz w:val="20"/>
                <w:szCs w:val="20"/>
                <w:color w:val="auto"/>
              </w:rPr>
            </w:pPr>
            <w:r>
              <w:rPr>
                <w:rFonts w:ascii="Arial" w:cs="Arial" w:eastAsia="Arial" w:hAnsi="Arial"/>
                <w:sz w:val="18"/>
                <w:szCs w:val="18"/>
                <w:color w:val="auto"/>
              </w:rPr>
              <w:t>(2,046)</w:t>
            </w:r>
          </w:p>
        </w:tc>
        <w:tc>
          <w:tcPr>
            <w:tcW w:w="20" w:type="dxa"/>
            <w:vAlign w:val="bottom"/>
            <w:shd w:val="clear" w:color="auto" w:fill="CFF0FC"/>
          </w:tcPr>
          <w:p>
            <w:pPr>
              <w:spacing w:after="0"/>
              <w:rPr>
                <w:sz w:val="19"/>
                <w:szCs w:val="19"/>
                <w:color w:val="auto"/>
              </w:rPr>
            </w:pPr>
          </w:p>
        </w:tc>
        <w:tc>
          <w:tcPr>
            <w:tcW w:w="540" w:type="dxa"/>
            <w:vAlign w:val="bottom"/>
            <w:shd w:val="clear" w:color="auto" w:fill="CFF0FC"/>
          </w:tcPr>
          <w:p>
            <w:pPr>
              <w:spacing w:after="0"/>
              <w:rPr>
                <w:sz w:val="19"/>
                <w:szCs w:val="19"/>
                <w:color w:val="auto"/>
              </w:rPr>
            </w:pPr>
          </w:p>
        </w:tc>
        <w:tc>
          <w:tcPr>
            <w:tcW w:w="1140" w:type="dxa"/>
            <w:vAlign w:val="bottom"/>
            <w:gridSpan w:val="2"/>
            <w:shd w:val="clear" w:color="auto" w:fill="CFF0FC"/>
          </w:tcPr>
          <w:p>
            <w:pPr>
              <w:jc w:val="right"/>
              <w:ind w:right="60"/>
              <w:spacing w:after="0"/>
              <w:rPr>
                <w:sz w:val="20"/>
                <w:szCs w:val="20"/>
                <w:color w:val="auto"/>
              </w:rPr>
            </w:pPr>
            <w:r>
              <w:rPr>
                <w:rFonts w:ascii="Arial" w:cs="Arial" w:eastAsia="Arial" w:hAnsi="Arial"/>
                <w:sz w:val="18"/>
                <w:szCs w:val="18"/>
                <w:color w:val="auto"/>
              </w:rPr>
              <w:t>(2,038)</w:t>
            </w:r>
          </w:p>
        </w:tc>
        <w:tc>
          <w:tcPr>
            <w:tcW w:w="0" w:type="dxa"/>
            <w:vAlign w:val="bottom"/>
          </w:tcPr>
          <w:p>
            <w:pPr>
              <w:spacing w:after="0"/>
              <w:rPr>
                <w:sz w:val="1"/>
                <w:szCs w:val="1"/>
                <w:color w:val="auto"/>
              </w:rPr>
            </w:pPr>
          </w:p>
        </w:tc>
      </w:tr>
      <w:tr>
        <w:trPr>
          <w:trHeight w:val="229"/>
        </w:trPr>
        <w:tc>
          <w:tcPr>
            <w:tcW w:w="7860" w:type="dxa"/>
            <w:vAlign w:val="bottom"/>
          </w:tcPr>
          <w:p>
            <w:pPr>
              <w:spacing w:after="0"/>
              <w:rPr>
                <w:sz w:val="20"/>
                <w:szCs w:val="20"/>
                <w:color w:val="auto"/>
              </w:rPr>
            </w:pPr>
            <w:r>
              <w:rPr>
                <w:rFonts w:ascii="Arial" w:cs="Arial" w:eastAsia="Arial" w:hAnsi="Arial"/>
                <w:sz w:val="18"/>
                <w:szCs w:val="18"/>
                <w:color w:val="auto"/>
              </w:rPr>
              <w:t>Common stock purchased for treasury</w:t>
            </w:r>
          </w:p>
        </w:tc>
        <w:tc>
          <w:tcPr>
            <w:tcW w:w="360" w:type="dxa"/>
            <w:vAlign w:val="bottom"/>
          </w:tcPr>
          <w:p>
            <w:pPr>
              <w:spacing w:after="0"/>
              <w:rPr>
                <w:sz w:val="19"/>
                <w:szCs w:val="19"/>
                <w:color w:val="auto"/>
              </w:rPr>
            </w:pPr>
          </w:p>
        </w:tc>
        <w:tc>
          <w:tcPr>
            <w:tcW w:w="1500" w:type="dxa"/>
            <w:vAlign w:val="bottom"/>
            <w:gridSpan w:val="2"/>
          </w:tcPr>
          <w:p>
            <w:pPr>
              <w:jc w:val="right"/>
              <w:ind w:right="220"/>
              <w:spacing w:after="0"/>
              <w:rPr>
                <w:sz w:val="20"/>
                <w:szCs w:val="20"/>
                <w:color w:val="auto"/>
              </w:rPr>
            </w:pPr>
            <w:r>
              <w:rPr>
                <w:rFonts w:ascii="Arial" w:cs="Arial" w:eastAsia="Arial" w:hAnsi="Arial"/>
                <w:sz w:val="18"/>
                <w:szCs w:val="18"/>
                <w:color w:val="auto"/>
              </w:rPr>
              <w:t>(868)</w:t>
            </w:r>
          </w:p>
        </w:tc>
        <w:tc>
          <w:tcPr>
            <w:tcW w:w="2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1140" w:type="dxa"/>
            <w:vAlign w:val="bottom"/>
            <w:gridSpan w:val="2"/>
          </w:tcPr>
          <w:p>
            <w:pPr>
              <w:jc w:val="right"/>
              <w:ind w:right="60"/>
              <w:spacing w:after="0"/>
              <w:rPr>
                <w:sz w:val="20"/>
                <w:szCs w:val="20"/>
                <w:color w:val="auto"/>
              </w:rPr>
            </w:pPr>
            <w:r>
              <w:rPr>
                <w:rFonts w:ascii="Arial" w:cs="Arial" w:eastAsia="Arial" w:hAnsi="Arial"/>
                <w:sz w:val="18"/>
                <w:szCs w:val="18"/>
                <w:color w:val="auto"/>
              </w:rPr>
              <w:t>(1,204)</w:t>
            </w:r>
          </w:p>
        </w:tc>
        <w:tc>
          <w:tcPr>
            <w:tcW w:w="0" w:type="dxa"/>
            <w:vAlign w:val="bottom"/>
          </w:tcPr>
          <w:p>
            <w:pPr>
              <w:spacing w:after="0"/>
              <w:rPr>
                <w:sz w:val="1"/>
                <w:szCs w:val="1"/>
                <w:color w:val="auto"/>
              </w:rPr>
            </w:pPr>
          </w:p>
        </w:tc>
      </w:tr>
      <w:tr>
        <w:trPr>
          <w:trHeight w:val="229"/>
        </w:trPr>
        <w:tc>
          <w:tcPr>
            <w:tcW w:w="7860" w:type="dxa"/>
            <w:vAlign w:val="bottom"/>
            <w:shd w:val="clear" w:color="auto" w:fill="CFF0FC"/>
          </w:tcPr>
          <w:p>
            <w:pPr>
              <w:spacing w:after="0"/>
              <w:rPr>
                <w:sz w:val="20"/>
                <w:szCs w:val="20"/>
                <w:color w:val="auto"/>
              </w:rPr>
            </w:pPr>
            <w:r>
              <w:rPr>
                <w:rFonts w:ascii="Arial" w:cs="Arial" w:eastAsia="Arial" w:hAnsi="Arial"/>
                <w:sz w:val="18"/>
                <w:szCs w:val="18"/>
                <w:color w:val="auto"/>
              </w:rPr>
              <w:t>Proceeds from exercise of stock options</w:t>
            </w:r>
          </w:p>
        </w:tc>
        <w:tc>
          <w:tcPr>
            <w:tcW w:w="360" w:type="dxa"/>
            <w:vAlign w:val="bottom"/>
            <w:shd w:val="clear" w:color="auto" w:fill="CFF0FC"/>
          </w:tcPr>
          <w:p>
            <w:pPr>
              <w:spacing w:after="0"/>
              <w:rPr>
                <w:sz w:val="19"/>
                <w:szCs w:val="19"/>
                <w:color w:val="auto"/>
              </w:rPr>
            </w:pPr>
          </w:p>
        </w:tc>
        <w:tc>
          <w:tcPr>
            <w:tcW w:w="12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84</w:t>
            </w:r>
          </w:p>
        </w:tc>
        <w:tc>
          <w:tcPr>
            <w:tcW w:w="28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540" w:type="dxa"/>
            <w:vAlign w:val="bottom"/>
            <w:shd w:val="clear" w:color="auto" w:fill="CFF0FC"/>
          </w:tcPr>
          <w:p>
            <w:pPr>
              <w:spacing w:after="0"/>
              <w:rPr>
                <w:sz w:val="19"/>
                <w:szCs w:val="19"/>
                <w:color w:val="auto"/>
              </w:rPr>
            </w:pPr>
          </w:p>
        </w:tc>
        <w:tc>
          <w:tcPr>
            <w:tcW w:w="1140" w:type="dxa"/>
            <w:vAlign w:val="bottom"/>
            <w:gridSpan w:val="2"/>
            <w:shd w:val="clear" w:color="auto" w:fill="CFF0FC"/>
          </w:tcPr>
          <w:p>
            <w:pPr>
              <w:jc w:val="right"/>
              <w:ind w:right="14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2"/>
        </w:trPr>
        <w:tc>
          <w:tcPr>
            <w:tcW w:w="7860" w:type="dxa"/>
            <w:vAlign w:val="bottom"/>
          </w:tcPr>
          <w:p>
            <w:pPr>
              <w:ind w:left="260"/>
              <w:spacing w:after="0"/>
              <w:rPr>
                <w:sz w:val="20"/>
                <w:szCs w:val="20"/>
                <w:color w:val="auto"/>
              </w:rPr>
            </w:pPr>
            <w:r>
              <w:rPr>
                <w:rFonts w:ascii="Arial" w:cs="Arial" w:eastAsia="Arial" w:hAnsi="Arial"/>
                <w:sz w:val="18"/>
                <w:szCs w:val="18"/>
                <w:b w:val="1"/>
                <w:bCs w:val="1"/>
                <w:color w:val="auto"/>
              </w:rPr>
              <w:t>Net cash provided by (used in) financing activities</w:t>
            </w:r>
          </w:p>
        </w:tc>
        <w:tc>
          <w:tcPr>
            <w:tcW w:w="360" w:type="dxa"/>
            <w:vAlign w:val="bottom"/>
            <w:tcBorders>
              <w:top w:val="single" w:sz="8" w:color="auto"/>
              <w:bottom w:val="single" w:sz="8" w:color="auto"/>
            </w:tcBorders>
          </w:tcPr>
          <w:p>
            <w:pPr>
              <w:jc w:val="right"/>
              <w:ind w:right="207"/>
              <w:spacing w:after="0"/>
              <w:rPr>
                <w:sz w:val="20"/>
                <w:szCs w:val="20"/>
                <w:color w:val="auto"/>
              </w:rPr>
            </w:pPr>
            <w:r>
              <w:rPr>
                <w:rFonts w:ascii="Arial" w:cs="Arial" w:eastAsia="Arial" w:hAnsi="Arial"/>
                <w:sz w:val="15"/>
                <w:szCs w:val="15"/>
                <w:color w:val="auto"/>
                <w:w w:val="71"/>
              </w:rPr>
              <w:t>$</w:t>
            </w:r>
          </w:p>
        </w:tc>
        <w:tc>
          <w:tcPr>
            <w:tcW w:w="12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17,860</w:t>
            </w:r>
          </w:p>
        </w:tc>
        <w:tc>
          <w:tcPr>
            <w:tcW w:w="280" w:type="dxa"/>
            <w:vAlign w:val="bottom"/>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540" w:type="dxa"/>
            <w:vAlign w:val="bottom"/>
            <w:tcBorders>
              <w:top w:val="single" w:sz="8" w:color="auto"/>
              <w:bottom w:val="single" w:sz="8" w:color="auto"/>
            </w:tcBorders>
          </w:tcPr>
          <w:p>
            <w:pPr>
              <w:jc w:val="right"/>
              <w:ind w:right="430"/>
              <w:spacing w:after="0"/>
              <w:rPr>
                <w:sz w:val="20"/>
                <w:szCs w:val="20"/>
                <w:color w:val="auto"/>
              </w:rPr>
            </w:pPr>
            <w:r>
              <w:rPr>
                <w:rFonts w:ascii="Arial" w:cs="Arial" w:eastAsia="Arial" w:hAnsi="Arial"/>
                <w:sz w:val="10"/>
                <w:szCs w:val="10"/>
                <w:color w:val="auto"/>
                <w:w w:val="71"/>
              </w:rPr>
              <w:t>$</w:t>
            </w:r>
          </w:p>
        </w:tc>
        <w:tc>
          <w:tcPr>
            <w:tcW w:w="10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(16,653)</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786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93" w:lineRule="exact"/>
        <w:rPr>
          <w:sz w:val="20"/>
          <w:szCs w:val="20"/>
          <w:color w:val="auto"/>
        </w:rPr>
      </w:pPr>
    </w:p>
    <w:p>
      <w:pPr>
        <w:jc w:val="both"/>
        <w:spacing w:after="0" w:line="275" w:lineRule="auto"/>
        <w:rPr>
          <w:sz w:val="20"/>
          <w:szCs w:val="20"/>
          <w:color w:val="auto"/>
        </w:rPr>
      </w:pPr>
      <w:r>
        <w:rPr>
          <w:rFonts w:ascii="Arial" w:cs="Arial" w:eastAsia="Arial" w:hAnsi="Arial"/>
          <w:sz w:val="18"/>
          <w:szCs w:val="18"/>
          <w:color w:val="auto"/>
        </w:rPr>
        <w:t>The change in net cash provided by (used in) financing activities of $34.5 million was primarily due to net debt proceeds of $20.7 million during the three months ended March 31, 2018 compared to net debt payments of $13.4 million during the three months ended March 31, 2017.</w:t>
      </w:r>
    </w:p>
    <w:p>
      <w:pPr>
        <w:spacing w:after="0" w:line="17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69850</wp:posOffset>
            </wp:positionV>
            <wp:extent cx="7289800" cy="4254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1420"/>
          </w:cols>
          <w:pgMar w:left="240" w:top="659" w:right="239" w:bottom="1440" w:gutter="0" w:footer="0" w:header="0"/>
        </w:sectPr>
      </w:pPr>
    </w:p>
    <w:bookmarkStart w:id="37" w:name="page38"/>
    <w:bookmarkEnd w:id="37"/>
    <w:p>
      <w:pPr>
        <w:spacing w:after="0"/>
        <w:rPr>
          <w:sz w:val="20"/>
          <w:szCs w:val="20"/>
          <w:color w:val="auto"/>
        </w:rPr>
      </w:pPr>
      <w:r>
        <w:rPr>
          <w:rFonts w:ascii="Arial" w:cs="Arial" w:eastAsia="Arial" w:hAnsi="Arial"/>
          <w:sz w:val="18"/>
          <w:szCs w:val="18"/>
          <w:b w:val="1"/>
          <w:bCs w:val="1"/>
          <w:color w:val="auto"/>
        </w:rPr>
        <w:t>Debt and Capital Lease Obligations</w:t>
      </w:r>
    </w:p>
    <w:p>
      <w:pPr>
        <w:spacing w:after="0" w:line="120" w:lineRule="exact"/>
        <w:rPr>
          <w:sz w:val="20"/>
          <w:szCs w:val="20"/>
          <w:color w:val="auto"/>
        </w:rPr>
      </w:pPr>
    </w:p>
    <w:p>
      <w:pPr>
        <w:jc w:val="both"/>
        <w:spacing w:after="0" w:line="275" w:lineRule="auto"/>
        <w:rPr>
          <w:sz w:val="20"/>
          <w:szCs w:val="20"/>
          <w:color w:val="auto"/>
        </w:rPr>
      </w:pPr>
      <w:r>
        <w:rPr>
          <w:rFonts w:ascii="Arial" w:cs="Arial" w:eastAsia="Arial" w:hAnsi="Arial"/>
          <w:sz w:val="18"/>
          <w:szCs w:val="18"/>
          <w:color w:val="auto"/>
        </w:rPr>
        <w:t>Refer to Note 12 – Debt and Capital Lease Obligations of the Notes to Condensed Consolidated Financial Statements for further discussion, which discussion is incorporated by reference herein.</w:t>
      </w:r>
    </w:p>
    <w:p>
      <w:pPr>
        <w:spacing w:after="0" w:line="27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Share Repurchases</w:t>
      </w:r>
    </w:p>
    <w:p>
      <w:pPr>
        <w:spacing w:after="0" w:line="116" w:lineRule="exact"/>
        <w:rPr>
          <w:sz w:val="20"/>
          <w:szCs w:val="20"/>
          <w:color w:val="auto"/>
        </w:rPr>
      </w:pPr>
    </w:p>
    <w:p>
      <w:pPr>
        <w:jc w:val="both"/>
        <w:spacing w:after="0" w:line="278" w:lineRule="auto"/>
        <w:rPr>
          <w:sz w:val="20"/>
          <w:szCs w:val="20"/>
          <w:color w:val="auto"/>
        </w:rPr>
      </w:pPr>
      <w:r>
        <w:rPr>
          <w:rFonts w:ascii="Arial" w:cs="Arial" w:eastAsia="Arial" w:hAnsi="Arial"/>
          <w:sz w:val="17"/>
          <w:szCs w:val="17"/>
          <w:color w:val="auto"/>
        </w:rPr>
        <w:t>Our Board of Directors has authorized us to repurchase shares of our common stock from time to time at prevailing market prices. No shares were repurchased on the open market during the three months ended March 31, 2018 or 2017. As of March 31, 2018, 440,540 shares remained available for repurchase. The Board of Directors’ authorization does not have an expiration date. We repurchased 16,362 shares for $0.9 million during the three months ended March 31, 2018 and 25,642 shares for $1.2 million during 2017 related to tax withholding requirements on vested share-based awards.</w:t>
      </w:r>
    </w:p>
    <w:p>
      <w:pPr>
        <w:spacing w:after="0" w:line="27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Off-Balance Sheet Arrangements</w:t>
      </w:r>
    </w:p>
    <w:p>
      <w:pPr>
        <w:spacing w:after="0" w:line="120" w:lineRule="exact"/>
        <w:rPr>
          <w:sz w:val="20"/>
          <w:szCs w:val="20"/>
          <w:color w:val="auto"/>
        </w:rPr>
      </w:pPr>
    </w:p>
    <w:p>
      <w:pPr>
        <w:jc w:val="both"/>
        <w:spacing w:after="0" w:line="285" w:lineRule="auto"/>
        <w:rPr>
          <w:sz w:val="20"/>
          <w:szCs w:val="20"/>
          <w:color w:val="auto"/>
        </w:rPr>
      </w:pPr>
      <w:r>
        <w:rPr>
          <w:rFonts w:ascii="Arial" w:cs="Arial" w:eastAsia="Arial" w:hAnsi="Arial"/>
          <w:sz w:val="16"/>
          <w:szCs w:val="16"/>
          <w:color w:val="auto"/>
        </w:rPr>
        <w:t>We have not entered into any off-balance sheet arrangements with unconsolidated special-purpose or other entities that would materially affect our financial position, results of operations, liquidity, or capital resources. Furthermore, we do not have any relationships with special-purpose or other entities that provide off-balance sheet financing; liquidity, market risk, or credit risk support; or engage in leasing or other services that may expose us to liability or risks of loss that are not reflected in the condensed consolidated financial statements and related notes. Refer to Note 12 – Debt and Capital Lease Obligations and Note 19</w:t>
      </w:r>
    </w:p>
    <w:p>
      <w:pPr>
        <w:spacing w:after="0" w:line="1" w:lineRule="exact"/>
        <w:rPr>
          <w:sz w:val="20"/>
          <w:szCs w:val="20"/>
          <w:color w:val="auto"/>
        </w:rPr>
      </w:pPr>
    </w:p>
    <w:p>
      <w:pPr>
        <w:spacing w:after="0" w:line="258" w:lineRule="auto"/>
        <w:rPr>
          <w:sz w:val="20"/>
          <w:szCs w:val="20"/>
          <w:color w:val="auto"/>
        </w:rPr>
      </w:pPr>
      <w:r>
        <w:rPr>
          <w:rFonts w:ascii="Arial" w:cs="Arial" w:eastAsia="Arial" w:hAnsi="Arial"/>
          <w:sz w:val="18"/>
          <w:szCs w:val="18"/>
          <w:color w:val="auto"/>
        </w:rPr>
        <w:t>– Litigation, Claims, Contingencies, and Other of the Notes to Condensed Consolidated Financial Statements (Part I, Item 1 of this quarterly report on Form 10-Q) for further information, which information is incorporated by reference herein.</w:t>
      </w:r>
    </w:p>
    <w:p>
      <w:pPr>
        <w:spacing w:after="0" w:line="28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Critical Accounting Policies and Estimates</w:t>
      </w:r>
    </w:p>
    <w:p>
      <w:pPr>
        <w:spacing w:after="0" w:line="120"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Critical accounting policies are those policies that are most important to the portrayal of our financial position and results of operations, and that require us to make the most difficult and subjective judgements, often as a result of the need to make estimates of matters that are inherently uncertain. Following is our revenue recognition policy, which we revised upon the adoption of Topic 606. Refer to “Management’s Discussion and Analysis of Financial Condition and Results of Operations” (Part II, Item 7) of our Annual Report on Form 10-K for the year ended December 31, 2017, for a discussion of all our other critical accounting policies and estimates.</w:t>
      </w:r>
    </w:p>
    <w:p>
      <w:pPr>
        <w:spacing w:after="0" w:line="137" w:lineRule="exact"/>
        <w:rPr>
          <w:sz w:val="20"/>
          <w:szCs w:val="20"/>
          <w:color w:val="auto"/>
        </w:rPr>
      </w:pPr>
    </w:p>
    <w:p>
      <w:pPr>
        <w:jc w:val="both"/>
        <w:spacing w:after="0" w:line="255" w:lineRule="auto"/>
        <w:rPr>
          <w:sz w:val="20"/>
          <w:szCs w:val="20"/>
          <w:color w:val="auto"/>
        </w:rPr>
      </w:pPr>
      <w:r>
        <w:rPr>
          <w:rFonts w:ascii="Arial" w:cs="Arial" w:eastAsia="Arial" w:hAnsi="Arial"/>
          <w:sz w:val="18"/>
          <w:szCs w:val="18"/>
          <w:i w:val="1"/>
          <w:iCs w:val="1"/>
          <w:u w:val="single" w:color="auto"/>
          <w:color w:val="auto"/>
        </w:rPr>
        <w:t>Revenue recognition</w:t>
      </w:r>
      <w:r>
        <w:rPr>
          <w:rFonts w:ascii="Arial" w:cs="Arial" w:eastAsia="Arial" w:hAnsi="Arial"/>
          <w:sz w:val="18"/>
          <w:szCs w:val="18"/>
          <w:i w:val="1"/>
          <w:iCs w:val="1"/>
          <w:color w:val="auto"/>
        </w:rPr>
        <w:t xml:space="preserve"> </w:t>
      </w:r>
      <w:r>
        <w:rPr>
          <w:rFonts w:ascii="Arial" w:cs="Arial" w:eastAsia="Arial" w:hAnsi="Arial"/>
          <w:sz w:val="18"/>
          <w:szCs w:val="18"/>
          <w:color w:val="auto"/>
        </w:rPr>
        <w:t>– Beginning January 1, 2018, revenue is measured based on a specified amount of consideration in a contract with a customer, net of</w:t>
      </w:r>
      <w:r>
        <w:rPr>
          <w:rFonts w:ascii="Arial" w:cs="Arial" w:eastAsia="Arial" w:hAnsi="Arial"/>
          <w:sz w:val="18"/>
          <w:szCs w:val="18"/>
          <w:i w:val="1"/>
          <w:iCs w:val="1"/>
          <w:color w:val="auto"/>
        </w:rPr>
        <w:t xml:space="preserve"> </w:t>
      </w:r>
      <w:r>
        <w:rPr>
          <w:rFonts w:ascii="Arial" w:cs="Arial" w:eastAsia="Arial" w:hAnsi="Arial"/>
          <w:sz w:val="18"/>
          <w:szCs w:val="18"/>
          <w:color w:val="auto"/>
        </w:rPr>
        <w:t>commissions paid to customers and amounts collected on behalf of third parties. We recognize revenue when a performance obligation is satisfied by transferring control of a product or service to a customer. We elected to apply the practical expedient to recognize revenue in the amount for which we have a right to invoice. Additionally, we recognize revenue when we have a right to consideration from a customer in an amount that corresponds directly with the value to the customer for our performance completed to date.</w:t>
      </w:r>
    </w:p>
    <w:p>
      <w:pPr>
        <w:spacing w:after="0" w:line="137" w:lineRule="exact"/>
        <w:rPr>
          <w:sz w:val="20"/>
          <w:szCs w:val="20"/>
          <w:color w:val="auto"/>
        </w:rPr>
      </w:pPr>
    </w:p>
    <w:p>
      <w:pPr>
        <w:jc w:val="both"/>
        <w:spacing w:after="0" w:line="272" w:lineRule="auto"/>
        <w:rPr>
          <w:sz w:val="20"/>
          <w:szCs w:val="20"/>
          <w:color w:val="auto"/>
        </w:rPr>
      </w:pPr>
      <w:r>
        <w:rPr>
          <w:rFonts w:ascii="Arial" w:cs="Arial" w:eastAsia="Arial" w:hAnsi="Arial"/>
          <w:sz w:val="17"/>
          <w:szCs w:val="17"/>
          <w:color w:val="auto"/>
        </w:rPr>
        <w:t>GES’ service revenue is primarily derived through its comprehensive range of services to event organizers and corporate brand marketers including Core Services, Audio-Visual, and Event Technology. GES’ service revenue is recognized when we have a right to invoice, net of commissions paid to customers, at the close of the event. GES’ product revenue is derived from the build of exhibits and environments and graphics. GES’ product revenue from the build of exhibits is recognized upon delivery of the product while graphics is recognized at the close of the event when we have the right to invoice. GES’ service revenue and graphics product revenue are recognized over time as they are considered part of a single performance obligation satisfied over time. GES’ product revenue from the build of exhibits is recognized at a point in time.</w:t>
      </w:r>
    </w:p>
    <w:p>
      <w:pPr>
        <w:spacing w:after="0" w:line="123" w:lineRule="exact"/>
        <w:rPr>
          <w:sz w:val="20"/>
          <w:szCs w:val="20"/>
          <w:color w:val="auto"/>
        </w:rPr>
      </w:pPr>
    </w:p>
    <w:p>
      <w:pPr>
        <w:jc w:val="both"/>
        <w:spacing w:after="0" w:line="310" w:lineRule="auto"/>
        <w:rPr>
          <w:sz w:val="20"/>
          <w:szCs w:val="20"/>
          <w:color w:val="auto"/>
        </w:rPr>
      </w:pPr>
      <w:r>
        <w:rPr>
          <w:rFonts w:ascii="Arial" w:cs="Arial" w:eastAsia="Arial" w:hAnsi="Arial"/>
          <w:sz w:val="16"/>
          <w:szCs w:val="16"/>
          <w:color w:val="auto"/>
        </w:rPr>
        <w:t>Pursuit’s service revenue is derived through its accommodations, admissions, transportation, and travel planning services. Pursuit’s product revenue is derived through food and beverage and retail sales. Pursuit’s revenue is recognized at the time services are performed or upon delivery of the product. Pursuit’s service revenue is recognized over time as the customer simultaneously receives and consumes the benefits. Pursuit’s product revenue is recognized at a point in time.</w:t>
      </w:r>
    </w:p>
    <w:p>
      <w:pPr>
        <w:spacing w:after="0" w:line="25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Impact of Recent Accounting Pronouncements</w:t>
      </w:r>
    </w:p>
    <w:p>
      <w:pPr>
        <w:spacing w:after="0" w:line="120" w:lineRule="exact"/>
        <w:rPr>
          <w:sz w:val="20"/>
          <w:szCs w:val="20"/>
          <w:color w:val="auto"/>
        </w:rPr>
      </w:pPr>
    </w:p>
    <w:p>
      <w:pPr>
        <w:spacing w:after="0"/>
        <w:rPr>
          <w:sz w:val="20"/>
          <w:szCs w:val="20"/>
          <w:color w:val="auto"/>
        </w:rPr>
      </w:pPr>
      <w:r>
        <w:rPr>
          <w:rFonts w:ascii="Arial" w:cs="Arial" w:eastAsia="Arial" w:hAnsi="Arial"/>
          <w:sz w:val="18"/>
          <w:szCs w:val="18"/>
          <w:color w:val="auto"/>
        </w:rPr>
        <w:t>Refer to Note 1 – Overview and Basis of Presentation of the Notes to Condensed Consolidated Financial Statements for further information.</w:t>
      </w:r>
    </w:p>
    <w:p>
      <w:pPr>
        <w:spacing w:after="0" w:line="2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69850</wp:posOffset>
            </wp:positionV>
            <wp:extent cx="7289800" cy="42545"/>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1420"/>
          </w:cols>
          <w:pgMar w:left="240" w:top="659" w:right="239" w:bottom="1440" w:gutter="0" w:footer="0" w:header="0"/>
        </w:sectPr>
      </w:pPr>
    </w:p>
    <w:bookmarkStart w:id="38" w:name="page39"/>
    <w:bookmarkEnd w:id="38"/>
    <w:p>
      <w:pPr>
        <w:spacing w:after="0"/>
        <w:rPr>
          <w:sz w:val="20"/>
          <w:szCs w:val="20"/>
          <w:color w:val="auto"/>
        </w:rPr>
      </w:pPr>
      <w:r>
        <w:rPr>
          <w:rFonts w:ascii="Arial" w:cs="Arial" w:eastAsia="Arial" w:hAnsi="Arial"/>
          <w:sz w:val="18"/>
          <w:szCs w:val="18"/>
          <w:b w:val="1"/>
          <w:bCs w:val="1"/>
          <w:color w:val="auto"/>
        </w:rPr>
        <w:t>Non-GAAP Measures</w:t>
      </w:r>
    </w:p>
    <w:p>
      <w:pPr>
        <w:spacing w:after="0" w:line="120" w:lineRule="exact"/>
        <w:rPr>
          <w:sz w:val="20"/>
          <w:szCs w:val="20"/>
          <w:color w:val="auto"/>
        </w:rPr>
      </w:pPr>
    </w:p>
    <w:p>
      <w:pPr>
        <w:jc w:val="both"/>
        <w:spacing w:after="0" w:line="267" w:lineRule="auto"/>
        <w:rPr>
          <w:sz w:val="20"/>
          <w:szCs w:val="20"/>
          <w:color w:val="auto"/>
        </w:rPr>
      </w:pPr>
      <w:r>
        <w:rPr>
          <w:rFonts w:ascii="Arial" w:cs="Arial" w:eastAsia="Arial" w:hAnsi="Arial"/>
          <w:sz w:val="17"/>
          <w:szCs w:val="17"/>
          <w:color w:val="auto"/>
        </w:rPr>
        <w:t>In addition to disclosing financial results that are determined in accordance with U.S. generally accepted accounting principles (“GAAP”), we also disclose non-GAAP financial measures of Adjusted EBITDA, Segment operating income, organic revenue, and organic segment operating income (collectively, the “Non-GAAP Measures”). The presentation of the Non-GAAP Measures is supplemental to, but not as a substitute for, other measures of financial performance reported in accordance with GAAP. As not all companies use identical calculations, the Non-GAAP Measures may not be comparable to similarly titled measures used by other companies. We believe that the presentation of the Non-GAAP Measures provides useful information to investors regarding our results of operations for trending, analyzing, and benchmarking the performance and value of our business.</w:t>
      </w:r>
    </w:p>
    <w:p>
      <w:pPr>
        <w:jc w:val="both"/>
        <w:ind w:left="760" w:hanging="376"/>
        <w:spacing w:after="0" w:line="249" w:lineRule="auto"/>
        <w:tabs>
          <w:tab w:leader="none" w:pos="760" w:val="left"/>
        </w:tabs>
        <w:numPr>
          <w:ilvl w:val="0"/>
          <w:numId w:val="27"/>
        </w:numPr>
        <w:rPr>
          <w:rFonts w:ascii="Arial" w:cs="Arial" w:eastAsia="Arial" w:hAnsi="Arial"/>
          <w:sz w:val="18"/>
          <w:szCs w:val="18"/>
          <w:color w:val="auto"/>
        </w:rPr>
      </w:pPr>
      <w:r>
        <w:rPr>
          <w:rFonts w:ascii="Arial" w:cs="Arial" w:eastAsia="Arial" w:hAnsi="Arial"/>
          <w:sz w:val="18"/>
          <w:szCs w:val="18"/>
          <w:b w:val="1"/>
          <w:bCs w:val="1"/>
          <w:color w:val="auto"/>
        </w:rPr>
        <w:t xml:space="preserve">“Adjusted EBITDA” </w:t>
      </w:r>
      <w:r>
        <w:rPr>
          <w:rFonts w:ascii="Arial" w:cs="Arial" w:eastAsia="Arial" w:hAnsi="Arial"/>
          <w:sz w:val="18"/>
          <w:szCs w:val="18"/>
          <w:color w:val="auto"/>
        </w:rPr>
        <w:t>is net income attributable to Viad before our portion of interest expense, income taxes, depreciation and amortization,</w:t>
      </w:r>
      <w:r>
        <w:rPr>
          <w:rFonts w:ascii="Arial" w:cs="Arial" w:eastAsia="Arial" w:hAnsi="Arial"/>
          <w:sz w:val="18"/>
          <w:szCs w:val="18"/>
          <w:b w:val="1"/>
          <w:bCs w:val="1"/>
          <w:color w:val="auto"/>
        </w:rPr>
        <w:t xml:space="preserve"> </w:t>
      </w:r>
      <w:r>
        <w:rPr>
          <w:rFonts w:ascii="Arial" w:cs="Arial" w:eastAsia="Arial" w:hAnsi="Arial"/>
          <w:sz w:val="18"/>
          <w:szCs w:val="18"/>
          <w:color w:val="auto"/>
        </w:rPr>
        <w:t>impairment charges and recoveries, changes in accounting principles, and the effects of discontinued operations. Adjusted EBITDA is used to measure the profit and performance of our operations and to facilitate period-to-period comparisons. Refer to the table below for a reconciliation of Adjusted EBITDA to the most directly comparable GAAP measure.</w:t>
      </w:r>
    </w:p>
    <w:p>
      <w:pPr>
        <w:spacing w:after="0" w:line="1" w:lineRule="exact"/>
        <w:rPr>
          <w:rFonts w:ascii="Arial" w:cs="Arial" w:eastAsia="Arial" w:hAnsi="Arial"/>
          <w:sz w:val="18"/>
          <w:szCs w:val="18"/>
          <w:color w:val="auto"/>
        </w:rPr>
      </w:pPr>
    </w:p>
    <w:p>
      <w:pPr>
        <w:jc w:val="both"/>
        <w:ind w:left="760" w:hanging="376"/>
        <w:spacing w:after="0" w:line="264" w:lineRule="auto"/>
        <w:tabs>
          <w:tab w:leader="none" w:pos="760" w:val="left"/>
        </w:tabs>
        <w:numPr>
          <w:ilvl w:val="0"/>
          <w:numId w:val="27"/>
        </w:numPr>
        <w:rPr>
          <w:rFonts w:ascii="Arial" w:cs="Arial" w:eastAsia="Arial" w:hAnsi="Arial"/>
          <w:sz w:val="17"/>
          <w:szCs w:val="17"/>
          <w:color w:val="auto"/>
        </w:rPr>
      </w:pPr>
      <w:r>
        <w:rPr>
          <w:rFonts w:ascii="Arial" w:cs="Arial" w:eastAsia="Arial" w:hAnsi="Arial"/>
          <w:sz w:val="17"/>
          <w:szCs w:val="17"/>
          <w:b w:val="1"/>
          <w:bCs w:val="1"/>
          <w:color w:val="auto"/>
        </w:rPr>
        <w:t xml:space="preserve">“Segment operating income” </w:t>
      </w:r>
      <w:r>
        <w:rPr>
          <w:rFonts w:ascii="Arial" w:cs="Arial" w:eastAsia="Arial" w:hAnsi="Arial"/>
          <w:sz w:val="17"/>
          <w:szCs w:val="17"/>
          <w:color w:val="auto"/>
        </w:rPr>
        <w:t>is net income attributable to Viad before income (loss) from discontinued operations, corporate activities, interest</w:t>
      </w:r>
      <w:r>
        <w:rPr>
          <w:rFonts w:ascii="Arial" w:cs="Arial" w:eastAsia="Arial" w:hAnsi="Arial"/>
          <w:sz w:val="17"/>
          <w:szCs w:val="17"/>
          <w:b w:val="1"/>
          <w:bCs w:val="1"/>
          <w:color w:val="auto"/>
        </w:rPr>
        <w:t xml:space="preserve"> </w:t>
      </w:r>
      <w:r>
        <w:rPr>
          <w:rFonts w:ascii="Arial" w:cs="Arial" w:eastAsia="Arial" w:hAnsi="Arial"/>
          <w:sz w:val="17"/>
          <w:szCs w:val="17"/>
          <w:color w:val="auto"/>
        </w:rPr>
        <w:t>expense and interest income, income taxes, restructuring charges, impairment losses and recoveries, and the reduction for income attributable to noncontrolling interest. Segment operating income is used to measure the profit and performance of our operating segments to facilitate period-to-period comparisons. Refer to Note 21 – Segment Information of the Notes to Condensed Consolidated Financial Statements for a reconciliation of segment operating income to Income (loss) from continuing operations before income taxes.</w:t>
      </w:r>
    </w:p>
    <w:p>
      <w:pPr>
        <w:jc w:val="both"/>
        <w:ind w:left="760" w:hanging="376"/>
        <w:spacing w:after="0" w:line="268" w:lineRule="auto"/>
        <w:tabs>
          <w:tab w:leader="none" w:pos="760" w:val="left"/>
        </w:tabs>
        <w:numPr>
          <w:ilvl w:val="0"/>
          <w:numId w:val="27"/>
        </w:numPr>
        <w:rPr>
          <w:rFonts w:ascii="Arial" w:cs="Arial" w:eastAsia="Arial" w:hAnsi="Arial"/>
          <w:sz w:val="17"/>
          <w:szCs w:val="17"/>
          <w:color w:val="auto"/>
        </w:rPr>
      </w:pPr>
      <w:r>
        <w:rPr>
          <w:rFonts w:ascii="Arial" w:cs="Arial" w:eastAsia="Arial" w:hAnsi="Arial"/>
          <w:sz w:val="17"/>
          <w:szCs w:val="17"/>
          <w:b w:val="1"/>
          <w:bCs w:val="1"/>
          <w:color w:val="auto"/>
        </w:rPr>
        <w:t xml:space="preserve">“Organic revenue” </w:t>
      </w:r>
      <w:r>
        <w:rPr>
          <w:rFonts w:ascii="Arial" w:cs="Arial" w:eastAsia="Arial" w:hAnsi="Arial"/>
          <w:sz w:val="17"/>
          <w:szCs w:val="17"/>
          <w:color w:val="auto"/>
        </w:rPr>
        <w:t>and</w:t>
      </w:r>
      <w:r>
        <w:rPr>
          <w:rFonts w:ascii="Arial" w:cs="Arial" w:eastAsia="Arial" w:hAnsi="Arial"/>
          <w:sz w:val="17"/>
          <w:szCs w:val="17"/>
          <w:b w:val="1"/>
          <w:bCs w:val="1"/>
          <w:color w:val="auto"/>
        </w:rPr>
        <w:t xml:space="preserve"> “organic segment operating income” </w:t>
      </w:r>
      <w:r>
        <w:rPr>
          <w:rFonts w:ascii="Arial" w:cs="Arial" w:eastAsia="Arial" w:hAnsi="Arial"/>
          <w:sz w:val="17"/>
          <w:szCs w:val="17"/>
          <w:color w:val="auto"/>
        </w:rPr>
        <w:t>are revenue and segment operating income (as defined above), respectively,</w:t>
      </w:r>
      <w:r>
        <w:rPr>
          <w:rFonts w:ascii="Arial" w:cs="Arial" w:eastAsia="Arial" w:hAnsi="Arial"/>
          <w:sz w:val="17"/>
          <w:szCs w:val="17"/>
          <w:b w:val="1"/>
          <w:bCs w:val="1"/>
          <w:color w:val="auto"/>
        </w:rPr>
        <w:t xml:space="preserve"> </w:t>
      </w:r>
      <w:r>
        <w:rPr>
          <w:rFonts w:ascii="Arial" w:cs="Arial" w:eastAsia="Arial" w:hAnsi="Arial"/>
          <w:sz w:val="17"/>
          <w:szCs w:val="17"/>
          <w:color w:val="auto"/>
        </w:rPr>
        <w:t>without the impact of exchange rate variances and acquisitions, if any, until such acquisitions are included in the entirety of both comparable periods. The impact of exchange rate variances is calculated as the difference between current period activity translated at the current period’s exchange rates and the comparable prior period’s exchange rates. We believe the presentation of “organic” results permits investors to better understand our performance without the effects of exchange rate variances or acquisitions and to facilitate period-to-period comparisons and analysis of our operating performance. Refer to the “Results of Operations” section of this MD&amp;A for reconciliations of organic revenue and organic segment operating income to the most directly comparable GAAP measures.</w:t>
      </w:r>
    </w:p>
    <w:p>
      <w:pPr>
        <w:spacing w:after="0" w:line="124" w:lineRule="exact"/>
        <w:rPr>
          <w:sz w:val="20"/>
          <w:szCs w:val="20"/>
          <w:color w:val="auto"/>
        </w:rPr>
      </w:pPr>
    </w:p>
    <w:p>
      <w:pPr>
        <w:jc w:val="both"/>
        <w:spacing w:after="0" w:line="289" w:lineRule="auto"/>
        <w:rPr>
          <w:sz w:val="20"/>
          <w:szCs w:val="20"/>
          <w:color w:val="auto"/>
        </w:rPr>
      </w:pPr>
      <w:r>
        <w:rPr>
          <w:rFonts w:ascii="Arial" w:cs="Arial" w:eastAsia="Arial" w:hAnsi="Arial"/>
          <w:sz w:val="16"/>
          <w:szCs w:val="16"/>
          <w:color w:val="auto"/>
        </w:rPr>
        <w:t>The Non-GAAP Measures are considered useful operating metrics as potential variations arising from taxes, depreciation and amortization, debt service costs, impairment charges and recoveries, changes in accounting principles, and the effects of discontinued operations are eliminated, thus resulting in additional measures considered to be indicative of our ongoing operations and segment performance. Although the Non-GAAP Measures are used as financial measures to assess the performance of the business, the use of these measures is limited because these measures do not consider material costs, expenses, and other items necessary to operate our business. These items include debt service costs, non-cash depreciation and amortization expense associated with long-lived assets, expenses related to U.S. federal, state, local and foreign income taxes, impairment charges or recoveries, and the effects of accounting changes and discontinued operations. Since the Non-GAAP Measures do not consider the above items, a user of our financial information should consider net income attributable to Viad as an important measure of financial performance because it provides a more complete measure of our performance.</w:t>
      </w:r>
    </w:p>
    <w:p>
      <w:pPr>
        <w:spacing w:after="0" w:line="110" w:lineRule="exact"/>
        <w:rPr>
          <w:sz w:val="20"/>
          <w:szCs w:val="20"/>
          <w:color w:val="auto"/>
        </w:rPr>
      </w:pPr>
    </w:p>
    <w:p>
      <w:pPr>
        <w:spacing w:after="0"/>
        <w:rPr>
          <w:sz w:val="20"/>
          <w:szCs w:val="20"/>
          <w:color w:val="auto"/>
        </w:rPr>
      </w:pPr>
      <w:r>
        <w:rPr>
          <w:rFonts w:ascii="Arial" w:cs="Arial" w:eastAsia="Arial" w:hAnsi="Arial"/>
          <w:sz w:val="18"/>
          <w:szCs w:val="18"/>
          <w:color w:val="auto"/>
        </w:rPr>
        <w:t>A reconciliation of net income attributable to Viad to Adjusted EBITDA is as follows:</w:t>
      </w:r>
    </w:p>
    <w:p>
      <w:pPr>
        <w:spacing w:after="0" w:line="295"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786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2060" w:type="dxa"/>
            <w:vAlign w:val="bottom"/>
            <w:gridSpan w:val="4"/>
          </w:tcPr>
          <w:p>
            <w:pPr>
              <w:jc w:val="right"/>
              <w:ind w:right="10"/>
              <w:spacing w:after="0"/>
              <w:rPr>
                <w:sz w:val="20"/>
                <w:szCs w:val="20"/>
                <w:color w:val="auto"/>
              </w:rPr>
            </w:pPr>
            <w:r>
              <w:rPr>
                <w:rFonts w:ascii="Arial" w:cs="Arial" w:eastAsia="Arial" w:hAnsi="Arial"/>
                <w:sz w:val="14"/>
                <w:szCs w:val="14"/>
                <w:b w:val="1"/>
                <w:bCs w:val="1"/>
                <w:color w:val="auto"/>
              </w:rPr>
              <w:t>Three Months Ended</w:t>
            </w:r>
          </w:p>
        </w:tc>
        <w:tc>
          <w:tcPr>
            <w:tcW w:w="10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1"/>
        </w:trPr>
        <w:tc>
          <w:tcPr>
            <w:tcW w:w="7860" w:type="dxa"/>
            <w:vAlign w:val="bottom"/>
            <w:vMerge w:val="restart"/>
          </w:tcPr>
          <w:p>
            <w:pPr>
              <w:spacing w:after="0"/>
              <w:rPr>
                <w:sz w:val="20"/>
                <w:szCs w:val="20"/>
                <w:color w:val="auto"/>
              </w:rPr>
            </w:pPr>
            <w:r>
              <w:rPr>
                <w:rFonts w:ascii="Arial" w:cs="Arial" w:eastAsia="Arial" w:hAnsi="Arial"/>
                <w:sz w:val="14"/>
                <w:szCs w:val="14"/>
                <w:i w:val="1"/>
                <w:iCs w:val="1"/>
                <w:color w:val="auto"/>
              </w:rPr>
              <w:t>(in thousands)</w:t>
            </w:r>
          </w:p>
        </w:tc>
        <w:tc>
          <w:tcPr>
            <w:tcW w:w="360" w:type="dxa"/>
            <w:vAlign w:val="bottom"/>
            <w:tcBorders>
              <w:bottom w:val="single" w:sz="8" w:color="auto"/>
            </w:tcBorders>
          </w:tcPr>
          <w:p>
            <w:pPr>
              <w:spacing w:after="0"/>
              <w:rPr>
                <w:sz w:val="14"/>
                <w:szCs w:val="14"/>
                <w:color w:val="auto"/>
              </w:rPr>
            </w:pPr>
          </w:p>
        </w:tc>
        <w:tc>
          <w:tcPr>
            <w:tcW w:w="2060" w:type="dxa"/>
            <w:vAlign w:val="bottom"/>
            <w:tcBorders>
              <w:bottom w:val="single" w:sz="8" w:color="auto"/>
            </w:tcBorders>
            <w:gridSpan w:val="4"/>
          </w:tcPr>
          <w:p>
            <w:pPr>
              <w:jc w:val="right"/>
              <w:ind w:right="350"/>
              <w:spacing w:after="0"/>
              <w:rPr>
                <w:sz w:val="20"/>
                <w:szCs w:val="20"/>
                <w:color w:val="auto"/>
              </w:rPr>
            </w:pPr>
            <w:r>
              <w:rPr>
                <w:rFonts w:ascii="Arial" w:cs="Arial" w:eastAsia="Arial" w:hAnsi="Arial"/>
                <w:sz w:val="14"/>
                <w:szCs w:val="14"/>
                <w:b w:val="1"/>
                <w:bCs w:val="1"/>
                <w:color w:val="auto"/>
              </w:rPr>
              <w:t>March 31,</w:t>
            </w:r>
          </w:p>
        </w:tc>
        <w:tc>
          <w:tcPr>
            <w:tcW w:w="1020" w:type="dxa"/>
            <w:vAlign w:val="bottom"/>
            <w:tcBorders>
              <w:bottom w:val="single" w:sz="8" w:color="auto"/>
            </w:tcBorders>
          </w:tcPr>
          <w:p>
            <w:pPr>
              <w:spacing w:after="0"/>
              <w:rPr>
                <w:sz w:val="14"/>
                <w:szCs w:val="14"/>
                <w:color w:val="auto"/>
              </w:rPr>
            </w:pP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5"/>
        </w:trPr>
        <w:tc>
          <w:tcPr>
            <w:tcW w:w="7860" w:type="dxa"/>
            <w:vAlign w:val="bottom"/>
            <w:tcBorders>
              <w:bottom w:val="single" w:sz="8" w:color="CFF0FC"/>
            </w:tcBorders>
            <w:vMerge w:val="continue"/>
          </w:tcPr>
          <w:p>
            <w:pPr>
              <w:spacing w:after="0"/>
              <w:rPr>
                <w:sz w:val="13"/>
                <w:szCs w:val="13"/>
                <w:color w:val="auto"/>
              </w:rPr>
            </w:pPr>
          </w:p>
        </w:tc>
        <w:tc>
          <w:tcPr>
            <w:tcW w:w="360" w:type="dxa"/>
            <w:vAlign w:val="bottom"/>
            <w:tcBorders>
              <w:bottom w:val="single" w:sz="8" w:color="auto"/>
            </w:tcBorders>
          </w:tcPr>
          <w:p>
            <w:pPr>
              <w:spacing w:after="0"/>
              <w:rPr>
                <w:sz w:val="13"/>
                <w:szCs w:val="13"/>
                <w:color w:val="auto"/>
              </w:rPr>
            </w:pPr>
          </w:p>
        </w:tc>
        <w:tc>
          <w:tcPr>
            <w:tcW w:w="1220" w:type="dxa"/>
            <w:vAlign w:val="bottom"/>
            <w:tcBorders>
              <w:bottom w:val="single" w:sz="8" w:color="auto"/>
            </w:tcBorders>
          </w:tcPr>
          <w:p>
            <w:pPr>
              <w:jc w:val="right"/>
              <w:ind w:right="575"/>
              <w:spacing w:after="0" w:line="155" w:lineRule="exact"/>
              <w:rPr>
                <w:sz w:val="20"/>
                <w:szCs w:val="20"/>
                <w:color w:val="auto"/>
              </w:rPr>
            </w:pPr>
            <w:r>
              <w:rPr>
                <w:rFonts w:ascii="Arial" w:cs="Arial" w:eastAsia="Arial" w:hAnsi="Arial"/>
                <w:sz w:val="14"/>
                <w:szCs w:val="14"/>
                <w:b w:val="1"/>
                <w:bCs w:val="1"/>
                <w:color w:val="auto"/>
              </w:rPr>
              <w:t>2018</w:t>
            </w:r>
          </w:p>
        </w:tc>
        <w:tc>
          <w:tcPr>
            <w:tcW w:w="280" w:type="dxa"/>
            <w:vAlign w:val="bottom"/>
            <w:tcBorders>
              <w:bottom w:val="single" w:sz="8" w:color="CFF0FC"/>
            </w:tcBorders>
          </w:tcPr>
          <w:p>
            <w:pPr>
              <w:spacing w:after="0"/>
              <w:rPr>
                <w:sz w:val="13"/>
                <w:szCs w:val="13"/>
                <w:color w:val="auto"/>
              </w:rPr>
            </w:pPr>
          </w:p>
        </w:tc>
        <w:tc>
          <w:tcPr>
            <w:tcW w:w="20" w:type="dxa"/>
            <w:vAlign w:val="bottom"/>
            <w:tcBorders>
              <w:bottom w:val="single" w:sz="8" w:color="CFF0FC"/>
            </w:tcBorders>
          </w:tcPr>
          <w:p>
            <w:pPr>
              <w:spacing w:after="0"/>
              <w:rPr>
                <w:sz w:val="13"/>
                <w:szCs w:val="13"/>
                <w:color w:val="auto"/>
              </w:rPr>
            </w:pPr>
          </w:p>
        </w:tc>
        <w:tc>
          <w:tcPr>
            <w:tcW w:w="540" w:type="dxa"/>
            <w:vAlign w:val="bottom"/>
            <w:tcBorders>
              <w:bottom w:val="single" w:sz="8" w:color="auto"/>
            </w:tcBorders>
          </w:tcPr>
          <w:p>
            <w:pPr>
              <w:spacing w:after="0"/>
              <w:rPr>
                <w:sz w:val="13"/>
                <w:szCs w:val="13"/>
                <w:color w:val="auto"/>
              </w:rPr>
            </w:pPr>
          </w:p>
        </w:tc>
        <w:tc>
          <w:tcPr>
            <w:tcW w:w="1020" w:type="dxa"/>
            <w:vAlign w:val="bottom"/>
            <w:tcBorders>
              <w:bottom w:val="single" w:sz="8" w:color="auto"/>
            </w:tcBorders>
          </w:tcPr>
          <w:p>
            <w:pPr>
              <w:jc w:val="right"/>
              <w:ind w:right="572"/>
              <w:spacing w:after="0" w:line="155" w:lineRule="exact"/>
              <w:rPr>
                <w:sz w:val="20"/>
                <w:szCs w:val="20"/>
                <w:color w:val="auto"/>
              </w:rPr>
            </w:pPr>
            <w:r>
              <w:rPr>
                <w:rFonts w:ascii="Arial" w:cs="Arial" w:eastAsia="Arial" w:hAnsi="Arial"/>
                <w:sz w:val="14"/>
                <w:szCs w:val="14"/>
                <w:b w:val="1"/>
                <w:bCs w:val="1"/>
                <w:color w:val="auto"/>
              </w:rPr>
              <w:t>2017</w:t>
            </w:r>
          </w:p>
        </w:tc>
        <w:tc>
          <w:tcPr>
            <w:tcW w:w="120" w:type="dxa"/>
            <w:vAlign w:val="bottom"/>
            <w:tcBorders>
              <w:bottom w:val="single" w:sz="8" w:color="CFF0FC"/>
            </w:tcBorders>
          </w:tcPr>
          <w:p>
            <w:pPr>
              <w:spacing w:after="0"/>
              <w:rPr>
                <w:sz w:val="13"/>
                <w:szCs w:val="13"/>
                <w:color w:val="auto"/>
              </w:rPr>
            </w:pPr>
          </w:p>
        </w:tc>
        <w:tc>
          <w:tcPr>
            <w:tcW w:w="0" w:type="dxa"/>
            <w:vAlign w:val="bottom"/>
          </w:tcPr>
          <w:p>
            <w:pPr>
              <w:spacing w:after="0"/>
              <w:rPr>
                <w:sz w:val="1"/>
                <w:szCs w:val="1"/>
                <w:color w:val="auto"/>
              </w:rPr>
            </w:pPr>
          </w:p>
        </w:tc>
      </w:tr>
      <w:tr>
        <w:trPr>
          <w:trHeight w:val="222"/>
        </w:trPr>
        <w:tc>
          <w:tcPr>
            <w:tcW w:w="7860" w:type="dxa"/>
            <w:vAlign w:val="bottom"/>
            <w:shd w:val="clear" w:color="auto" w:fill="CFF0FC"/>
          </w:tcPr>
          <w:p>
            <w:pPr>
              <w:spacing w:after="0"/>
              <w:rPr>
                <w:sz w:val="20"/>
                <w:szCs w:val="20"/>
                <w:color w:val="auto"/>
              </w:rPr>
            </w:pPr>
            <w:r>
              <w:rPr>
                <w:rFonts w:ascii="Arial" w:cs="Arial" w:eastAsia="Arial" w:hAnsi="Arial"/>
                <w:sz w:val="18"/>
                <w:szCs w:val="18"/>
                <w:color w:val="auto"/>
              </w:rPr>
              <w:t>Net income (loss) attributable to Viad</w:t>
            </w:r>
          </w:p>
        </w:tc>
        <w:tc>
          <w:tcPr>
            <w:tcW w:w="360" w:type="dxa"/>
            <w:vAlign w:val="bottom"/>
            <w:shd w:val="clear" w:color="auto" w:fill="CFF0FC"/>
          </w:tcPr>
          <w:p>
            <w:pPr>
              <w:jc w:val="right"/>
              <w:ind w:right="207"/>
              <w:spacing w:after="0"/>
              <w:rPr>
                <w:sz w:val="20"/>
                <w:szCs w:val="20"/>
                <w:color w:val="auto"/>
              </w:rPr>
            </w:pPr>
            <w:r>
              <w:rPr>
                <w:rFonts w:ascii="Arial" w:cs="Arial" w:eastAsia="Arial" w:hAnsi="Arial"/>
                <w:sz w:val="15"/>
                <w:szCs w:val="15"/>
                <w:color w:val="auto"/>
                <w:w w:val="71"/>
              </w:rPr>
              <w:t>$</w:t>
            </w:r>
          </w:p>
        </w:tc>
        <w:tc>
          <w:tcPr>
            <w:tcW w:w="12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(9,387)</w:t>
            </w:r>
          </w:p>
        </w:tc>
        <w:tc>
          <w:tcPr>
            <w:tcW w:w="28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540" w:type="dxa"/>
            <w:vAlign w:val="bottom"/>
            <w:shd w:val="clear" w:color="auto" w:fill="CFF0FC"/>
          </w:tcPr>
          <w:p>
            <w:pPr>
              <w:jc w:val="right"/>
              <w:ind w:right="430"/>
              <w:spacing w:after="0"/>
              <w:rPr>
                <w:sz w:val="20"/>
                <w:szCs w:val="20"/>
                <w:color w:val="auto"/>
              </w:rPr>
            </w:pPr>
            <w:r>
              <w:rPr>
                <w:rFonts w:ascii="Arial" w:cs="Arial" w:eastAsia="Arial" w:hAnsi="Arial"/>
                <w:sz w:val="10"/>
                <w:szCs w:val="10"/>
                <w:color w:val="auto"/>
                <w:w w:val="71"/>
              </w:rPr>
              <w:t>$</w:t>
            </w:r>
          </w:p>
        </w:tc>
        <w:tc>
          <w:tcPr>
            <w:tcW w:w="10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6,777</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7860" w:type="dxa"/>
            <w:vAlign w:val="bottom"/>
          </w:tcPr>
          <w:p>
            <w:pPr>
              <w:spacing w:after="0"/>
              <w:rPr>
                <w:sz w:val="20"/>
                <w:szCs w:val="20"/>
                <w:color w:val="auto"/>
              </w:rPr>
            </w:pPr>
            <w:r>
              <w:rPr>
                <w:rFonts w:ascii="Arial" w:cs="Arial" w:eastAsia="Arial" w:hAnsi="Arial"/>
                <w:sz w:val="18"/>
                <w:szCs w:val="18"/>
                <w:color w:val="auto"/>
              </w:rPr>
              <w:t>Depreciation and amortization</w:t>
            </w:r>
          </w:p>
        </w:tc>
        <w:tc>
          <w:tcPr>
            <w:tcW w:w="360" w:type="dxa"/>
            <w:vAlign w:val="bottom"/>
          </w:tcPr>
          <w:p>
            <w:pPr>
              <w:spacing w:after="0"/>
              <w:rPr>
                <w:sz w:val="19"/>
                <w:szCs w:val="19"/>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13,063</w:t>
            </w:r>
          </w:p>
        </w:tc>
        <w:tc>
          <w:tcPr>
            <w:tcW w:w="2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12,144</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7860" w:type="dxa"/>
            <w:vAlign w:val="bottom"/>
            <w:shd w:val="clear" w:color="auto" w:fill="CFF0FC"/>
          </w:tcPr>
          <w:p>
            <w:pPr>
              <w:spacing w:after="0"/>
              <w:rPr>
                <w:sz w:val="20"/>
                <w:szCs w:val="20"/>
                <w:color w:val="auto"/>
              </w:rPr>
            </w:pPr>
            <w:r>
              <w:rPr>
                <w:rFonts w:ascii="Arial" w:cs="Arial" w:eastAsia="Arial" w:hAnsi="Arial"/>
                <w:sz w:val="18"/>
                <w:szCs w:val="18"/>
                <w:color w:val="auto"/>
              </w:rPr>
              <w:t>Interest expense</w:t>
            </w:r>
          </w:p>
        </w:tc>
        <w:tc>
          <w:tcPr>
            <w:tcW w:w="360" w:type="dxa"/>
            <w:vAlign w:val="bottom"/>
            <w:shd w:val="clear" w:color="auto" w:fill="CFF0FC"/>
          </w:tcPr>
          <w:p>
            <w:pPr>
              <w:spacing w:after="0"/>
              <w:rPr>
                <w:sz w:val="19"/>
                <w:szCs w:val="19"/>
                <w:color w:val="auto"/>
              </w:rPr>
            </w:pPr>
          </w:p>
        </w:tc>
        <w:tc>
          <w:tcPr>
            <w:tcW w:w="12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2,069</w:t>
            </w:r>
          </w:p>
        </w:tc>
        <w:tc>
          <w:tcPr>
            <w:tcW w:w="28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540" w:type="dxa"/>
            <w:vAlign w:val="bottom"/>
            <w:shd w:val="clear" w:color="auto" w:fill="CFF0FC"/>
          </w:tcPr>
          <w:p>
            <w:pPr>
              <w:spacing w:after="0"/>
              <w:rPr>
                <w:sz w:val="19"/>
                <w:szCs w:val="19"/>
                <w:color w:val="auto"/>
              </w:rPr>
            </w:pPr>
          </w:p>
        </w:tc>
        <w:tc>
          <w:tcPr>
            <w:tcW w:w="10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2,105</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7860" w:type="dxa"/>
            <w:vAlign w:val="bottom"/>
          </w:tcPr>
          <w:p>
            <w:pPr>
              <w:spacing w:after="0"/>
              <w:rPr>
                <w:sz w:val="20"/>
                <w:szCs w:val="20"/>
                <w:color w:val="auto"/>
              </w:rPr>
            </w:pPr>
            <w:r>
              <w:rPr>
                <w:rFonts w:ascii="Arial" w:cs="Arial" w:eastAsia="Arial" w:hAnsi="Arial"/>
                <w:sz w:val="18"/>
                <w:szCs w:val="18"/>
                <w:color w:val="auto"/>
              </w:rPr>
              <w:t>Income tax expense (benefit)</w:t>
            </w:r>
          </w:p>
        </w:tc>
        <w:tc>
          <w:tcPr>
            <w:tcW w:w="360" w:type="dxa"/>
            <w:vAlign w:val="bottom"/>
          </w:tcPr>
          <w:p>
            <w:pPr>
              <w:spacing w:after="0"/>
              <w:rPr>
                <w:sz w:val="19"/>
                <w:szCs w:val="19"/>
                <w:color w:val="auto"/>
              </w:rPr>
            </w:pPr>
          </w:p>
        </w:tc>
        <w:tc>
          <w:tcPr>
            <w:tcW w:w="1500" w:type="dxa"/>
            <w:vAlign w:val="bottom"/>
            <w:gridSpan w:val="2"/>
          </w:tcPr>
          <w:p>
            <w:pPr>
              <w:jc w:val="right"/>
              <w:ind w:right="220"/>
              <w:spacing w:after="0"/>
              <w:rPr>
                <w:sz w:val="20"/>
                <w:szCs w:val="20"/>
                <w:color w:val="auto"/>
              </w:rPr>
            </w:pPr>
            <w:r>
              <w:rPr>
                <w:rFonts w:ascii="Arial" w:cs="Arial" w:eastAsia="Arial" w:hAnsi="Arial"/>
                <w:sz w:val="18"/>
                <w:szCs w:val="18"/>
                <w:color w:val="auto"/>
              </w:rPr>
              <w:t>(4,638)</w:t>
            </w:r>
          </w:p>
        </w:tc>
        <w:tc>
          <w:tcPr>
            <w:tcW w:w="2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2,741</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7860" w:type="dxa"/>
            <w:vAlign w:val="bottom"/>
            <w:shd w:val="clear" w:color="auto" w:fill="CFF0FC"/>
          </w:tcPr>
          <w:p>
            <w:pPr>
              <w:spacing w:after="0"/>
              <w:rPr>
                <w:sz w:val="20"/>
                <w:szCs w:val="20"/>
                <w:color w:val="auto"/>
              </w:rPr>
            </w:pPr>
            <w:r>
              <w:rPr>
                <w:rFonts w:ascii="Arial" w:cs="Arial" w:eastAsia="Arial" w:hAnsi="Arial"/>
                <w:sz w:val="18"/>
                <w:szCs w:val="18"/>
                <w:color w:val="auto"/>
              </w:rPr>
              <w:t>Impairment recoveries</w:t>
            </w:r>
          </w:p>
        </w:tc>
        <w:tc>
          <w:tcPr>
            <w:tcW w:w="360" w:type="dxa"/>
            <w:vAlign w:val="bottom"/>
            <w:shd w:val="clear" w:color="auto" w:fill="CFF0FC"/>
          </w:tcPr>
          <w:p>
            <w:pPr>
              <w:spacing w:after="0"/>
              <w:rPr>
                <w:sz w:val="19"/>
                <w:szCs w:val="19"/>
                <w:color w:val="auto"/>
              </w:rPr>
            </w:pPr>
          </w:p>
        </w:tc>
        <w:tc>
          <w:tcPr>
            <w:tcW w:w="1500" w:type="dxa"/>
            <w:vAlign w:val="bottom"/>
            <w:gridSpan w:val="2"/>
            <w:shd w:val="clear" w:color="auto" w:fill="CFF0FC"/>
          </w:tcPr>
          <w:p>
            <w:pPr>
              <w:jc w:val="right"/>
              <w:ind w:right="300"/>
              <w:spacing w:after="0"/>
              <w:rPr>
                <w:sz w:val="20"/>
                <w:szCs w:val="20"/>
                <w:color w:val="auto"/>
              </w:rPr>
            </w:pPr>
            <w:r>
              <w:rPr>
                <w:rFonts w:ascii="Arial" w:cs="Arial" w:eastAsia="Arial" w:hAnsi="Arial"/>
                <w:sz w:val="18"/>
                <w:szCs w:val="18"/>
                <w:color w:val="auto"/>
              </w:rPr>
              <w:t>—</w:t>
            </w:r>
          </w:p>
        </w:tc>
        <w:tc>
          <w:tcPr>
            <w:tcW w:w="20" w:type="dxa"/>
            <w:vAlign w:val="bottom"/>
            <w:shd w:val="clear" w:color="auto" w:fill="CFF0FC"/>
          </w:tcPr>
          <w:p>
            <w:pPr>
              <w:spacing w:after="0"/>
              <w:rPr>
                <w:sz w:val="19"/>
                <w:szCs w:val="19"/>
                <w:color w:val="auto"/>
              </w:rPr>
            </w:pPr>
          </w:p>
        </w:tc>
        <w:tc>
          <w:tcPr>
            <w:tcW w:w="540" w:type="dxa"/>
            <w:vAlign w:val="bottom"/>
            <w:shd w:val="clear" w:color="auto" w:fill="CFF0FC"/>
          </w:tcPr>
          <w:p>
            <w:pPr>
              <w:spacing w:after="0"/>
              <w:rPr>
                <w:sz w:val="19"/>
                <w:szCs w:val="19"/>
                <w:color w:val="auto"/>
              </w:rPr>
            </w:pPr>
          </w:p>
        </w:tc>
        <w:tc>
          <w:tcPr>
            <w:tcW w:w="1140" w:type="dxa"/>
            <w:vAlign w:val="bottom"/>
            <w:gridSpan w:val="2"/>
            <w:shd w:val="clear" w:color="auto" w:fill="CFF0FC"/>
          </w:tcPr>
          <w:p>
            <w:pPr>
              <w:jc w:val="right"/>
              <w:ind w:right="60"/>
              <w:spacing w:after="0"/>
              <w:rPr>
                <w:sz w:val="20"/>
                <w:szCs w:val="20"/>
                <w:color w:val="auto"/>
              </w:rPr>
            </w:pPr>
            <w:r>
              <w:rPr>
                <w:rFonts w:ascii="Arial" w:cs="Arial" w:eastAsia="Arial" w:hAnsi="Arial"/>
                <w:sz w:val="18"/>
                <w:szCs w:val="18"/>
                <w:color w:val="auto"/>
              </w:rPr>
              <w:t>(2,384)</w:t>
            </w:r>
          </w:p>
        </w:tc>
        <w:tc>
          <w:tcPr>
            <w:tcW w:w="0" w:type="dxa"/>
            <w:vAlign w:val="bottom"/>
          </w:tcPr>
          <w:p>
            <w:pPr>
              <w:spacing w:after="0"/>
              <w:rPr>
                <w:sz w:val="1"/>
                <w:szCs w:val="1"/>
                <w:color w:val="auto"/>
              </w:rPr>
            </w:pPr>
          </w:p>
        </w:tc>
      </w:tr>
      <w:tr>
        <w:trPr>
          <w:trHeight w:val="229"/>
        </w:trPr>
        <w:tc>
          <w:tcPr>
            <w:tcW w:w="7860" w:type="dxa"/>
            <w:vAlign w:val="bottom"/>
          </w:tcPr>
          <w:p>
            <w:pPr>
              <w:spacing w:after="0"/>
              <w:rPr>
                <w:sz w:val="20"/>
                <w:szCs w:val="20"/>
                <w:color w:val="auto"/>
              </w:rPr>
            </w:pPr>
            <w:r>
              <w:rPr>
                <w:rFonts w:ascii="Arial" w:cs="Arial" w:eastAsia="Arial" w:hAnsi="Arial"/>
                <w:sz w:val="18"/>
                <w:szCs w:val="18"/>
                <w:color w:val="auto"/>
              </w:rPr>
              <w:t>(Income) loss from discontinued operations</w:t>
            </w:r>
          </w:p>
        </w:tc>
        <w:tc>
          <w:tcPr>
            <w:tcW w:w="360" w:type="dxa"/>
            <w:vAlign w:val="bottom"/>
          </w:tcPr>
          <w:p>
            <w:pPr>
              <w:spacing w:after="0"/>
              <w:rPr>
                <w:sz w:val="19"/>
                <w:szCs w:val="19"/>
                <w:color w:val="auto"/>
              </w:rPr>
            </w:pPr>
          </w:p>
        </w:tc>
        <w:tc>
          <w:tcPr>
            <w:tcW w:w="1500" w:type="dxa"/>
            <w:vAlign w:val="bottom"/>
            <w:gridSpan w:val="2"/>
          </w:tcPr>
          <w:p>
            <w:pPr>
              <w:jc w:val="right"/>
              <w:ind w:right="220"/>
              <w:spacing w:after="0"/>
              <w:rPr>
                <w:sz w:val="20"/>
                <w:szCs w:val="20"/>
                <w:color w:val="auto"/>
              </w:rPr>
            </w:pPr>
            <w:r>
              <w:rPr>
                <w:rFonts w:ascii="Arial" w:cs="Arial" w:eastAsia="Arial" w:hAnsi="Arial"/>
                <w:sz w:val="18"/>
                <w:szCs w:val="18"/>
                <w:color w:val="auto"/>
              </w:rPr>
              <w:t>(928)</w:t>
            </w:r>
          </w:p>
        </w:tc>
        <w:tc>
          <w:tcPr>
            <w:tcW w:w="2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816</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7860" w:type="dxa"/>
            <w:vAlign w:val="bottom"/>
            <w:shd w:val="clear" w:color="auto" w:fill="CFF0FC"/>
          </w:tcPr>
          <w:p>
            <w:pPr>
              <w:spacing w:after="0"/>
              <w:rPr>
                <w:sz w:val="20"/>
                <w:szCs w:val="20"/>
                <w:color w:val="auto"/>
              </w:rPr>
            </w:pPr>
            <w:r>
              <w:rPr>
                <w:rFonts w:ascii="Arial" w:cs="Arial" w:eastAsia="Arial" w:hAnsi="Arial"/>
                <w:sz w:val="18"/>
                <w:szCs w:val="18"/>
                <w:color w:val="auto"/>
              </w:rPr>
              <w:t>Other noncontrolling interest</w:t>
            </w:r>
          </w:p>
        </w:tc>
        <w:tc>
          <w:tcPr>
            <w:tcW w:w="360" w:type="dxa"/>
            <w:vAlign w:val="bottom"/>
            <w:tcBorders>
              <w:bottom w:val="single" w:sz="8" w:color="auto"/>
            </w:tcBorders>
            <w:shd w:val="clear" w:color="auto" w:fill="CFF0FC"/>
          </w:tcPr>
          <w:p>
            <w:pPr>
              <w:spacing w:after="0"/>
              <w:rPr>
                <w:sz w:val="19"/>
                <w:szCs w:val="19"/>
                <w:color w:val="auto"/>
              </w:rPr>
            </w:pPr>
          </w:p>
        </w:tc>
        <w:tc>
          <w:tcPr>
            <w:tcW w:w="12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72</w:t>
            </w:r>
          </w:p>
        </w:tc>
        <w:tc>
          <w:tcPr>
            <w:tcW w:w="28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540" w:type="dxa"/>
            <w:vAlign w:val="bottom"/>
            <w:tcBorders>
              <w:bottom w:val="single" w:sz="8" w:color="auto"/>
            </w:tcBorders>
            <w:shd w:val="clear" w:color="auto" w:fill="CFF0FC"/>
          </w:tcPr>
          <w:p>
            <w:pPr>
              <w:spacing w:after="0"/>
              <w:rPr>
                <w:sz w:val="19"/>
                <w:szCs w:val="19"/>
                <w:color w:val="auto"/>
              </w:rPr>
            </w:pPr>
          </w:p>
        </w:tc>
        <w:tc>
          <w:tcPr>
            <w:tcW w:w="10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83</w:t>
            </w:r>
          </w:p>
        </w:tc>
        <w:tc>
          <w:tcPr>
            <w:tcW w:w="1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2"/>
        </w:trPr>
        <w:tc>
          <w:tcPr>
            <w:tcW w:w="7860" w:type="dxa"/>
            <w:vAlign w:val="bottom"/>
          </w:tcPr>
          <w:p>
            <w:pPr>
              <w:ind w:left="260"/>
              <w:spacing w:after="0"/>
              <w:rPr>
                <w:sz w:val="20"/>
                <w:szCs w:val="20"/>
                <w:color w:val="auto"/>
              </w:rPr>
            </w:pPr>
            <w:r>
              <w:rPr>
                <w:rFonts w:ascii="Arial" w:cs="Arial" w:eastAsia="Arial" w:hAnsi="Arial"/>
                <w:sz w:val="18"/>
                <w:szCs w:val="18"/>
                <w:b w:val="1"/>
                <w:bCs w:val="1"/>
                <w:color w:val="auto"/>
              </w:rPr>
              <w:t>Adjusted EBITDA</w:t>
            </w:r>
          </w:p>
        </w:tc>
        <w:tc>
          <w:tcPr>
            <w:tcW w:w="360" w:type="dxa"/>
            <w:vAlign w:val="bottom"/>
            <w:tcBorders>
              <w:bottom w:val="single" w:sz="8" w:color="auto"/>
            </w:tcBorders>
          </w:tcPr>
          <w:p>
            <w:pPr>
              <w:jc w:val="right"/>
              <w:ind w:right="207"/>
              <w:spacing w:after="0"/>
              <w:rPr>
                <w:sz w:val="20"/>
                <w:szCs w:val="20"/>
                <w:color w:val="auto"/>
              </w:rPr>
            </w:pPr>
            <w:r>
              <w:rPr>
                <w:rFonts w:ascii="Arial" w:cs="Arial" w:eastAsia="Arial" w:hAnsi="Arial"/>
                <w:sz w:val="15"/>
                <w:szCs w:val="15"/>
                <w:color w:val="auto"/>
                <w:w w:val="71"/>
              </w:rPr>
              <w:t>$</w:t>
            </w: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251</w:t>
            </w:r>
          </w:p>
        </w:tc>
        <w:tc>
          <w:tcPr>
            <w:tcW w:w="280" w:type="dxa"/>
            <w:vAlign w:val="bottom"/>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540" w:type="dxa"/>
            <w:vAlign w:val="bottom"/>
            <w:tcBorders>
              <w:bottom w:val="single" w:sz="8" w:color="auto"/>
            </w:tcBorders>
          </w:tcPr>
          <w:p>
            <w:pPr>
              <w:jc w:val="right"/>
              <w:ind w:right="430"/>
              <w:spacing w:after="0"/>
              <w:rPr>
                <w:sz w:val="20"/>
                <w:szCs w:val="20"/>
                <w:color w:val="auto"/>
              </w:rPr>
            </w:pPr>
            <w:r>
              <w:rPr>
                <w:rFonts w:ascii="Arial" w:cs="Arial" w:eastAsia="Arial" w:hAnsi="Arial"/>
                <w:sz w:val="10"/>
                <w:szCs w:val="10"/>
                <w:color w:val="auto"/>
                <w:w w:val="71"/>
              </w:rPr>
              <w:t>$</w:t>
            </w: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22,282</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786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93" w:lineRule="exact"/>
        <w:rPr>
          <w:sz w:val="20"/>
          <w:szCs w:val="20"/>
          <w:color w:val="auto"/>
        </w:rPr>
      </w:pPr>
    </w:p>
    <w:p>
      <w:pPr>
        <w:jc w:val="both"/>
        <w:spacing w:after="0" w:line="275" w:lineRule="auto"/>
        <w:rPr>
          <w:sz w:val="20"/>
          <w:szCs w:val="20"/>
          <w:color w:val="auto"/>
        </w:rPr>
      </w:pPr>
      <w:r>
        <w:rPr>
          <w:rFonts w:ascii="Arial" w:cs="Arial" w:eastAsia="Arial" w:hAnsi="Arial"/>
          <w:sz w:val="18"/>
          <w:szCs w:val="18"/>
          <w:color w:val="auto"/>
        </w:rPr>
        <w:t>The decrease in Adjusted EBITDA was primarily due to lower segment operating results at GES and Pursuit. Refer to the “Results of Operations” section of this MD&amp;A for a discussion of fluctuations.</w:t>
      </w:r>
    </w:p>
    <w:p>
      <w:pPr>
        <w:spacing w:after="0" w:line="17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69850</wp:posOffset>
            </wp:positionV>
            <wp:extent cx="7289800" cy="42545"/>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1420"/>
          </w:cols>
          <w:pgMar w:left="240" w:top="659" w:right="239" w:bottom="1440" w:gutter="0" w:footer="0" w:header="0"/>
        </w:sectPr>
      </w:pPr>
    </w:p>
    <w:bookmarkStart w:id="39" w:name="page40"/>
    <w:bookmarkEnd w:id="39"/>
    <w:p>
      <w:pPr>
        <w:spacing w:after="0"/>
        <w:rPr>
          <w:sz w:val="20"/>
          <w:szCs w:val="20"/>
          <w:color w:val="auto"/>
        </w:rPr>
      </w:pPr>
      <w:r>
        <w:rPr>
          <w:rFonts w:ascii="Arial" w:cs="Arial" w:eastAsia="Arial" w:hAnsi="Arial"/>
          <w:sz w:val="18"/>
          <w:szCs w:val="18"/>
          <w:b w:val="1"/>
          <w:bCs w:val="1"/>
          <w:color w:val="auto"/>
        </w:rPr>
        <w:t>Forward-Looking Non-GAAP Financial Measure</w:t>
      </w:r>
    </w:p>
    <w:p>
      <w:pPr>
        <w:spacing w:after="0" w:line="120" w:lineRule="exact"/>
        <w:rPr>
          <w:sz w:val="20"/>
          <w:szCs w:val="20"/>
          <w:color w:val="auto"/>
        </w:rPr>
      </w:pPr>
    </w:p>
    <w:p>
      <w:pPr>
        <w:jc w:val="both"/>
        <w:spacing w:after="0" w:line="292" w:lineRule="auto"/>
        <w:rPr>
          <w:sz w:val="20"/>
          <w:szCs w:val="20"/>
          <w:color w:val="auto"/>
        </w:rPr>
      </w:pPr>
      <w:r>
        <w:rPr>
          <w:rFonts w:ascii="Arial" w:cs="Arial" w:eastAsia="Arial" w:hAnsi="Arial"/>
          <w:sz w:val="16"/>
          <w:szCs w:val="16"/>
          <w:color w:val="auto"/>
        </w:rPr>
        <w:t>We also provide segment operating income as a forward-looking Non-GAAP Measure within the “Results of Operations” section of this MD&amp;A. We do not provide a reconciliation of this forward-looking Non-GAAP Measure to the most directly comparable GAAP financial measure because, due to variability and difficulty in making accurate forecasts and projections and/or certain information not being ascertainable or accessible, not all of the information necessary for a quantitative reconciliation of this forward-looking Non-GAAP Measure to the most directly comparable GAAP financial measure is available without unreasonable efforts. Consequently, any attempt to disclose such reconciliation would imply a degree of precision that investors could find confusing or misleading. It is probable that this forward-looking Non-GAAP Measure may be materially different from the corresponding GAAP Measure.</w:t>
      </w:r>
    </w:p>
    <w:p>
      <w:pPr>
        <w:spacing w:after="0" w:line="2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3. QUANTITATIVE AND QUALITATIVE DISCLOSURES ABOUT MARKET RISK</w:t>
      </w:r>
    </w:p>
    <w:p>
      <w:pPr>
        <w:spacing w:after="0" w:line="120" w:lineRule="exact"/>
        <w:rPr>
          <w:sz w:val="20"/>
          <w:szCs w:val="20"/>
          <w:color w:val="auto"/>
        </w:rPr>
      </w:pPr>
    </w:p>
    <w:p>
      <w:pPr>
        <w:jc w:val="both"/>
        <w:spacing w:after="0" w:line="310" w:lineRule="auto"/>
        <w:rPr>
          <w:sz w:val="20"/>
          <w:szCs w:val="20"/>
          <w:color w:val="auto"/>
        </w:rPr>
      </w:pPr>
      <w:r>
        <w:rPr>
          <w:rFonts w:ascii="Arial" w:cs="Arial" w:eastAsia="Arial" w:hAnsi="Arial"/>
          <w:sz w:val="16"/>
          <w:szCs w:val="16"/>
          <w:color w:val="auto"/>
        </w:rPr>
        <w:t>Our market risk exposure relates to fluctuations in foreign exchange rates, interest rates, and certain commodity prices. Foreign exchange risk is the risk that fluctuating exchange rates will adversely affect our financial condition or results of operations. Interest rate risk is the risk that changing interest rates will adversely affect our earnings or financial position. Commodity risk is the risk that changing prices will adversely affect our results of operations.</w:t>
      </w:r>
    </w:p>
    <w:p>
      <w:pPr>
        <w:spacing w:after="0" w:line="94" w:lineRule="exact"/>
        <w:rPr>
          <w:sz w:val="20"/>
          <w:szCs w:val="20"/>
          <w:color w:val="auto"/>
        </w:rPr>
      </w:pPr>
    </w:p>
    <w:p>
      <w:pPr>
        <w:jc w:val="both"/>
        <w:spacing w:after="0" w:line="268" w:lineRule="auto"/>
        <w:rPr>
          <w:sz w:val="20"/>
          <w:szCs w:val="20"/>
          <w:color w:val="auto"/>
        </w:rPr>
      </w:pPr>
      <w:r>
        <w:rPr>
          <w:rFonts w:ascii="Arial" w:cs="Arial" w:eastAsia="Arial" w:hAnsi="Arial"/>
          <w:sz w:val="17"/>
          <w:szCs w:val="17"/>
          <w:color w:val="auto"/>
        </w:rPr>
        <w:t>Our foreign operations are primarily in Canada, the United Kingdom, the Netherlands, Germany, and to a lesser extent, in certain other countries. The functional currency of our foreign subsidiaries is their local currency. Accordingly, for purposes of consolidation, we translate the assets and liabilities of our foreign subsidiaries into U.S. dollars at the foreign exchange rates in effect at the balance sheet date. The unrealized gains or losses resulting from the translation of these foreign denominated assets and liabilities are included as a component of accumulated other comprehensive income (loss) in the Condensed Consolidated Balance Sheets. As a result, significant fluctuations in foreign exchange rates relative to the U.S. dollar may result in material changes to our net equity position reported in the Condensed Consolidated Balance Sheets. We do not currently hedge our equity risk arising from the translation of foreign denominated assets and liabilities. We recorded cumulative unrealized foreign currency translation losses in stockholders’ equity of $15.1 million as of March 31, 2018 and $12.0 million as of December 31, 2017. We recorded unrealized foreign currency translation losses in other comprehensive income of $3.1 million during the three months ended March 31, 2018 and unrealized foreign currency translation gains of $2.3 million during the three months ended March 31, 2017.</w:t>
      </w:r>
    </w:p>
    <w:p>
      <w:pPr>
        <w:spacing w:after="0" w:line="129" w:lineRule="exact"/>
        <w:rPr>
          <w:sz w:val="20"/>
          <w:szCs w:val="20"/>
          <w:color w:val="auto"/>
        </w:rPr>
      </w:pPr>
    </w:p>
    <w:p>
      <w:pPr>
        <w:jc w:val="both"/>
        <w:spacing w:after="0" w:line="272" w:lineRule="auto"/>
        <w:rPr>
          <w:sz w:val="20"/>
          <w:szCs w:val="20"/>
          <w:color w:val="auto"/>
        </w:rPr>
      </w:pPr>
      <w:r>
        <w:rPr>
          <w:rFonts w:ascii="Arial" w:cs="Arial" w:eastAsia="Arial" w:hAnsi="Arial"/>
          <w:sz w:val="17"/>
          <w:szCs w:val="17"/>
          <w:color w:val="auto"/>
        </w:rPr>
        <w:t>For purposes of consolidation, revenue, expenses, gains, and losses related to our foreign operations are translated into U.S. dollars at the average foreign exchange rates for the period. As a result, our consolidated results of operations are exposed to fluctuations in foreign exchange rates as revenue and segment operating results of our foreign operations, when translated, may vary from period to period, even when the functional currency amounts have not changed. Such fluctuations may adversely impact overall expected profitability and historical period-to-period comparisons. We do not currently hedge our earnings exposure arising from the translation of our foreign revenue and segment operating results. Refer to “Management’s Discussion and Analysis of Financial Condition and Results of Operations” for a discussion on the “Foreign Exchange Rate Variances.”</w:t>
      </w:r>
    </w:p>
    <w:p>
      <w:pPr>
        <w:spacing w:after="0" w:line="123" w:lineRule="exact"/>
        <w:rPr>
          <w:sz w:val="20"/>
          <w:szCs w:val="20"/>
          <w:color w:val="auto"/>
        </w:rPr>
      </w:pPr>
    </w:p>
    <w:p>
      <w:pPr>
        <w:jc w:val="both"/>
        <w:spacing w:after="0" w:line="258" w:lineRule="auto"/>
        <w:rPr>
          <w:sz w:val="20"/>
          <w:szCs w:val="20"/>
          <w:color w:val="auto"/>
        </w:rPr>
      </w:pPr>
      <w:r>
        <w:rPr>
          <w:rFonts w:ascii="Arial" w:cs="Arial" w:eastAsia="Arial" w:hAnsi="Arial"/>
          <w:sz w:val="18"/>
          <w:szCs w:val="18"/>
          <w:color w:val="auto"/>
        </w:rPr>
        <w:t>We are exposed to foreign exchange transaction risk, as our foreign subsidiaries have certain revenue transactions denominated in currencies other than the functional currency of the respective subsidiary. From time to time, we utilize forward contracts to mitigate the impact on earnings related to these transactions due to fluctuations in foreign exchange rates. As of March 31, 2018 and December 31, 2017, we did not have any foreign currency forward contracts outstanding.</w:t>
      </w:r>
    </w:p>
    <w:p>
      <w:pPr>
        <w:spacing w:after="0" w:line="132" w:lineRule="exact"/>
        <w:rPr>
          <w:sz w:val="20"/>
          <w:szCs w:val="20"/>
          <w:color w:val="auto"/>
        </w:rPr>
      </w:pPr>
    </w:p>
    <w:p>
      <w:pPr>
        <w:jc w:val="both"/>
        <w:spacing w:after="0" w:line="275" w:lineRule="auto"/>
        <w:rPr>
          <w:sz w:val="20"/>
          <w:szCs w:val="20"/>
          <w:color w:val="auto"/>
        </w:rPr>
      </w:pPr>
      <w:r>
        <w:rPr>
          <w:rFonts w:ascii="Arial" w:cs="Arial" w:eastAsia="Arial" w:hAnsi="Arial"/>
          <w:sz w:val="18"/>
          <w:szCs w:val="18"/>
          <w:color w:val="auto"/>
        </w:rPr>
        <w:t>We are exposed to short-term and long-term interest rate risk on certain of our debt obligations. We do not currently use derivative financial instruments to hedge cash flows for such obligations.</w:t>
      </w:r>
    </w:p>
    <w:p>
      <w:pPr>
        <w:spacing w:after="0" w:line="27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4. CONTROLS AND PROCEDURES</w:t>
      </w:r>
    </w:p>
    <w:p>
      <w:pPr>
        <w:spacing w:after="0" w:line="120" w:lineRule="exact"/>
        <w:rPr>
          <w:sz w:val="20"/>
          <w:szCs w:val="20"/>
          <w:color w:val="auto"/>
        </w:rPr>
      </w:pPr>
    </w:p>
    <w:p>
      <w:pPr>
        <w:jc w:val="both"/>
        <w:spacing w:after="0" w:line="272" w:lineRule="auto"/>
        <w:rPr>
          <w:sz w:val="20"/>
          <w:szCs w:val="20"/>
          <w:color w:val="auto"/>
        </w:rPr>
      </w:pPr>
      <w:r>
        <w:rPr>
          <w:rFonts w:ascii="Arial" w:cs="Arial" w:eastAsia="Arial" w:hAnsi="Arial"/>
          <w:sz w:val="17"/>
          <w:szCs w:val="17"/>
          <w:color w:val="auto"/>
        </w:rPr>
        <w:t>We have established disclosure controls and procedures that are designed to ensure that information required to be disclosed in our reports filed or submitted under the Securities Exchange Act of 1934, as amended (the “Exchange Act”) is recorded, processed, summarized and reported within the time periods specified in SEC rules and forms, and such information is accumulated and communicated to our management, including our Chief Executive Officer (“CEO”) and Chief Financial Officer (“CFO”), as appropriate to allow timely decisions regarding required disclosure. Management, together with our CEO and CFO, evaluated the effectiveness of our disclosure controls and procedures as of March 31, 2018. Based on this evaluation, the CEO and CFO concluded that our disclosure controls and procedures were effective as of March 31, 2018.</w:t>
      </w:r>
    </w:p>
    <w:p>
      <w:pPr>
        <w:spacing w:after="0" w:line="123" w:lineRule="exact"/>
        <w:rPr>
          <w:sz w:val="20"/>
          <w:szCs w:val="20"/>
          <w:color w:val="auto"/>
        </w:rPr>
      </w:pPr>
    </w:p>
    <w:p>
      <w:pPr>
        <w:jc w:val="both"/>
        <w:spacing w:after="0" w:line="275" w:lineRule="auto"/>
        <w:rPr>
          <w:sz w:val="20"/>
          <w:szCs w:val="20"/>
          <w:color w:val="auto"/>
        </w:rPr>
      </w:pPr>
      <w:r>
        <w:rPr>
          <w:rFonts w:ascii="Arial" w:cs="Arial" w:eastAsia="Arial" w:hAnsi="Arial"/>
          <w:sz w:val="18"/>
          <w:szCs w:val="18"/>
          <w:color w:val="auto"/>
        </w:rPr>
        <w:t>There were no changes in our internal control over financial reporting during the three months ended March 31, 2018 that have materially affected, or are reasonably likely to materially affect, our internal control over financial reporting.</w:t>
      </w:r>
    </w:p>
    <w:p>
      <w:pPr>
        <w:spacing w:after="0" w:line="17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69850</wp:posOffset>
            </wp:positionV>
            <wp:extent cx="7289800" cy="42545"/>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1420"/>
          </w:cols>
          <w:pgMar w:left="240" w:top="659" w:right="239" w:bottom="1440" w:gutter="0" w:footer="0" w:header="0"/>
        </w:sectPr>
      </w:pPr>
    </w:p>
    <w:bookmarkStart w:id="40" w:name="page41"/>
    <w:bookmarkEnd w:id="40"/>
    <w:p>
      <w:pPr>
        <w:jc w:val="center"/>
        <w:spacing w:after="0"/>
        <w:rPr>
          <w:sz w:val="20"/>
          <w:szCs w:val="20"/>
          <w:color w:val="auto"/>
        </w:rPr>
      </w:pPr>
      <w:r>
        <w:rPr>
          <w:rFonts w:ascii="Arial" w:cs="Arial" w:eastAsia="Arial" w:hAnsi="Arial"/>
          <w:sz w:val="18"/>
          <w:szCs w:val="18"/>
          <w:b w:val="1"/>
          <w:bCs w:val="1"/>
          <w:color w:val="auto"/>
        </w:rPr>
        <w:t>PART II - OTHER INFORMATION</w:t>
      </w:r>
    </w:p>
    <w:p>
      <w:pPr>
        <w:spacing w:after="0" w:line="22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 LEGAL PROCEEDINGS</w:t>
      </w:r>
    </w:p>
    <w:p>
      <w:pPr>
        <w:spacing w:after="0" w:line="120" w:lineRule="exact"/>
        <w:rPr>
          <w:sz w:val="20"/>
          <w:szCs w:val="20"/>
          <w:color w:val="auto"/>
        </w:rPr>
      </w:pPr>
    </w:p>
    <w:p>
      <w:pPr>
        <w:jc w:val="both"/>
        <w:spacing w:after="0" w:line="275" w:lineRule="auto"/>
        <w:rPr>
          <w:sz w:val="20"/>
          <w:szCs w:val="20"/>
          <w:color w:val="auto"/>
        </w:rPr>
      </w:pPr>
      <w:r>
        <w:rPr>
          <w:rFonts w:ascii="Arial" w:cs="Arial" w:eastAsia="Arial" w:hAnsi="Arial"/>
          <w:sz w:val="18"/>
          <w:szCs w:val="18"/>
          <w:color w:val="auto"/>
        </w:rPr>
        <w:t>Refer to Note 19 – Litigation, Claims, Contingencies, and Other of the Notes to Condensed Consolidated Financial Statements (Part I, Item 1 of this Form 10-Q) for information regarding our legal proceedings that is incorporated by reference herein.</w:t>
      </w:r>
    </w:p>
    <w:p>
      <w:pPr>
        <w:spacing w:after="0" w:line="27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1A. RISK FACTORS</w:t>
      </w:r>
    </w:p>
    <w:p>
      <w:pPr>
        <w:spacing w:after="0" w:line="120" w:lineRule="exact"/>
        <w:rPr>
          <w:sz w:val="20"/>
          <w:szCs w:val="20"/>
          <w:color w:val="auto"/>
        </w:rPr>
      </w:pPr>
    </w:p>
    <w:p>
      <w:pPr>
        <w:jc w:val="both"/>
        <w:spacing w:after="0" w:line="262" w:lineRule="auto"/>
        <w:rPr>
          <w:sz w:val="20"/>
          <w:szCs w:val="20"/>
          <w:color w:val="auto"/>
        </w:rPr>
      </w:pPr>
      <w:r>
        <w:rPr>
          <w:rFonts w:ascii="Arial" w:cs="Arial" w:eastAsia="Arial" w:hAnsi="Arial"/>
          <w:sz w:val="18"/>
          <w:szCs w:val="18"/>
          <w:color w:val="auto"/>
        </w:rPr>
        <w:t>In addition to other information set forth in this report, careful consideration should be given to the factors discussed in Part I, Item 1A – Risk Factors and Part II, Item 7 – Management’s Discussion and Analysis of Financial Condition and Results of Operations of our 2017 Form 10-K, which could materially affect our business, financial condition and/or future results.</w:t>
      </w:r>
    </w:p>
    <w:p>
      <w:pPr>
        <w:spacing w:after="0" w:line="28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2. UNREGISTERED SALES OF EQUITY SECURITIES AND USE OF PROCEEDS</w:t>
      </w:r>
    </w:p>
    <w:p>
      <w:pPr>
        <w:spacing w:after="0" w:line="120" w:lineRule="exact"/>
        <w:rPr>
          <w:sz w:val="20"/>
          <w:szCs w:val="20"/>
          <w:color w:val="auto"/>
        </w:rPr>
      </w:pPr>
    </w:p>
    <w:p>
      <w:pPr>
        <w:jc w:val="both"/>
        <w:spacing w:after="0" w:line="275" w:lineRule="auto"/>
        <w:rPr>
          <w:sz w:val="20"/>
          <w:szCs w:val="20"/>
          <w:color w:val="auto"/>
        </w:rPr>
      </w:pPr>
      <w:r>
        <w:rPr>
          <w:rFonts w:ascii="Arial" w:cs="Arial" w:eastAsia="Arial" w:hAnsi="Arial"/>
          <w:sz w:val="18"/>
          <w:szCs w:val="18"/>
          <w:color w:val="auto"/>
        </w:rPr>
        <w:t>During the three months ended March 31, 2018, certain previously owned shares of common stock were surrendered by employees, former employees, and non-employee directors for tax withholding requirements on vested share-based awards.</w:t>
      </w:r>
    </w:p>
    <w:p>
      <w:pPr>
        <w:spacing w:after="0" w:line="27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ISSUER PURCHASES OF EQUITY SECURITIES</w:t>
      </w:r>
    </w:p>
    <w:p>
      <w:pPr>
        <w:spacing w:after="0" w:line="219"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520" w:type="dxa"/>
            <w:vAlign w:val="bottom"/>
          </w:tcPr>
          <w:p>
            <w:pPr>
              <w:spacing w:after="0"/>
              <w:rPr>
                <w:sz w:val="14"/>
                <w:szCs w:val="14"/>
                <w:color w:val="auto"/>
              </w:rPr>
            </w:pPr>
          </w:p>
        </w:tc>
        <w:tc>
          <w:tcPr>
            <w:tcW w:w="1600" w:type="dxa"/>
            <w:vAlign w:val="bottom"/>
            <w:vMerge w:val="restart"/>
          </w:tcPr>
          <w:p>
            <w:pPr>
              <w:jc w:val="right"/>
              <w:spacing w:after="0"/>
              <w:rPr>
                <w:sz w:val="20"/>
                <w:szCs w:val="20"/>
                <w:color w:val="auto"/>
              </w:rPr>
            </w:pPr>
            <w:r>
              <w:rPr>
                <w:rFonts w:ascii="Arial" w:cs="Arial" w:eastAsia="Arial" w:hAnsi="Arial"/>
                <w:sz w:val="14"/>
                <w:szCs w:val="14"/>
                <w:b w:val="1"/>
                <w:bCs w:val="1"/>
                <w:color w:val="auto"/>
                <w:w w:val="96"/>
              </w:rPr>
              <w:t>Total Number of Shares</w:t>
            </w:r>
          </w:p>
        </w:tc>
        <w:tc>
          <w:tcPr>
            <w:tcW w:w="2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700" w:type="dxa"/>
            <w:vAlign w:val="bottom"/>
            <w:gridSpan w:val="2"/>
            <w:vMerge w:val="restart"/>
          </w:tcPr>
          <w:p>
            <w:pPr>
              <w:jc w:val="center"/>
              <w:ind w:right="420"/>
              <w:spacing w:after="0"/>
              <w:rPr>
                <w:sz w:val="20"/>
                <w:szCs w:val="20"/>
                <w:color w:val="auto"/>
              </w:rPr>
            </w:pPr>
            <w:r>
              <w:rPr>
                <w:rFonts w:ascii="Arial" w:cs="Arial" w:eastAsia="Arial" w:hAnsi="Arial"/>
                <w:sz w:val="14"/>
                <w:szCs w:val="14"/>
                <w:b w:val="1"/>
                <w:bCs w:val="1"/>
                <w:color w:val="auto"/>
                <w:w w:val="91"/>
              </w:rPr>
              <w:t>Average Price Paid</w:t>
            </w:r>
          </w:p>
        </w:tc>
        <w:tc>
          <w:tcPr>
            <w:tcW w:w="216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2"/>
              </w:rPr>
              <w:t>Total Number of Shares</w:t>
            </w:r>
          </w:p>
        </w:tc>
        <w:tc>
          <w:tcPr>
            <w:tcW w:w="204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95"/>
              </w:rPr>
              <w:t>Maximum Number of Shares</w:t>
            </w:r>
          </w:p>
        </w:tc>
        <w:tc>
          <w:tcPr>
            <w:tcW w:w="0" w:type="dxa"/>
            <w:vAlign w:val="bottom"/>
          </w:tcPr>
          <w:p>
            <w:pPr>
              <w:spacing w:after="0"/>
              <w:rPr>
                <w:sz w:val="1"/>
                <w:szCs w:val="1"/>
                <w:color w:val="auto"/>
              </w:rPr>
            </w:pPr>
          </w:p>
        </w:tc>
      </w:tr>
      <w:tr>
        <w:trPr>
          <w:trHeight w:val="148"/>
        </w:trPr>
        <w:tc>
          <w:tcPr>
            <w:tcW w:w="3520" w:type="dxa"/>
            <w:vAlign w:val="bottom"/>
            <w:vMerge w:val="restart"/>
          </w:tcPr>
          <w:p>
            <w:pPr>
              <w:spacing w:after="0"/>
              <w:rPr>
                <w:sz w:val="20"/>
                <w:szCs w:val="20"/>
                <w:color w:val="auto"/>
              </w:rPr>
            </w:pPr>
            <w:r>
              <w:rPr>
                <w:rFonts w:ascii="Arial" w:cs="Arial" w:eastAsia="Arial" w:hAnsi="Arial"/>
                <w:sz w:val="14"/>
                <w:szCs w:val="14"/>
                <w:b w:val="1"/>
                <w:bCs w:val="1"/>
                <w:color w:val="auto"/>
              </w:rPr>
              <w:t>Period</w:t>
            </w:r>
          </w:p>
        </w:tc>
        <w:tc>
          <w:tcPr>
            <w:tcW w:w="1600" w:type="dxa"/>
            <w:vAlign w:val="bottom"/>
            <w:vMerge w:val="continue"/>
          </w:tcPr>
          <w:p>
            <w:pPr>
              <w:spacing w:after="0"/>
              <w:rPr>
                <w:sz w:val="12"/>
                <w:szCs w:val="12"/>
                <w:color w:val="auto"/>
              </w:rPr>
            </w:pPr>
          </w:p>
        </w:tc>
        <w:tc>
          <w:tcPr>
            <w:tcW w:w="2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700" w:type="dxa"/>
            <w:vAlign w:val="bottom"/>
            <w:gridSpan w:val="2"/>
            <w:vMerge w:val="continue"/>
          </w:tcPr>
          <w:p>
            <w:pPr>
              <w:spacing w:after="0"/>
              <w:rPr>
                <w:sz w:val="12"/>
                <w:szCs w:val="12"/>
                <w:color w:val="auto"/>
              </w:rPr>
            </w:pPr>
          </w:p>
        </w:tc>
        <w:tc>
          <w:tcPr>
            <w:tcW w:w="2160" w:type="dxa"/>
            <w:vAlign w:val="bottom"/>
            <w:gridSpan w:val="2"/>
          </w:tcPr>
          <w:p>
            <w:pPr>
              <w:jc w:val="center"/>
              <w:ind w:right="280"/>
              <w:spacing w:after="0" w:line="148" w:lineRule="exact"/>
              <w:rPr>
                <w:sz w:val="20"/>
                <w:szCs w:val="20"/>
                <w:color w:val="auto"/>
              </w:rPr>
            </w:pPr>
            <w:r>
              <w:rPr>
                <w:rFonts w:ascii="Arial" w:cs="Arial" w:eastAsia="Arial" w:hAnsi="Arial"/>
                <w:sz w:val="14"/>
                <w:szCs w:val="14"/>
                <w:b w:val="1"/>
                <w:bCs w:val="1"/>
                <w:color w:val="auto"/>
                <w:w w:val="91"/>
              </w:rPr>
              <w:t>Purchased as Part of Publicly</w:t>
            </w:r>
          </w:p>
        </w:tc>
        <w:tc>
          <w:tcPr>
            <w:tcW w:w="2040" w:type="dxa"/>
            <w:vAlign w:val="bottom"/>
            <w:gridSpan w:val="2"/>
          </w:tcPr>
          <w:p>
            <w:pPr>
              <w:jc w:val="center"/>
              <w:ind w:right="120"/>
              <w:spacing w:after="0" w:line="148" w:lineRule="exact"/>
              <w:rPr>
                <w:sz w:val="20"/>
                <w:szCs w:val="20"/>
                <w:color w:val="auto"/>
              </w:rPr>
            </w:pPr>
            <w:r>
              <w:rPr>
                <w:rFonts w:ascii="Arial" w:cs="Arial" w:eastAsia="Arial" w:hAnsi="Arial"/>
                <w:sz w:val="14"/>
                <w:szCs w:val="14"/>
                <w:b w:val="1"/>
                <w:bCs w:val="1"/>
                <w:color w:val="auto"/>
                <w:w w:val="93"/>
              </w:rPr>
              <w:t>That May Yet Be Purchased</w:t>
            </w:r>
          </w:p>
        </w:tc>
        <w:tc>
          <w:tcPr>
            <w:tcW w:w="0" w:type="dxa"/>
            <w:vAlign w:val="bottom"/>
          </w:tcPr>
          <w:p>
            <w:pPr>
              <w:spacing w:after="0"/>
              <w:rPr>
                <w:sz w:val="1"/>
                <w:szCs w:val="1"/>
                <w:color w:val="auto"/>
              </w:rPr>
            </w:pPr>
          </w:p>
        </w:tc>
      </w:tr>
      <w:tr>
        <w:trPr>
          <w:trHeight w:val="171"/>
        </w:trPr>
        <w:tc>
          <w:tcPr>
            <w:tcW w:w="3520" w:type="dxa"/>
            <w:vAlign w:val="bottom"/>
            <w:vMerge w:val="continue"/>
          </w:tcPr>
          <w:p>
            <w:pPr>
              <w:spacing w:after="0"/>
              <w:rPr>
                <w:sz w:val="14"/>
                <w:szCs w:val="14"/>
                <w:color w:val="auto"/>
              </w:rPr>
            </w:pPr>
          </w:p>
        </w:tc>
        <w:tc>
          <w:tcPr>
            <w:tcW w:w="1600" w:type="dxa"/>
            <w:vAlign w:val="bottom"/>
          </w:tcPr>
          <w:p>
            <w:pPr>
              <w:jc w:val="right"/>
              <w:ind w:right="396"/>
              <w:spacing w:after="0"/>
              <w:rPr>
                <w:sz w:val="20"/>
                <w:szCs w:val="20"/>
                <w:color w:val="auto"/>
              </w:rPr>
            </w:pPr>
            <w:r>
              <w:rPr>
                <w:rFonts w:ascii="Arial" w:cs="Arial" w:eastAsia="Arial" w:hAnsi="Arial"/>
                <w:sz w:val="14"/>
                <w:szCs w:val="14"/>
                <w:b w:val="1"/>
                <w:bCs w:val="1"/>
                <w:color w:val="auto"/>
              </w:rPr>
              <w:t>Purchased</w:t>
            </w:r>
          </w:p>
        </w:tc>
        <w:tc>
          <w:tcPr>
            <w:tcW w:w="2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700" w:type="dxa"/>
            <w:vAlign w:val="bottom"/>
            <w:gridSpan w:val="2"/>
          </w:tcPr>
          <w:p>
            <w:pPr>
              <w:jc w:val="center"/>
              <w:ind w:right="420"/>
              <w:spacing w:after="0"/>
              <w:rPr>
                <w:sz w:val="20"/>
                <w:szCs w:val="20"/>
                <w:color w:val="auto"/>
              </w:rPr>
            </w:pPr>
            <w:r>
              <w:rPr>
                <w:rFonts w:ascii="Arial" w:cs="Arial" w:eastAsia="Arial" w:hAnsi="Arial"/>
                <w:sz w:val="14"/>
                <w:szCs w:val="14"/>
                <w:b w:val="1"/>
                <w:bCs w:val="1"/>
                <w:color w:val="auto"/>
                <w:w w:val="91"/>
              </w:rPr>
              <w:t>Per Share</w:t>
            </w:r>
          </w:p>
        </w:tc>
        <w:tc>
          <w:tcPr>
            <w:tcW w:w="216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1"/>
              </w:rPr>
              <w:t>Announced Plans or Programs</w:t>
            </w:r>
          </w:p>
        </w:tc>
        <w:tc>
          <w:tcPr>
            <w:tcW w:w="204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92"/>
              </w:rPr>
              <w:t>Under the Plans or Programs</w:t>
            </w:r>
          </w:p>
        </w:tc>
        <w:tc>
          <w:tcPr>
            <w:tcW w:w="0" w:type="dxa"/>
            <w:vAlign w:val="bottom"/>
          </w:tcPr>
          <w:p>
            <w:pPr>
              <w:spacing w:after="0"/>
              <w:rPr>
                <w:sz w:val="1"/>
                <w:szCs w:val="1"/>
                <w:color w:val="auto"/>
              </w:rPr>
            </w:pPr>
          </w:p>
        </w:tc>
      </w:tr>
      <w:tr>
        <w:trPr>
          <w:trHeight w:val="222"/>
        </w:trPr>
        <w:tc>
          <w:tcPr>
            <w:tcW w:w="352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8"/>
                <w:szCs w:val="18"/>
                <w:color w:val="auto"/>
              </w:rPr>
              <w:t>January 1, 2018 - January 31, 2018</w:t>
            </w:r>
          </w:p>
        </w:tc>
        <w:tc>
          <w:tcPr>
            <w:tcW w:w="160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260" w:type="dxa"/>
            <w:vAlign w:val="bottom"/>
            <w:tcBorders>
              <w:top w:val="single" w:sz="8" w:color="CFF0FC"/>
            </w:tcBorders>
            <w:shd w:val="clear" w:color="auto" w:fill="CFF0FC"/>
          </w:tcPr>
          <w:p>
            <w:pPr>
              <w:spacing w:after="0"/>
              <w:rPr>
                <w:sz w:val="19"/>
                <w:szCs w:val="19"/>
                <w:color w:val="auto"/>
              </w:rPr>
            </w:pPr>
          </w:p>
        </w:tc>
        <w:tc>
          <w:tcPr>
            <w:tcW w:w="14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146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240" w:type="dxa"/>
            <w:vAlign w:val="bottom"/>
            <w:tcBorders>
              <w:top w:val="single" w:sz="8" w:color="CFF0FC"/>
            </w:tcBorders>
            <w:shd w:val="clear" w:color="auto" w:fill="CFF0FC"/>
          </w:tcPr>
          <w:p>
            <w:pPr>
              <w:spacing w:after="0"/>
              <w:rPr>
                <w:sz w:val="19"/>
                <w:szCs w:val="19"/>
                <w:color w:val="auto"/>
              </w:rPr>
            </w:pPr>
          </w:p>
        </w:tc>
        <w:tc>
          <w:tcPr>
            <w:tcW w:w="1920" w:type="dxa"/>
            <w:vAlign w:val="bottom"/>
            <w:tcBorders>
              <w:top w:val="single" w:sz="8" w:color="auto"/>
            </w:tcBorders>
            <w:shd w:val="clear" w:color="auto" w:fill="CFF0FC"/>
          </w:tcPr>
          <w:p>
            <w:pPr>
              <w:ind w:left="1720"/>
              <w:spacing w:after="0"/>
              <w:rPr>
                <w:sz w:val="20"/>
                <w:szCs w:val="20"/>
                <w:color w:val="auto"/>
              </w:rPr>
            </w:pPr>
            <w:r>
              <w:rPr>
                <w:rFonts w:ascii="Arial" w:cs="Arial" w:eastAsia="Arial" w:hAnsi="Arial"/>
                <w:sz w:val="18"/>
                <w:szCs w:val="18"/>
                <w:color w:val="auto"/>
                <w:w w:val="99"/>
              </w:rPr>
              <w:t>—</w:t>
            </w:r>
          </w:p>
        </w:tc>
        <w:tc>
          <w:tcPr>
            <w:tcW w:w="240" w:type="dxa"/>
            <w:vAlign w:val="bottom"/>
            <w:tcBorders>
              <w:top w:val="single" w:sz="8" w:color="CFF0FC"/>
            </w:tcBorders>
            <w:shd w:val="clear" w:color="auto" w:fill="CFF0FC"/>
          </w:tcPr>
          <w:p>
            <w:pPr>
              <w:spacing w:after="0"/>
              <w:rPr>
                <w:sz w:val="19"/>
                <w:szCs w:val="19"/>
                <w:color w:val="auto"/>
              </w:rPr>
            </w:pPr>
          </w:p>
        </w:tc>
        <w:tc>
          <w:tcPr>
            <w:tcW w:w="194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440,540</w:t>
            </w:r>
          </w:p>
        </w:tc>
        <w:tc>
          <w:tcPr>
            <w:tcW w:w="100" w:type="dxa"/>
            <w:vAlign w:val="bottom"/>
            <w:tcBorders>
              <w:top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3520" w:type="dxa"/>
            <w:vAlign w:val="bottom"/>
          </w:tcPr>
          <w:p>
            <w:pPr>
              <w:spacing w:after="0"/>
              <w:rPr>
                <w:sz w:val="20"/>
                <w:szCs w:val="20"/>
                <w:color w:val="auto"/>
              </w:rPr>
            </w:pPr>
            <w:r>
              <w:rPr>
                <w:rFonts w:ascii="Arial" w:cs="Arial" w:eastAsia="Arial" w:hAnsi="Arial"/>
                <w:sz w:val="18"/>
                <w:szCs w:val="18"/>
                <w:color w:val="auto"/>
              </w:rPr>
              <w:t>February 1, 2018 - February 28, 2018</w:t>
            </w:r>
          </w:p>
        </w:tc>
        <w:tc>
          <w:tcPr>
            <w:tcW w:w="1600" w:type="dxa"/>
            <w:vAlign w:val="bottom"/>
          </w:tcPr>
          <w:p>
            <w:pPr>
              <w:jc w:val="right"/>
              <w:spacing w:after="0"/>
              <w:rPr>
                <w:sz w:val="20"/>
                <w:szCs w:val="20"/>
                <w:color w:val="auto"/>
              </w:rPr>
            </w:pPr>
            <w:r>
              <w:rPr>
                <w:rFonts w:ascii="Arial" w:cs="Arial" w:eastAsia="Arial" w:hAnsi="Arial"/>
                <w:sz w:val="18"/>
                <w:szCs w:val="18"/>
                <w:color w:val="auto"/>
              </w:rPr>
              <w:t>16,067</w:t>
            </w:r>
          </w:p>
        </w:tc>
        <w:tc>
          <w:tcPr>
            <w:tcW w:w="4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460" w:type="dxa"/>
            <w:vAlign w:val="bottom"/>
          </w:tcPr>
          <w:p>
            <w:pPr>
              <w:jc w:val="right"/>
              <w:spacing w:after="0"/>
              <w:rPr>
                <w:sz w:val="20"/>
                <w:szCs w:val="20"/>
                <w:color w:val="auto"/>
              </w:rPr>
            </w:pPr>
            <w:r>
              <w:rPr>
                <w:rFonts w:ascii="Arial" w:cs="Arial" w:eastAsia="Arial" w:hAnsi="Arial"/>
                <w:sz w:val="18"/>
                <w:szCs w:val="18"/>
                <w:color w:val="auto"/>
              </w:rPr>
              <w:t>53.00</w:t>
            </w:r>
          </w:p>
        </w:tc>
        <w:tc>
          <w:tcPr>
            <w:tcW w:w="240" w:type="dxa"/>
            <w:vAlign w:val="bottom"/>
          </w:tcPr>
          <w:p>
            <w:pPr>
              <w:spacing w:after="0"/>
              <w:rPr>
                <w:sz w:val="19"/>
                <w:szCs w:val="19"/>
                <w:color w:val="auto"/>
              </w:rPr>
            </w:pPr>
          </w:p>
        </w:tc>
        <w:tc>
          <w:tcPr>
            <w:tcW w:w="2160" w:type="dxa"/>
            <w:vAlign w:val="bottom"/>
            <w:gridSpan w:val="2"/>
          </w:tcPr>
          <w:p>
            <w:pPr>
              <w:ind w:left="1720"/>
              <w:spacing w:after="0"/>
              <w:rPr>
                <w:sz w:val="20"/>
                <w:szCs w:val="20"/>
                <w:color w:val="auto"/>
              </w:rPr>
            </w:pPr>
            <w:r>
              <w:rPr>
                <w:rFonts w:ascii="Arial" w:cs="Arial" w:eastAsia="Arial" w:hAnsi="Arial"/>
                <w:sz w:val="18"/>
                <w:szCs w:val="18"/>
                <w:color w:val="auto"/>
              </w:rPr>
              <w:t>—</w:t>
            </w:r>
          </w:p>
        </w:tc>
        <w:tc>
          <w:tcPr>
            <w:tcW w:w="1940" w:type="dxa"/>
            <w:vAlign w:val="bottom"/>
          </w:tcPr>
          <w:p>
            <w:pPr>
              <w:jc w:val="right"/>
              <w:spacing w:after="0"/>
              <w:rPr>
                <w:sz w:val="20"/>
                <w:szCs w:val="20"/>
                <w:color w:val="auto"/>
              </w:rPr>
            </w:pPr>
            <w:r>
              <w:rPr>
                <w:rFonts w:ascii="Arial" w:cs="Arial" w:eastAsia="Arial" w:hAnsi="Arial"/>
                <w:sz w:val="18"/>
                <w:szCs w:val="18"/>
                <w:color w:val="auto"/>
              </w:rPr>
              <w:t>440,540</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3520" w:type="dxa"/>
            <w:vAlign w:val="bottom"/>
            <w:shd w:val="clear" w:color="auto" w:fill="CFF0FC"/>
          </w:tcPr>
          <w:p>
            <w:pPr>
              <w:spacing w:after="0"/>
              <w:rPr>
                <w:sz w:val="20"/>
                <w:szCs w:val="20"/>
                <w:color w:val="auto"/>
              </w:rPr>
            </w:pPr>
            <w:r>
              <w:rPr>
                <w:rFonts w:ascii="Arial" w:cs="Arial" w:eastAsia="Arial" w:hAnsi="Arial"/>
                <w:sz w:val="18"/>
                <w:szCs w:val="18"/>
                <w:color w:val="auto"/>
              </w:rPr>
              <w:t>March 1, 2018 - March 31, 2018</w:t>
            </w:r>
          </w:p>
        </w:tc>
        <w:tc>
          <w:tcPr>
            <w:tcW w:w="16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295</w:t>
            </w:r>
          </w:p>
        </w:tc>
        <w:tc>
          <w:tcPr>
            <w:tcW w:w="40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4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55.05</w:t>
            </w:r>
          </w:p>
        </w:tc>
        <w:tc>
          <w:tcPr>
            <w:tcW w:w="240" w:type="dxa"/>
            <w:vAlign w:val="bottom"/>
            <w:shd w:val="clear" w:color="auto" w:fill="CFF0FC"/>
          </w:tcPr>
          <w:p>
            <w:pPr>
              <w:spacing w:after="0"/>
              <w:rPr>
                <w:sz w:val="19"/>
                <w:szCs w:val="19"/>
                <w:color w:val="auto"/>
              </w:rPr>
            </w:pPr>
          </w:p>
        </w:tc>
        <w:tc>
          <w:tcPr>
            <w:tcW w:w="2160" w:type="dxa"/>
            <w:vAlign w:val="bottom"/>
            <w:gridSpan w:val="2"/>
            <w:shd w:val="clear" w:color="auto" w:fill="CFF0FC"/>
          </w:tcPr>
          <w:p>
            <w:pPr>
              <w:ind w:left="1720"/>
              <w:spacing w:after="0"/>
              <w:rPr>
                <w:sz w:val="20"/>
                <w:szCs w:val="20"/>
                <w:color w:val="auto"/>
              </w:rPr>
            </w:pPr>
            <w:r>
              <w:rPr>
                <w:rFonts w:ascii="Arial" w:cs="Arial" w:eastAsia="Arial" w:hAnsi="Arial"/>
                <w:sz w:val="18"/>
                <w:szCs w:val="18"/>
                <w:color w:val="auto"/>
              </w:rPr>
              <w:t>—</w:t>
            </w:r>
          </w:p>
        </w:tc>
        <w:tc>
          <w:tcPr>
            <w:tcW w:w="19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440,540</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2"/>
        </w:trPr>
        <w:tc>
          <w:tcPr>
            <w:tcW w:w="3520" w:type="dxa"/>
            <w:vAlign w:val="bottom"/>
          </w:tcPr>
          <w:p>
            <w:pPr>
              <w:spacing w:after="0"/>
              <w:rPr>
                <w:sz w:val="20"/>
                <w:szCs w:val="20"/>
                <w:color w:val="auto"/>
              </w:rPr>
            </w:pPr>
            <w:r>
              <w:rPr>
                <w:rFonts w:ascii="Arial" w:cs="Arial" w:eastAsia="Arial" w:hAnsi="Arial"/>
                <w:sz w:val="18"/>
                <w:szCs w:val="18"/>
                <w:color w:val="auto"/>
              </w:rPr>
              <w:t>Total</w:t>
            </w:r>
          </w:p>
        </w:tc>
        <w:tc>
          <w:tcPr>
            <w:tcW w:w="1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16,362</w:t>
            </w:r>
          </w:p>
        </w:tc>
        <w:tc>
          <w:tcPr>
            <w:tcW w:w="260" w:type="dxa"/>
            <w:vAlign w:val="bottom"/>
          </w:tcPr>
          <w:p>
            <w:pPr>
              <w:spacing w:after="0"/>
              <w:rPr>
                <w:sz w:val="19"/>
                <w:szCs w:val="19"/>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14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53.04</w:t>
            </w:r>
          </w:p>
        </w:tc>
        <w:tc>
          <w:tcPr>
            <w:tcW w:w="240" w:type="dxa"/>
            <w:vAlign w:val="bottom"/>
          </w:tcPr>
          <w:p>
            <w:pPr>
              <w:spacing w:after="0"/>
              <w:rPr>
                <w:sz w:val="19"/>
                <w:szCs w:val="19"/>
                <w:color w:val="auto"/>
              </w:rPr>
            </w:pPr>
          </w:p>
        </w:tc>
        <w:tc>
          <w:tcPr>
            <w:tcW w:w="1920" w:type="dxa"/>
            <w:vAlign w:val="bottom"/>
            <w:tcBorders>
              <w:top w:val="single" w:sz="8" w:color="auto"/>
              <w:bottom w:val="single" w:sz="8" w:color="auto"/>
            </w:tcBorders>
          </w:tcPr>
          <w:p>
            <w:pPr>
              <w:ind w:left="1720"/>
              <w:spacing w:after="0"/>
              <w:rPr>
                <w:sz w:val="20"/>
                <w:szCs w:val="20"/>
                <w:color w:val="auto"/>
              </w:rPr>
            </w:pPr>
            <w:r>
              <w:rPr>
                <w:rFonts w:ascii="Arial" w:cs="Arial" w:eastAsia="Arial" w:hAnsi="Arial"/>
                <w:sz w:val="18"/>
                <w:szCs w:val="18"/>
                <w:color w:val="auto"/>
                <w:w w:val="99"/>
              </w:rPr>
              <w:t>—</w:t>
            </w:r>
          </w:p>
        </w:tc>
        <w:tc>
          <w:tcPr>
            <w:tcW w:w="240" w:type="dxa"/>
            <w:vAlign w:val="bottom"/>
          </w:tcPr>
          <w:p>
            <w:pPr>
              <w:spacing w:after="0"/>
              <w:rPr>
                <w:sz w:val="19"/>
                <w:szCs w:val="19"/>
                <w:color w:val="auto"/>
              </w:rPr>
            </w:pPr>
          </w:p>
        </w:tc>
        <w:tc>
          <w:tcPr>
            <w:tcW w:w="19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440,540</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3520" w:type="dxa"/>
            <w:vAlign w:val="bottom"/>
          </w:tcPr>
          <w:p>
            <w:pPr>
              <w:spacing w:after="0" w:line="20" w:lineRule="exact"/>
              <w:rPr>
                <w:sz w:val="1"/>
                <w:szCs w:val="1"/>
                <w:color w:val="auto"/>
              </w:rPr>
            </w:pPr>
          </w:p>
        </w:tc>
        <w:tc>
          <w:tcPr>
            <w:tcW w:w="160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46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92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9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93" w:lineRule="exact"/>
        <w:rPr>
          <w:sz w:val="20"/>
          <w:szCs w:val="20"/>
          <w:color w:val="auto"/>
        </w:rPr>
      </w:pPr>
    </w:p>
    <w:p>
      <w:pPr>
        <w:jc w:val="both"/>
        <w:spacing w:after="0" w:line="262" w:lineRule="auto"/>
        <w:rPr>
          <w:sz w:val="20"/>
          <w:szCs w:val="20"/>
          <w:color w:val="auto"/>
        </w:rPr>
      </w:pPr>
      <w:r>
        <w:rPr>
          <w:rFonts w:ascii="Arial" w:cs="Arial" w:eastAsia="Arial" w:hAnsi="Arial"/>
          <w:sz w:val="18"/>
          <w:szCs w:val="18"/>
          <w:color w:val="auto"/>
        </w:rPr>
        <w:t>Our Board of Directors has authorized us to repurchase shares of our common stock from time to time at prevailing market prices. As of March 31, 2018, 440,540 shares remain available for repurchase. The Board’s authorization has no expiration date. During the three months ended March 31, 2018, no shares were repurchased on the open market.</w:t>
      </w:r>
    </w:p>
    <w:p>
      <w:pPr>
        <w:spacing w:after="0" w:line="18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69850</wp:posOffset>
            </wp:positionV>
            <wp:extent cx="7289800" cy="4254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1420"/>
          </w:cols>
          <w:pgMar w:left="240" w:top="336" w:right="239" w:bottom="1440" w:gutter="0" w:footer="0" w:header="0"/>
        </w:sectPr>
      </w:pPr>
    </w:p>
    <w:bookmarkStart w:id="41" w:name="page42"/>
    <w:bookmarkEnd w:id="41"/>
    <w:p>
      <w:pPr>
        <w:spacing w:after="0"/>
        <w:rPr>
          <w:sz w:val="20"/>
          <w:szCs w:val="20"/>
          <w:color w:val="auto"/>
        </w:rPr>
      </w:pPr>
      <w:r>
        <w:rPr>
          <w:rFonts w:ascii="Arial" w:cs="Arial" w:eastAsia="Arial" w:hAnsi="Arial"/>
          <w:sz w:val="18"/>
          <w:szCs w:val="18"/>
          <w:b w:val="1"/>
          <w:bCs w:val="1"/>
          <w:color w:val="auto"/>
        </w:rPr>
        <w:t>Item 6. EXHIBITS</w:t>
      </w:r>
    </w:p>
    <w:p>
      <w:pPr>
        <w:spacing w:after="0" w:line="120" w:lineRule="exact"/>
        <w:rPr>
          <w:sz w:val="20"/>
          <w:szCs w:val="20"/>
          <w:color w:val="auto"/>
        </w:rPr>
      </w:pPr>
    </w:p>
    <w:p>
      <w:pPr>
        <w:ind w:right="20"/>
        <w:spacing w:after="0" w:line="275" w:lineRule="auto"/>
        <w:rPr>
          <w:sz w:val="20"/>
          <w:szCs w:val="20"/>
          <w:color w:val="auto"/>
        </w:rPr>
      </w:pPr>
      <w:r>
        <w:rPr>
          <w:rFonts w:ascii="Arial" w:cs="Arial" w:eastAsia="Arial" w:hAnsi="Arial"/>
          <w:sz w:val="18"/>
          <w:szCs w:val="18"/>
          <w:color w:val="auto"/>
        </w:rPr>
        <w:t>Following is the entirety of the Exhibit Index that was included in Part IV of the 2017 Form 10-K. We are including this to correct non-functioning or incorrect hyperlinks.</w:t>
      </w:r>
    </w:p>
    <w:p>
      <w:pPr>
        <w:spacing w:after="0" w:line="203"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880" w:type="dxa"/>
            <w:vAlign w:val="bottom"/>
            <w:vMerge w:val="restart"/>
          </w:tcPr>
          <w:p>
            <w:pPr>
              <w:spacing w:after="0"/>
              <w:rPr>
                <w:sz w:val="20"/>
                <w:szCs w:val="20"/>
                <w:color w:val="auto"/>
              </w:rPr>
            </w:pPr>
            <w:r>
              <w:rPr>
                <w:rFonts w:ascii="Arial" w:cs="Arial" w:eastAsia="Arial" w:hAnsi="Arial"/>
                <w:sz w:val="14"/>
                <w:szCs w:val="14"/>
                <w:b w:val="1"/>
                <w:bCs w:val="1"/>
                <w:color w:val="auto"/>
              </w:rPr>
              <w:t>Exhibit</w:t>
            </w:r>
          </w:p>
        </w:tc>
        <w:tc>
          <w:tcPr>
            <w:tcW w:w="5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220" w:type="dxa"/>
            <w:vAlign w:val="bottom"/>
          </w:tcPr>
          <w:p>
            <w:pPr>
              <w:spacing w:after="0"/>
              <w:rPr>
                <w:sz w:val="14"/>
                <w:szCs w:val="14"/>
                <w:color w:val="auto"/>
              </w:rPr>
            </w:pPr>
          </w:p>
        </w:tc>
        <w:tc>
          <w:tcPr>
            <w:tcW w:w="15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2220" w:type="dxa"/>
            <w:vAlign w:val="bottom"/>
            <w:tcBorders>
              <w:bottom w:val="single" w:sz="8" w:color="auto"/>
            </w:tcBorders>
            <w:gridSpan w:val="5"/>
          </w:tcPr>
          <w:p>
            <w:pPr>
              <w:ind w:left="460"/>
              <w:spacing w:after="0"/>
              <w:rPr>
                <w:sz w:val="20"/>
                <w:szCs w:val="20"/>
                <w:color w:val="auto"/>
              </w:rPr>
            </w:pPr>
            <w:r>
              <w:rPr>
                <w:rFonts w:ascii="Arial" w:cs="Arial" w:eastAsia="Arial" w:hAnsi="Arial"/>
                <w:sz w:val="14"/>
                <w:szCs w:val="14"/>
                <w:b w:val="1"/>
                <w:bCs w:val="1"/>
                <w:color w:val="auto"/>
                <w:w w:val="98"/>
              </w:rPr>
              <w:t>Incorporated by Reference</w:t>
            </w:r>
          </w:p>
        </w:tc>
        <w:tc>
          <w:tcPr>
            <w:tcW w:w="1080" w:type="dxa"/>
            <w:vAlign w:val="bottom"/>
            <w:tcBorders>
              <w:bottom w:val="single" w:sz="8" w:color="auto"/>
            </w:tcBorders>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2"/>
        </w:trPr>
        <w:tc>
          <w:tcPr>
            <w:tcW w:w="880" w:type="dxa"/>
            <w:vAlign w:val="bottom"/>
            <w:vMerge w:val="continue"/>
          </w:tcPr>
          <w:p>
            <w:pPr>
              <w:spacing w:after="0"/>
              <w:rPr>
                <w:sz w:val="11"/>
                <w:szCs w:val="11"/>
                <w:color w:val="auto"/>
              </w:rPr>
            </w:pPr>
          </w:p>
        </w:tc>
        <w:tc>
          <w:tcPr>
            <w:tcW w:w="540" w:type="dxa"/>
            <w:vAlign w:val="bottom"/>
          </w:tcPr>
          <w:p>
            <w:pPr>
              <w:spacing w:after="0"/>
              <w:rPr>
                <w:sz w:val="11"/>
                <w:szCs w:val="11"/>
                <w:color w:val="auto"/>
              </w:rPr>
            </w:pPr>
          </w:p>
        </w:tc>
        <w:tc>
          <w:tcPr>
            <w:tcW w:w="5980" w:type="dxa"/>
            <w:vAlign w:val="bottom"/>
            <w:gridSpan w:val="29"/>
            <w:vMerge w:val="restart"/>
          </w:tcPr>
          <w:p>
            <w:pPr>
              <w:spacing w:after="0"/>
              <w:rPr>
                <w:sz w:val="20"/>
                <w:szCs w:val="20"/>
                <w:color w:val="auto"/>
              </w:rPr>
            </w:pPr>
            <w:r>
              <w:rPr>
                <w:rFonts w:ascii="Arial" w:cs="Arial" w:eastAsia="Arial" w:hAnsi="Arial"/>
                <w:sz w:val="14"/>
                <w:szCs w:val="14"/>
                <w:b w:val="1"/>
                <w:bCs w:val="1"/>
                <w:color w:val="auto"/>
              </w:rPr>
              <w:t>Exhibit Description</w:t>
            </w:r>
          </w:p>
        </w:tc>
        <w:tc>
          <w:tcPr>
            <w:tcW w:w="720" w:type="dxa"/>
            <w:vAlign w:val="bottom"/>
            <w:gridSpan w:val="2"/>
            <w:vMerge w:val="restart"/>
          </w:tcPr>
          <w:p>
            <w:pPr>
              <w:ind w:left="140"/>
              <w:spacing w:after="0"/>
              <w:rPr>
                <w:sz w:val="20"/>
                <w:szCs w:val="20"/>
                <w:color w:val="auto"/>
              </w:rPr>
            </w:pPr>
            <w:r>
              <w:rPr>
                <w:rFonts w:ascii="Arial" w:cs="Arial" w:eastAsia="Arial" w:hAnsi="Arial"/>
                <w:sz w:val="14"/>
                <w:szCs w:val="14"/>
                <w:b w:val="1"/>
                <w:bCs w:val="1"/>
                <w:color w:val="auto"/>
              </w:rPr>
              <w:t>Form</w:t>
            </w:r>
          </w:p>
        </w:tc>
        <w:tc>
          <w:tcPr>
            <w:tcW w:w="1340" w:type="dxa"/>
            <w:vAlign w:val="bottom"/>
            <w:gridSpan w:val="2"/>
          </w:tcPr>
          <w:p>
            <w:pPr>
              <w:ind w:left="400"/>
              <w:spacing w:after="0" w:line="132" w:lineRule="exact"/>
              <w:rPr>
                <w:sz w:val="20"/>
                <w:szCs w:val="20"/>
                <w:color w:val="auto"/>
              </w:rPr>
            </w:pPr>
            <w:r>
              <w:rPr>
                <w:rFonts w:ascii="Arial" w:cs="Arial" w:eastAsia="Arial" w:hAnsi="Arial"/>
                <w:sz w:val="14"/>
                <w:szCs w:val="14"/>
                <w:b w:val="1"/>
                <w:bCs w:val="1"/>
                <w:color w:val="auto"/>
              </w:rPr>
              <w:t>Period</w:t>
            </w:r>
          </w:p>
        </w:tc>
        <w:tc>
          <w:tcPr>
            <w:tcW w:w="880" w:type="dxa"/>
            <w:vAlign w:val="bottom"/>
            <w:gridSpan w:val="3"/>
            <w:vMerge w:val="restart"/>
          </w:tcPr>
          <w:p>
            <w:pPr>
              <w:ind w:left="80"/>
              <w:spacing w:after="0"/>
              <w:rPr>
                <w:sz w:val="20"/>
                <w:szCs w:val="20"/>
                <w:color w:val="auto"/>
              </w:rPr>
            </w:pPr>
            <w:r>
              <w:rPr>
                <w:rFonts w:ascii="Arial" w:cs="Arial" w:eastAsia="Arial" w:hAnsi="Arial"/>
                <w:sz w:val="14"/>
                <w:szCs w:val="14"/>
                <w:b w:val="1"/>
                <w:bCs w:val="1"/>
                <w:color w:val="auto"/>
              </w:rPr>
              <w:t>Exhibit</w:t>
            </w:r>
          </w:p>
        </w:tc>
        <w:tc>
          <w:tcPr>
            <w:tcW w:w="1080" w:type="dxa"/>
            <w:vAlign w:val="bottom"/>
            <w:vMerge w:val="restart"/>
          </w:tcPr>
          <w:p>
            <w:pPr>
              <w:jc w:val="right"/>
              <w:ind w:right="192"/>
              <w:spacing w:after="0"/>
              <w:rPr>
                <w:sz w:val="20"/>
                <w:szCs w:val="20"/>
                <w:color w:val="auto"/>
              </w:rPr>
            </w:pPr>
            <w:r>
              <w:rPr>
                <w:rFonts w:ascii="Arial" w:cs="Arial" w:eastAsia="Arial" w:hAnsi="Arial"/>
                <w:sz w:val="14"/>
                <w:szCs w:val="14"/>
                <w:b w:val="1"/>
                <w:bCs w:val="1"/>
                <w:color w:val="auto"/>
              </w:rPr>
              <w:t>Filing Date</w:t>
            </w: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71"/>
        </w:trPr>
        <w:tc>
          <w:tcPr>
            <w:tcW w:w="880" w:type="dxa"/>
            <w:vAlign w:val="bottom"/>
          </w:tcPr>
          <w:p>
            <w:pPr>
              <w:spacing w:after="0"/>
              <w:rPr>
                <w:sz w:val="20"/>
                <w:szCs w:val="20"/>
                <w:color w:val="auto"/>
              </w:rPr>
            </w:pPr>
            <w:r>
              <w:rPr>
                <w:rFonts w:ascii="Arial" w:cs="Arial" w:eastAsia="Arial" w:hAnsi="Arial"/>
                <w:sz w:val="14"/>
                <w:szCs w:val="14"/>
                <w:b w:val="1"/>
                <w:bCs w:val="1"/>
                <w:color w:val="auto"/>
              </w:rPr>
              <w:t>Number</w:t>
            </w:r>
          </w:p>
        </w:tc>
        <w:tc>
          <w:tcPr>
            <w:tcW w:w="540" w:type="dxa"/>
            <w:vAlign w:val="bottom"/>
          </w:tcPr>
          <w:p>
            <w:pPr>
              <w:spacing w:after="0"/>
              <w:rPr>
                <w:sz w:val="14"/>
                <w:szCs w:val="14"/>
                <w:color w:val="auto"/>
              </w:rPr>
            </w:pPr>
          </w:p>
        </w:tc>
        <w:tc>
          <w:tcPr>
            <w:tcW w:w="5980" w:type="dxa"/>
            <w:vAlign w:val="bottom"/>
            <w:gridSpan w:val="29"/>
            <w:vMerge w:val="continue"/>
          </w:tcPr>
          <w:p>
            <w:pPr>
              <w:spacing w:after="0"/>
              <w:rPr>
                <w:sz w:val="14"/>
                <w:szCs w:val="14"/>
                <w:color w:val="auto"/>
              </w:rPr>
            </w:pPr>
          </w:p>
        </w:tc>
        <w:tc>
          <w:tcPr>
            <w:tcW w:w="720" w:type="dxa"/>
            <w:vAlign w:val="bottom"/>
            <w:gridSpan w:val="2"/>
            <w:vMerge w:val="continue"/>
          </w:tcPr>
          <w:p>
            <w:pPr>
              <w:spacing w:after="0"/>
              <w:rPr>
                <w:sz w:val="14"/>
                <w:szCs w:val="14"/>
                <w:color w:val="auto"/>
              </w:rPr>
            </w:pPr>
          </w:p>
        </w:tc>
        <w:tc>
          <w:tcPr>
            <w:tcW w:w="1340" w:type="dxa"/>
            <w:vAlign w:val="bottom"/>
            <w:gridSpan w:val="2"/>
          </w:tcPr>
          <w:p>
            <w:pPr>
              <w:ind w:left="380"/>
              <w:spacing w:after="0"/>
              <w:rPr>
                <w:sz w:val="20"/>
                <w:szCs w:val="20"/>
                <w:color w:val="auto"/>
              </w:rPr>
            </w:pPr>
            <w:r>
              <w:rPr>
                <w:rFonts w:ascii="Arial" w:cs="Arial" w:eastAsia="Arial" w:hAnsi="Arial"/>
                <w:sz w:val="14"/>
                <w:szCs w:val="14"/>
                <w:b w:val="1"/>
                <w:bCs w:val="1"/>
                <w:color w:val="auto"/>
              </w:rPr>
              <w:t>Ending</w:t>
            </w:r>
          </w:p>
        </w:tc>
        <w:tc>
          <w:tcPr>
            <w:tcW w:w="880" w:type="dxa"/>
            <w:vAlign w:val="bottom"/>
            <w:gridSpan w:val="3"/>
            <w:vMerge w:val="continue"/>
          </w:tcPr>
          <w:p>
            <w:pPr>
              <w:spacing w:after="0"/>
              <w:rPr>
                <w:sz w:val="14"/>
                <w:szCs w:val="14"/>
                <w:color w:val="auto"/>
              </w:rPr>
            </w:pPr>
          </w:p>
        </w:tc>
        <w:tc>
          <w:tcPr>
            <w:tcW w:w="1080" w:type="dxa"/>
            <w:vAlign w:val="bottom"/>
            <w:vMerge w:val="continue"/>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82"/>
        </w:trPr>
        <w:tc>
          <w:tcPr>
            <w:tcW w:w="880" w:type="dxa"/>
            <w:vAlign w:val="bottom"/>
            <w:tcBorders>
              <w:top w:val="single" w:sz="8" w:color="auto"/>
            </w:tcBorders>
          </w:tcPr>
          <w:p>
            <w:pPr>
              <w:spacing w:after="0" w:line="181" w:lineRule="exact"/>
              <w:rPr>
                <w:sz w:val="20"/>
                <w:szCs w:val="20"/>
                <w:color w:val="auto"/>
              </w:rPr>
            </w:pPr>
            <w:r>
              <w:rPr>
                <w:rFonts w:ascii="Arial" w:cs="Arial" w:eastAsia="Arial" w:hAnsi="Arial"/>
                <w:sz w:val="16"/>
                <w:szCs w:val="16"/>
                <w:color w:val="auto"/>
              </w:rPr>
              <w:t>3.A</w:t>
            </w:r>
          </w:p>
        </w:tc>
        <w:tc>
          <w:tcPr>
            <w:tcW w:w="540" w:type="dxa"/>
            <w:vAlign w:val="bottom"/>
          </w:tcPr>
          <w:p>
            <w:pPr>
              <w:spacing w:after="0"/>
              <w:rPr>
                <w:sz w:val="15"/>
                <w:szCs w:val="15"/>
                <w:color w:val="auto"/>
              </w:rPr>
            </w:pPr>
          </w:p>
        </w:tc>
        <w:tc>
          <w:tcPr>
            <w:tcW w:w="20" w:type="dxa"/>
            <w:vAlign w:val="bottom"/>
            <w:tcBorders>
              <w:bottom w:val="single" w:sz="8" w:color="0000EE"/>
            </w:tcBorders>
          </w:tcPr>
          <w:p>
            <w:pPr>
              <w:spacing w:after="0"/>
              <w:rPr>
                <w:sz w:val="15"/>
                <w:szCs w:val="15"/>
                <w:color w:val="auto"/>
              </w:rPr>
            </w:pPr>
          </w:p>
        </w:tc>
        <w:tc>
          <w:tcPr>
            <w:tcW w:w="5660" w:type="dxa"/>
            <w:vAlign w:val="bottom"/>
            <w:tcBorders>
              <w:top w:val="single" w:sz="8" w:color="auto"/>
              <w:bottom w:val="single" w:sz="8" w:color="0000EE"/>
            </w:tcBorders>
            <w:gridSpan w:val="24"/>
          </w:tcPr>
          <w:p>
            <w:pPr>
              <w:spacing w:after="0" w:line="182" w:lineRule="exact"/>
              <w:rPr>
                <w:rFonts w:ascii="Arial" w:cs="Arial" w:eastAsia="Arial" w:hAnsi="Arial"/>
                <w:sz w:val="18"/>
                <w:szCs w:val="18"/>
                <w:color w:val="0000EE"/>
                <w:w w:val="90"/>
              </w:rPr>
            </w:pPr>
            <w:hyperlink r:id="rId85">
              <w:r>
                <w:rPr>
                  <w:rFonts w:ascii="Arial" w:cs="Arial" w:eastAsia="Arial" w:hAnsi="Arial"/>
                  <w:sz w:val="18"/>
                  <w:szCs w:val="18"/>
                  <w:color w:val="0000EE"/>
                  <w:w w:val="90"/>
                </w:rPr>
                <w:t>Restated Certificate of Incorporation of Viad Corp, as amended through July 1,</w:t>
              </w:r>
            </w:hyperlink>
          </w:p>
        </w:tc>
        <w:tc>
          <w:tcPr>
            <w:tcW w:w="200" w:type="dxa"/>
            <w:vAlign w:val="bottom"/>
            <w:tcBorders>
              <w:top w:val="single" w:sz="8" w:color="auto"/>
            </w:tcBorders>
            <w:gridSpan w:val="3"/>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Borders>
              <w:top w:val="single" w:sz="8" w:color="auto"/>
            </w:tcBorders>
          </w:tcPr>
          <w:p>
            <w:pPr>
              <w:jc w:val="right"/>
              <w:spacing w:after="0" w:line="182" w:lineRule="exact"/>
              <w:rPr>
                <w:sz w:val="20"/>
                <w:szCs w:val="20"/>
                <w:color w:val="auto"/>
              </w:rPr>
            </w:pPr>
            <w:r>
              <w:rPr>
                <w:rFonts w:ascii="Arial" w:cs="Arial" w:eastAsia="Arial" w:hAnsi="Arial"/>
                <w:sz w:val="18"/>
                <w:szCs w:val="18"/>
                <w:color w:val="auto"/>
              </w:rPr>
              <w:t>10-Q</w:t>
            </w:r>
          </w:p>
        </w:tc>
        <w:tc>
          <w:tcPr>
            <w:tcW w:w="100" w:type="dxa"/>
            <w:vAlign w:val="bottom"/>
          </w:tcPr>
          <w:p>
            <w:pPr>
              <w:spacing w:after="0"/>
              <w:rPr>
                <w:sz w:val="15"/>
                <w:szCs w:val="15"/>
                <w:color w:val="auto"/>
              </w:rPr>
            </w:pPr>
          </w:p>
        </w:tc>
        <w:tc>
          <w:tcPr>
            <w:tcW w:w="1240" w:type="dxa"/>
            <w:vAlign w:val="bottom"/>
            <w:tcBorders>
              <w:top w:val="single" w:sz="8" w:color="auto"/>
            </w:tcBorders>
          </w:tcPr>
          <w:p>
            <w:pPr>
              <w:jc w:val="right"/>
              <w:spacing w:after="0" w:line="182" w:lineRule="exact"/>
              <w:rPr>
                <w:sz w:val="20"/>
                <w:szCs w:val="20"/>
                <w:color w:val="auto"/>
              </w:rPr>
            </w:pPr>
            <w:r>
              <w:rPr>
                <w:rFonts w:ascii="Arial" w:cs="Arial" w:eastAsia="Arial" w:hAnsi="Arial"/>
                <w:sz w:val="18"/>
                <w:szCs w:val="18"/>
                <w:color w:val="auto"/>
              </w:rPr>
              <w:t>6/30/2004</w:t>
            </w:r>
          </w:p>
        </w:tc>
        <w:tc>
          <w:tcPr>
            <w:tcW w:w="100" w:type="dxa"/>
            <w:vAlign w:val="bottom"/>
          </w:tcPr>
          <w:p>
            <w:pPr>
              <w:spacing w:after="0"/>
              <w:rPr>
                <w:sz w:val="15"/>
                <w:szCs w:val="15"/>
                <w:color w:val="auto"/>
              </w:rPr>
            </w:pPr>
          </w:p>
        </w:tc>
        <w:tc>
          <w:tcPr>
            <w:tcW w:w="620" w:type="dxa"/>
            <w:vAlign w:val="bottom"/>
            <w:tcBorders>
              <w:top w:val="single" w:sz="8" w:color="auto"/>
            </w:tcBorders>
          </w:tcPr>
          <w:p>
            <w:pPr>
              <w:jc w:val="right"/>
              <w:spacing w:after="0" w:line="182" w:lineRule="exact"/>
              <w:rPr>
                <w:sz w:val="20"/>
                <w:szCs w:val="20"/>
                <w:color w:val="auto"/>
              </w:rPr>
            </w:pPr>
            <w:r>
              <w:rPr>
                <w:rFonts w:ascii="Arial" w:cs="Arial" w:eastAsia="Arial" w:hAnsi="Arial"/>
                <w:sz w:val="18"/>
                <w:szCs w:val="18"/>
                <w:color w:val="auto"/>
              </w:rPr>
              <w:t>3.A</w:t>
            </w:r>
          </w:p>
        </w:tc>
        <w:tc>
          <w:tcPr>
            <w:tcW w:w="120" w:type="dxa"/>
            <w:vAlign w:val="bottom"/>
          </w:tcPr>
          <w:p>
            <w:pPr>
              <w:spacing w:after="0"/>
              <w:rPr>
                <w:sz w:val="15"/>
                <w:szCs w:val="15"/>
                <w:color w:val="auto"/>
              </w:rPr>
            </w:pPr>
          </w:p>
        </w:tc>
        <w:tc>
          <w:tcPr>
            <w:tcW w:w="140" w:type="dxa"/>
            <w:vAlign w:val="bottom"/>
            <w:tcBorders>
              <w:top w:val="single" w:sz="8" w:color="auto"/>
            </w:tcBorders>
          </w:tcPr>
          <w:p>
            <w:pPr>
              <w:spacing w:after="0"/>
              <w:rPr>
                <w:sz w:val="15"/>
                <w:szCs w:val="15"/>
                <w:color w:val="auto"/>
              </w:rPr>
            </w:pPr>
          </w:p>
        </w:tc>
        <w:tc>
          <w:tcPr>
            <w:tcW w:w="1080" w:type="dxa"/>
            <w:vAlign w:val="bottom"/>
            <w:tcBorders>
              <w:top w:val="single" w:sz="8" w:color="auto"/>
            </w:tcBorders>
          </w:tcPr>
          <w:p>
            <w:pPr>
              <w:jc w:val="right"/>
              <w:spacing w:after="0" w:line="182" w:lineRule="exact"/>
              <w:rPr>
                <w:sz w:val="20"/>
                <w:szCs w:val="20"/>
                <w:color w:val="auto"/>
              </w:rPr>
            </w:pPr>
            <w:r>
              <w:rPr>
                <w:rFonts w:ascii="Arial" w:cs="Arial" w:eastAsia="Arial" w:hAnsi="Arial"/>
                <w:sz w:val="18"/>
                <w:szCs w:val="18"/>
                <w:color w:val="auto"/>
              </w:rPr>
              <w:t>8/9/2004</w:t>
            </w: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95"/>
        </w:trPr>
        <w:tc>
          <w:tcPr>
            <w:tcW w:w="88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4220" w:type="dxa"/>
            <w:vAlign w:val="bottom"/>
            <w:tcBorders>
              <w:bottom w:val="single" w:sz="8" w:color="0000EE"/>
            </w:tcBorders>
            <w:gridSpan w:val="7"/>
          </w:tcPr>
          <w:p>
            <w:pPr>
              <w:spacing w:after="0" w:line="195" w:lineRule="exact"/>
              <w:rPr>
                <w:rFonts w:ascii="Arial" w:cs="Arial" w:eastAsia="Arial" w:hAnsi="Arial"/>
                <w:sz w:val="18"/>
                <w:szCs w:val="18"/>
                <w:color w:val="0000EE"/>
                <w:w w:val="91"/>
              </w:rPr>
            </w:pPr>
            <w:hyperlink r:id="rId85">
              <w:r>
                <w:rPr>
                  <w:rFonts w:ascii="Arial" w:cs="Arial" w:eastAsia="Arial" w:hAnsi="Arial"/>
                  <w:sz w:val="18"/>
                  <w:szCs w:val="18"/>
                  <w:color w:val="0000EE"/>
                  <w:w w:val="91"/>
                </w:rPr>
                <w:t>2004 (SEC File No. 001-11015; SEC Film No. 04961107).</w:t>
              </w:r>
            </w:hyperlink>
          </w:p>
        </w:tc>
        <w:tc>
          <w:tcPr>
            <w:tcW w:w="1760" w:type="dxa"/>
            <w:vAlign w:val="bottom"/>
            <w:gridSpan w:val="22"/>
          </w:tcPr>
          <w:p>
            <w:pPr>
              <w:spacing w:after="0"/>
              <w:rPr>
                <w:sz w:val="16"/>
                <w:szCs w:val="16"/>
                <w:color w:val="auto"/>
              </w:rPr>
            </w:pPr>
          </w:p>
        </w:tc>
        <w:tc>
          <w:tcPr>
            <w:tcW w:w="6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37"/>
        </w:trPr>
        <w:tc>
          <w:tcPr>
            <w:tcW w:w="880" w:type="dxa"/>
            <w:vAlign w:val="bottom"/>
          </w:tcPr>
          <w:p>
            <w:pPr>
              <w:spacing w:after="0"/>
              <w:rPr>
                <w:sz w:val="20"/>
                <w:szCs w:val="20"/>
                <w:color w:val="auto"/>
              </w:rPr>
            </w:pPr>
            <w:r>
              <w:rPr>
                <w:rFonts w:ascii="Arial" w:cs="Arial" w:eastAsia="Arial" w:hAnsi="Arial"/>
                <w:sz w:val="18"/>
                <w:szCs w:val="18"/>
                <w:color w:val="auto"/>
              </w:rPr>
              <w:t>3.B</w:t>
            </w:r>
          </w:p>
        </w:tc>
        <w:tc>
          <w:tcPr>
            <w:tcW w:w="540" w:type="dxa"/>
            <w:vAlign w:val="bottom"/>
          </w:tcPr>
          <w:p>
            <w:pPr>
              <w:spacing w:after="0"/>
              <w:rPr>
                <w:sz w:val="24"/>
                <w:szCs w:val="24"/>
                <w:color w:val="auto"/>
              </w:rPr>
            </w:pPr>
          </w:p>
        </w:tc>
        <w:tc>
          <w:tcPr>
            <w:tcW w:w="4460" w:type="dxa"/>
            <w:vAlign w:val="bottom"/>
            <w:tcBorders>
              <w:bottom w:val="single" w:sz="8" w:color="0000EE"/>
            </w:tcBorders>
            <w:gridSpan w:val="9"/>
          </w:tcPr>
          <w:p>
            <w:pPr>
              <w:spacing w:after="0"/>
              <w:rPr>
                <w:rFonts w:ascii="Arial" w:cs="Arial" w:eastAsia="Arial" w:hAnsi="Arial"/>
                <w:sz w:val="18"/>
                <w:szCs w:val="18"/>
                <w:color w:val="0000EE"/>
                <w:w w:val="89"/>
              </w:rPr>
            </w:pPr>
            <w:hyperlink r:id="rId86">
              <w:r>
                <w:rPr>
                  <w:rFonts w:ascii="Arial" w:cs="Arial" w:eastAsia="Arial" w:hAnsi="Arial"/>
                  <w:sz w:val="18"/>
                  <w:szCs w:val="18"/>
                  <w:color w:val="0000EE"/>
                  <w:w w:val="89"/>
                </w:rPr>
                <w:t>Bylaws of Viad Corp, as amended through December 5, 2013.</w:t>
              </w:r>
            </w:hyperlink>
          </w:p>
        </w:tc>
        <w:tc>
          <w:tcPr>
            <w:tcW w:w="1520" w:type="dxa"/>
            <w:vAlign w:val="bottom"/>
            <w:gridSpan w:val="20"/>
          </w:tcPr>
          <w:p>
            <w:pPr>
              <w:spacing w:after="0"/>
              <w:rPr>
                <w:sz w:val="24"/>
                <w:szCs w:val="24"/>
                <w:color w:val="auto"/>
              </w:rPr>
            </w:pPr>
          </w:p>
        </w:tc>
        <w:tc>
          <w:tcPr>
            <w:tcW w:w="720" w:type="dxa"/>
            <w:vAlign w:val="bottom"/>
            <w:gridSpan w:val="2"/>
          </w:tcPr>
          <w:p>
            <w:pPr>
              <w:jc w:val="right"/>
              <w:ind w:right="120"/>
              <w:spacing w:after="0"/>
              <w:rPr>
                <w:sz w:val="20"/>
                <w:szCs w:val="20"/>
                <w:color w:val="auto"/>
              </w:rPr>
            </w:pPr>
            <w:r>
              <w:rPr>
                <w:rFonts w:ascii="Arial" w:cs="Arial" w:eastAsia="Arial" w:hAnsi="Arial"/>
                <w:sz w:val="18"/>
                <w:szCs w:val="18"/>
                <w:color w:val="auto"/>
              </w:rPr>
              <w:t>8-K</w:t>
            </w:r>
          </w:p>
        </w:tc>
        <w:tc>
          <w:tcPr>
            <w:tcW w:w="1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3</w:t>
            </w: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12/9/2013</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7"/>
        </w:trPr>
        <w:tc>
          <w:tcPr>
            <w:tcW w:w="880" w:type="dxa"/>
            <w:vAlign w:val="bottom"/>
          </w:tcPr>
          <w:p>
            <w:pPr>
              <w:spacing w:after="0"/>
              <w:rPr>
                <w:sz w:val="20"/>
                <w:szCs w:val="20"/>
                <w:color w:val="auto"/>
              </w:rPr>
            </w:pPr>
            <w:r>
              <w:rPr>
                <w:rFonts w:ascii="Arial" w:cs="Arial" w:eastAsia="Arial" w:hAnsi="Arial"/>
                <w:sz w:val="18"/>
                <w:szCs w:val="18"/>
                <w:color w:val="auto"/>
              </w:rPr>
              <w:t>4.A1</w:t>
            </w:r>
          </w:p>
        </w:tc>
        <w:tc>
          <w:tcPr>
            <w:tcW w:w="540" w:type="dxa"/>
            <w:vAlign w:val="bottom"/>
          </w:tcPr>
          <w:p>
            <w:pPr>
              <w:spacing w:after="0"/>
              <w:rPr>
                <w:sz w:val="24"/>
                <w:szCs w:val="24"/>
                <w:color w:val="auto"/>
              </w:rPr>
            </w:pPr>
          </w:p>
        </w:tc>
        <w:tc>
          <w:tcPr>
            <w:tcW w:w="5800" w:type="dxa"/>
            <w:vAlign w:val="bottom"/>
            <w:tcBorders>
              <w:bottom w:val="single" w:sz="8" w:color="0000EE"/>
            </w:tcBorders>
            <w:gridSpan w:val="27"/>
          </w:tcPr>
          <w:p>
            <w:pPr>
              <w:spacing w:after="0"/>
              <w:rPr>
                <w:rFonts w:ascii="Arial" w:cs="Arial" w:eastAsia="Arial" w:hAnsi="Arial"/>
                <w:sz w:val="18"/>
                <w:szCs w:val="18"/>
                <w:color w:val="0000EE"/>
                <w:w w:val="89"/>
              </w:rPr>
            </w:pPr>
            <w:hyperlink r:id="rId87">
              <w:r>
                <w:rPr>
                  <w:rFonts w:ascii="Arial" w:cs="Arial" w:eastAsia="Arial" w:hAnsi="Arial"/>
                  <w:sz w:val="18"/>
                  <w:szCs w:val="18"/>
                  <w:u w:val="single" w:color="auto"/>
                  <w:color w:val="0000EE"/>
                  <w:w w:val="89"/>
                </w:rPr>
                <w:t>$</w:t>
              </w:r>
              <w:r>
                <w:rPr>
                  <w:rFonts w:ascii="Arial" w:cs="Arial" w:eastAsia="Arial" w:hAnsi="Arial"/>
                  <w:sz w:val="18"/>
                  <w:szCs w:val="18"/>
                  <w:color w:val="0000EE"/>
                  <w:w w:val="89"/>
                </w:rPr>
                <w:t>300,000,000 Amended and Restated Credit Agreement, Amended and Restated</w:t>
              </w:r>
            </w:hyperlink>
          </w:p>
        </w:tc>
        <w:tc>
          <w:tcPr>
            <w:tcW w:w="180" w:type="dxa"/>
            <w:vAlign w:val="bottom"/>
            <w:gridSpan w:val="2"/>
          </w:tcPr>
          <w:p>
            <w:pPr>
              <w:spacing w:after="0"/>
              <w:rPr>
                <w:sz w:val="24"/>
                <w:szCs w:val="24"/>
                <w:color w:val="auto"/>
              </w:rPr>
            </w:pPr>
          </w:p>
        </w:tc>
        <w:tc>
          <w:tcPr>
            <w:tcW w:w="720" w:type="dxa"/>
            <w:vAlign w:val="bottom"/>
            <w:gridSpan w:val="2"/>
          </w:tcPr>
          <w:p>
            <w:pPr>
              <w:jc w:val="right"/>
              <w:ind w:right="120"/>
              <w:spacing w:after="0"/>
              <w:rPr>
                <w:sz w:val="20"/>
                <w:szCs w:val="20"/>
                <w:color w:val="auto"/>
              </w:rPr>
            </w:pPr>
            <w:r>
              <w:rPr>
                <w:rFonts w:ascii="Arial" w:cs="Arial" w:eastAsia="Arial" w:hAnsi="Arial"/>
                <w:sz w:val="18"/>
                <w:szCs w:val="18"/>
                <w:color w:val="auto"/>
              </w:rPr>
              <w:t>8-K</w:t>
            </w:r>
          </w:p>
        </w:tc>
        <w:tc>
          <w:tcPr>
            <w:tcW w:w="1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4</w:t>
            </w: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12/23/2014</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95"/>
        </w:trPr>
        <w:tc>
          <w:tcPr>
            <w:tcW w:w="88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5080" w:type="dxa"/>
            <w:vAlign w:val="bottom"/>
            <w:tcBorders>
              <w:bottom w:val="single" w:sz="8" w:color="0000EE"/>
            </w:tcBorders>
            <w:gridSpan w:val="11"/>
          </w:tcPr>
          <w:p>
            <w:pPr>
              <w:spacing w:after="0" w:line="195" w:lineRule="exact"/>
              <w:rPr>
                <w:rFonts w:ascii="Arial" w:cs="Arial" w:eastAsia="Arial" w:hAnsi="Arial"/>
                <w:sz w:val="18"/>
                <w:szCs w:val="18"/>
                <w:color w:val="0000EE"/>
                <w:w w:val="88"/>
              </w:rPr>
            </w:pPr>
            <w:hyperlink r:id="rId87">
              <w:r>
                <w:rPr>
                  <w:rFonts w:ascii="Arial" w:cs="Arial" w:eastAsia="Arial" w:hAnsi="Arial"/>
                  <w:sz w:val="18"/>
                  <w:szCs w:val="18"/>
                  <w:color w:val="0000EE"/>
                  <w:w w:val="88"/>
                </w:rPr>
                <w:t>Pledge and Security Agreement, Guaranty, and Amended and Restated</w:t>
              </w:r>
            </w:hyperlink>
          </w:p>
        </w:tc>
        <w:tc>
          <w:tcPr>
            <w:tcW w:w="900" w:type="dxa"/>
            <w:vAlign w:val="bottom"/>
            <w:gridSpan w:val="18"/>
          </w:tcPr>
          <w:p>
            <w:pPr>
              <w:spacing w:after="0"/>
              <w:rPr>
                <w:sz w:val="16"/>
                <w:szCs w:val="16"/>
                <w:color w:val="auto"/>
              </w:rPr>
            </w:pPr>
          </w:p>
        </w:tc>
        <w:tc>
          <w:tcPr>
            <w:tcW w:w="6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5"/>
        </w:trPr>
        <w:tc>
          <w:tcPr>
            <w:tcW w:w="88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5980" w:type="dxa"/>
            <w:vAlign w:val="bottom"/>
            <w:gridSpan w:val="29"/>
          </w:tcPr>
          <w:p>
            <w:pPr>
              <w:spacing w:after="0" w:line="195" w:lineRule="exact"/>
              <w:rPr>
                <w:rFonts w:ascii="Arial" w:cs="Arial" w:eastAsia="Arial" w:hAnsi="Arial"/>
                <w:sz w:val="18"/>
                <w:szCs w:val="18"/>
                <w:color w:val="0000EE"/>
                <w:w w:val="96"/>
              </w:rPr>
            </w:pPr>
            <w:hyperlink r:id="rId87">
              <w:r>
                <w:rPr>
                  <w:rFonts w:ascii="Arial" w:cs="Arial" w:eastAsia="Arial" w:hAnsi="Arial"/>
                  <w:sz w:val="18"/>
                  <w:szCs w:val="18"/>
                  <w:color w:val="0000EE"/>
                  <w:w w:val="96"/>
                </w:rPr>
                <w:t>Subsidiary Pledge and Security Agreement, by and among the Registrant, the</w:t>
              </w:r>
            </w:hyperlink>
          </w:p>
        </w:tc>
        <w:tc>
          <w:tcPr>
            <w:tcW w:w="6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5"/>
        </w:trPr>
        <w:tc>
          <w:tcPr>
            <w:tcW w:w="88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4800" w:type="dxa"/>
            <w:vAlign w:val="bottom"/>
            <w:tcBorders>
              <w:top w:val="single" w:sz="8" w:color="0000EE"/>
              <w:bottom w:val="single" w:sz="8" w:color="0000EE"/>
            </w:tcBorders>
            <w:gridSpan w:val="10"/>
          </w:tcPr>
          <w:p>
            <w:pPr>
              <w:spacing w:after="0" w:line="195" w:lineRule="exact"/>
              <w:rPr>
                <w:rFonts w:ascii="Arial" w:cs="Arial" w:eastAsia="Arial" w:hAnsi="Arial"/>
                <w:sz w:val="18"/>
                <w:szCs w:val="18"/>
                <w:color w:val="0000EE"/>
                <w:w w:val="89"/>
              </w:rPr>
            </w:pPr>
            <w:hyperlink r:id="rId87">
              <w:r>
                <w:rPr>
                  <w:rFonts w:ascii="Arial" w:cs="Arial" w:eastAsia="Arial" w:hAnsi="Arial"/>
                  <w:sz w:val="18"/>
                  <w:szCs w:val="18"/>
                  <w:color w:val="0000EE"/>
                  <w:w w:val="89"/>
                </w:rPr>
                <w:t>initial lenders named therein, and JP Morgan Chase Bank, N.A., as</w:t>
              </w:r>
            </w:hyperlink>
          </w:p>
        </w:tc>
        <w:tc>
          <w:tcPr>
            <w:tcW w:w="740" w:type="dxa"/>
            <w:vAlign w:val="bottom"/>
            <w:tcBorders>
              <w:top w:val="single" w:sz="8" w:color="0000EE"/>
            </w:tcBorders>
            <w:gridSpan w:val="9"/>
          </w:tcPr>
          <w:p>
            <w:pPr>
              <w:spacing w:after="0"/>
              <w:rPr>
                <w:sz w:val="16"/>
                <w:szCs w:val="16"/>
                <w:color w:val="auto"/>
              </w:rPr>
            </w:pPr>
          </w:p>
        </w:tc>
        <w:tc>
          <w:tcPr>
            <w:tcW w:w="440" w:type="dxa"/>
            <w:vAlign w:val="bottom"/>
            <w:gridSpan w:val="10"/>
          </w:tcPr>
          <w:p>
            <w:pPr>
              <w:spacing w:after="0"/>
              <w:rPr>
                <w:sz w:val="16"/>
                <w:szCs w:val="16"/>
                <w:color w:val="auto"/>
              </w:rPr>
            </w:pPr>
          </w:p>
        </w:tc>
        <w:tc>
          <w:tcPr>
            <w:tcW w:w="6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5"/>
        </w:trPr>
        <w:tc>
          <w:tcPr>
            <w:tcW w:w="88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3840" w:type="dxa"/>
            <w:vAlign w:val="bottom"/>
            <w:tcBorders>
              <w:bottom w:val="single" w:sz="8" w:color="0000EE"/>
            </w:tcBorders>
            <w:gridSpan w:val="5"/>
          </w:tcPr>
          <w:p>
            <w:pPr>
              <w:spacing w:after="0" w:line="195" w:lineRule="exact"/>
              <w:rPr>
                <w:rFonts w:ascii="Arial" w:cs="Arial" w:eastAsia="Arial" w:hAnsi="Arial"/>
                <w:sz w:val="18"/>
                <w:szCs w:val="18"/>
                <w:color w:val="0000EE"/>
                <w:w w:val="89"/>
              </w:rPr>
            </w:pPr>
            <w:hyperlink r:id="rId87">
              <w:r>
                <w:rPr>
                  <w:rFonts w:ascii="Arial" w:cs="Arial" w:eastAsia="Arial" w:hAnsi="Arial"/>
                  <w:sz w:val="18"/>
                  <w:szCs w:val="18"/>
                  <w:color w:val="0000EE"/>
                  <w:w w:val="89"/>
                </w:rPr>
                <w:t>administrative agent, dated as of December 22, 2014.</w:t>
              </w:r>
            </w:hyperlink>
          </w:p>
        </w:tc>
        <w:tc>
          <w:tcPr>
            <w:tcW w:w="2140" w:type="dxa"/>
            <w:vAlign w:val="bottom"/>
            <w:gridSpan w:val="24"/>
          </w:tcPr>
          <w:p>
            <w:pPr>
              <w:spacing w:after="0"/>
              <w:rPr>
                <w:sz w:val="16"/>
                <w:szCs w:val="16"/>
                <w:color w:val="auto"/>
              </w:rPr>
            </w:pPr>
          </w:p>
        </w:tc>
        <w:tc>
          <w:tcPr>
            <w:tcW w:w="6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37"/>
        </w:trPr>
        <w:tc>
          <w:tcPr>
            <w:tcW w:w="880" w:type="dxa"/>
            <w:vAlign w:val="bottom"/>
          </w:tcPr>
          <w:p>
            <w:pPr>
              <w:spacing w:after="0"/>
              <w:rPr>
                <w:sz w:val="20"/>
                <w:szCs w:val="20"/>
                <w:color w:val="auto"/>
              </w:rPr>
            </w:pPr>
            <w:r>
              <w:rPr>
                <w:rFonts w:ascii="Arial" w:cs="Arial" w:eastAsia="Arial" w:hAnsi="Arial"/>
                <w:sz w:val="18"/>
                <w:szCs w:val="18"/>
                <w:color w:val="auto"/>
              </w:rPr>
              <w:t>4.A2</w:t>
            </w:r>
          </w:p>
        </w:tc>
        <w:tc>
          <w:tcPr>
            <w:tcW w:w="540" w:type="dxa"/>
            <w:vAlign w:val="bottom"/>
          </w:tcPr>
          <w:p>
            <w:pPr>
              <w:spacing w:after="0"/>
              <w:rPr>
                <w:sz w:val="24"/>
                <w:szCs w:val="24"/>
                <w:color w:val="auto"/>
              </w:rPr>
            </w:pPr>
          </w:p>
        </w:tc>
        <w:tc>
          <w:tcPr>
            <w:tcW w:w="5320" w:type="dxa"/>
            <w:vAlign w:val="bottom"/>
            <w:tcBorders>
              <w:bottom w:val="single" w:sz="8" w:color="0000EE"/>
            </w:tcBorders>
            <w:gridSpan w:val="13"/>
          </w:tcPr>
          <w:p>
            <w:pPr>
              <w:spacing w:after="0"/>
              <w:rPr>
                <w:rFonts w:ascii="Arial" w:cs="Arial" w:eastAsia="Arial" w:hAnsi="Arial"/>
                <w:sz w:val="18"/>
                <w:szCs w:val="18"/>
                <w:color w:val="0000EE"/>
                <w:w w:val="90"/>
              </w:rPr>
            </w:pPr>
            <w:hyperlink r:id="rId88">
              <w:r>
                <w:rPr>
                  <w:rFonts w:ascii="Arial" w:cs="Arial" w:eastAsia="Arial" w:hAnsi="Arial"/>
                  <w:sz w:val="18"/>
                  <w:szCs w:val="18"/>
                  <w:color w:val="0000EE"/>
                  <w:w w:val="90"/>
                </w:rPr>
                <w:t xml:space="preserve">Amendment No. 1, effective as of February 24, 2016, to the </w:t>
              </w:r>
              <w:r>
                <w:rPr>
                  <w:rFonts w:ascii="Arial" w:cs="Arial" w:eastAsia="Arial" w:hAnsi="Arial"/>
                  <w:sz w:val="18"/>
                  <w:szCs w:val="18"/>
                  <w:u w:val="single" w:color="auto"/>
                  <w:color w:val="0000EE"/>
                  <w:w w:val="90"/>
                </w:rPr>
                <w:t>$</w:t>
              </w:r>
              <w:r>
                <w:rPr>
                  <w:rFonts w:ascii="Arial" w:cs="Arial" w:eastAsia="Arial" w:hAnsi="Arial"/>
                  <w:sz w:val="18"/>
                  <w:szCs w:val="18"/>
                  <w:color w:val="0000EE"/>
                  <w:w w:val="90"/>
                </w:rPr>
                <w:t>300,000,000</w:t>
              </w:r>
            </w:hyperlink>
          </w:p>
        </w:tc>
        <w:tc>
          <w:tcPr>
            <w:tcW w:w="660" w:type="dxa"/>
            <w:vAlign w:val="bottom"/>
            <w:gridSpan w:val="16"/>
          </w:tcPr>
          <w:p>
            <w:pPr>
              <w:spacing w:after="0"/>
              <w:rPr>
                <w:sz w:val="24"/>
                <w:szCs w:val="24"/>
                <w:color w:val="auto"/>
              </w:rPr>
            </w:pPr>
          </w:p>
        </w:tc>
        <w:tc>
          <w:tcPr>
            <w:tcW w:w="720" w:type="dxa"/>
            <w:vAlign w:val="bottom"/>
            <w:gridSpan w:val="2"/>
          </w:tcPr>
          <w:p>
            <w:pPr>
              <w:jc w:val="right"/>
              <w:ind w:right="120"/>
              <w:spacing w:after="0"/>
              <w:rPr>
                <w:sz w:val="20"/>
                <w:szCs w:val="20"/>
                <w:color w:val="auto"/>
              </w:rPr>
            </w:pPr>
            <w:r>
              <w:rPr>
                <w:rFonts w:ascii="Arial" w:cs="Arial" w:eastAsia="Arial" w:hAnsi="Arial"/>
                <w:sz w:val="18"/>
                <w:szCs w:val="18"/>
                <w:color w:val="auto"/>
              </w:rPr>
              <w:t>8-K</w:t>
            </w:r>
          </w:p>
        </w:tc>
        <w:tc>
          <w:tcPr>
            <w:tcW w:w="1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4</w:t>
            </w: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3/1/2016</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95"/>
        </w:trPr>
        <w:tc>
          <w:tcPr>
            <w:tcW w:w="88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5460" w:type="dxa"/>
            <w:vAlign w:val="bottom"/>
            <w:tcBorders>
              <w:bottom w:val="single" w:sz="8" w:color="0000EE"/>
            </w:tcBorders>
            <w:gridSpan w:val="18"/>
          </w:tcPr>
          <w:p>
            <w:pPr>
              <w:spacing w:after="0" w:line="195" w:lineRule="exact"/>
              <w:rPr>
                <w:rFonts w:ascii="Arial" w:cs="Arial" w:eastAsia="Arial" w:hAnsi="Arial"/>
                <w:sz w:val="18"/>
                <w:szCs w:val="18"/>
                <w:color w:val="0000EE"/>
                <w:w w:val="88"/>
              </w:rPr>
            </w:pPr>
            <w:hyperlink r:id="rId88">
              <w:r>
                <w:rPr>
                  <w:rFonts w:ascii="Arial" w:cs="Arial" w:eastAsia="Arial" w:hAnsi="Arial"/>
                  <w:sz w:val="18"/>
                  <w:szCs w:val="18"/>
                  <w:color w:val="0000EE"/>
                  <w:w w:val="88"/>
                </w:rPr>
                <w:t>Amended and Restated Credit Agreement, by and among the Registrant, the</w:t>
              </w:r>
            </w:hyperlink>
          </w:p>
        </w:tc>
        <w:tc>
          <w:tcPr>
            <w:tcW w:w="520" w:type="dxa"/>
            <w:vAlign w:val="bottom"/>
            <w:gridSpan w:val="11"/>
          </w:tcPr>
          <w:p>
            <w:pPr>
              <w:spacing w:after="0"/>
              <w:rPr>
                <w:sz w:val="16"/>
                <w:szCs w:val="16"/>
                <w:color w:val="auto"/>
              </w:rPr>
            </w:pPr>
          </w:p>
        </w:tc>
        <w:tc>
          <w:tcPr>
            <w:tcW w:w="6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5"/>
        </w:trPr>
        <w:tc>
          <w:tcPr>
            <w:tcW w:w="88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4800" w:type="dxa"/>
            <w:vAlign w:val="bottom"/>
            <w:tcBorders>
              <w:bottom w:val="single" w:sz="8" w:color="0000EE"/>
            </w:tcBorders>
            <w:gridSpan w:val="10"/>
          </w:tcPr>
          <w:p>
            <w:pPr>
              <w:spacing w:after="0" w:line="195" w:lineRule="exact"/>
              <w:rPr>
                <w:rFonts w:ascii="Arial" w:cs="Arial" w:eastAsia="Arial" w:hAnsi="Arial"/>
                <w:sz w:val="18"/>
                <w:szCs w:val="18"/>
                <w:color w:val="0000EE"/>
                <w:w w:val="89"/>
              </w:rPr>
            </w:pPr>
            <w:hyperlink r:id="rId88">
              <w:r>
                <w:rPr>
                  <w:rFonts w:ascii="Arial" w:cs="Arial" w:eastAsia="Arial" w:hAnsi="Arial"/>
                  <w:sz w:val="18"/>
                  <w:szCs w:val="18"/>
                  <w:color w:val="0000EE"/>
                  <w:w w:val="89"/>
                </w:rPr>
                <w:t>initial lenders named therein, and JP Morgan Chase Bank, N.A., as</w:t>
              </w:r>
            </w:hyperlink>
          </w:p>
        </w:tc>
        <w:tc>
          <w:tcPr>
            <w:tcW w:w="1180" w:type="dxa"/>
            <w:vAlign w:val="bottom"/>
            <w:gridSpan w:val="19"/>
          </w:tcPr>
          <w:p>
            <w:pPr>
              <w:spacing w:after="0"/>
              <w:rPr>
                <w:sz w:val="16"/>
                <w:szCs w:val="16"/>
                <w:color w:val="auto"/>
              </w:rPr>
            </w:pPr>
          </w:p>
        </w:tc>
        <w:tc>
          <w:tcPr>
            <w:tcW w:w="6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5"/>
        </w:trPr>
        <w:tc>
          <w:tcPr>
            <w:tcW w:w="88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3820" w:type="dxa"/>
            <w:vAlign w:val="bottom"/>
            <w:tcBorders>
              <w:bottom w:val="single" w:sz="8" w:color="0000EE"/>
            </w:tcBorders>
            <w:gridSpan w:val="4"/>
          </w:tcPr>
          <w:p>
            <w:pPr>
              <w:spacing w:after="0" w:line="195" w:lineRule="exact"/>
              <w:rPr>
                <w:rFonts w:ascii="Arial" w:cs="Arial" w:eastAsia="Arial" w:hAnsi="Arial"/>
                <w:sz w:val="18"/>
                <w:szCs w:val="18"/>
                <w:color w:val="0000EE"/>
                <w:w w:val="88"/>
              </w:rPr>
            </w:pPr>
            <w:hyperlink r:id="rId88">
              <w:r>
                <w:rPr>
                  <w:rFonts w:ascii="Arial" w:cs="Arial" w:eastAsia="Arial" w:hAnsi="Arial"/>
                  <w:sz w:val="18"/>
                  <w:szCs w:val="18"/>
                  <w:color w:val="0000EE"/>
                  <w:w w:val="88"/>
                </w:rPr>
                <w:t>administrative agent, dated as of December 22, 2014.</w:t>
              </w:r>
            </w:hyperlink>
          </w:p>
        </w:tc>
        <w:tc>
          <w:tcPr>
            <w:tcW w:w="2160" w:type="dxa"/>
            <w:vAlign w:val="bottom"/>
            <w:gridSpan w:val="25"/>
          </w:tcPr>
          <w:p>
            <w:pPr>
              <w:spacing w:after="0"/>
              <w:rPr>
                <w:sz w:val="16"/>
                <w:szCs w:val="16"/>
                <w:color w:val="auto"/>
              </w:rPr>
            </w:pPr>
          </w:p>
        </w:tc>
        <w:tc>
          <w:tcPr>
            <w:tcW w:w="6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37"/>
        </w:trPr>
        <w:tc>
          <w:tcPr>
            <w:tcW w:w="880" w:type="dxa"/>
            <w:vAlign w:val="bottom"/>
          </w:tcPr>
          <w:p>
            <w:pPr>
              <w:spacing w:after="0"/>
              <w:rPr>
                <w:sz w:val="20"/>
                <w:szCs w:val="20"/>
                <w:color w:val="auto"/>
              </w:rPr>
            </w:pPr>
            <w:r>
              <w:rPr>
                <w:rFonts w:ascii="Arial" w:cs="Arial" w:eastAsia="Arial" w:hAnsi="Arial"/>
                <w:sz w:val="18"/>
                <w:szCs w:val="18"/>
                <w:color w:val="auto"/>
              </w:rPr>
              <w:t>4.A3</w:t>
            </w:r>
          </w:p>
        </w:tc>
        <w:tc>
          <w:tcPr>
            <w:tcW w:w="540" w:type="dxa"/>
            <w:vAlign w:val="bottom"/>
          </w:tcPr>
          <w:p>
            <w:pPr>
              <w:spacing w:after="0"/>
              <w:rPr>
                <w:sz w:val="24"/>
                <w:szCs w:val="24"/>
                <w:color w:val="auto"/>
              </w:rPr>
            </w:pPr>
          </w:p>
        </w:tc>
        <w:tc>
          <w:tcPr>
            <w:tcW w:w="5980" w:type="dxa"/>
            <w:vAlign w:val="bottom"/>
            <w:gridSpan w:val="29"/>
          </w:tcPr>
          <w:p>
            <w:pPr>
              <w:spacing w:after="0"/>
              <w:rPr>
                <w:rFonts w:ascii="Arial" w:cs="Arial" w:eastAsia="Arial" w:hAnsi="Arial"/>
                <w:sz w:val="18"/>
                <w:szCs w:val="18"/>
                <w:color w:val="0000EE"/>
                <w:w w:val="96"/>
              </w:rPr>
            </w:pPr>
            <w:hyperlink r:id="rId89">
              <w:r>
                <w:rPr>
                  <w:rFonts w:ascii="Arial" w:cs="Arial" w:eastAsia="Arial" w:hAnsi="Arial"/>
                  <w:sz w:val="18"/>
                  <w:szCs w:val="18"/>
                  <w:color w:val="0000EE"/>
                  <w:w w:val="96"/>
                </w:rPr>
                <w:t>Joinder to Guaranty, dated as of August 31, 2016, by and among CIRI Alaska</w:t>
              </w:r>
            </w:hyperlink>
          </w:p>
        </w:tc>
        <w:tc>
          <w:tcPr>
            <w:tcW w:w="720" w:type="dxa"/>
            <w:vAlign w:val="bottom"/>
            <w:gridSpan w:val="2"/>
          </w:tcPr>
          <w:p>
            <w:pPr>
              <w:jc w:val="right"/>
              <w:ind w:right="120"/>
              <w:spacing w:after="0"/>
              <w:rPr>
                <w:sz w:val="20"/>
                <w:szCs w:val="20"/>
                <w:color w:val="auto"/>
              </w:rPr>
            </w:pPr>
            <w:r>
              <w:rPr>
                <w:rFonts w:ascii="Arial" w:cs="Arial" w:eastAsia="Arial" w:hAnsi="Arial"/>
                <w:sz w:val="18"/>
                <w:szCs w:val="18"/>
                <w:color w:val="auto"/>
              </w:rPr>
              <w:t>8-K</w:t>
            </w:r>
          </w:p>
        </w:tc>
        <w:tc>
          <w:tcPr>
            <w:tcW w:w="1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80" w:type="dxa"/>
            <w:vAlign w:val="bottom"/>
            <w:gridSpan w:val="3"/>
          </w:tcPr>
          <w:p>
            <w:pPr>
              <w:jc w:val="right"/>
              <w:ind w:right="260"/>
              <w:spacing w:after="0"/>
              <w:rPr>
                <w:sz w:val="20"/>
                <w:szCs w:val="20"/>
                <w:color w:val="auto"/>
              </w:rPr>
            </w:pPr>
            <w:r>
              <w:rPr>
                <w:rFonts w:ascii="Arial" w:cs="Arial" w:eastAsia="Arial" w:hAnsi="Arial"/>
                <w:sz w:val="18"/>
                <w:szCs w:val="18"/>
                <w:color w:val="auto"/>
              </w:rPr>
              <w:t>4.A</w:t>
            </w:r>
          </w:p>
        </w:tc>
        <w:tc>
          <w:tcPr>
            <w:tcW w:w="1080" w:type="dxa"/>
            <w:vAlign w:val="bottom"/>
          </w:tcPr>
          <w:p>
            <w:pPr>
              <w:jc w:val="right"/>
              <w:spacing w:after="0"/>
              <w:rPr>
                <w:sz w:val="20"/>
                <w:szCs w:val="20"/>
                <w:color w:val="auto"/>
              </w:rPr>
            </w:pPr>
            <w:r>
              <w:rPr>
                <w:rFonts w:ascii="Arial" w:cs="Arial" w:eastAsia="Arial" w:hAnsi="Arial"/>
                <w:sz w:val="18"/>
                <w:szCs w:val="18"/>
                <w:color w:val="auto"/>
              </w:rPr>
              <w:t>9/2/2016</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
        </w:trPr>
        <w:tc>
          <w:tcPr>
            <w:tcW w:w="88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060" w:type="dxa"/>
            <w:vAlign w:val="bottom"/>
            <w:gridSpan w:val="2"/>
            <w:shd w:val="clear" w:color="auto" w:fill="0000EE"/>
          </w:tcPr>
          <w:p>
            <w:pPr>
              <w:spacing w:after="0" w:line="20" w:lineRule="exact"/>
              <w:rPr>
                <w:sz w:val="1"/>
                <w:szCs w:val="1"/>
                <w:color w:val="auto"/>
              </w:rPr>
            </w:pPr>
          </w:p>
        </w:tc>
        <w:tc>
          <w:tcPr>
            <w:tcW w:w="1220" w:type="dxa"/>
            <w:vAlign w:val="bottom"/>
            <w:shd w:val="clear" w:color="auto" w:fill="0000EE"/>
          </w:tcPr>
          <w:p>
            <w:pPr>
              <w:spacing w:after="0" w:line="20" w:lineRule="exact"/>
              <w:rPr>
                <w:sz w:val="1"/>
                <w:szCs w:val="1"/>
                <w:color w:val="auto"/>
              </w:rPr>
            </w:pPr>
          </w:p>
        </w:tc>
        <w:tc>
          <w:tcPr>
            <w:tcW w:w="1800" w:type="dxa"/>
            <w:vAlign w:val="bottom"/>
            <w:gridSpan w:val="3"/>
            <w:shd w:val="clear" w:color="auto" w:fill="0000EE"/>
          </w:tcPr>
          <w:p>
            <w:pPr>
              <w:spacing w:after="0" w:line="20" w:lineRule="exact"/>
              <w:rPr>
                <w:sz w:val="1"/>
                <w:szCs w:val="1"/>
                <w:color w:val="auto"/>
              </w:rPr>
            </w:pPr>
          </w:p>
        </w:tc>
        <w:tc>
          <w:tcPr>
            <w:tcW w:w="200" w:type="dxa"/>
            <w:vAlign w:val="bottom"/>
            <w:gridSpan w:val="2"/>
            <w:shd w:val="clear" w:color="auto" w:fill="0000EE"/>
          </w:tcPr>
          <w:p>
            <w:pPr>
              <w:spacing w:after="0" w:line="20" w:lineRule="exact"/>
              <w:rPr>
                <w:sz w:val="1"/>
                <w:szCs w:val="1"/>
                <w:color w:val="auto"/>
              </w:rPr>
            </w:pPr>
          </w:p>
        </w:tc>
        <w:tc>
          <w:tcPr>
            <w:tcW w:w="920" w:type="dxa"/>
            <w:vAlign w:val="bottom"/>
            <w:gridSpan w:val="4"/>
            <w:shd w:val="clear" w:color="auto" w:fill="0000EE"/>
          </w:tcPr>
          <w:p>
            <w:pPr>
              <w:spacing w:after="0" w:line="20" w:lineRule="exact"/>
              <w:rPr>
                <w:sz w:val="1"/>
                <w:szCs w:val="1"/>
                <w:color w:val="auto"/>
              </w:rPr>
            </w:pPr>
          </w:p>
        </w:tc>
        <w:tc>
          <w:tcPr>
            <w:tcW w:w="140" w:type="dxa"/>
            <w:vAlign w:val="bottom"/>
            <w:gridSpan w:val="2"/>
            <w:shd w:val="clear" w:color="auto" w:fill="0000EE"/>
          </w:tcPr>
          <w:p>
            <w:pPr>
              <w:spacing w:after="0" w:line="20" w:lineRule="exact"/>
              <w:rPr>
                <w:sz w:val="1"/>
                <w:szCs w:val="1"/>
                <w:color w:val="auto"/>
              </w:rPr>
            </w:pPr>
          </w:p>
        </w:tc>
        <w:tc>
          <w:tcPr>
            <w:tcW w:w="6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00" w:type="dxa"/>
            <w:vAlign w:val="bottom"/>
            <w:gridSpan w:val="2"/>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gridSpan w:val="2"/>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5"/>
        </w:trPr>
        <w:tc>
          <w:tcPr>
            <w:tcW w:w="88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5980" w:type="dxa"/>
            <w:vAlign w:val="bottom"/>
            <w:gridSpan w:val="29"/>
          </w:tcPr>
          <w:p>
            <w:pPr>
              <w:spacing w:after="0" w:line="195" w:lineRule="exact"/>
              <w:rPr>
                <w:rFonts w:ascii="Arial" w:cs="Arial" w:eastAsia="Arial" w:hAnsi="Arial"/>
                <w:sz w:val="18"/>
                <w:szCs w:val="18"/>
                <w:color w:val="0000EE"/>
                <w:w w:val="95"/>
              </w:rPr>
            </w:pPr>
            <w:hyperlink r:id="rId89">
              <w:r>
                <w:rPr>
                  <w:rFonts w:ascii="Arial" w:cs="Arial" w:eastAsia="Arial" w:hAnsi="Arial"/>
                  <w:sz w:val="18"/>
                  <w:szCs w:val="18"/>
                  <w:color w:val="0000EE"/>
                  <w:w w:val="95"/>
                </w:rPr>
                <w:t>Tourism Corporation, the lenders named therein, and JP Morgan Chase Bank,</w:t>
              </w:r>
            </w:hyperlink>
          </w:p>
        </w:tc>
        <w:tc>
          <w:tcPr>
            <w:tcW w:w="6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5"/>
        </w:trPr>
        <w:tc>
          <w:tcPr>
            <w:tcW w:w="88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4280" w:type="dxa"/>
            <w:vAlign w:val="bottom"/>
            <w:tcBorders>
              <w:top w:val="single" w:sz="8" w:color="0000EE"/>
              <w:bottom w:val="single" w:sz="8" w:color="0000EE"/>
            </w:tcBorders>
            <w:gridSpan w:val="8"/>
          </w:tcPr>
          <w:p>
            <w:pPr>
              <w:spacing w:after="0" w:line="195" w:lineRule="exact"/>
              <w:rPr>
                <w:rFonts w:ascii="Arial" w:cs="Arial" w:eastAsia="Arial" w:hAnsi="Arial"/>
                <w:sz w:val="18"/>
                <w:szCs w:val="18"/>
                <w:color w:val="0000EE"/>
                <w:w w:val="88"/>
              </w:rPr>
            </w:pPr>
            <w:hyperlink r:id="rId89">
              <w:r>
                <w:rPr>
                  <w:rFonts w:ascii="Arial" w:cs="Arial" w:eastAsia="Arial" w:hAnsi="Arial"/>
                  <w:sz w:val="18"/>
                  <w:szCs w:val="18"/>
                  <w:color w:val="0000EE"/>
                  <w:w w:val="88"/>
                </w:rPr>
                <w:t>N.A., as agent, to Guaranty dated as of December 22, 2014.</w:t>
              </w:r>
            </w:hyperlink>
          </w:p>
        </w:tc>
        <w:tc>
          <w:tcPr>
            <w:tcW w:w="1280" w:type="dxa"/>
            <w:vAlign w:val="bottom"/>
            <w:tcBorders>
              <w:top w:val="single" w:sz="8" w:color="0000EE"/>
            </w:tcBorders>
            <w:gridSpan w:val="12"/>
          </w:tcPr>
          <w:p>
            <w:pPr>
              <w:spacing w:after="0"/>
              <w:rPr>
                <w:sz w:val="16"/>
                <w:szCs w:val="16"/>
                <w:color w:val="auto"/>
              </w:rPr>
            </w:pPr>
          </w:p>
        </w:tc>
        <w:tc>
          <w:tcPr>
            <w:tcW w:w="420" w:type="dxa"/>
            <w:vAlign w:val="bottom"/>
            <w:gridSpan w:val="9"/>
          </w:tcPr>
          <w:p>
            <w:pPr>
              <w:spacing w:after="0"/>
              <w:rPr>
                <w:sz w:val="16"/>
                <w:szCs w:val="16"/>
                <w:color w:val="auto"/>
              </w:rPr>
            </w:pPr>
          </w:p>
        </w:tc>
        <w:tc>
          <w:tcPr>
            <w:tcW w:w="6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37"/>
        </w:trPr>
        <w:tc>
          <w:tcPr>
            <w:tcW w:w="880" w:type="dxa"/>
            <w:vAlign w:val="bottom"/>
          </w:tcPr>
          <w:p>
            <w:pPr>
              <w:spacing w:after="0"/>
              <w:rPr>
                <w:sz w:val="20"/>
                <w:szCs w:val="20"/>
                <w:color w:val="auto"/>
              </w:rPr>
            </w:pPr>
            <w:r>
              <w:rPr>
                <w:rFonts w:ascii="Arial" w:cs="Arial" w:eastAsia="Arial" w:hAnsi="Arial"/>
                <w:sz w:val="18"/>
                <w:szCs w:val="18"/>
                <w:color w:val="auto"/>
              </w:rPr>
              <w:t>4.A4</w:t>
            </w:r>
          </w:p>
        </w:tc>
        <w:tc>
          <w:tcPr>
            <w:tcW w:w="540" w:type="dxa"/>
            <w:vAlign w:val="bottom"/>
          </w:tcPr>
          <w:p>
            <w:pPr>
              <w:spacing w:after="0"/>
              <w:rPr>
                <w:sz w:val="24"/>
                <w:szCs w:val="24"/>
                <w:color w:val="auto"/>
              </w:rPr>
            </w:pPr>
          </w:p>
        </w:tc>
        <w:tc>
          <w:tcPr>
            <w:tcW w:w="5600" w:type="dxa"/>
            <w:vAlign w:val="bottom"/>
            <w:tcBorders>
              <w:bottom w:val="single" w:sz="8" w:color="0000EE"/>
            </w:tcBorders>
            <w:gridSpan w:val="21"/>
          </w:tcPr>
          <w:p>
            <w:pPr>
              <w:spacing w:after="0"/>
              <w:rPr>
                <w:rFonts w:ascii="Arial" w:cs="Arial" w:eastAsia="Arial" w:hAnsi="Arial"/>
                <w:sz w:val="18"/>
                <w:szCs w:val="18"/>
                <w:color w:val="0000EE"/>
                <w:w w:val="89"/>
              </w:rPr>
            </w:pPr>
            <w:hyperlink r:id="rId90">
              <w:r>
                <w:rPr>
                  <w:rFonts w:ascii="Arial" w:cs="Arial" w:eastAsia="Arial" w:hAnsi="Arial"/>
                  <w:sz w:val="18"/>
                  <w:szCs w:val="18"/>
                  <w:color w:val="0000EE"/>
                  <w:w w:val="89"/>
                </w:rPr>
                <w:t>Joinder to Amended and Restated Subsidiary Pledge and Security Agreement,</w:t>
              </w:r>
            </w:hyperlink>
          </w:p>
        </w:tc>
        <w:tc>
          <w:tcPr>
            <w:tcW w:w="380" w:type="dxa"/>
            <w:vAlign w:val="bottom"/>
            <w:gridSpan w:val="8"/>
          </w:tcPr>
          <w:p>
            <w:pPr>
              <w:spacing w:after="0"/>
              <w:rPr>
                <w:sz w:val="24"/>
                <w:szCs w:val="24"/>
                <w:color w:val="auto"/>
              </w:rPr>
            </w:pPr>
          </w:p>
        </w:tc>
        <w:tc>
          <w:tcPr>
            <w:tcW w:w="720" w:type="dxa"/>
            <w:vAlign w:val="bottom"/>
            <w:gridSpan w:val="2"/>
          </w:tcPr>
          <w:p>
            <w:pPr>
              <w:jc w:val="right"/>
              <w:ind w:right="120"/>
              <w:spacing w:after="0"/>
              <w:rPr>
                <w:sz w:val="20"/>
                <w:szCs w:val="20"/>
                <w:color w:val="auto"/>
              </w:rPr>
            </w:pPr>
            <w:r>
              <w:rPr>
                <w:rFonts w:ascii="Arial" w:cs="Arial" w:eastAsia="Arial" w:hAnsi="Arial"/>
                <w:sz w:val="18"/>
                <w:szCs w:val="18"/>
                <w:color w:val="auto"/>
              </w:rPr>
              <w:t>8-K</w:t>
            </w:r>
          </w:p>
        </w:tc>
        <w:tc>
          <w:tcPr>
            <w:tcW w:w="1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80" w:type="dxa"/>
            <w:vAlign w:val="bottom"/>
            <w:gridSpan w:val="3"/>
          </w:tcPr>
          <w:p>
            <w:pPr>
              <w:jc w:val="right"/>
              <w:ind w:right="260"/>
              <w:spacing w:after="0"/>
              <w:rPr>
                <w:sz w:val="20"/>
                <w:szCs w:val="20"/>
                <w:color w:val="auto"/>
              </w:rPr>
            </w:pPr>
            <w:r>
              <w:rPr>
                <w:rFonts w:ascii="Arial" w:cs="Arial" w:eastAsia="Arial" w:hAnsi="Arial"/>
                <w:sz w:val="18"/>
                <w:szCs w:val="18"/>
                <w:color w:val="auto"/>
              </w:rPr>
              <w:t>4.B</w:t>
            </w:r>
          </w:p>
        </w:tc>
        <w:tc>
          <w:tcPr>
            <w:tcW w:w="1080" w:type="dxa"/>
            <w:vAlign w:val="bottom"/>
          </w:tcPr>
          <w:p>
            <w:pPr>
              <w:jc w:val="right"/>
              <w:spacing w:after="0"/>
              <w:rPr>
                <w:sz w:val="20"/>
                <w:szCs w:val="20"/>
                <w:color w:val="auto"/>
              </w:rPr>
            </w:pPr>
            <w:r>
              <w:rPr>
                <w:rFonts w:ascii="Arial" w:cs="Arial" w:eastAsia="Arial" w:hAnsi="Arial"/>
                <w:sz w:val="18"/>
                <w:szCs w:val="18"/>
                <w:color w:val="auto"/>
              </w:rPr>
              <w:t>9/2/2016</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95"/>
        </w:trPr>
        <w:tc>
          <w:tcPr>
            <w:tcW w:w="88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5400" w:type="dxa"/>
            <w:vAlign w:val="bottom"/>
            <w:tcBorders>
              <w:bottom w:val="single" w:sz="8" w:color="0000EE"/>
            </w:tcBorders>
            <w:gridSpan w:val="15"/>
          </w:tcPr>
          <w:p>
            <w:pPr>
              <w:spacing w:after="0" w:line="195" w:lineRule="exact"/>
              <w:rPr>
                <w:rFonts w:ascii="Arial" w:cs="Arial" w:eastAsia="Arial" w:hAnsi="Arial"/>
                <w:sz w:val="18"/>
                <w:szCs w:val="18"/>
                <w:color w:val="0000EE"/>
                <w:w w:val="90"/>
              </w:rPr>
            </w:pPr>
            <w:hyperlink r:id="rId90">
              <w:r>
                <w:rPr>
                  <w:rFonts w:ascii="Arial" w:cs="Arial" w:eastAsia="Arial" w:hAnsi="Arial"/>
                  <w:sz w:val="18"/>
                  <w:szCs w:val="18"/>
                  <w:color w:val="0000EE"/>
                  <w:w w:val="90"/>
                </w:rPr>
                <w:t>dated as of August 31, 2016, among CIRI Alaska Tourism Corporation, the</w:t>
              </w:r>
            </w:hyperlink>
          </w:p>
        </w:tc>
        <w:tc>
          <w:tcPr>
            <w:tcW w:w="580" w:type="dxa"/>
            <w:vAlign w:val="bottom"/>
            <w:gridSpan w:val="14"/>
          </w:tcPr>
          <w:p>
            <w:pPr>
              <w:spacing w:after="0"/>
              <w:rPr>
                <w:sz w:val="16"/>
                <w:szCs w:val="16"/>
                <w:color w:val="auto"/>
              </w:rPr>
            </w:pPr>
          </w:p>
        </w:tc>
        <w:tc>
          <w:tcPr>
            <w:tcW w:w="6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5"/>
        </w:trPr>
        <w:tc>
          <w:tcPr>
            <w:tcW w:w="88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5780" w:type="dxa"/>
            <w:vAlign w:val="bottom"/>
            <w:tcBorders>
              <w:bottom w:val="single" w:sz="8" w:color="0000EE"/>
            </w:tcBorders>
            <w:gridSpan w:val="26"/>
          </w:tcPr>
          <w:p>
            <w:pPr>
              <w:spacing w:after="0" w:line="195" w:lineRule="exact"/>
              <w:rPr>
                <w:rFonts w:ascii="Arial" w:cs="Arial" w:eastAsia="Arial" w:hAnsi="Arial"/>
                <w:sz w:val="18"/>
                <w:szCs w:val="18"/>
                <w:color w:val="0000EE"/>
                <w:w w:val="89"/>
              </w:rPr>
            </w:pPr>
            <w:hyperlink r:id="rId90">
              <w:r>
                <w:rPr>
                  <w:rFonts w:ascii="Arial" w:cs="Arial" w:eastAsia="Arial" w:hAnsi="Arial"/>
                  <w:sz w:val="18"/>
                  <w:szCs w:val="18"/>
                  <w:color w:val="0000EE"/>
                  <w:w w:val="89"/>
                </w:rPr>
                <w:t>guarantors thereunder, to and in favor of JP Morgan Chase Bank, N.A., as agent.</w:t>
              </w:r>
            </w:hyperlink>
          </w:p>
        </w:tc>
        <w:tc>
          <w:tcPr>
            <w:tcW w:w="200" w:type="dxa"/>
            <w:vAlign w:val="bottom"/>
            <w:gridSpan w:val="3"/>
          </w:tcPr>
          <w:p>
            <w:pPr>
              <w:spacing w:after="0"/>
              <w:rPr>
                <w:sz w:val="16"/>
                <w:szCs w:val="16"/>
                <w:color w:val="auto"/>
              </w:rPr>
            </w:pPr>
          </w:p>
        </w:tc>
        <w:tc>
          <w:tcPr>
            <w:tcW w:w="6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37"/>
        </w:trPr>
        <w:tc>
          <w:tcPr>
            <w:tcW w:w="880" w:type="dxa"/>
            <w:vAlign w:val="bottom"/>
          </w:tcPr>
          <w:p>
            <w:pPr>
              <w:spacing w:after="0"/>
              <w:rPr>
                <w:sz w:val="20"/>
                <w:szCs w:val="20"/>
                <w:color w:val="auto"/>
              </w:rPr>
            </w:pPr>
            <w:r>
              <w:rPr>
                <w:rFonts w:ascii="Arial" w:cs="Arial" w:eastAsia="Arial" w:hAnsi="Arial"/>
                <w:sz w:val="18"/>
                <w:szCs w:val="18"/>
                <w:color w:val="auto"/>
              </w:rPr>
              <w:t>4.A5</w:t>
            </w:r>
          </w:p>
        </w:tc>
        <w:tc>
          <w:tcPr>
            <w:tcW w:w="540" w:type="dxa"/>
            <w:vAlign w:val="bottom"/>
          </w:tcPr>
          <w:p>
            <w:pPr>
              <w:spacing w:after="0"/>
              <w:rPr>
                <w:sz w:val="24"/>
                <w:szCs w:val="24"/>
                <w:color w:val="auto"/>
              </w:rPr>
            </w:pPr>
          </w:p>
        </w:tc>
        <w:tc>
          <w:tcPr>
            <w:tcW w:w="5660" w:type="dxa"/>
            <w:vAlign w:val="bottom"/>
            <w:tcBorders>
              <w:bottom w:val="single" w:sz="8" w:color="0000EE"/>
            </w:tcBorders>
            <w:gridSpan w:val="24"/>
          </w:tcPr>
          <w:p>
            <w:pPr>
              <w:spacing w:after="0"/>
              <w:rPr>
                <w:rFonts w:ascii="Arial" w:cs="Arial" w:eastAsia="Arial" w:hAnsi="Arial"/>
                <w:sz w:val="18"/>
                <w:szCs w:val="18"/>
                <w:color w:val="0000EE"/>
                <w:w w:val="88"/>
              </w:rPr>
            </w:pPr>
            <w:hyperlink r:id="rId91">
              <w:r>
                <w:rPr>
                  <w:rFonts w:ascii="Arial" w:cs="Arial" w:eastAsia="Arial" w:hAnsi="Arial"/>
                  <w:sz w:val="18"/>
                  <w:szCs w:val="18"/>
                  <w:color w:val="0000EE"/>
                  <w:w w:val="88"/>
                </w:rPr>
                <w:t>Joinder to Guaranty, dated as of July 14, 2017, by and among ON Services and</w:t>
              </w:r>
            </w:hyperlink>
          </w:p>
        </w:tc>
        <w:tc>
          <w:tcPr>
            <w:tcW w:w="320" w:type="dxa"/>
            <w:vAlign w:val="bottom"/>
            <w:gridSpan w:val="5"/>
          </w:tcPr>
          <w:p>
            <w:pPr>
              <w:spacing w:after="0"/>
              <w:rPr>
                <w:sz w:val="24"/>
                <w:szCs w:val="24"/>
                <w:color w:val="auto"/>
              </w:rPr>
            </w:pPr>
          </w:p>
        </w:tc>
        <w:tc>
          <w:tcPr>
            <w:tcW w:w="720" w:type="dxa"/>
            <w:vAlign w:val="bottom"/>
            <w:gridSpan w:val="2"/>
          </w:tcPr>
          <w:p>
            <w:pPr>
              <w:jc w:val="right"/>
              <w:ind w:right="120"/>
              <w:spacing w:after="0"/>
              <w:rPr>
                <w:sz w:val="20"/>
                <w:szCs w:val="20"/>
                <w:color w:val="auto"/>
              </w:rPr>
            </w:pPr>
            <w:r>
              <w:rPr>
                <w:rFonts w:ascii="Arial" w:cs="Arial" w:eastAsia="Arial" w:hAnsi="Arial"/>
                <w:sz w:val="18"/>
                <w:szCs w:val="18"/>
                <w:color w:val="auto"/>
              </w:rPr>
              <w:t>10-Q</w:t>
            </w:r>
          </w:p>
        </w:tc>
        <w:tc>
          <w:tcPr>
            <w:tcW w:w="1240" w:type="dxa"/>
            <w:vAlign w:val="bottom"/>
          </w:tcPr>
          <w:p>
            <w:pPr>
              <w:jc w:val="right"/>
              <w:spacing w:after="0"/>
              <w:rPr>
                <w:sz w:val="20"/>
                <w:szCs w:val="20"/>
                <w:color w:val="auto"/>
              </w:rPr>
            </w:pPr>
            <w:r>
              <w:rPr>
                <w:rFonts w:ascii="Arial" w:cs="Arial" w:eastAsia="Arial" w:hAnsi="Arial"/>
                <w:sz w:val="18"/>
                <w:szCs w:val="18"/>
                <w:color w:val="auto"/>
              </w:rPr>
              <w:t>6/30/2017</w:t>
            </w:r>
          </w:p>
        </w:tc>
        <w:tc>
          <w:tcPr>
            <w:tcW w:w="100" w:type="dxa"/>
            <w:vAlign w:val="bottom"/>
          </w:tcPr>
          <w:p>
            <w:pPr>
              <w:spacing w:after="0"/>
              <w:rPr>
                <w:sz w:val="24"/>
                <w:szCs w:val="24"/>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4.1</w:t>
            </w: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8/4/2017</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95"/>
        </w:trPr>
        <w:tc>
          <w:tcPr>
            <w:tcW w:w="88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5980" w:type="dxa"/>
            <w:vAlign w:val="bottom"/>
            <w:gridSpan w:val="29"/>
          </w:tcPr>
          <w:p>
            <w:pPr>
              <w:spacing w:after="0" w:line="195" w:lineRule="exact"/>
              <w:rPr>
                <w:rFonts w:ascii="Arial" w:cs="Arial" w:eastAsia="Arial" w:hAnsi="Arial"/>
                <w:sz w:val="18"/>
                <w:szCs w:val="18"/>
                <w:color w:val="0000EE"/>
                <w:w w:val="99"/>
              </w:rPr>
            </w:pPr>
            <w:hyperlink r:id="rId91">
              <w:r>
                <w:rPr>
                  <w:rFonts w:ascii="Arial" w:cs="Arial" w:eastAsia="Arial" w:hAnsi="Arial"/>
                  <w:sz w:val="18"/>
                  <w:szCs w:val="18"/>
                  <w:color w:val="0000EE"/>
                  <w:w w:val="99"/>
                </w:rPr>
                <w:t>JPMorgan Chase Bank, N.A., as agent, in favor of the agent and the lender</w:t>
              </w:r>
            </w:hyperlink>
          </w:p>
        </w:tc>
        <w:tc>
          <w:tcPr>
            <w:tcW w:w="6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5"/>
        </w:trPr>
        <w:tc>
          <w:tcPr>
            <w:tcW w:w="88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5340" w:type="dxa"/>
            <w:vAlign w:val="bottom"/>
            <w:tcBorders>
              <w:top w:val="single" w:sz="8" w:color="0000EE"/>
            </w:tcBorders>
            <w:gridSpan w:val="14"/>
          </w:tcPr>
          <w:p>
            <w:pPr>
              <w:spacing w:after="0" w:line="195" w:lineRule="exact"/>
              <w:rPr>
                <w:rFonts w:ascii="Arial" w:cs="Arial" w:eastAsia="Arial" w:hAnsi="Arial"/>
                <w:sz w:val="18"/>
                <w:szCs w:val="18"/>
                <w:color w:val="0000EE"/>
              </w:rPr>
            </w:pPr>
            <w:hyperlink r:id="rId91">
              <w:r>
                <w:rPr>
                  <w:rFonts w:ascii="Arial" w:cs="Arial" w:eastAsia="Arial" w:hAnsi="Arial"/>
                  <w:sz w:val="18"/>
                  <w:szCs w:val="18"/>
                  <w:color w:val="0000EE"/>
                </w:rPr>
                <w:t>parties thereto.</w:t>
              </w:r>
            </w:hyperlink>
          </w:p>
        </w:tc>
        <w:tc>
          <w:tcPr>
            <w:tcW w:w="640" w:type="dxa"/>
            <w:vAlign w:val="bottom"/>
            <w:gridSpan w:val="15"/>
          </w:tcPr>
          <w:p>
            <w:pPr>
              <w:spacing w:after="0"/>
              <w:rPr>
                <w:sz w:val="16"/>
                <w:szCs w:val="16"/>
                <w:color w:val="auto"/>
              </w:rPr>
            </w:pPr>
          </w:p>
        </w:tc>
        <w:tc>
          <w:tcPr>
            <w:tcW w:w="6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
        </w:trPr>
        <w:tc>
          <w:tcPr>
            <w:tcW w:w="88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060" w:type="dxa"/>
            <w:vAlign w:val="bottom"/>
            <w:gridSpan w:val="2"/>
            <w:shd w:val="clear" w:color="auto" w:fill="0000EE"/>
          </w:tcPr>
          <w:p>
            <w:pPr>
              <w:spacing w:after="0" w:line="20" w:lineRule="exact"/>
              <w:rPr>
                <w:sz w:val="1"/>
                <w:szCs w:val="1"/>
                <w:color w:val="auto"/>
              </w:rPr>
            </w:pPr>
          </w:p>
        </w:tc>
        <w:tc>
          <w:tcPr>
            <w:tcW w:w="1220" w:type="dxa"/>
            <w:vAlign w:val="bottom"/>
          </w:tcPr>
          <w:p>
            <w:pPr>
              <w:spacing w:after="0" w:line="20" w:lineRule="exact"/>
              <w:rPr>
                <w:sz w:val="1"/>
                <w:szCs w:val="1"/>
                <w:color w:val="auto"/>
              </w:rPr>
            </w:pPr>
          </w:p>
        </w:tc>
        <w:tc>
          <w:tcPr>
            <w:tcW w:w="1800" w:type="dxa"/>
            <w:vAlign w:val="bottom"/>
            <w:gridSpan w:val="3"/>
          </w:tcPr>
          <w:p>
            <w:pPr>
              <w:spacing w:after="0" w:line="20" w:lineRule="exact"/>
              <w:rPr>
                <w:sz w:val="1"/>
                <w:szCs w:val="1"/>
                <w:color w:val="auto"/>
              </w:rPr>
            </w:pPr>
          </w:p>
        </w:tc>
        <w:tc>
          <w:tcPr>
            <w:tcW w:w="1120" w:type="dxa"/>
            <w:vAlign w:val="bottom"/>
            <w:gridSpan w:val="6"/>
          </w:tcPr>
          <w:p>
            <w:pPr>
              <w:spacing w:after="0" w:line="20" w:lineRule="exact"/>
              <w:rPr>
                <w:sz w:val="1"/>
                <w:szCs w:val="1"/>
                <w:color w:val="auto"/>
              </w:rPr>
            </w:pPr>
          </w:p>
        </w:tc>
        <w:tc>
          <w:tcPr>
            <w:tcW w:w="220" w:type="dxa"/>
            <w:vAlign w:val="bottom"/>
            <w:gridSpan w:val="4"/>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gridSpan w:val="4"/>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gridSpan w:val="3"/>
          </w:tcPr>
          <w:p>
            <w:pPr>
              <w:spacing w:after="0" w:line="20" w:lineRule="exact"/>
              <w:rPr>
                <w:sz w:val="1"/>
                <w:szCs w:val="1"/>
                <w:color w:val="auto"/>
              </w:rPr>
            </w:pPr>
          </w:p>
        </w:tc>
        <w:tc>
          <w:tcPr>
            <w:tcW w:w="180" w:type="dxa"/>
            <w:vAlign w:val="bottom"/>
            <w:gridSpan w:val="2"/>
          </w:tcPr>
          <w:p>
            <w:pPr>
              <w:spacing w:after="0" w:line="20" w:lineRule="exact"/>
              <w:rPr>
                <w:sz w:val="1"/>
                <w:szCs w:val="1"/>
                <w:color w:val="auto"/>
              </w:rPr>
            </w:pPr>
          </w:p>
        </w:tc>
        <w:tc>
          <w:tcPr>
            <w:tcW w:w="720" w:type="dxa"/>
            <w:vAlign w:val="bottom"/>
            <w:gridSpan w:val="2"/>
          </w:tcPr>
          <w:p>
            <w:pPr>
              <w:spacing w:after="0" w:line="20" w:lineRule="exact"/>
              <w:rPr>
                <w:sz w:val="1"/>
                <w:szCs w:val="1"/>
                <w:color w:val="auto"/>
              </w:rPr>
            </w:pPr>
          </w:p>
        </w:tc>
        <w:tc>
          <w:tcPr>
            <w:tcW w:w="12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37"/>
        </w:trPr>
        <w:tc>
          <w:tcPr>
            <w:tcW w:w="880" w:type="dxa"/>
            <w:vAlign w:val="bottom"/>
          </w:tcPr>
          <w:p>
            <w:pPr>
              <w:spacing w:after="0"/>
              <w:rPr>
                <w:sz w:val="20"/>
                <w:szCs w:val="20"/>
                <w:color w:val="auto"/>
              </w:rPr>
            </w:pPr>
            <w:r>
              <w:rPr>
                <w:rFonts w:ascii="Arial" w:cs="Arial" w:eastAsia="Arial" w:hAnsi="Arial"/>
                <w:sz w:val="18"/>
                <w:szCs w:val="18"/>
                <w:color w:val="auto"/>
              </w:rPr>
              <w:t>4.A6</w:t>
            </w:r>
          </w:p>
        </w:tc>
        <w:tc>
          <w:tcPr>
            <w:tcW w:w="540" w:type="dxa"/>
            <w:vAlign w:val="bottom"/>
          </w:tcPr>
          <w:p>
            <w:pPr>
              <w:spacing w:after="0"/>
              <w:rPr>
                <w:sz w:val="24"/>
                <w:szCs w:val="24"/>
                <w:color w:val="auto"/>
              </w:rPr>
            </w:pPr>
          </w:p>
        </w:tc>
        <w:tc>
          <w:tcPr>
            <w:tcW w:w="5600" w:type="dxa"/>
            <w:vAlign w:val="bottom"/>
            <w:tcBorders>
              <w:bottom w:val="single" w:sz="8" w:color="0000EE"/>
            </w:tcBorders>
            <w:gridSpan w:val="21"/>
          </w:tcPr>
          <w:p>
            <w:pPr>
              <w:spacing w:after="0"/>
              <w:rPr>
                <w:rFonts w:ascii="Arial" w:cs="Arial" w:eastAsia="Arial" w:hAnsi="Arial"/>
                <w:sz w:val="18"/>
                <w:szCs w:val="18"/>
                <w:color w:val="0000EE"/>
                <w:w w:val="89"/>
              </w:rPr>
            </w:pPr>
            <w:hyperlink r:id="rId92">
              <w:r>
                <w:rPr>
                  <w:rFonts w:ascii="Arial" w:cs="Arial" w:eastAsia="Arial" w:hAnsi="Arial"/>
                  <w:sz w:val="18"/>
                  <w:szCs w:val="18"/>
                  <w:color w:val="0000EE"/>
                  <w:w w:val="89"/>
                </w:rPr>
                <w:t>Joinder to Amended and Restated Subsidiary Pledge and Security Agreement,</w:t>
              </w:r>
            </w:hyperlink>
          </w:p>
        </w:tc>
        <w:tc>
          <w:tcPr>
            <w:tcW w:w="380" w:type="dxa"/>
            <w:vAlign w:val="bottom"/>
            <w:gridSpan w:val="8"/>
          </w:tcPr>
          <w:p>
            <w:pPr>
              <w:spacing w:after="0"/>
              <w:rPr>
                <w:sz w:val="24"/>
                <w:szCs w:val="24"/>
                <w:color w:val="auto"/>
              </w:rPr>
            </w:pPr>
          </w:p>
        </w:tc>
        <w:tc>
          <w:tcPr>
            <w:tcW w:w="720" w:type="dxa"/>
            <w:vAlign w:val="bottom"/>
            <w:gridSpan w:val="2"/>
          </w:tcPr>
          <w:p>
            <w:pPr>
              <w:jc w:val="right"/>
              <w:ind w:right="120"/>
              <w:spacing w:after="0"/>
              <w:rPr>
                <w:sz w:val="20"/>
                <w:szCs w:val="20"/>
                <w:color w:val="auto"/>
              </w:rPr>
            </w:pPr>
            <w:r>
              <w:rPr>
                <w:rFonts w:ascii="Arial" w:cs="Arial" w:eastAsia="Arial" w:hAnsi="Arial"/>
                <w:sz w:val="18"/>
                <w:szCs w:val="18"/>
                <w:color w:val="auto"/>
              </w:rPr>
              <w:t>10-Q</w:t>
            </w:r>
          </w:p>
        </w:tc>
        <w:tc>
          <w:tcPr>
            <w:tcW w:w="1240" w:type="dxa"/>
            <w:vAlign w:val="bottom"/>
          </w:tcPr>
          <w:p>
            <w:pPr>
              <w:jc w:val="right"/>
              <w:spacing w:after="0"/>
              <w:rPr>
                <w:sz w:val="20"/>
                <w:szCs w:val="20"/>
                <w:color w:val="auto"/>
              </w:rPr>
            </w:pPr>
            <w:r>
              <w:rPr>
                <w:rFonts w:ascii="Arial" w:cs="Arial" w:eastAsia="Arial" w:hAnsi="Arial"/>
                <w:sz w:val="18"/>
                <w:szCs w:val="18"/>
                <w:color w:val="auto"/>
              </w:rPr>
              <w:t>6/30/2017</w:t>
            </w:r>
          </w:p>
        </w:tc>
        <w:tc>
          <w:tcPr>
            <w:tcW w:w="100" w:type="dxa"/>
            <w:vAlign w:val="bottom"/>
          </w:tcPr>
          <w:p>
            <w:pPr>
              <w:spacing w:after="0"/>
              <w:rPr>
                <w:sz w:val="24"/>
                <w:szCs w:val="24"/>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4.2</w:t>
            </w: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8/4/2017</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95"/>
        </w:trPr>
        <w:tc>
          <w:tcPr>
            <w:tcW w:w="88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5420" w:type="dxa"/>
            <w:vAlign w:val="bottom"/>
            <w:tcBorders>
              <w:bottom w:val="single" w:sz="8" w:color="0000EE"/>
            </w:tcBorders>
            <w:gridSpan w:val="16"/>
          </w:tcPr>
          <w:p>
            <w:pPr>
              <w:spacing w:after="0" w:line="195" w:lineRule="exact"/>
              <w:rPr>
                <w:rFonts w:ascii="Arial" w:cs="Arial" w:eastAsia="Arial" w:hAnsi="Arial"/>
                <w:sz w:val="18"/>
                <w:szCs w:val="18"/>
                <w:color w:val="0000EE"/>
                <w:w w:val="88"/>
              </w:rPr>
            </w:pPr>
            <w:hyperlink r:id="rId92">
              <w:r>
                <w:rPr>
                  <w:rFonts w:ascii="Arial" w:cs="Arial" w:eastAsia="Arial" w:hAnsi="Arial"/>
                  <w:sz w:val="18"/>
                  <w:szCs w:val="18"/>
                  <w:color w:val="0000EE"/>
                  <w:w w:val="88"/>
                </w:rPr>
                <w:t>dated as of July 14, 2017, by and among ON Services and JPMorgan Chase</w:t>
              </w:r>
            </w:hyperlink>
          </w:p>
        </w:tc>
        <w:tc>
          <w:tcPr>
            <w:tcW w:w="560" w:type="dxa"/>
            <w:vAlign w:val="bottom"/>
            <w:gridSpan w:val="13"/>
          </w:tcPr>
          <w:p>
            <w:pPr>
              <w:spacing w:after="0"/>
              <w:rPr>
                <w:sz w:val="16"/>
                <w:szCs w:val="16"/>
                <w:color w:val="auto"/>
              </w:rPr>
            </w:pPr>
          </w:p>
        </w:tc>
        <w:tc>
          <w:tcPr>
            <w:tcW w:w="6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5"/>
        </w:trPr>
        <w:tc>
          <w:tcPr>
            <w:tcW w:w="88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5200" w:type="dxa"/>
            <w:vAlign w:val="bottom"/>
            <w:tcBorders>
              <w:bottom w:val="single" w:sz="8" w:color="0000EE"/>
            </w:tcBorders>
            <w:gridSpan w:val="12"/>
          </w:tcPr>
          <w:p>
            <w:pPr>
              <w:spacing w:after="0" w:line="195" w:lineRule="exact"/>
              <w:rPr>
                <w:rFonts w:ascii="Arial" w:cs="Arial" w:eastAsia="Arial" w:hAnsi="Arial"/>
                <w:sz w:val="18"/>
                <w:szCs w:val="18"/>
                <w:color w:val="0000EE"/>
                <w:w w:val="89"/>
              </w:rPr>
            </w:pPr>
            <w:hyperlink r:id="rId92">
              <w:r>
                <w:rPr>
                  <w:rFonts w:ascii="Arial" w:cs="Arial" w:eastAsia="Arial" w:hAnsi="Arial"/>
                  <w:sz w:val="18"/>
                  <w:szCs w:val="18"/>
                  <w:color w:val="0000EE"/>
                  <w:w w:val="89"/>
                </w:rPr>
                <w:t>Bank, N.A., as agent, in favor of the agent and the lender parties thereto.</w:t>
              </w:r>
            </w:hyperlink>
          </w:p>
        </w:tc>
        <w:tc>
          <w:tcPr>
            <w:tcW w:w="780" w:type="dxa"/>
            <w:vAlign w:val="bottom"/>
            <w:gridSpan w:val="17"/>
          </w:tcPr>
          <w:p>
            <w:pPr>
              <w:spacing w:after="0"/>
              <w:rPr>
                <w:sz w:val="16"/>
                <w:szCs w:val="16"/>
                <w:color w:val="auto"/>
              </w:rPr>
            </w:pPr>
          </w:p>
        </w:tc>
        <w:tc>
          <w:tcPr>
            <w:tcW w:w="6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37"/>
        </w:trPr>
        <w:tc>
          <w:tcPr>
            <w:tcW w:w="880" w:type="dxa"/>
            <w:vAlign w:val="bottom"/>
          </w:tcPr>
          <w:p>
            <w:pPr>
              <w:spacing w:after="0"/>
              <w:rPr>
                <w:sz w:val="20"/>
                <w:szCs w:val="20"/>
                <w:color w:val="auto"/>
              </w:rPr>
            </w:pPr>
            <w:r>
              <w:rPr>
                <w:rFonts w:ascii="Arial" w:cs="Arial" w:eastAsia="Arial" w:hAnsi="Arial"/>
                <w:sz w:val="18"/>
                <w:szCs w:val="18"/>
                <w:color w:val="auto"/>
              </w:rPr>
              <w:t>4.B1</w:t>
            </w:r>
          </w:p>
        </w:tc>
        <w:tc>
          <w:tcPr>
            <w:tcW w:w="540" w:type="dxa"/>
            <w:vAlign w:val="bottom"/>
          </w:tcPr>
          <w:p>
            <w:pPr>
              <w:spacing w:after="0"/>
              <w:rPr>
                <w:sz w:val="24"/>
                <w:szCs w:val="24"/>
                <w:color w:val="auto"/>
              </w:rPr>
            </w:pPr>
          </w:p>
        </w:tc>
        <w:tc>
          <w:tcPr>
            <w:tcW w:w="5980" w:type="dxa"/>
            <w:vAlign w:val="bottom"/>
            <w:gridSpan w:val="29"/>
          </w:tcPr>
          <w:p>
            <w:pPr>
              <w:spacing w:after="0"/>
              <w:rPr>
                <w:rFonts w:ascii="Arial" w:cs="Arial" w:eastAsia="Arial" w:hAnsi="Arial"/>
                <w:sz w:val="18"/>
                <w:szCs w:val="18"/>
                <w:color w:val="0000EE"/>
                <w:w w:val="97"/>
              </w:rPr>
            </w:pPr>
            <w:hyperlink r:id="rId93">
              <w:r>
                <w:rPr>
                  <w:rFonts w:ascii="Arial" w:cs="Arial" w:eastAsia="Arial" w:hAnsi="Arial"/>
                  <w:sz w:val="18"/>
                  <w:szCs w:val="18"/>
                  <w:color w:val="0000EE"/>
                  <w:w w:val="97"/>
                </w:rPr>
                <w:t>Credit Agreement, by and between Brewster Inc. and BMO Harris Bank N.A.,</w:t>
              </w:r>
            </w:hyperlink>
          </w:p>
        </w:tc>
        <w:tc>
          <w:tcPr>
            <w:tcW w:w="720" w:type="dxa"/>
            <w:vAlign w:val="bottom"/>
            <w:gridSpan w:val="2"/>
          </w:tcPr>
          <w:p>
            <w:pPr>
              <w:jc w:val="right"/>
              <w:ind w:right="120"/>
              <w:spacing w:after="0"/>
              <w:rPr>
                <w:sz w:val="20"/>
                <w:szCs w:val="20"/>
                <w:color w:val="auto"/>
              </w:rPr>
            </w:pPr>
            <w:r>
              <w:rPr>
                <w:rFonts w:ascii="Arial" w:cs="Arial" w:eastAsia="Arial" w:hAnsi="Arial"/>
                <w:sz w:val="18"/>
                <w:szCs w:val="18"/>
                <w:color w:val="auto"/>
              </w:rPr>
              <w:t>8-K</w:t>
            </w:r>
          </w:p>
        </w:tc>
        <w:tc>
          <w:tcPr>
            <w:tcW w:w="1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4</w:t>
            </w: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1/3/2017</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95"/>
        </w:trPr>
        <w:tc>
          <w:tcPr>
            <w:tcW w:w="88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2280" w:type="dxa"/>
            <w:vAlign w:val="bottom"/>
            <w:tcBorders>
              <w:top w:val="single" w:sz="8" w:color="0000EE"/>
              <w:bottom w:val="single" w:sz="8" w:color="0000EE"/>
            </w:tcBorders>
            <w:gridSpan w:val="3"/>
          </w:tcPr>
          <w:p>
            <w:pPr>
              <w:spacing w:after="0" w:line="195" w:lineRule="exact"/>
              <w:rPr>
                <w:rFonts w:ascii="Arial" w:cs="Arial" w:eastAsia="Arial" w:hAnsi="Arial"/>
                <w:sz w:val="18"/>
                <w:szCs w:val="18"/>
                <w:color w:val="0000EE"/>
                <w:w w:val="87"/>
              </w:rPr>
            </w:pPr>
            <w:hyperlink r:id="rId93">
              <w:r>
                <w:rPr>
                  <w:rFonts w:ascii="Arial" w:cs="Arial" w:eastAsia="Arial" w:hAnsi="Arial"/>
                  <w:sz w:val="18"/>
                  <w:szCs w:val="18"/>
                  <w:color w:val="0000EE"/>
                  <w:w w:val="87"/>
                </w:rPr>
                <w:t>dated as of December 28, 2016.</w:t>
              </w:r>
            </w:hyperlink>
          </w:p>
        </w:tc>
        <w:tc>
          <w:tcPr>
            <w:tcW w:w="3340" w:type="dxa"/>
            <w:vAlign w:val="bottom"/>
            <w:tcBorders>
              <w:top w:val="single" w:sz="8" w:color="0000EE"/>
            </w:tcBorders>
            <w:gridSpan w:val="19"/>
          </w:tcPr>
          <w:p>
            <w:pPr>
              <w:spacing w:after="0"/>
              <w:rPr>
                <w:sz w:val="16"/>
                <w:szCs w:val="16"/>
                <w:color w:val="auto"/>
              </w:rPr>
            </w:pPr>
          </w:p>
        </w:tc>
        <w:tc>
          <w:tcPr>
            <w:tcW w:w="360" w:type="dxa"/>
            <w:vAlign w:val="bottom"/>
            <w:gridSpan w:val="7"/>
          </w:tcPr>
          <w:p>
            <w:pPr>
              <w:spacing w:after="0"/>
              <w:rPr>
                <w:sz w:val="16"/>
                <w:szCs w:val="16"/>
                <w:color w:val="auto"/>
              </w:rPr>
            </w:pPr>
          </w:p>
        </w:tc>
        <w:tc>
          <w:tcPr>
            <w:tcW w:w="6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37"/>
        </w:trPr>
        <w:tc>
          <w:tcPr>
            <w:tcW w:w="880" w:type="dxa"/>
            <w:vAlign w:val="bottom"/>
          </w:tcPr>
          <w:p>
            <w:pPr>
              <w:spacing w:after="0"/>
              <w:rPr>
                <w:sz w:val="20"/>
                <w:szCs w:val="20"/>
                <w:color w:val="auto"/>
              </w:rPr>
            </w:pPr>
            <w:r>
              <w:rPr>
                <w:rFonts w:ascii="Arial" w:cs="Arial" w:eastAsia="Arial" w:hAnsi="Arial"/>
                <w:sz w:val="18"/>
                <w:szCs w:val="18"/>
                <w:color w:val="auto"/>
              </w:rPr>
              <w:t>4.B2</w:t>
            </w:r>
          </w:p>
        </w:tc>
        <w:tc>
          <w:tcPr>
            <w:tcW w:w="540" w:type="dxa"/>
            <w:vAlign w:val="bottom"/>
          </w:tcPr>
          <w:p>
            <w:pPr>
              <w:spacing w:after="0"/>
              <w:rPr>
                <w:sz w:val="24"/>
                <w:szCs w:val="24"/>
                <w:color w:val="auto"/>
              </w:rPr>
            </w:pPr>
          </w:p>
        </w:tc>
        <w:tc>
          <w:tcPr>
            <w:tcW w:w="5440" w:type="dxa"/>
            <w:vAlign w:val="bottom"/>
            <w:tcBorders>
              <w:bottom w:val="single" w:sz="8" w:color="0000EE"/>
            </w:tcBorders>
            <w:gridSpan w:val="17"/>
          </w:tcPr>
          <w:p>
            <w:pPr>
              <w:spacing w:after="0"/>
              <w:rPr>
                <w:rFonts w:ascii="Arial" w:cs="Arial" w:eastAsia="Arial" w:hAnsi="Arial"/>
                <w:sz w:val="18"/>
                <w:szCs w:val="18"/>
                <w:color w:val="0000EE"/>
                <w:w w:val="89"/>
              </w:rPr>
            </w:pPr>
            <w:hyperlink r:id="rId94">
              <w:r>
                <w:rPr>
                  <w:rFonts w:ascii="Arial" w:cs="Arial" w:eastAsia="Arial" w:hAnsi="Arial"/>
                  <w:sz w:val="18"/>
                  <w:szCs w:val="18"/>
                  <w:color w:val="0000EE"/>
                  <w:w w:val="89"/>
                </w:rPr>
                <w:t>Joinder to Guaranty Supplement No. 1, dated as of August 31, 2017, by and</w:t>
              </w:r>
            </w:hyperlink>
          </w:p>
        </w:tc>
        <w:tc>
          <w:tcPr>
            <w:tcW w:w="540" w:type="dxa"/>
            <w:vAlign w:val="bottom"/>
            <w:gridSpan w:val="12"/>
          </w:tcPr>
          <w:p>
            <w:pPr>
              <w:spacing w:after="0"/>
              <w:rPr>
                <w:sz w:val="24"/>
                <w:szCs w:val="24"/>
                <w:color w:val="auto"/>
              </w:rPr>
            </w:pPr>
          </w:p>
        </w:tc>
        <w:tc>
          <w:tcPr>
            <w:tcW w:w="720" w:type="dxa"/>
            <w:vAlign w:val="bottom"/>
            <w:gridSpan w:val="2"/>
          </w:tcPr>
          <w:p>
            <w:pPr>
              <w:jc w:val="right"/>
              <w:ind w:right="120"/>
              <w:spacing w:after="0"/>
              <w:rPr>
                <w:sz w:val="20"/>
                <w:szCs w:val="20"/>
                <w:color w:val="auto"/>
              </w:rPr>
            </w:pPr>
            <w:r>
              <w:rPr>
                <w:rFonts w:ascii="Arial" w:cs="Arial" w:eastAsia="Arial" w:hAnsi="Arial"/>
                <w:sz w:val="18"/>
                <w:szCs w:val="18"/>
                <w:color w:val="auto"/>
              </w:rPr>
              <w:t>10-Q</w:t>
            </w:r>
          </w:p>
        </w:tc>
        <w:tc>
          <w:tcPr>
            <w:tcW w:w="1240" w:type="dxa"/>
            <w:vAlign w:val="bottom"/>
          </w:tcPr>
          <w:p>
            <w:pPr>
              <w:jc w:val="right"/>
              <w:spacing w:after="0"/>
              <w:rPr>
                <w:sz w:val="20"/>
                <w:szCs w:val="20"/>
                <w:color w:val="auto"/>
              </w:rPr>
            </w:pPr>
            <w:r>
              <w:rPr>
                <w:rFonts w:ascii="Arial" w:cs="Arial" w:eastAsia="Arial" w:hAnsi="Arial"/>
                <w:sz w:val="18"/>
                <w:szCs w:val="18"/>
                <w:color w:val="auto"/>
              </w:rPr>
              <w:t>9/30/2017</w:t>
            </w:r>
          </w:p>
        </w:tc>
        <w:tc>
          <w:tcPr>
            <w:tcW w:w="100" w:type="dxa"/>
            <w:vAlign w:val="bottom"/>
          </w:tcPr>
          <w:p>
            <w:pPr>
              <w:spacing w:after="0"/>
              <w:rPr>
                <w:sz w:val="24"/>
                <w:szCs w:val="24"/>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4.1</w:t>
            </w: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11/6/2017</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95"/>
        </w:trPr>
        <w:tc>
          <w:tcPr>
            <w:tcW w:w="88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5980" w:type="dxa"/>
            <w:vAlign w:val="bottom"/>
            <w:gridSpan w:val="29"/>
          </w:tcPr>
          <w:p>
            <w:pPr>
              <w:spacing w:after="0" w:line="195" w:lineRule="exact"/>
              <w:rPr>
                <w:rFonts w:ascii="Arial" w:cs="Arial" w:eastAsia="Arial" w:hAnsi="Arial"/>
                <w:sz w:val="18"/>
                <w:szCs w:val="18"/>
                <w:color w:val="0000EE"/>
                <w:w w:val="94"/>
              </w:rPr>
            </w:pPr>
            <w:hyperlink r:id="rId94">
              <w:r>
                <w:rPr>
                  <w:rFonts w:ascii="Arial" w:cs="Arial" w:eastAsia="Arial" w:hAnsi="Arial"/>
                  <w:sz w:val="18"/>
                  <w:szCs w:val="18"/>
                  <w:color w:val="0000EE"/>
                  <w:w w:val="94"/>
                </w:rPr>
                <w:t>among ON Services – AV Specialists, Inc., the guarantors thereunder, to and in</w:t>
              </w:r>
            </w:hyperlink>
          </w:p>
        </w:tc>
        <w:tc>
          <w:tcPr>
            <w:tcW w:w="6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5"/>
        </w:trPr>
        <w:tc>
          <w:tcPr>
            <w:tcW w:w="88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5640" w:type="dxa"/>
            <w:vAlign w:val="bottom"/>
            <w:tcBorders>
              <w:top w:val="single" w:sz="8" w:color="0000EE"/>
              <w:bottom w:val="single" w:sz="8" w:color="0000EE"/>
            </w:tcBorders>
            <w:gridSpan w:val="23"/>
          </w:tcPr>
          <w:p>
            <w:pPr>
              <w:spacing w:after="0" w:line="195" w:lineRule="exact"/>
              <w:rPr>
                <w:rFonts w:ascii="Arial" w:cs="Arial" w:eastAsia="Arial" w:hAnsi="Arial"/>
                <w:sz w:val="18"/>
                <w:szCs w:val="18"/>
                <w:color w:val="0000EE"/>
                <w:w w:val="91"/>
              </w:rPr>
            </w:pPr>
            <w:hyperlink r:id="rId94">
              <w:r>
                <w:rPr>
                  <w:rFonts w:ascii="Arial" w:cs="Arial" w:eastAsia="Arial" w:hAnsi="Arial"/>
                  <w:sz w:val="18"/>
                  <w:szCs w:val="18"/>
                  <w:color w:val="0000EE"/>
                  <w:w w:val="91"/>
                </w:rPr>
                <w:t>favor of BMO Harris Bank, N.A., to Guaranty dated as of December 28, 2016.</w:t>
              </w:r>
            </w:hyperlink>
          </w:p>
        </w:tc>
        <w:tc>
          <w:tcPr>
            <w:tcW w:w="20" w:type="dxa"/>
            <w:vAlign w:val="bottom"/>
            <w:tcBorders>
              <w:top w:val="single" w:sz="8" w:color="0000EE"/>
            </w:tcBorders>
          </w:tcPr>
          <w:p>
            <w:pPr>
              <w:spacing w:after="0"/>
              <w:rPr>
                <w:sz w:val="16"/>
                <w:szCs w:val="16"/>
                <w:color w:val="auto"/>
              </w:rPr>
            </w:pPr>
          </w:p>
        </w:tc>
        <w:tc>
          <w:tcPr>
            <w:tcW w:w="320" w:type="dxa"/>
            <w:vAlign w:val="bottom"/>
            <w:gridSpan w:val="5"/>
          </w:tcPr>
          <w:p>
            <w:pPr>
              <w:spacing w:after="0"/>
              <w:rPr>
                <w:sz w:val="16"/>
                <w:szCs w:val="16"/>
                <w:color w:val="auto"/>
              </w:rPr>
            </w:pPr>
          </w:p>
        </w:tc>
        <w:tc>
          <w:tcPr>
            <w:tcW w:w="6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37"/>
        </w:trPr>
        <w:tc>
          <w:tcPr>
            <w:tcW w:w="880" w:type="dxa"/>
            <w:vAlign w:val="bottom"/>
          </w:tcPr>
          <w:p>
            <w:pPr>
              <w:spacing w:after="0"/>
              <w:rPr>
                <w:sz w:val="20"/>
                <w:szCs w:val="20"/>
                <w:color w:val="auto"/>
              </w:rPr>
            </w:pPr>
            <w:r>
              <w:rPr>
                <w:rFonts w:ascii="Arial" w:cs="Arial" w:eastAsia="Arial" w:hAnsi="Arial"/>
                <w:sz w:val="18"/>
                <w:szCs w:val="18"/>
                <w:color w:val="auto"/>
              </w:rPr>
              <w:t>4.B3</w:t>
            </w:r>
          </w:p>
        </w:tc>
        <w:tc>
          <w:tcPr>
            <w:tcW w:w="540" w:type="dxa"/>
            <w:vAlign w:val="bottom"/>
          </w:tcPr>
          <w:p>
            <w:pPr>
              <w:spacing w:after="0"/>
              <w:rPr>
                <w:sz w:val="24"/>
                <w:szCs w:val="24"/>
                <w:color w:val="auto"/>
              </w:rPr>
            </w:pPr>
          </w:p>
        </w:tc>
        <w:tc>
          <w:tcPr>
            <w:tcW w:w="5980" w:type="dxa"/>
            <w:vAlign w:val="bottom"/>
            <w:gridSpan w:val="29"/>
          </w:tcPr>
          <w:p>
            <w:pPr>
              <w:spacing w:after="0"/>
              <w:rPr>
                <w:rFonts w:ascii="Arial" w:cs="Arial" w:eastAsia="Arial" w:hAnsi="Arial"/>
                <w:sz w:val="18"/>
                <w:szCs w:val="18"/>
                <w:color w:val="0000EE"/>
                <w:w w:val="93"/>
              </w:rPr>
            </w:pPr>
            <w:hyperlink r:id="rId95">
              <w:r>
                <w:rPr>
                  <w:rFonts w:ascii="Arial" w:cs="Arial" w:eastAsia="Arial" w:hAnsi="Arial"/>
                  <w:sz w:val="18"/>
                  <w:szCs w:val="18"/>
                  <w:color w:val="0000EE"/>
                  <w:w w:val="93"/>
                </w:rPr>
                <w:t>First Amendment to Credit Agreement and Reaffirmation of Guaranties effective</w:t>
              </w:r>
            </w:hyperlink>
          </w:p>
        </w:tc>
        <w:tc>
          <w:tcPr>
            <w:tcW w:w="720" w:type="dxa"/>
            <w:vAlign w:val="bottom"/>
            <w:gridSpan w:val="2"/>
          </w:tcPr>
          <w:p>
            <w:pPr>
              <w:jc w:val="right"/>
              <w:ind w:right="120"/>
              <w:spacing w:after="0"/>
              <w:rPr>
                <w:sz w:val="20"/>
                <w:szCs w:val="20"/>
                <w:color w:val="auto"/>
              </w:rPr>
            </w:pPr>
            <w:r>
              <w:rPr>
                <w:rFonts w:ascii="Arial" w:cs="Arial" w:eastAsia="Arial" w:hAnsi="Arial"/>
                <w:sz w:val="18"/>
                <w:szCs w:val="18"/>
                <w:color w:val="auto"/>
              </w:rPr>
              <w:t>8-K</w:t>
            </w:r>
          </w:p>
        </w:tc>
        <w:tc>
          <w:tcPr>
            <w:tcW w:w="1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4.1</w:t>
            </w: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12/14/2017</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95"/>
        </w:trPr>
        <w:tc>
          <w:tcPr>
            <w:tcW w:w="88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5800" w:type="dxa"/>
            <w:vAlign w:val="bottom"/>
            <w:tcBorders>
              <w:top w:val="single" w:sz="8" w:color="0000EE"/>
            </w:tcBorders>
            <w:gridSpan w:val="27"/>
          </w:tcPr>
          <w:p>
            <w:pPr>
              <w:spacing w:after="0" w:line="195" w:lineRule="exact"/>
              <w:rPr>
                <w:rFonts w:ascii="Arial" w:cs="Arial" w:eastAsia="Arial" w:hAnsi="Arial"/>
                <w:sz w:val="18"/>
                <w:szCs w:val="18"/>
                <w:color w:val="0000EE"/>
                <w:w w:val="95"/>
              </w:rPr>
            </w:pPr>
            <w:hyperlink r:id="rId95">
              <w:r>
                <w:rPr>
                  <w:rFonts w:ascii="Arial" w:cs="Arial" w:eastAsia="Arial" w:hAnsi="Arial"/>
                  <w:sz w:val="18"/>
                  <w:szCs w:val="18"/>
                  <w:color w:val="0000EE"/>
                  <w:w w:val="95"/>
                </w:rPr>
                <w:t>as of December 6, 2017, to the Credit Agreement, among Brewster Inc., and</w:t>
              </w:r>
            </w:hyperlink>
          </w:p>
        </w:tc>
        <w:tc>
          <w:tcPr>
            <w:tcW w:w="180" w:type="dxa"/>
            <w:vAlign w:val="bottom"/>
            <w:gridSpan w:val="2"/>
          </w:tcPr>
          <w:p>
            <w:pPr>
              <w:spacing w:after="0"/>
              <w:rPr>
                <w:sz w:val="16"/>
                <w:szCs w:val="16"/>
                <w:color w:val="auto"/>
              </w:rPr>
            </w:pPr>
          </w:p>
        </w:tc>
        <w:tc>
          <w:tcPr>
            <w:tcW w:w="6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5"/>
        </w:trPr>
        <w:tc>
          <w:tcPr>
            <w:tcW w:w="88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5460" w:type="dxa"/>
            <w:vAlign w:val="bottom"/>
            <w:tcBorders>
              <w:top w:val="single" w:sz="8" w:color="0000EE"/>
            </w:tcBorders>
            <w:gridSpan w:val="18"/>
          </w:tcPr>
          <w:p>
            <w:pPr>
              <w:spacing w:after="0" w:line="195" w:lineRule="exact"/>
              <w:rPr>
                <w:rFonts w:ascii="Arial" w:cs="Arial" w:eastAsia="Arial" w:hAnsi="Arial"/>
                <w:sz w:val="18"/>
                <w:szCs w:val="18"/>
                <w:color w:val="0000EE"/>
              </w:rPr>
            </w:pPr>
            <w:hyperlink r:id="rId95">
              <w:r>
                <w:rPr>
                  <w:rFonts w:ascii="Arial" w:cs="Arial" w:eastAsia="Arial" w:hAnsi="Arial"/>
                  <w:sz w:val="18"/>
                  <w:szCs w:val="18"/>
                  <w:color w:val="0000EE"/>
                </w:rPr>
                <w:t>BMO Harris Bank N.A., dated as of December 28, 2016.</w:t>
              </w:r>
            </w:hyperlink>
          </w:p>
        </w:tc>
        <w:tc>
          <w:tcPr>
            <w:tcW w:w="520" w:type="dxa"/>
            <w:vAlign w:val="bottom"/>
            <w:gridSpan w:val="11"/>
          </w:tcPr>
          <w:p>
            <w:pPr>
              <w:spacing w:after="0"/>
              <w:rPr>
                <w:sz w:val="16"/>
                <w:szCs w:val="16"/>
                <w:color w:val="auto"/>
              </w:rPr>
            </w:pPr>
          </w:p>
        </w:tc>
        <w:tc>
          <w:tcPr>
            <w:tcW w:w="6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1"/>
        </w:trPr>
        <w:tc>
          <w:tcPr>
            <w:tcW w:w="880" w:type="dxa"/>
            <w:vAlign w:val="bottom"/>
          </w:tcPr>
          <w:p>
            <w:pPr>
              <w:spacing w:after="0"/>
              <w:rPr>
                <w:sz w:val="24"/>
                <w:szCs w:val="24"/>
                <w:color w:val="auto"/>
              </w:rPr>
            </w:pPr>
          </w:p>
        </w:tc>
        <w:tc>
          <w:tcPr>
            <w:tcW w:w="560" w:type="dxa"/>
            <w:vAlign w:val="bottom"/>
            <w:gridSpan w:val="2"/>
          </w:tcPr>
          <w:p>
            <w:pPr>
              <w:spacing w:after="0"/>
              <w:rPr>
                <w:sz w:val="24"/>
                <w:szCs w:val="24"/>
                <w:color w:val="auto"/>
              </w:rPr>
            </w:pPr>
          </w:p>
        </w:tc>
        <w:tc>
          <w:tcPr>
            <w:tcW w:w="4060" w:type="dxa"/>
            <w:vAlign w:val="bottom"/>
            <w:tcBorders>
              <w:top w:val="single" w:sz="8" w:color="0000EE"/>
            </w:tcBorders>
            <w:gridSpan w:val="5"/>
          </w:tcPr>
          <w:p>
            <w:pPr>
              <w:spacing w:after="0"/>
              <w:rPr>
                <w:sz w:val="24"/>
                <w:szCs w:val="24"/>
                <w:color w:val="auto"/>
              </w:rPr>
            </w:pPr>
          </w:p>
        </w:tc>
        <w:tc>
          <w:tcPr>
            <w:tcW w:w="380" w:type="dxa"/>
            <w:vAlign w:val="bottom"/>
            <w:gridSpan w:val="3"/>
          </w:tcPr>
          <w:p>
            <w:pPr>
              <w:jc w:val="right"/>
              <w:ind w:right="80"/>
              <w:spacing w:after="0"/>
              <w:rPr>
                <w:sz w:val="20"/>
                <w:szCs w:val="20"/>
                <w:color w:val="auto"/>
              </w:rPr>
            </w:pPr>
            <w:r>
              <w:rPr>
                <w:rFonts w:ascii="Arial" w:cs="Arial" w:eastAsia="Arial" w:hAnsi="Arial"/>
                <w:sz w:val="18"/>
                <w:szCs w:val="18"/>
                <w:color w:val="auto"/>
              </w:rPr>
              <w:t>40</w:t>
            </w:r>
          </w:p>
        </w:tc>
        <w:tc>
          <w:tcPr>
            <w:tcW w:w="3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4"/>
        </w:trPr>
        <w:tc>
          <w:tcPr>
            <w:tcW w:w="880" w:type="dxa"/>
            <w:vAlign w:val="bottom"/>
            <w:tcBorders>
              <w:bottom w:val="single" w:sz="8" w:color="9A9A9A"/>
            </w:tcBorders>
          </w:tcPr>
          <w:p>
            <w:pPr>
              <w:spacing w:after="0"/>
              <w:rPr>
                <w:sz w:val="9"/>
                <w:szCs w:val="9"/>
                <w:color w:val="auto"/>
              </w:rPr>
            </w:pPr>
          </w:p>
        </w:tc>
        <w:tc>
          <w:tcPr>
            <w:tcW w:w="540" w:type="dxa"/>
            <w:vAlign w:val="bottom"/>
            <w:tcBorders>
              <w:bottom w:val="single" w:sz="8" w:color="9A9A9A"/>
            </w:tcBorders>
          </w:tcPr>
          <w:p>
            <w:pPr>
              <w:spacing w:after="0"/>
              <w:rPr>
                <w:sz w:val="9"/>
                <w:szCs w:val="9"/>
                <w:color w:val="auto"/>
              </w:rPr>
            </w:pPr>
          </w:p>
        </w:tc>
        <w:tc>
          <w:tcPr>
            <w:tcW w:w="20" w:type="dxa"/>
            <w:vAlign w:val="bottom"/>
            <w:tcBorders>
              <w:bottom w:val="single" w:sz="8" w:color="9A9A9A"/>
            </w:tcBorders>
          </w:tcPr>
          <w:p>
            <w:pPr>
              <w:spacing w:after="0"/>
              <w:rPr>
                <w:sz w:val="9"/>
                <w:szCs w:val="9"/>
                <w:color w:val="auto"/>
              </w:rPr>
            </w:pPr>
          </w:p>
        </w:tc>
        <w:tc>
          <w:tcPr>
            <w:tcW w:w="1040" w:type="dxa"/>
            <w:vAlign w:val="bottom"/>
            <w:tcBorders>
              <w:bottom w:val="single" w:sz="8" w:color="9A9A9A"/>
            </w:tcBorders>
          </w:tcPr>
          <w:p>
            <w:pPr>
              <w:spacing w:after="0"/>
              <w:rPr>
                <w:sz w:val="9"/>
                <w:szCs w:val="9"/>
                <w:color w:val="auto"/>
              </w:rPr>
            </w:pPr>
          </w:p>
        </w:tc>
        <w:tc>
          <w:tcPr>
            <w:tcW w:w="1220" w:type="dxa"/>
            <w:vAlign w:val="bottom"/>
            <w:tcBorders>
              <w:bottom w:val="single" w:sz="8" w:color="9A9A9A"/>
            </w:tcBorders>
          </w:tcPr>
          <w:p>
            <w:pPr>
              <w:spacing w:after="0"/>
              <w:rPr>
                <w:sz w:val="9"/>
                <w:szCs w:val="9"/>
                <w:color w:val="auto"/>
              </w:rPr>
            </w:pPr>
          </w:p>
        </w:tc>
        <w:tc>
          <w:tcPr>
            <w:tcW w:w="1540" w:type="dxa"/>
            <w:vAlign w:val="bottom"/>
            <w:tcBorders>
              <w:bottom w:val="single" w:sz="8" w:color="9A9A9A"/>
            </w:tcBorders>
          </w:tcPr>
          <w:p>
            <w:pPr>
              <w:spacing w:after="0"/>
              <w:rPr>
                <w:sz w:val="9"/>
                <w:szCs w:val="9"/>
                <w:color w:val="auto"/>
              </w:rPr>
            </w:pPr>
          </w:p>
        </w:tc>
        <w:tc>
          <w:tcPr>
            <w:tcW w:w="20" w:type="dxa"/>
            <w:vAlign w:val="bottom"/>
            <w:tcBorders>
              <w:bottom w:val="single" w:sz="8" w:color="9A9A9A"/>
            </w:tcBorders>
          </w:tcPr>
          <w:p>
            <w:pPr>
              <w:spacing w:after="0"/>
              <w:rPr>
                <w:sz w:val="9"/>
                <w:szCs w:val="9"/>
                <w:color w:val="auto"/>
              </w:rPr>
            </w:pPr>
          </w:p>
        </w:tc>
        <w:tc>
          <w:tcPr>
            <w:tcW w:w="240" w:type="dxa"/>
            <w:vAlign w:val="bottom"/>
            <w:tcBorders>
              <w:bottom w:val="single" w:sz="8" w:color="9A9A9A"/>
            </w:tcBorders>
          </w:tcPr>
          <w:p>
            <w:pPr>
              <w:spacing w:after="0"/>
              <w:rPr>
                <w:sz w:val="9"/>
                <w:szCs w:val="9"/>
                <w:color w:val="auto"/>
              </w:rPr>
            </w:pPr>
          </w:p>
        </w:tc>
        <w:tc>
          <w:tcPr>
            <w:tcW w:w="140" w:type="dxa"/>
            <w:vAlign w:val="bottom"/>
            <w:tcBorders>
              <w:bottom w:val="single" w:sz="8" w:color="9A9A9A"/>
            </w:tcBorders>
          </w:tcPr>
          <w:p>
            <w:pPr>
              <w:spacing w:after="0"/>
              <w:rPr>
                <w:sz w:val="9"/>
                <w:szCs w:val="9"/>
                <w:color w:val="auto"/>
              </w:rPr>
            </w:pPr>
          </w:p>
        </w:tc>
        <w:tc>
          <w:tcPr>
            <w:tcW w:w="60" w:type="dxa"/>
            <w:vAlign w:val="bottom"/>
            <w:tcBorders>
              <w:bottom w:val="single" w:sz="8" w:color="9A9A9A"/>
            </w:tcBorders>
          </w:tcPr>
          <w:p>
            <w:pPr>
              <w:spacing w:after="0"/>
              <w:rPr>
                <w:sz w:val="9"/>
                <w:szCs w:val="9"/>
                <w:color w:val="auto"/>
              </w:rPr>
            </w:pPr>
          </w:p>
        </w:tc>
        <w:tc>
          <w:tcPr>
            <w:tcW w:w="180" w:type="dxa"/>
            <w:vAlign w:val="bottom"/>
            <w:tcBorders>
              <w:bottom w:val="single" w:sz="8" w:color="9A9A9A"/>
            </w:tcBorders>
          </w:tcPr>
          <w:p>
            <w:pPr>
              <w:spacing w:after="0"/>
              <w:rPr>
                <w:sz w:val="9"/>
                <w:szCs w:val="9"/>
                <w:color w:val="auto"/>
              </w:rPr>
            </w:pPr>
          </w:p>
        </w:tc>
        <w:tc>
          <w:tcPr>
            <w:tcW w:w="340" w:type="dxa"/>
            <w:vAlign w:val="bottom"/>
            <w:tcBorders>
              <w:bottom w:val="single" w:sz="8" w:color="9A9A9A"/>
            </w:tcBorders>
          </w:tcPr>
          <w:p>
            <w:pPr>
              <w:spacing w:after="0"/>
              <w:rPr>
                <w:sz w:val="9"/>
                <w:szCs w:val="9"/>
                <w:color w:val="auto"/>
              </w:rPr>
            </w:pPr>
          </w:p>
        </w:tc>
        <w:tc>
          <w:tcPr>
            <w:tcW w:w="280" w:type="dxa"/>
            <w:vAlign w:val="bottom"/>
            <w:tcBorders>
              <w:bottom w:val="single" w:sz="8" w:color="9A9A9A"/>
            </w:tcBorders>
          </w:tcPr>
          <w:p>
            <w:pPr>
              <w:spacing w:after="0"/>
              <w:rPr>
                <w:sz w:val="9"/>
                <w:szCs w:val="9"/>
                <w:color w:val="auto"/>
              </w:rPr>
            </w:pPr>
          </w:p>
        </w:tc>
        <w:tc>
          <w:tcPr>
            <w:tcW w:w="120" w:type="dxa"/>
            <w:vAlign w:val="bottom"/>
            <w:tcBorders>
              <w:bottom w:val="single" w:sz="8" w:color="9A9A9A"/>
            </w:tcBorders>
          </w:tcPr>
          <w:p>
            <w:pPr>
              <w:spacing w:after="0"/>
              <w:rPr>
                <w:sz w:val="9"/>
                <w:szCs w:val="9"/>
                <w:color w:val="auto"/>
              </w:rPr>
            </w:pPr>
          </w:p>
        </w:tc>
        <w:tc>
          <w:tcPr>
            <w:tcW w:w="120" w:type="dxa"/>
            <w:vAlign w:val="bottom"/>
            <w:tcBorders>
              <w:bottom w:val="single" w:sz="8" w:color="9A9A9A"/>
            </w:tcBorders>
          </w:tcPr>
          <w:p>
            <w:pPr>
              <w:spacing w:after="0"/>
              <w:rPr>
                <w:sz w:val="9"/>
                <w:szCs w:val="9"/>
                <w:color w:val="auto"/>
              </w:rPr>
            </w:pPr>
          </w:p>
        </w:tc>
        <w:tc>
          <w:tcPr>
            <w:tcW w:w="20" w:type="dxa"/>
            <w:vAlign w:val="bottom"/>
            <w:tcBorders>
              <w:bottom w:val="single" w:sz="8" w:color="9A9A9A"/>
            </w:tcBorders>
          </w:tcPr>
          <w:p>
            <w:pPr>
              <w:spacing w:after="0"/>
              <w:rPr>
                <w:sz w:val="9"/>
                <w:szCs w:val="9"/>
                <w:color w:val="auto"/>
              </w:rPr>
            </w:pPr>
          </w:p>
        </w:tc>
        <w:tc>
          <w:tcPr>
            <w:tcW w:w="60" w:type="dxa"/>
            <w:vAlign w:val="bottom"/>
            <w:tcBorders>
              <w:bottom w:val="single" w:sz="8" w:color="9A9A9A"/>
            </w:tcBorders>
          </w:tcPr>
          <w:p>
            <w:pPr>
              <w:spacing w:after="0"/>
              <w:rPr>
                <w:sz w:val="9"/>
                <w:szCs w:val="9"/>
                <w:color w:val="auto"/>
              </w:rPr>
            </w:pPr>
          </w:p>
        </w:tc>
        <w:tc>
          <w:tcPr>
            <w:tcW w:w="20" w:type="dxa"/>
            <w:vAlign w:val="bottom"/>
            <w:tcBorders>
              <w:bottom w:val="single" w:sz="8" w:color="9A9A9A"/>
            </w:tcBorders>
          </w:tcPr>
          <w:p>
            <w:pPr>
              <w:spacing w:after="0"/>
              <w:rPr>
                <w:sz w:val="9"/>
                <w:szCs w:val="9"/>
                <w:color w:val="auto"/>
              </w:rPr>
            </w:pPr>
          </w:p>
        </w:tc>
        <w:tc>
          <w:tcPr>
            <w:tcW w:w="20" w:type="dxa"/>
            <w:vAlign w:val="bottom"/>
            <w:tcBorders>
              <w:bottom w:val="single" w:sz="8" w:color="9A9A9A"/>
            </w:tcBorders>
          </w:tcPr>
          <w:p>
            <w:pPr>
              <w:spacing w:after="0"/>
              <w:rPr>
                <w:sz w:val="9"/>
                <w:szCs w:val="9"/>
                <w:color w:val="auto"/>
              </w:rPr>
            </w:pPr>
          </w:p>
        </w:tc>
        <w:tc>
          <w:tcPr>
            <w:tcW w:w="20" w:type="dxa"/>
            <w:vAlign w:val="bottom"/>
            <w:tcBorders>
              <w:bottom w:val="single" w:sz="8" w:color="9A9A9A"/>
            </w:tcBorders>
          </w:tcPr>
          <w:p>
            <w:pPr>
              <w:spacing w:after="0"/>
              <w:rPr>
                <w:sz w:val="9"/>
                <w:szCs w:val="9"/>
                <w:color w:val="auto"/>
              </w:rPr>
            </w:pPr>
          </w:p>
        </w:tc>
        <w:tc>
          <w:tcPr>
            <w:tcW w:w="80" w:type="dxa"/>
            <w:vAlign w:val="bottom"/>
            <w:tcBorders>
              <w:bottom w:val="single" w:sz="8" w:color="9A9A9A"/>
            </w:tcBorders>
          </w:tcPr>
          <w:p>
            <w:pPr>
              <w:spacing w:after="0"/>
              <w:rPr>
                <w:sz w:val="9"/>
                <w:szCs w:val="9"/>
                <w:color w:val="auto"/>
              </w:rPr>
            </w:pPr>
          </w:p>
        </w:tc>
        <w:tc>
          <w:tcPr>
            <w:tcW w:w="20" w:type="dxa"/>
            <w:vAlign w:val="bottom"/>
            <w:tcBorders>
              <w:bottom w:val="single" w:sz="8" w:color="9A9A9A"/>
            </w:tcBorders>
          </w:tcPr>
          <w:p>
            <w:pPr>
              <w:spacing w:after="0"/>
              <w:rPr>
                <w:sz w:val="9"/>
                <w:szCs w:val="9"/>
                <w:color w:val="auto"/>
              </w:rPr>
            </w:pPr>
          </w:p>
        </w:tc>
        <w:tc>
          <w:tcPr>
            <w:tcW w:w="40" w:type="dxa"/>
            <w:vAlign w:val="bottom"/>
            <w:tcBorders>
              <w:bottom w:val="single" w:sz="8" w:color="9A9A9A"/>
            </w:tcBorders>
          </w:tcPr>
          <w:p>
            <w:pPr>
              <w:spacing w:after="0"/>
              <w:rPr>
                <w:sz w:val="9"/>
                <w:szCs w:val="9"/>
                <w:color w:val="auto"/>
              </w:rPr>
            </w:pPr>
          </w:p>
        </w:tc>
        <w:tc>
          <w:tcPr>
            <w:tcW w:w="20" w:type="dxa"/>
            <w:vAlign w:val="bottom"/>
            <w:tcBorders>
              <w:bottom w:val="single" w:sz="8" w:color="9A9A9A"/>
            </w:tcBorders>
          </w:tcPr>
          <w:p>
            <w:pPr>
              <w:spacing w:after="0"/>
              <w:rPr>
                <w:sz w:val="9"/>
                <w:szCs w:val="9"/>
                <w:color w:val="auto"/>
              </w:rPr>
            </w:pPr>
          </w:p>
        </w:tc>
        <w:tc>
          <w:tcPr>
            <w:tcW w:w="20" w:type="dxa"/>
            <w:vAlign w:val="bottom"/>
            <w:tcBorders>
              <w:bottom w:val="single" w:sz="8" w:color="9A9A9A"/>
            </w:tcBorders>
          </w:tcPr>
          <w:p>
            <w:pPr>
              <w:spacing w:after="0"/>
              <w:rPr>
                <w:sz w:val="9"/>
                <w:szCs w:val="9"/>
                <w:color w:val="auto"/>
              </w:rPr>
            </w:pPr>
          </w:p>
        </w:tc>
        <w:tc>
          <w:tcPr>
            <w:tcW w:w="20" w:type="dxa"/>
            <w:vAlign w:val="bottom"/>
            <w:tcBorders>
              <w:bottom w:val="single" w:sz="8" w:color="9A9A9A"/>
            </w:tcBorders>
          </w:tcPr>
          <w:p>
            <w:pPr>
              <w:spacing w:after="0"/>
              <w:rPr>
                <w:sz w:val="9"/>
                <w:szCs w:val="9"/>
                <w:color w:val="auto"/>
              </w:rPr>
            </w:pPr>
          </w:p>
        </w:tc>
        <w:tc>
          <w:tcPr>
            <w:tcW w:w="20" w:type="dxa"/>
            <w:vAlign w:val="bottom"/>
            <w:tcBorders>
              <w:bottom w:val="single" w:sz="8" w:color="9A9A9A"/>
            </w:tcBorders>
          </w:tcPr>
          <w:p>
            <w:pPr>
              <w:spacing w:after="0"/>
              <w:rPr>
                <w:sz w:val="9"/>
                <w:szCs w:val="9"/>
                <w:color w:val="auto"/>
              </w:rPr>
            </w:pPr>
          </w:p>
        </w:tc>
        <w:tc>
          <w:tcPr>
            <w:tcW w:w="100" w:type="dxa"/>
            <w:vAlign w:val="bottom"/>
            <w:tcBorders>
              <w:bottom w:val="single" w:sz="8" w:color="9A9A9A"/>
            </w:tcBorders>
          </w:tcPr>
          <w:p>
            <w:pPr>
              <w:spacing w:after="0"/>
              <w:rPr>
                <w:sz w:val="9"/>
                <w:szCs w:val="9"/>
                <w:color w:val="auto"/>
              </w:rPr>
            </w:pPr>
          </w:p>
        </w:tc>
        <w:tc>
          <w:tcPr>
            <w:tcW w:w="20" w:type="dxa"/>
            <w:vAlign w:val="bottom"/>
            <w:tcBorders>
              <w:bottom w:val="single" w:sz="8" w:color="9A9A9A"/>
            </w:tcBorders>
          </w:tcPr>
          <w:p>
            <w:pPr>
              <w:spacing w:after="0"/>
              <w:rPr>
                <w:sz w:val="9"/>
                <w:szCs w:val="9"/>
                <w:color w:val="auto"/>
              </w:rPr>
            </w:pPr>
          </w:p>
        </w:tc>
        <w:tc>
          <w:tcPr>
            <w:tcW w:w="80" w:type="dxa"/>
            <w:vAlign w:val="bottom"/>
            <w:tcBorders>
              <w:bottom w:val="single" w:sz="8" w:color="9A9A9A"/>
            </w:tcBorders>
          </w:tcPr>
          <w:p>
            <w:pPr>
              <w:spacing w:after="0"/>
              <w:rPr>
                <w:sz w:val="9"/>
                <w:szCs w:val="9"/>
                <w:color w:val="auto"/>
              </w:rPr>
            </w:pPr>
          </w:p>
        </w:tc>
        <w:tc>
          <w:tcPr>
            <w:tcW w:w="100" w:type="dxa"/>
            <w:vAlign w:val="bottom"/>
            <w:tcBorders>
              <w:bottom w:val="single" w:sz="8" w:color="9A9A9A"/>
            </w:tcBorders>
          </w:tcPr>
          <w:p>
            <w:pPr>
              <w:spacing w:after="0"/>
              <w:rPr>
                <w:sz w:val="9"/>
                <w:szCs w:val="9"/>
                <w:color w:val="auto"/>
              </w:rPr>
            </w:pPr>
          </w:p>
        </w:tc>
        <w:tc>
          <w:tcPr>
            <w:tcW w:w="620" w:type="dxa"/>
            <w:vAlign w:val="bottom"/>
            <w:tcBorders>
              <w:bottom w:val="single" w:sz="8" w:color="9A9A9A"/>
            </w:tcBorders>
          </w:tcPr>
          <w:p>
            <w:pPr>
              <w:spacing w:after="0"/>
              <w:rPr>
                <w:sz w:val="9"/>
                <w:szCs w:val="9"/>
                <w:color w:val="auto"/>
              </w:rPr>
            </w:pPr>
          </w:p>
        </w:tc>
        <w:tc>
          <w:tcPr>
            <w:tcW w:w="100" w:type="dxa"/>
            <w:vAlign w:val="bottom"/>
            <w:tcBorders>
              <w:bottom w:val="single" w:sz="8" w:color="9A9A9A"/>
            </w:tcBorders>
          </w:tcPr>
          <w:p>
            <w:pPr>
              <w:spacing w:after="0"/>
              <w:rPr>
                <w:sz w:val="9"/>
                <w:szCs w:val="9"/>
                <w:color w:val="auto"/>
              </w:rPr>
            </w:pPr>
          </w:p>
        </w:tc>
        <w:tc>
          <w:tcPr>
            <w:tcW w:w="1240" w:type="dxa"/>
            <w:vAlign w:val="bottom"/>
            <w:tcBorders>
              <w:bottom w:val="single" w:sz="8" w:color="9A9A9A"/>
            </w:tcBorders>
          </w:tcPr>
          <w:p>
            <w:pPr>
              <w:spacing w:after="0"/>
              <w:rPr>
                <w:sz w:val="9"/>
                <w:szCs w:val="9"/>
                <w:color w:val="auto"/>
              </w:rPr>
            </w:pPr>
          </w:p>
        </w:tc>
        <w:tc>
          <w:tcPr>
            <w:tcW w:w="100" w:type="dxa"/>
            <w:vAlign w:val="bottom"/>
            <w:tcBorders>
              <w:bottom w:val="single" w:sz="8" w:color="9A9A9A"/>
            </w:tcBorders>
          </w:tcPr>
          <w:p>
            <w:pPr>
              <w:spacing w:after="0"/>
              <w:rPr>
                <w:sz w:val="9"/>
                <w:szCs w:val="9"/>
                <w:color w:val="auto"/>
              </w:rPr>
            </w:pPr>
          </w:p>
        </w:tc>
        <w:tc>
          <w:tcPr>
            <w:tcW w:w="620" w:type="dxa"/>
            <w:vAlign w:val="bottom"/>
            <w:tcBorders>
              <w:bottom w:val="single" w:sz="8" w:color="9A9A9A"/>
            </w:tcBorders>
          </w:tcPr>
          <w:p>
            <w:pPr>
              <w:spacing w:after="0"/>
              <w:rPr>
                <w:sz w:val="9"/>
                <w:szCs w:val="9"/>
                <w:color w:val="auto"/>
              </w:rPr>
            </w:pPr>
          </w:p>
        </w:tc>
        <w:tc>
          <w:tcPr>
            <w:tcW w:w="120" w:type="dxa"/>
            <w:vAlign w:val="bottom"/>
            <w:tcBorders>
              <w:bottom w:val="single" w:sz="8" w:color="9A9A9A"/>
            </w:tcBorders>
          </w:tcPr>
          <w:p>
            <w:pPr>
              <w:spacing w:after="0"/>
              <w:rPr>
                <w:sz w:val="9"/>
                <w:szCs w:val="9"/>
                <w:color w:val="auto"/>
              </w:rPr>
            </w:pPr>
          </w:p>
        </w:tc>
        <w:tc>
          <w:tcPr>
            <w:tcW w:w="140" w:type="dxa"/>
            <w:vAlign w:val="bottom"/>
            <w:tcBorders>
              <w:bottom w:val="single" w:sz="8" w:color="9A9A9A"/>
            </w:tcBorders>
          </w:tcPr>
          <w:p>
            <w:pPr>
              <w:spacing w:after="0"/>
              <w:rPr>
                <w:sz w:val="9"/>
                <w:szCs w:val="9"/>
                <w:color w:val="auto"/>
              </w:rPr>
            </w:pPr>
          </w:p>
        </w:tc>
        <w:tc>
          <w:tcPr>
            <w:tcW w:w="1080" w:type="dxa"/>
            <w:vAlign w:val="bottom"/>
            <w:tcBorders>
              <w:bottom w:val="single" w:sz="8" w:color="9A9A9A"/>
            </w:tcBorders>
          </w:tcPr>
          <w:p>
            <w:pPr>
              <w:spacing w:after="0"/>
              <w:rPr>
                <w:sz w:val="9"/>
                <w:szCs w:val="9"/>
                <w:color w:val="auto"/>
              </w:rPr>
            </w:pPr>
          </w:p>
        </w:tc>
        <w:tc>
          <w:tcPr>
            <w:tcW w:w="20" w:type="dxa"/>
            <w:vAlign w:val="bottom"/>
            <w:tcBorders>
              <w:bottom w:val="single" w:sz="8" w:color="9A9A9A"/>
            </w:tcBorders>
          </w:tcPr>
          <w:p>
            <w:pPr>
              <w:spacing w:after="0"/>
              <w:rPr>
                <w:sz w:val="9"/>
                <w:szCs w:val="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7247890</wp:posOffset>
            </wp:positionH>
            <wp:positionV relativeFrom="paragraph">
              <wp:posOffset>-29210</wp:posOffset>
            </wp:positionV>
            <wp:extent cx="33655" cy="42545"/>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96">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3655" cy="42545"/>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97">
                      <a:extLst>
                        <a:ext uri="{28A0092B-C50C-407E-A947-70E740481C1C}"/>
                      </a:extLst>
                    </a:blip>
                    <a:srcRect/>
                    <a:stretch>
                      <a:fillRect/>
                    </a:stretch>
                  </pic:blipFill>
                  <pic:spPr bwMode="auto">
                    <a:xfrm>
                      <a:off x="0" y="0"/>
                      <a:ext cx="33655" cy="42545"/>
                    </a:xfrm>
                    <a:prstGeom prst="rect">
                      <a:avLst/>
                    </a:prstGeom>
                    <a:noFill/>
                  </pic:spPr>
                </pic:pic>
              </a:graphicData>
            </a:graphic>
          </wp:anchor>
        </w:drawing>
      </w:r>
    </w:p>
    <w:p>
      <w:pPr>
        <w:sectPr>
          <w:pgSz w:w="11900" w:h="16838" w:orient="portrait"/>
          <w:cols w:equalWidth="0" w:num="1">
            <w:col w:w="11440"/>
          </w:cols>
          <w:pgMar w:left="240" w:top="659" w:right="219" w:bottom="1440" w:gutter="0" w:footer="0" w:header="0"/>
        </w:sectPr>
      </w:pPr>
    </w:p>
    <w:bookmarkStart w:id="42" w:name="page43"/>
    <w:bookmarkEnd w:id="42"/>
    <w:tbl>
      <w:tblPr>
        <w:tblLayout w:type="fixed"/>
        <w:tblInd w:w="0" w:type="dxa"/>
        <w:tblCellMar>
          <w:top w:w="0" w:type="dxa"/>
          <w:left w:w="0" w:type="dxa"/>
          <w:bottom w:w="0" w:type="dxa"/>
          <w:right w:w="0" w:type="dxa"/>
        </w:tblCellMar>
      </w:tblPr>
      <w:tr>
        <w:trPr>
          <w:trHeight w:val="207"/>
        </w:trPr>
        <w:tc>
          <w:tcPr>
            <w:tcW w:w="780" w:type="dxa"/>
            <w:vAlign w:val="bottom"/>
          </w:tcPr>
          <w:p>
            <w:pPr>
              <w:spacing w:after="0"/>
              <w:rPr>
                <w:sz w:val="20"/>
                <w:szCs w:val="20"/>
                <w:color w:val="auto"/>
              </w:rPr>
            </w:pPr>
            <w:r>
              <w:rPr>
                <w:rFonts w:ascii="Arial" w:cs="Arial" w:eastAsia="Arial" w:hAnsi="Arial"/>
                <w:sz w:val="18"/>
                <w:szCs w:val="18"/>
                <w:color w:val="auto"/>
              </w:rPr>
              <w:t>10.A1</w:t>
            </w:r>
          </w:p>
        </w:tc>
        <w:tc>
          <w:tcPr>
            <w:tcW w:w="640" w:type="dxa"/>
            <w:vAlign w:val="bottom"/>
          </w:tcPr>
          <w:p>
            <w:pPr>
              <w:spacing w:after="0"/>
              <w:rPr>
                <w:sz w:val="17"/>
                <w:szCs w:val="17"/>
                <w:color w:val="auto"/>
              </w:rPr>
            </w:pPr>
          </w:p>
        </w:tc>
        <w:tc>
          <w:tcPr>
            <w:tcW w:w="5800" w:type="dxa"/>
            <w:vAlign w:val="bottom"/>
            <w:gridSpan w:val="17"/>
          </w:tcPr>
          <w:p>
            <w:pPr>
              <w:spacing w:after="0"/>
              <w:rPr>
                <w:rFonts w:ascii="Arial" w:cs="Arial" w:eastAsia="Arial" w:hAnsi="Arial"/>
                <w:sz w:val="18"/>
                <w:szCs w:val="18"/>
                <w:color w:val="0000EE"/>
                <w:w w:val="95"/>
              </w:rPr>
            </w:pPr>
            <w:hyperlink r:id="rId98">
              <w:r>
                <w:rPr>
                  <w:rFonts w:ascii="Arial" w:cs="Arial" w:eastAsia="Arial" w:hAnsi="Arial"/>
                  <w:sz w:val="18"/>
                  <w:szCs w:val="18"/>
                  <w:color w:val="0000EE"/>
                  <w:w w:val="95"/>
                </w:rPr>
                <w:t>2007 Viad Corp Omnibus Incentive Plan, filed as Appendix A to Viad Corp’s</w:t>
              </w:r>
            </w:hyperlink>
          </w:p>
        </w:tc>
      </w:tr>
      <w:tr>
        <w:trPr>
          <w:trHeight w:val="195"/>
        </w:trPr>
        <w:tc>
          <w:tcPr>
            <w:tcW w:w="780" w:type="dxa"/>
            <w:vAlign w:val="bottom"/>
          </w:tcPr>
          <w:p>
            <w:pPr>
              <w:spacing w:after="0"/>
              <w:rPr>
                <w:sz w:val="16"/>
                <w:szCs w:val="16"/>
                <w:color w:val="auto"/>
              </w:rPr>
            </w:pPr>
          </w:p>
        </w:tc>
        <w:tc>
          <w:tcPr>
            <w:tcW w:w="640" w:type="dxa"/>
            <w:vAlign w:val="bottom"/>
          </w:tcPr>
          <w:p>
            <w:pPr>
              <w:jc w:val="right"/>
              <w:ind w:right="230"/>
              <w:spacing w:after="0" w:line="195" w:lineRule="exact"/>
              <w:rPr>
                <w:sz w:val="20"/>
                <w:szCs w:val="20"/>
                <w:color w:val="auto"/>
              </w:rPr>
            </w:pPr>
            <w:r>
              <w:rPr>
                <w:rFonts w:ascii="Arial" w:cs="Arial" w:eastAsia="Arial" w:hAnsi="Arial"/>
                <w:sz w:val="18"/>
                <w:szCs w:val="18"/>
                <w:color w:val="auto"/>
              </w:rPr>
              <w:t>+</w:t>
            </w:r>
          </w:p>
        </w:tc>
        <w:tc>
          <w:tcPr>
            <w:tcW w:w="5540" w:type="dxa"/>
            <w:vAlign w:val="bottom"/>
            <w:tcBorders>
              <w:top w:val="single" w:sz="8" w:color="0000EE"/>
            </w:tcBorders>
            <w:gridSpan w:val="13"/>
          </w:tcPr>
          <w:p>
            <w:pPr>
              <w:spacing w:after="0" w:line="195" w:lineRule="exact"/>
              <w:rPr>
                <w:rFonts w:ascii="Arial" w:cs="Arial" w:eastAsia="Arial" w:hAnsi="Arial"/>
                <w:sz w:val="18"/>
                <w:szCs w:val="18"/>
                <w:color w:val="0000EE"/>
              </w:rPr>
            </w:pPr>
            <w:hyperlink r:id="rId98">
              <w:r>
                <w:rPr>
                  <w:rFonts w:ascii="Arial" w:cs="Arial" w:eastAsia="Arial" w:hAnsi="Arial"/>
                  <w:sz w:val="18"/>
                  <w:szCs w:val="18"/>
                  <w:color w:val="0000EE"/>
                </w:rPr>
                <w:t>Proxy Statement for the 2012 Annual Meeting of Shareholders.</w:t>
              </w:r>
            </w:hyperlink>
          </w:p>
        </w:tc>
        <w:tc>
          <w:tcPr>
            <w:tcW w:w="260" w:type="dxa"/>
            <w:vAlign w:val="bottom"/>
            <w:gridSpan w:val="4"/>
          </w:tcPr>
          <w:p>
            <w:pPr>
              <w:spacing w:after="0"/>
              <w:rPr>
                <w:sz w:val="16"/>
                <w:szCs w:val="16"/>
                <w:color w:val="auto"/>
              </w:rPr>
            </w:pPr>
          </w:p>
        </w:tc>
      </w:tr>
      <w:tr>
        <w:trPr>
          <w:trHeight w:val="20"/>
        </w:trPr>
        <w:tc>
          <w:tcPr>
            <w:tcW w:w="78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1080" w:type="dxa"/>
            <w:vAlign w:val="bottom"/>
            <w:shd w:val="clear" w:color="auto" w:fill="0000EE"/>
          </w:tcPr>
          <w:p>
            <w:pPr>
              <w:spacing w:after="0" w:line="20" w:lineRule="exact"/>
              <w:rPr>
                <w:sz w:val="1"/>
                <w:szCs w:val="1"/>
                <w:color w:val="auto"/>
              </w:rPr>
            </w:pPr>
          </w:p>
        </w:tc>
        <w:tc>
          <w:tcPr>
            <w:tcW w:w="1340" w:type="dxa"/>
            <w:vAlign w:val="bottom"/>
            <w:shd w:val="clear" w:color="auto" w:fill="0000EE"/>
          </w:tcPr>
          <w:p>
            <w:pPr>
              <w:spacing w:after="0" w:line="20" w:lineRule="exact"/>
              <w:rPr>
                <w:sz w:val="1"/>
                <w:szCs w:val="1"/>
                <w:color w:val="auto"/>
              </w:rPr>
            </w:pPr>
          </w:p>
        </w:tc>
        <w:tc>
          <w:tcPr>
            <w:tcW w:w="1000" w:type="dxa"/>
            <w:vAlign w:val="bottom"/>
            <w:shd w:val="clear" w:color="auto" w:fill="0000EE"/>
          </w:tcPr>
          <w:p>
            <w:pPr>
              <w:spacing w:after="0" w:line="20" w:lineRule="exact"/>
              <w:rPr>
                <w:sz w:val="1"/>
                <w:szCs w:val="1"/>
                <w:color w:val="auto"/>
              </w:rPr>
            </w:pPr>
          </w:p>
        </w:tc>
        <w:tc>
          <w:tcPr>
            <w:tcW w:w="660" w:type="dxa"/>
            <w:vAlign w:val="bottom"/>
            <w:shd w:val="clear" w:color="auto" w:fill="0000EE"/>
          </w:tcPr>
          <w:p>
            <w:pPr>
              <w:spacing w:after="0" w:line="20" w:lineRule="exact"/>
              <w:rPr>
                <w:sz w:val="1"/>
                <w:szCs w:val="1"/>
                <w:color w:val="auto"/>
              </w:rPr>
            </w:pPr>
          </w:p>
        </w:tc>
        <w:tc>
          <w:tcPr>
            <w:tcW w:w="440" w:type="dxa"/>
            <w:vAlign w:val="bottom"/>
            <w:shd w:val="clear" w:color="auto" w:fill="0000EE"/>
          </w:tcPr>
          <w:p>
            <w:pPr>
              <w:spacing w:after="0" w:line="20" w:lineRule="exact"/>
              <w:rPr>
                <w:sz w:val="1"/>
                <w:szCs w:val="1"/>
                <w:color w:val="auto"/>
              </w:rPr>
            </w:pPr>
          </w:p>
        </w:tc>
        <w:tc>
          <w:tcPr>
            <w:tcW w:w="600" w:type="dxa"/>
            <w:vAlign w:val="bottom"/>
            <w:tcBorders>
              <w:left w:val="single" w:sz="8" w:color="0000EE"/>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r>
        <w:trPr>
          <w:trHeight w:val="437"/>
        </w:trPr>
        <w:tc>
          <w:tcPr>
            <w:tcW w:w="780" w:type="dxa"/>
            <w:vAlign w:val="bottom"/>
          </w:tcPr>
          <w:p>
            <w:pPr>
              <w:spacing w:after="0"/>
              <w:rPr>
                <w:sz w:val="20"/>
                <w:szCs w:val="20"/>
                <w:color w:val="auto"/>
              </w:rPr>
            </w:pPr>
            <w:r>
              <w:rPr>
                <w:rFonts w:ascii="Arial" w:cs="Arial" w:eastAsia="Arial" w:hAnsi="Arial"/>
                <w:sz w:val="18"/>
                <w:szCs w:val="18"/>
                <w:color w:val="auto"/>
              </w:rPr>
              <w:t>10.A2</w:t>
            </w:r>
          </w:p>
        </w:tc>
        <w:tc>
          <w:tcPr>
            <w:tcW w:w="640" w:type="dxa"/>
            <w:vAlign w:val="bottom"/>
          </w:tcPr>
          <w:p>
            <w:pPr>
              <w:spacing w:after="0"/>
              <w:rPr>
                <w:sz w:val="24"/>
                <w:szCs w:val="24"/>
                <w:color w:val="auto"/>
              </w:rPr>
            </w:pPr>
          </w:p>
        </w:tc>
        <w:tc>
          <w:tcPr>
            <w:tcW w:w="5480" w:type="dxa"/>
            <w:vAlign w:val="bottom"/>
            <w:tcBorders>
              <w:bottom w:val="single" w:sz="8" w:color="0000EE"/>
            </w:tcBorders>
            <w:gridSpan w:val="12"/>
          </w:tcPr>
          <w:p>
            <w:pPr>
              <w:spacing w:after="0"/>
              <w:rPr>
                <w:rFonts w:ascii="Arial" w:cs="Arial" w:eastAsia="Arial" w:hAnsi="Arial"/>
                <w:sz w:val="18"/>
                <w:szCs w:val="18"/>
                <w:color w:val="0000EE"/>
                <w:w w:val="91"/>
              </w:rPr>
            </w:pPr>
            <w:hyperlink r:id="rId99">
              <w:r>
                <w:rPr>
                  <w:rFonts w:ascii="Arial" w:cs="Arial" w:eastAsia="Arial" w:hAnsi="Arial"/>
                  <w:sz w:val="18"/>
                  <w:szCs w:val="18"/>
                  <w:color w:val="0000EE"/>
                  <w:w w:val="91"/>
                </w:rPr>
                <w:t>Form of Restricted Stock Agreement - Executives, (three-year cliff vesting),</w:t>
              </w:r>
            </w:hyperlink>
          </w:p>
        </w:tc>
        <w:tc>
          <w:tcPr>
            <w:tcW w:w="320" w:type="dxa"/>
            <w:vAlign w:val="bottom"/>
            <w:gridSpan w:val="5"/>
          </w:tcPr>
          <w:p>
            <w:pPr>
              <w:spacing w:after="0"/>
              <w:rPr>
                <w:sz w:val="24"/>
                <w:szCs w:val="24"/>
                <w:color w:val="auto"/>
              </w:rPr>
            </w:pPr>
          </w:p>
        </w:tc>
      </w:tr>
      <w:tr>
        <w:trPr>
          <w:trHeight w:val="195"/>
        </w:trPr>
        <w:tc>
          <w:tcPr>
            <w:tcW w:w="78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5240" w:type="dxa"/>
            <w:vAlign w:val="bottom"/>
            <w:tcBorders>
              <w:bottom w:val="single" w:sz="8" w:color="0000EE"/>
            </w:tcBorders>
            <w:gridSpan w:val="7"/>
          </w:tcPr>
          <w:p>
            <w:pPr>
              <w:spacing w:after="0" w:line="195" w:lineRule="exact"/>
              <w:rPr>
                <w:rFonts w:ascii="Arial" w:cs="Arial" w:eastAsia="Arial" w:hAnsi="Arial"/>
                <w:sz w:val="18"/>
                <w:szCs w:val="18"/>
                <w:color w:val="0000EE"/>
                <w:w w:val="90"/>
              </w:rPr>
            </w:pPr>
            <w:hyperlink r:id="rId99">
              <w:r>
                <w:rPr>
                  <w:rFonts w:ascii="Arial" w:cs="Arial" w:eastAsia="Arial" w:hAnsi="Arial"/>
                  <w:sz w:val="18"/>
                  <w:szCs w:val="18"/>
                  <w:color w:val="0000EE"/>
                  <w:w w:val="90"/>
                </w:rPr>
                <w:t>effective as of March 26, 2014, pursuant to the 2007 Viad Corp Omnibus</w:t>
              </w:r>
            </w:hyperlink>
          </w:p>
        </w:tc>
        <w:tc>
          <w:tcPr>
            <w:tcW w:w="560" w:type="dxa"/>
            <w:vAlign w:val="bottom"/>
            <w:gridSpan w:val="10"/>
          </w:tcPr>
          <w:p>
            <w:pPr>
              <w:spacing w:after="0"/>
              <w:rPr>
                <w:sz w:val="16"/>
                <w:szCs w:val="16"/>
                <w:color w:val="auto"/>
              </w:rPr>
            </w:pPr>
          </w:p>
        </w:tc>
      </w:tr>
      <w:tr>
        <w:trPr>
          <w:trHeight w:val="195"/>
        </w:trPr>
        <w:tc>
          <w:tcPr>
            <w:tcW w:w="780" w:type="dxa"/>
            <w:vAlign w:val="bottom"/>
          </w:tcPr>
          <w:p>
            <w:pPr>
              <w:spacing w:after="0"/>
              <w:rPr>
                <w:sz w:val="16"/>
                <w:szCs w:val="16"/>
                <w:color w:val="auto"/>
              </w:rPr>
            </w:pPr>
          </w:p>
        </w:tc>
        <w:tc>
          <w:tcPr>
            <w:tcW w:w="640" w:type="dxa"/>
            <w:vAlign w:val="bottom"/>
          </w:tcPr>
          <w:p>
            <w:pPr>
              <w:jc w:val="right"/>
              <w:ind w:right="230"/>
              <w:spacing w:after="0" w:line="195" w:lineRule="exact"/>
              <w:rPr>
                <w:sz w:val="20"/>
                <w:szCs w:val="20"/>
                <w:color w:val="auto"/>
              </w:rPr>
            </w:pPr>
            <w:r>
              <w:rPr>
                <w:rFonts w:ascii="Arial" w:cs="Arial" w:eastAsia="Arial" w:hAnsi="Arial"/>
                <w:sz w:val="18"/>
                <w:szCs w:val="18"/>
                <w:color w:val="auto"/>
              </w:rPr>
              <w:t>+</w:t>
            </w:r>
          </w:p>
        </w:tc>
        <w:tc>
          <w:tcPr>
            <w:tcW w:w="1080" w:type="dxa"/>
            <w:vAlign w:val="bottom"/>
            <w:tcBorders>
              <w:bottom w:val="single" w:sz="8" w:color="0000EE"/>
            </w:tcBorders>
          </w:tcPr>
          <w:p>
            <w:pPr>
              <w:spacing w:after="0" w:line="195" w:lineRule="exact"/>
              <w:rPr>
                <w:rFonts w:ascii="Arial" w:cs="Arial" w:eastAsia="Arial" w:hAnsi="Arial"/>
                <w:sz w:val="18"/>
                <w:szCs w:val="18"/>
                <w:color w:val="0000EE"/>
                <w:w w:val="89"/>
              </w:rPr>
            </w:pPr>
            <w:hyperlink r:id="rId99">
              <w:r>
                <w:rPr>
                  <w:rFonts w:ascii="Arial" w:cs="Arial" w:eastAsia="Arial" w:hAnsi="Arial"/>
                  <w:sz w:val="18"/>
                  <w:szCs w:val="18"/>
                  <w:color w:val="0000EE"/>
                  <w:w w:val="89"/>
                </w:rPr>
                <w:t>Incentive Plan.</w:t>
              </w:r>
            </w:hyperlink>
          </w:p>
        </w:tc>
        <w:tc>
          <w:tcPr>
            <w:tcW w:w="4720" w:type="dxa"/>
            <w:vAlign w:val="bottom"/>
            <w:gridSpan w:val="16"/>
          </w:tcPr>
          <w:p>
            <w:pPr>
              <w:spacing w:after="0"/>
              <w:rPr>
                <w:sz w:val="16"/>
                <w:szCs w:val="16"/>
                <w:color w:val="auto"/>
              </w:rPr>
            </w:pPr>
          </w:p>
        </w:tc>
      </w:tr>
      <w:tr>
        <w:trPr>
          <w:trHeight w:val="437"/>
        </w:trPr>
        <w:tc>
          <w:tcPr>
            <w:tcW w:w="780" w:type="dxa"/>
            <w:vAlign w:val="bottom"/>
          </w:tcPr>
          <w:p>
            <w:pPr>
              <w:spacing w:after="0"/>
              <w:rPr>
                <w:sz w:val="20"/>
                <w:szCs w:val="20"/>
                <w:color w:val="auto"/>
              </w:rPr>
            </w:pPr>
            <w:r>
              <w:rPr>
                <w:rFonts w:ascii="Arial" w:cs="Arial" w:eastAsia="Arial" w:hAnsi="Arial"/>
                <w:sz w:val="18"/>
                <w:szCs w:val="18"/>
                <w:color w:val="auto"/>
              </w:rPr>
              <w:t>10.A3</w:t>
            </w:r>
          </w:p>
        </w:tc>
        <w:tc>
          <w:tcPr>
            <w:tcW w:w="640" w:type="dxa"/>
            <w:vAlign w:val="bottom"/>
          </w:tcPr>
          <w:p>
            <w:pPr>
              <w:spacing w:after="0"/>
              <w:rPr>
                <w:sz w:val="24"/>
                <w:szCs w:val="24"/>
                <w:color w:val="auto"/>
              </w:rPr>
            </w:pPr>
          </w:p>
        </w:tc>
        <w:tc>
          <w:tcPr>
            <w:tcW w:w="5800" w:type="dxa"/>
            <w:vAlign w:val="bottom"/>
            <w:gridSpan w:val="17"/>
          </w:tcPr>
          <w:p>
            <w:pPr>
              <w:spacing w:after="0"/>
              <w:rPr>
                <w:rFonts w:ascii="Arial" w:cs="Arial" w:eastAsia="Arial" w:hAnsi="Arial"/>
                <w:sz w:val="18"/>
                <w:szCs w:val="18"/>
                <w:color w:val="0000EE"/>
                <w:w w:val="97"/>
              </w:rPr>
            </w:pPr>
            <w:hyperlink r:id="rId100">
              <w:r>
                <w:rPr>
                  <w:rFonts w:ascii="Arial" w:cs="Arial" w:eastAsia="Arial" w:hAnsi="Arial"/>
                  <w:sz w:val="18"/>
                  <w:szCs w:val="18"/>
                  <w:color w:val="0000EE"/>
                  <w:w w:val="97"/>
                </w:rPr>
                <w:t>Form of Restricted Stock Units Agreement, effective as of March 26, 2014,</w:t>
              </w:r>
            </w:hyperlink>
          </w:p>
        </w:tc>
      </w:tr>
      <w:tr>
        <w:trPr>
          <w:trHeight w:val="195"/>
        </w:trPr>
        <w:tc>
          <w:tcPr>
            <w:tcW w:w="780" w:type="dxa"/>
            <w:vAlign w:val="bottom"/>
          </w:tcPr>
          <w:p>
            <w:pPr>
              <w:spacing w:after="0"/>
              <w:rPr>
                <w:sz w:val="16"/>
                <w:szCs w:val="16"/>
                <w:color w:val="auto"/>
              </w:rPr>
            </w:pPr>
          </w:p>
        </w:tc>
        <w:tc>
          <w:tcPr>
            <w:tcW w:w="640" w:type="dxa"/>
            <w:vAlign w:val="bottom"/>
          </w:tcPr>
          <w:p>
            <w:pPr>
              <w:jc w:val="right"/>
              <w:ind w:right="230"/>
              <w:spacing w:after="0" w:line="195" w:lineRule="exact"/>
              <w:rPr>
                <w:sz w:val="20"/>
                <w:szCs w:val="20"/>
                <w:color w:val="auto"/>
              </w:rPr>
            </w:pPr>
            <w:r>
              <w:rPr>
                <w:rFonts w:ascii="Arial" w:cs="Arial" w:eastAsia="Arial" w:hAnsi="Arial"/>
                <w:sz w:val="18"/>
                <w:szCs w:val="18"/>
                <w:color w:val="auto"/>
              </w:rPr>
              <w:t>+</w:t>
            </w:r>
          </w:p>
        </w:tc>
        <w:tc>
          <w:tcPr>
            <w:tcW w:w="4080" w:type="dxa"/>
            <w:vAlign w:val="bottom"/>
            <w:tcBorders>
              <w:top w:val="single" w:sz="8" w:color="0000EE"/>
              <w:bottom w:val="single" w:sz="8" w:color="0000EE"/>
            </w:tcBorders>
            <w:gridSpan w:val="4"/>
          </w:tcPr>
          <w:p>
            <w:pPr>
              <w:spacing w:after="0" w:line="195" w:lineRule="exact"/>
              <w:rPr>
                <w:rFonts w:ascii="Arial" w:cs="Arial" w:eastAsia="Arial" w:hAnsi="Arial"/>
                <w:sz w:val="18"/>
                <w:szCs w:val="18"/>
                <w:color w:val="0000EE"/>
                <w:w w:val="90"/>
              </w:rPr>
            </w:pPr>
            <w:hyperlink r:id="rId100">
              <w:r>
                <w:rPr>
                  <w:rFonts w:ascii="Arial" w:cs="Arial" w:eastAsia="Arial" w:hAnsi="Arial"/>
                  <w:sz w:val="18"/>
                  <w:szCs w:val="18"/>
                  <w:color w:val="0000EE"/>
                  <w:w w:val="90"/>
                </w:rPr>
                <w:t>pursuant to the 2007 Viad Corp Omnibus Incentive Plan.</w:t>
              </w:r>
            </w:hyperlink>
          </w:p>
        </w:tc>
        <w:tc>
          <w:tcPr>
            <w:tcW w:w="1320" w:type="dxa"/>
            <w:vAlign w:val="bottom"/>
            <w:tcBorders>
              <w:top w:val="single" w:sz="8" w:color="0000EE"/>
            </w:tcBorders>
            <w:gridSpan w:val="6"/>
          </w:tcPr>
          <w:p>
            <w:pPr>
              <w:spacing w:after="0"/>
              <w:rPr>
                <w:sz w:val="16"/>
                <w:szCs w:val="16"/>
                <w:color w:val="auto"/>
              </w:rPr>
            </w:pPr>
          </w:p>
        </w:tc>
        <w:tc>
          <w:tcPr>
            <w:tcW w:w="400" w:type="dxa"/>
            <w:vAlign w:val="bottom"/>
            <w:gridSpan w:val="7"/>
          </w:tcPr>
          <w:p>
            <w:pPr>
              <w:spacing w:after="0"/>
              <w:rPr>
                <w:sz w:val="16"/>
                <w:szCs w:val="16"/>
                <w:color w:val="auto"/>
              </w:rPr>
            </w:pPr>
          </w:p>
        </w:tc>
      </w:tr>
      <w:tr>
        <w:trPr>
          <w:trHeight w:val="437"/>
        </w:trPr>
        <w:tc>
          <w:tcPr>
            <w:tcW w:w="780" w:type="dxa"/>
            <w:vAlign w:val="bottom"/>
          </w:tcPr>
          <w:p>
            <w:pPr>
              <w:spacing w:after="0"/>
              <w:rPr>
                <w:sz w:val="20"/>
                <w:szCs w:val="20"/>
                <w:color w:val="auto"/>
              </w:rPr>
            </w:pPr>
            <w:r>
              <w:rPr>
                <w:rFonts w:ascii="Arial" w:cs="Arial" w:eastAsia="Arial" w:hAnsi="Arial"/>
                <w:sz w:val="18"/>
                <w:szCs w:val="18"/>
                <w:color w:val="auto"/>
              </w:rPr>
              <w:t>10.A4</w:t>
            </w:r>
          </w:p>
        </w:tc>
        <w:tc>
          <w:tcPr>
            <w:tcW w:w="640" w:type="dxa"/>
            <w:vAlign w:val="bottom"/>
          </w:tcPr>
          <w:p>
            <w:pPr>
              <w:spacing w:after="0"/>
              <w:rPr>
                <w:sz w:val="24"/>
                <w:szCs w:val="24"/>
                <w:color w:val="auto"/>
              </w:rPr>
            </w:pPr>
          </w:p>
        </w:tc>
        <w:tc>
          <w:tcPr>
            <w:tcW w:w="5320" w:type="dxa"/>
            <w:vAlign w:val="bottom"/>
            <w:tcBorders>
              <w:bottom w:val="single" w:sz="8" w:color="0000EE"/>
            </w:tcBorders>
            <w:gridSpan w:val="9"/>
          </w:tcPr>
          <w:p>
            <w:pPr>
              <w:spacing w:after="0"/>
              <w:rPr>
                <w:rFonts w:ascii="Arial" w:cs="Arial" w:eastAsia="Arial" w:hAnsi="Arial"/>
                <w:sz w:val="18"/>
                <w:szCs w:val="18"/>
                <w:color w:val="0000EE"/>
                <w:w w:val="91"/>
              </w:rPr>
            </w:pPr>
            <w:hyperlink r:id="rId101">
              <w:r>
                <w:rPr>
                  <w:rFonts w:ascii="Arial" w:cs="Arial" w:eastAsia="Arial" w:hAnsi="Arial"/>
                  <w:sz w:val="18"/>
                  <w:szCs w:val="18"/>
                  <w:color w:val="0000EE"/>
                  <w:w w:val="91"/>
                </w:rPr>
                <w:t>Form of Restricted Stock Agreement for Outside Directors, effective as of</w:t>
              </w:r>
            </w:hyperlink>
          </w:p>
        </w:tc>
        <w:tc>
          <w:tcPr>
            <w:tcW w:w="480" w:type="dxa"/>
            <w:vAlign w:val="bottom"/>
            <w:gridSpan w:val="8"/>
          </w:tcPr>
          <w:p>
            <w:pPr>
              <w:spacing w:after="0"/>
              <w:rPr>
                <w:sz w:val="24"/>
                <w:szCs w:val="24"/>
                <w:color w:val="auto"/>
              </w:rPr>
            </w:pPr>
          </w:p>
        </w:tc>
      </w:tr>
      <w:tr>
        <w:trPr>
          <w:trHeight w:val="195"/>
        </w:trPr>
        <w:tc>
          <w:tcPr>
            <w:tcW w:w="780" w:type="dxa"/>
            <w:vAlign w:val="bottom"/>
          </w:tcPr>
          <w:p>
            <w:pPr>
              <w:spacing w:after="0"/>
              <w:rPr>
                <w:sz w:val="16"/>
                <w:szCs w:val="16"/>
                <w:color w:val="auto"/>
              </w:rPr>
            </w:pPr>
          </w:p>
        </w:tc>
        <w:tc>
          <w:tcPr>
            <w:tcW w:w="640" w:type="dxa"/>
            <w:vAlign w:val="bottom"/>
          </w:tcPr>
          <w:p>
            <w:pPr>
              <w:jc w:val="right"/>
              <w:ind w:right="230"/>
              <w:spacing w:after="0" w:line="195" w:lineRule="exact"/>
              <w:rPr>
                <w:sz w:val="20"/>
                <w:szCs w:val="20"/>
                <w:color w:val="auto"/>
              </w:rPr>
            </w:pPr>
            <w:r>
              <w:rPr>
                <w:rFonts w:ascii="Arial" w:cs="Arial" w:eastAsia="Arial" w:hAnsi="Arial"/>
                <w:sz w:val="18"/>
                <w:szCs w:val="18"/>
                <w:color w:val="auto"/>
              </w:rPr>
              <w:t>+</w:t>
            </w:r>
          </w:p>
        </w:tc>
        <w:tc>
          <w:tcPr>
            <w:tcW w:w="5800" w:type="dxa"/>
            <w:vAlign w:val="bottom"/>
            <w:gridSpan w:val="17"/>
          </w:tcPr>
          <w:p>
            <w:pPr>
              <w:spacing w:after="0" w:line="195" w:lineRule="exact"/>
              <w:rPr>
                <w:rFonts w:ascii="Arial" w:cs="Arial" w:eastAsia="Arial" w:hAnsi="Arial"/>
                <w:sz w:val="18"/>
                <w:szCs w:val="18"/>
                <w:color w:val="0000EE"/>
                <w:w w:val="95"/>
              </w:rPr>
            </w:pPr>
            <w:hyperlink r:id="rId101">
              <w:r>
                <w:rPr>
                  <w:rFonts w:ascii="Arial" w:cs="Arial" w:eastAsia="Arial" w:hAnsi="Arial"/>
                  <w:sz w:val="18"/>
                  <w:szCs w:val="18"/>
                  <w:color w:val="0000EE"/>
                  <w:w w:val="95"/>
                </w:rPr>
                <w:t>February 25, 2008, pursuant to the 2007 Viad Corp Omnibus Incentive Plan.</w:t>
              </w:r>
            </w:hyperlink>
          </w:p>
        </w:tc>
      </w:tr>
      <w:tr>
        <w:trPr>
          <w:trHeight w:val="20"/>
        </w:trPr>
        <w:tc>
          <w:tcPr>
            <w:tcW w:w="78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2420" w:type="dxa"/>
            <w:vAlign w:val="bottom"/>
            <w:gridSpan w:val="2"/>
            <w:shd w:val="clear" w:color="auto" w:fill="0000EE"/>
          </w:tcPr>
          <w:p>
            <w:pPr>
              <w:spacing w:after="0" w:line="20" w:lineRule="exact"/>
              <w:rPr>
                <w:sz w:val="1"/>
                <w:szCs w:val="1"/>
                <w:color w:val="auto"/>
              </w:rPr>
            </w:pPr>
          </w:p>
        </w:tc>
        <w:tc>
          <w:tcPr>
            <w:tcW w:w="1000" w:type="dxa"/>
            <w:vAlign w:val="bottom"/>
            <w:shd w:val="clear" w:color="auto" w:fill="0000EE"/>
          </w:tcPr>
          <w:p>
            <w:pPr>
              <w:spacing w:after="0" w:line="20" w:lineRule="exact"/>
              <w:rPr>
                <w:sz w:val="1"/>
                <w:szCs w:val="1"/>
                <w:color w:val="auto"/>
              </w:rPr>
            </w:pPr>
          </w:p>
        </w:tc>
        <w:tc>
          <w:tcPr>
            <w:tcW w:w="1100" w:type="dxa"/>
            <w:vAlign w:val="bottom"/>
            <w:gridSpan w:val="2"/>
            <w:shd w:val="clear" w:color="auto" w:fill="0000EE"/>
          </w:tcPr>
          <w:p>
            <w:pPr>
              <w:spacing w:after="0" w:line="20" w:lineRule="exact"/>
              <w:rPr>
                <w:sz w:val="1"/>
                <w:szCs w:val="1"/>
                <w:color w:val="auto"/>
              </w:rPr>
            </w:pPr>
          </w:p>
        </w:tc>
        <w:tc>
          <w:tcPr>
            <w:tcW w:w="600" w:type="dxa"/>
            <w:vAlign w:val="bottom"/>
            <w:tcBorders>
              <w:left w:val="single" w:sz="8" w:color="0000EE"/>
            </w:tcBorders>
            <w:shd w:val="clear" w:color="auto" w:fill="0000EE"/>
          </w:tcPr>
          <w:p>
            <w:pPr>
              <w:spacing w:after="0" w:line="20" w:lineRule="exact"/>
              <w:rPr>
                <w:sz w:val="1"/>
                <w:szCs w:val="1"/>
                <w:color w:val="auto"/>
              </w:rPr>
            </w:pPr>
          </w:p>
        </w:tc>
        <w:tc>
          <w:tcPr>
            <w:tcW w:w="140" w:type="dxa"/>
            <w:vAlign w:val="bottom"/>
            <w:gridSpan w:val="2"/>
            <w:shd w:val="clear" w:color="auto" w:fill="0000EE"/>
          </w:tcPr>
          <w:p>
            <w:pPr>
              <w:spacing w:after="0" w:line="20" w:lineRule="exact"/>
              <w:rPr>
                <w:sz w:val="1"/>
                <w:szCs w:val="1"/>
                <w:color w:val="auto"/>
              </w:rPr>
            </w:pPr>
          </w:p>
        </w:tc>
        <w:tc>
          <w:tcPr>
            <w:tcW w:w="60" w:type="dxa"/>
            <w:vAlign w:val="bottom"/>
            <w:shd w:val="clear" w:color="auto" w:fill="0000EE"/>
          </w:tcPr>
          <w:p>
            <w:pPr>
              <w:spacing w:after="0" w:line="20" w:lineRule="exact"/>
              <w:rPr>
                <w:sz w:val="1"/>
                <w:szCs w:val="1"/>
                <w:color w:val="auto"/>
              </w:rPr>
            </w:pPr>
          </w:p>
        </w:tc>
        <w:tc>
          <w:tcPr>
            <w:tcW w:w="120" w:type="dxa"/>
            <w:vAlign w:val="bottom"/>
            <w:gridSpan w:val="2"/>
            <w:shd w:val="clear" w:color="auto" w:fill="0000EE"/>
          </w:tcPr>
          <w:p>
            <w:pPr>
              <w:spacing w:after="0" w:line="20" w:lineRule="exact"/>
              <w:rPr>
                <w:sz w:val="1"/>
                <w:szCs w:val="1"/>
                <w:color w:val="auto"/>
              </w:rPr>
            </w:pPr>
          </w:p>
        </w:tc>
        <w:tc>
          <w:tcPr>
            <w:tcW w:w="40" w:type="dxa"/>
            <w:vAlign w:val="bottom"/>
            <w:tcBorders>
              <w:right w:val="single" w:sz="8" w:color="0000EE"/>
            </w:tcBorders>
            <w:shd w:val="clear" w:color="auto" w:fill="0000EE"/>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r>
        <w:trPr>
          <w:trHeight w:val="437"/>
        </w:trPr>
        <w:tc>
          <w:tcPr>
            <w:tcW w:w="780" w:type="dxa"/>
            <w:vAlign w:val="bottom"/>
          </w:tcPr>
          <w:p>
            <w:pPr>
              <w:spacing w:after="0"/>
              <w:rPr>
                <w:sz w:val="20"/>
                <w:szCs w:val="20"/>
                <w:color w:val="auto"/>
              </w:rPr>
            </w:pPr>
            <w:r>
              <w:rPr>
                <w:rFonts w:ascii="Arial" w:cs="Arial" w:eastAsia="Arial" w:hAnsi="Arial"/>
                <w:sz w:val="18"/>
                <w:szCs w:val="18"/>
                <w:color w:val="auto"/>
              </w:rPr>
              <w:t>10.A5</w:t>
            </w:r>
          </w:p>
        </w:tc>
        <w:tc>
          <w:tcPr>
            <w:tcW w:w="640" w:type="dxa"/>
            <w:vAlign w:val="bottom"/>
          </w:tcPr>
          <w:p>
            <w:pPr>
              <w:spacing w:after="0"/>
              <w:rPr>
                <w:sz w:val="24"/>
                <w:szCs w:val="24"/>
                <w:color w:val="auto"/>
              </w:rPr>
            </w:pPr>
          </w:p>
        </w:tc>
        <w:tc>
          <w:tcPr>
            <w:tcW w:w="5800" w:type="dxa"/>
            <w:vAlign w:val="bottom"/>
            <w:gridSpan w:val="17"/>
          </w:tcPr>
          <w:p>
            <w:pPr>
              <w:spacing w:after="0"/>
              <w:rPr>
                <w:rFonts w:ascii="Arial" w:cs="Arial" w:eastAsia="Arial" w:hAnsi="Arial"/>
                <w:sz w:val="18"/>
                <w:szCs w:val="18"/>
                <w:color w:val="0000EE"/>
                <w:w w:val="95"/>
              </w:rPr>
            </w:pPr>
            <w:hyperlink r:id="rId102">
              <w:r>
                <w:rPr>
                  <w:rFonts w:ascii="Arial" w:cs="Arial" w:eastAsia="Arial" w:hAnsi="Arial"/>
                  <w:sz w:val="18"/>
                  <w:szCs w:val="18"/>
                  <w:color w:val="0000EE"/>
                  <w:w w:val="95"/>
                </w:rPr>
                <w:t>Form of Non-Qualified Stock Option Agreement, effective as of February 25,</w:t>
              </w:r>
            </w:hyperlink>
          </w:p>
        </w:tc>
      </w:tr>
      <w:tr>
        <w:trPr>
          <w:trHeight w:val="195"/>
        </w:trPr>
        <w:tc>
          <w:tcPr>
            <w:tcW w:w="780" w:type="dxa"/>
            <w:vAlign w:val="bottom"/>
          </w:tcPr>
          <w:p>
            <w:pPr>
              <w:spacing w:after="0"/>
              <w:rPr>
                <w:sz w:val="16"/>
                <w:szCs w:val="16"/>
                <w:color w:val="auto"/>
              </w:rPr>
            </w:pPr>
          </w:p>
        </w:tc>
        <w:tc>
          <w:tcPr>
            <w:tcW w:w="640" w:type="dxa"/>
            <w:vAlign w:val="bottom"/>
          </w:tcPr>
          <w:p>
            <w:pPr>
              <w:jc w:val="right"/>
              <w:ind w:right="230"/>
              <w:spacing w:after="0" w:line="195" w:lineRule="exact"/>
              <w:rPr>
                <w:sz w:val="20"/>
                <w:szCs w:val="20"/>
                <w:color w:val="auto"/>
              </w:rPr>
            </w:pPr>
            <w:r>
              <w:rPr>
                <w:rFonts w:ascii="Arial" w:cs="Arial" w:eastAsia="Arial" w:hAnsi="Arial"/>
                <w:sz w:val="18"/>
                <w:szCs w:val="18"/>
                <w:color w:val="auto"/>
              </w:rPr>
              <w:t>+</w:t>
            </w:r>
          </w:p>
        </w:tc>
        <w:tc>
          <w:tcPr>
            <w:tcW w:w="5560" w:type="dxa"/>
            <w:vAlign w:val="bottom"/>
            <w:tcBorders>
              <w:top w:val="single" w:sz="8" w:color="0000EE"/>
            </w:tcBorders>
            <w:gridSpan w:val="14"/>
          </w:tcPr>
          <w:p>
            <w:pPr>
              <w:spacing w:after="0" w:line="195" w:lineRule="exact"/>
              <w:rPr>
                <w:rFonts w:ascii="Arial" w:cs="Arial" w:eastAsia="Arial" w:hAnsi="Arial"/>
                <w:sz w:val="18"/>
                <w:szCs w:val="18"/>
                <w:color w:val="0000EE"/>
              </w:rPr>
            </w:pPr>
            <w:hyperlink r:id="rId102">
              <w:r>
                <w:rPr>
                  <w:rFonts w:ascii="Arial" w:cs="Arial" w:eastAsia="Arial" w:hAnsi="Arial"/>
                  <w:sz w:val="18"/>
                  <w:szCs w:val="18"/>
                  <w:color w:val="0000EE"/>
                </w:rPr>
                <w:t>2010, pursuant to the 2007 Viad Corp Omnibus Incentive Plan.</w:t>
              </w:r>
            </w:hyperlink>
          </w:p>
        </w:tc>
        <w:tc>
          <w:tcPr>
            <w:tcW w:w="240" w:type="dxa"/>
            <w:vAlign w:val="bottom"/>
            <w:gridSpan w:val="3"/>
          </w:tcPr>
          <w:p>
            <w:pPr>
              <w:spacing w:after="0"/>
              <w:rPr>
                <w:sz w:val="16"/>
                <w:szCs w:val="16"/>
                <w:color w:val="auto"/>
              </w:rPr>
            </w:pPr>
          </w:p>
        </w:tc>
      </w:tr>
      <w:tr>
        <w:trPr>
          <w:trHeight w:val="20"/>
        </w:trPr>
        <w:tc>
          <w:tcPr>
            <w:tcW w:w="78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2420" w:type="dxa"/>
            <w:vAlign w:val="bottom"/>
            <w:gridSpan w:val="2"/>
            <w:shd w:val="clear" w:color="auto" w:fill="0000EE"/>
          </w:tcPr>
          <w:p>
            <w:pPr>
              <w:spacing w:after="0" w:line="20" w:lineRule="exact"/>
              <w:rPr>
                <w:sz w:val="1"/>
                <w:szCs w:val="1"/>
                <w:color w:val="auto"/>
              </w:rPr>
            </w:pPr>
          </w:p>
        </w:tc>
        <w:tc>
          <w:tcPr>
            <w:tcW w:w="1000" w:type="dxa"/>
            <w:vAlign w:val="bottom"/>
            <w:shd w:val="clear" w:color="auto" w:fill="0000EE"/>
          </w:tcPr>
          <w:p>
            <w:pPr>
              <w:spacing w:after="0" w:line="20" w:lineRule="exact"/>
              <w:rPr>
                <w:sz w:val="1"/>
                <w:szCs w:val="1"/>
                <w:color w:val="auto"/>
              </w:rPr>
            </w:pPr>
          </w:p>
        </w:tc>
        <w:tc>
          <w:tcPr>
            <w:tcW w:w="1100" w:type="dxa"/>
            <w:vAlign w:val="bottom"/>
            <w:gridSpan w:val="2"/>
            <w:shd w:val="clear" w:color="auto" w:fill="0000EE"/>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40" w:type="dxa"/>
            <w:vAlign w:val="bottom"/>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60" w:type="dxa"/>
            <w:vAlign w:val="bottom"/>
            <w:gridSpan w:val="3"/>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r>
        <w:trPr>
          <w:trHeight w:val="437"/>
        </w:trPr>
        <w:tc>
          <w:tcPr>
            <w:tcW w:w="780" w:type="dxa"/>
            <w:vAlign w:val="bottom"/>
          </w:tcPr>
          <w:p>
            <w:pPr>
              <w:spacing w:after="0"/>
              <w:rPr>
                <w:sz w:val="20"/>
                <w:szCs w:val="20"/>
                <w:color w:val="auto"/>
              </w:rPr>
            </w:pPr>
            <w:r>
              <w:rPr>
                <w:rFonts w:ascii="Arial" w:cs="Arial" w:eastAsia="Arial" w:hAnsi="Arial"/>
                <w:sz w:val="18"/>
                <w:szCs w:val="18"/>
                <w:color w:val="auto"/>
              </w:rPr>
              <w:t>10.A6</w:t>
            </w:r>
          </w:p>
        </w:tc>
        <w:tc>
          <w:tcPr>
            <w:tcW w:w="640" w:type="dxa"/>
            <w:vAlign w:val="bottom"/>
          </w:tcPr>
          <w:p>
            <w:pPr>
              <w:spacing w:after="0"/>
              <w:rPr>
                <w:sz w:val="24"/>
                <w:szCs w:val="24"/>
                <w:color w:val="auto"/>
              </w:rPr>
            </w:pPr>
          </w:p>
        </w:tc>
        <w:tc>
          <w:tcPr>
            <w:tcW w:w="5640" w:type="dxa"/>
            <w:vAlign w:val="bottom"/>
            <w:tcBorders>
              <w:bottom w:val="single" w:sz="8" w:color="0000EE"/>
            </w:tcBorders>
            <w:gridSpan w:val="15"/>
          </w:tcPr>
          <w:p>
            <w:pPr>
              <w:spacing w:after="0"/>
              <w:rPr>
                <w:rFonts w:ascii="Arial" w:cs="Arial" w:eastAsia="Arial" w:hAnsi="Arial"/>
                <w:sz w:val="18"/>
                <w:szCs w:val="18"/>
                <w:color w:val="0000EE"/>
                <w:w w:val="90"/>
              </w:rPr>
            </w:pPr>
            <w:hyperlink r:id="rId103">
              <w:r>
                <w:rPr>
                  <w:rFonts w:ascii="Arial" w:cs="Arial" w:eastAsia="Arial" w:hAnsi="Arial"/>
                  <w:sz w:val="18"/>
                  <w:szCs w:val="18"/>
                  <w:color w:val="0000EE"/>
                  <w:w w:val="90"/>
                </w:rPr>
                <w:t>Form of Incentive Stock Option Agreement, effective as of February 25, 2010,</w:t>
              </w:r>
            </w:hyperlink>
          </w:p>
        </w:tc>
        <w:tc>
          <w:tcPr>
            <w:tcW w:w="160" w:type="dxa"/>
            <w:vAlign w:val="bottom"/>
            <w:gridSpan w:val="2"/>
          </w:tcPr>
          <w:p>
            <w:pPr>
              <w:spacing w:after="0"/>
              <w:rPr>
                <w:sz w:val="24"/>
                <w:szCs w:val="24"/>
                <w:color w:val="auto"/>
              </w:rPr>
            </w:pPr>
          </w:p>
        </w:tc>
      </w:tr>
      <w:tr>
        <w:trPr>
          <w:trHeight w:val="195"/>
        </w:trPr>
        <w:tc>
          <w:tcPr>
            <w:tcW w:w="780" w:type="dxa"/>
            <w:vAlign w:val="bottom"/>
          </w:tcPr>
          <w:p>
            <w:pPr>
              <w:spacing w:after="0"/>
              <w:rPr>
                <w:sz w:val="16"/>
                <w:szCs w:val="16"/>
                <w:color w:val="auto"/>
              </w:rPr>
            </w:pPr>
          </w:p>
        </w:tc>
        <w:tc>
          <w:tcPr>
            <w:tcW w:w="640" w:type="dxa"/>
            <w:vAlign w:val="bottom"/>
          </w:tcPr>
          <w:p>
            <w:pPr>
              <w:jc w:val="right"/>
              <w:ind w:right="230"/>
              <w:spacing w:after="0" w:line="195" w:lineRule="exact"/>
              <w:rPr>
                <w:sz w:val="20"/>
                <w:szCs w:val="20"/>
                <w:color w:val="auto"/>
              </w:rPr>
            </w:pPr>
            <w:r>
              <w:rPr>
                <w:rFonts w:ascii="Arial" w:cs="Arial" w:eastAsia="Arial" w:hAnsi="Arial"/>
                <w:sz w:val="18"/>
                <w:szCs w:val="18"/>
                <w:color w:val="auto"/>
              </w:rPr>
              <w:t>+</w:t>
            </w:r>
          </w:p>
        </w:tc>
        <w:tc>
          <w:tcPr>
            <w:tcW w:w="4080" w:type="dxa"/>
            <w:vAlign w:val="bottom"/>
            <w:tcBorders>
              <w:bottom w:val="single" w:sz="8" w:color="0000EE"/>
            </w:tcBorders>
            <w:gridSpan w:val="4"/>
          </w:tcPr>
          <w:p>
            <w:pPr>
              <w:spacing w:after="0" w:line="195" w:lineRule="exact"/>
              <w:rPr>
                <w:rFonts w:ascii="Arial" w:cs="Arial" w:eastAsia="Arial" w:hAnsi="Arial"/>
                <w:sz w:val="18"/>
                <w:szCs w:val="18"/>
                <w:color w:val="0000EE"/>
                <w:w w:val="90"/>
              </w:rPr>
            </w:pPr>
            <w:hyperlink r:id="rId103">
              <w:r>
                <w:rPr>
                  <w:rFonts w:ascii="Arial" w:cs="Arial" w:eastAsia="Arial" w:hAnsi="Arial"/>
                  <w:sz w:val="18"/>
                  <w:szCs w:val="18"/>
                  <w:color w:val="0000EE"/>
                  <w:w w:val="90"/>
                </w:rPr>
                <w:t>pursuant to the 2007 Viad Corp Omnibus Incentive Plan.</w:t>
              </w:r>
            </w:hyperlink>
          </w:p>
        </w:tc>
        <w:tc>
          <w:tcPr>
            <w:tcW w:w="1720" w:type="dxa"/>
            <w:vAlign w:val="bottom"/>
            <w:gridSpan w:val="13"/>
          </w:tcPr>
          <w:p>
            <w:pPr>
              <w:spacing w:after="0"/>
              <w:rPr>
                <w:sz w:val="16"/>
                <w:szCs w:val="16"/>
                <w:color w:val="auto"/>
              </w:rPr>
            </w:pPr>
          </w:p>
        </w:tc>
      </w:tr>
      <w:tr>
        <w:trPr>
          <w:trHeight w:val="437"/>
        </w:trPr>
        <w:tc>
          <w:tcPr>
            <w:tcW w:w="780" w:type="dxa"/>
            <w:vAlign w:val="bottom"/>
          </w:tcPr>
          <w:p>
            <w:pPr>
              <w:spacing w:after="0"/>
              <w:rPr>
                <w:sz w:val="20"/>
                <w:szCs w:val="20"/>
                <w:color w:val="auto"/>
              </w:rPr>
            </w:pPr>
            <w:r>
              <w:rPr>
                <w:rFonts w:ascii="Arial" w:cs="Arial" w:eastAsia="Arial" w:hAnsi="Arial"/>
                <w:sz w:val="18"/>
                <w:szCs w:val="18"/>
                <w:color w:val="auto"/>
              </w:rPr>
              <w:t>10.A7</w:t>
            </w:r>
          </w:p>
        </w:tc>
        <w:tc>
          <w:tcPr>
            <w:tcW w:w="640" w:type="dxa"/>
            <w:vAlign w:val="bottom"/>
          </w:tcPr>
          <w:p>
            <w:pPr>
              <w:spacing w:after="0"/>
              <w:rPr>
                <w:sz w:val="24"/>
                <w:szCs w:val="24"/>
                <w:color w:val="auto"/>
              </w:rPr>
            </w:pPr>
          </w:p>
        </w:tc>
        <w:tc>
          <w:tcPr>
            <w:tcW w:w="5800" w:type="dxa"/>
            <w:vAlign w:val="bottom"/>
            <w:gridSpan w:val="17"/>
          </w:tcPr>
          <w:p>
            <w:pPr>
              <w:spacing w:after="0"/>
              <w:rPr>
                <w:rFonts w:ascii="Arial" w:cs="Arial" w:eastAsia="Arial" w:hAnsi="Arial"/>
                <w:sz w:val="18"/>
                <w:szCs w:val="18"/>
                <w:color w:val="0000EE"/>
                <w:w w:val="97"/>
              </w:rPr>
            </w:pPr>
            <w:hyperlink r:id="rId104">
              <w:r>
                <w:rPr>
                  <w:rFonts w:ascii="Arial" w:cs="Arial" w:eastAsia="Arial" w:hAnsi="Arial"/>
                  <w:sz w:val="18"/>
                  <w:szCs w:val="18"/>
                  <w:color w:val="0000EE"/>
                  <w:w w:val="97"/>
                </w:rPr>
                <w:t>Viad Corp Management Incentive Plan, amended as of February 27, 2013,</w:t>
              </w:r>
            </w:hyperlink>
          </w:p>
        </w:tc>
      </w:tr>
      <w:tr>
        <w:trPr>
          <w:trHeight w:val="195"/>
        </w:trPr>
        <w:tc>
          <w:tcPr>
            <w:tcW w:w="780" w:type="dxa"/>
            <w:vAlign w:val="bottom"/>
          </w:tcPr>
          <w:p>
            <w:pPr>
              <w:spacing w:after="0"/>
              <w:rPr>
                <w:sz w:val="16"/>
                <w:szCs w:val="16"/>
                <w:color w:val="auto"/>
              </w:rPr>
            </w:pPr>
          </w:p>
        </w:tc>
        <w:tc>
          <w:tcPr>
            <w:tcW w:w="640" w:type="dxa"/>
            <w:vAlign w:val="bottom"/>
          </w:tcPr>
          <w:p>
            <w:pPr>
              <w:jc w:val="right"/>
              <w:ind w:right="230"/>
              <w:spacing w:after="0" w:line="195" w:lineRule="exact"/>
              <w:rPr>
                <w:sz w:val="20"/>
                <w:szCs w:val="20"/>
                <w:color w:val="auto"/>
              </w:rPr>
            </w:pPr>
            <w:r>
              <w:rPr>
                <w:rFonts w:ascii="Arial" w:cs="Arial" w:eastAsia="Arial" w:hAnsi="Arial"/>
                <w:sz w:val="18"/>
                <w:szCs w:val="18"/>
                <w:color w:val="auto"/>
              </w:rPr>
              <w:t>+</w:t>
            </w:r>
          </w:p>
        </w:tc>
        <w:tc>
          <w:tcPr>
            <w:tcW w:w="4080" w:type="dxa"/>
            <w:vAlign w:val="bottom"/>
            <w:tcBorders>
              <w:top w:val="single" w:sz="8" w:color="0000EE"/>
              <w:bottom w:val="single" w:sz="8" w:color="0000EE"/>
            </w:tcBorders>
            <w:gridSpan w:val="4"/>
          </w:tcPr>
          <w:p>
            <w:pPr>
              <w:spacing w:after="0" w:line="195" w:lineRule="exact"/>
              <w:rPr>
                <w:rFonts w:ascii="Arial" w:cs="Arial" w:eastAsia="Arial" w:hAnsi="Arial"/>
                <w:sz w:val="18"/>
                <w:szCs w:val="18"/>
                <w:color w:val="0000EE"/>
                <w:w w:val="90"/>
              </w:rPr>
            </w:pPr>
            <w:hyperlink r:id="rId104">
              <w:r>
                <w:rPr>
                  <w:rFonts w:ascii="Arial" w:cs="Arial" w:eastAsia="Arial" w:hAnsi="Arial"/>
                  <w:sz w:val="18"/>
                  <w:szCs w:val="18"/>
                  <w:color w:val="0000EE"/>
                  <w:w w:val="90"/>
                </w:rPr>
                <w:t>pursuant to the 2007 Viad Corp Omnibus Incentive Plan.</w:t>
              </w:r>
            </w:hyperlink>
          </w:p>
        </w:tc>
        <w:tc>
          <w:tcPr>
            <w:tcW w:w="1240" w:type="dxa"/>
            <w:vAlign w:val="bottom"/>
            <w:tcBorders>
              <w:top w:val="single" w:sz="8" w:color="0000EE"/>
            </w:tcBorders>
            <w:gridSpan w:val="5"/>
          </w:tcPr>
          <w:p>
            <w:pPr>
              <w:spacing w:after="0"/>
              <w:rPr>
                <w:sz w:val="16"/>
                <w:szCs w:val="16"/>
                <w:color w:val="auto"/>
              </w:rPr>
            </w:pPr>
          </w:p>
        </w:tc>
        <w:tc>
          <w:tcPr>
            <w:tcW w:w="480" w:type="dxa"/>
            <w:vAlign w:val="bottom"/>
            <w:gridSpan w:val="8"/>
          </w:tcPr>
          <w:p>
            <w:pPr>
              <w:spacing w:after="0"/>
              <w:rPr>
                <w:sz w:val="16"/>
                <w:szCs w:val="16"/>
                <w:color w:val="auto"/>
              </w:rPr>
            </w:pPr>
          </w:p>
        </w:tc>
      </w:tr>
      <w:tr>
        <w:trPr>
          <w:trHeight w:val="437"/>
        </w:trPr>
        <w:tc>
          <w:tcPr>
            <w:tcW w:w="780" w:type="dxa"/>
            <w:vAlign w:val="bottom"/>
          </w:tcPr>
          <w:p>
            <w:pPr>
              <w:spacing w:after="0"/>
              <w:rPr>
                <w:sz w:val="20"/>
                <w:szCs w:val="20"/>
                <w:color w:val="auto"/>
              </w:rPr>
            </w:pPr>
            <w:r>
              <w:rPr>
                <w:rFonts w:ascii="Arial" w:cs="Arial" w:eastAsia="Arial" w:hAnsi="Arial"/>
                <w:sz w:val="18"/>
                <w:szCs w:val="18"/>
                <w:color w:val="auto"/>
              </w:rPr>
              <w:t>10.A8</w:t>
            </w:r>
          </w:p>
        </w:tc>
        <w:tc>
          <w:tcPr>
            <w:tcW w:w="640" w:type="dxa"/>
            <w:vAlign w:val="bottom"/>
          </w:tcPr>
          <w:p>
            <w:pPr>
              <w:spacing w:after="0"/>
              <w:rPr>
                <w:sz w:val="24"/>
                <w:szCs w:val="24"/>
                <w:color w:val="auto"/>
              </w:rPr>
            </w:pPr>
          </w:p>
        </w:tc>
        <w:tc>
          <w:tcPr>
            <w:tcW w:w="5800" w:type="dxa"/>
            <w:vAlign w:val="bottom"/>
            <w:gridSpan w:val="17"/>
          </w:tcPr>
          <w:p>
            <w:pPr>
              <w:spacing w:after="0"/>
              <w:rPr>
                <w:rFonts w:ascii="Arial" w:cs="Arial" w:eastAsia="Arial" w:hAnsi="Arial"/>
                <w:sz w:val="18"/>
                <w:szCs w:val="18"/>
                <w:color w:val="0000EE"/>
                <w:w w:val="93"/>
              </w:rPr>
            </w:pPr>
            <w:hyperlink r:id="rId105">
              <w:r>
                <w:rPr>
                  <w:rFonts w:ascii="Arial" w:cs="Arial" w:eastAsia="Arial" w:hAnsi="Arial"/>
                  <w:sz w:val="18"/>
                  <w:szCs w:val="18"/>
                  <w:color w:val="0000EE"/>
                  <w:w w:val="93"/>
                </w:rPr>
                <w:t>Viad Corp Performance Unit Incentive Plan, effective as of February 27, 2013,</w:t>
              </w:r>
            </w:hyperlink>
          </w:p>
        </w:tc>
      </w:tr>
      <w:tr>
        <w:trPr>
          <w:trHeight w:val="195"/>
        </w:trPr>
        <w:tc>
          <w:tcPr>
            <w:tcW w:w="780" w:type="dxa"/>
            <w:vAlign w:val="bottom"/>
          </w:tcPr>
          <w:p>
            <w:pPr>
              <w:spacing w:after="0"/>
              <w:rPr>
                <w:sz w:val="16"/>
                <w:szCs w:val="16"/>
                <w:color w:val="auto"/>
              </w:rPr>
            </w:pPr>
          </w:p>
        </w:tc>
        <w:tc>
          <w:tcPr>
            <w:tcW w:w="640" w:type="dxa"/>
            <w:vAlign w:val="bottom"/>
          </w:tcPr>
          <w:p>
            <w:pPr>
              <w:jc w:val="right"/>
              <w:ind w:right="230"/>
              <w:spacing w:after="0" w:line="195" w:lineRule="exact"/>
              <w:rPr>
                <w:sz w:val="20"/>
                <w:szCs w:val="20"/>
                <w:color w:val="auto"/>
              </w:rPr>
            </w:pPr>
            <w:r>
              <w:rPr>
                <w:rFonts w:ascii="Arial" w:cs="Arial" w:eastAsia="Arial" w:hAnsi="Arial"/>
                <w:sz w:val="18"/>
                <w:szCs w:val="18"/>
                <w:color w:val="auto"/>
              </w:rPr>
              <w:t>+</w:t>
            </w:r>
          </w:p>
        </w:tc>
        <w:tc>
          <w:tcPr>
            <w:tcW w:w="4080" w:type="dxa"/>
            <w:vAlign w:val="bottom"/>
            <w:tcBorders>
              <w:top w:val="single" w:sz="8" w:color="0000EE"/>
              <w:bottom w:val="single" w:sz="8" w:color="0000EE"/>
            </w:tcBorders>
            <w:gridSpan w:val="4"/>
          </w:tcPr>
          <w:p>
            <w:pPr>
              <w:spacing w:after="0" w:line="195" w:lineRule="exact"/>
              <w:rPr>
                <w:rFonts w:ascii="Arial" w:cs="Arial" w:eastAsia="Arial" w:hAnsi="Arial"/>
                <w:sz w:val="18"/>
                <w:szCs w:val="18"/>
                <w:color w:val="0000EE"/>
                <w:w w:val="90"/>
              </w:rPr>
            </w:pPr>
            <w:hyperlink r:id="rId105">
              <w:r>
                <w:rPr>
                  <w:rFonts w:ascii="Arial" w:cs="Arial" w:eastAsia="Arial" w:hAnsi="Arial"/>
                  <w:sz w:val="18"/>
                  <w:szCs w:val="18"/>
                  <w:color w:val="0000EE"/>
                  <w:w w:val="90"/>
                </w:rPr>
                <w:t>pursuant to the 2007 Viad Corp Omnibus Incentive Plan.</w:t>
              </w:r>
            </w:hyperlink>
          </w:p>
        </w:tc>
        <w:tc>
          <w:tcPr>
            <w:tcW w:w="1560" w:type="dxa"/>
            <w:vAlign w:val="bottom"/>
            <w:tcBorders>
              <w:top w:val="single" w:sz="8" w:color="0000EE"/>
            </w:tcBorders>
            <w:gridSpan w:val="11"/>
          </w:tcPr>
          <w:p>
            <w:pPr>
              <w:spacing w:after="0"/>
              <w:rPr>
                <w:sz w:val="16"/>
                <w:szCs w:val="16"/>
                <w:color w:val="auto"/>
              </w:rPr>
            </w:pPr>
          </w:p>
        </w:tc>
        <w:tc>
          <w:tcPr>
            <w:tcW w:w="160" w:type="dxa"/>
            <w:vAlign w:val="bottom"/>
            <w:gridSpan w:val="2"/>
          </w:tcPr>
          <w:p>
            <w:pPr>
              <w:spacing w:after="0"/>
              <w:rPr>
                <w:sz w:val="16"/>
                <w:szCs w:val="16"/>
                <w:color w:val="auto"/>
              </w:rPr>
            </w:pPr>
          </w:p>
        </w:tc>
      </w:tr>
      <w:tr>
        <w:trPr>
          <w:trHeight w:val="437"/>
        </w:trPr>
        <w:tc>
          <w:tcPr>
            <w:tcW w:w="780" w:type="dxa"/>
            <w:vAlign w:val="bottom"/>
          </w:tcPr>
          <w:p>
            <w:pPr>
              <w:spacing w:after="0"/>
              <w:rPr>
                <w:sz w:val="20"/>
                <w:szCs w:val="20"/>
                <w:color w:val="auto"/>
              </w:rPr>
            </w:pPr>
            <w:r>
              <w:rPr>
                <w:rFonts w:ascii="Arial" w:cs="Arial" w:eastAsia="Arial" w:hAnsi="Arial"/>
                <w:sz w:val="18"/>
                <w:szCs w:val="18"/>
                <w:color w:val="auto"/>
              </w:rPr>
              <w:t>10.A9</w:t>
            </w:r>
          </w:p>
        </w:tc>
        <w:tc>
          <w:tcPr>
            <w:tcW w:w="640" w:type="dxa"/>
            <w:vAlign w:val="bottom"/>
          </w:tcPr>
          <w:p>
            <w:pPr>
              <w:spacing w:after="0"/>
              <w:rPr>
                <w:sz w:val="24"/>
                <w:szCs w:val="24"/>
                <w:color w:val="auto"/>
              </w:rPr>
            </w:pPr>
          </w:p>
        </w:tc>
        <w:tc>
          <w:tcPr>
            <w:tcW w:w="5480" w:type="dxa"/>
            <w:vAlign w:val="bottom"/>
            <w:tcBorders>
              <w:bottom w:val="single" w:sz="8" w:color="0000EE"/>
            </w:tcBorders>
            <w:gridSpan w:val="12"/>
          </w:tcPr>
          <w:p>
            <w:pPr>
              <w:spacing w:after="0"/>
              <w:rPr>
                <w:rFonts w:ascii="Arial" w:cs="Arial" w:eastAsia="Arial" w:hAnsi="Arial"/>
                <w:sz w:val="18"/>
                <w:szCs w:val="18"/>
                <w:color w:val="0000EE"/>
                <w:w w:val="90"/>
              </w:rPr>
            </w:pPr>
            <w:hyperlink r:id="rId106">
              <w:r>
                <w:rPr>
                  <w:rFonts w:ascii="Arial" w:cs="Arial" w:eastAsia="Arial" w:hAnsi="Arial"/>
                  <w:sz w:val="18"/>
                  <w:szCs w:val="18"/>
                  <w:color w:val="0000EE"/>
                  <w:w w:val="90"/>
                </w:rPr>
                <w:t>Amendment to the Viad Corp Performance Unit Incentive Plan, as amended</w:t>
              </w:r>
            </w:hyperlink>
          </w:p>
        </w:tc>
        <w:tc>
          <w:tcPr>
            <w:tcW w:w="320" w:type="dxa"/>
            <w:vAlign w:val="bottom"/>
            <w:gridSpan w:val="5"/>
          </w:tcPr>
          <w:p>
            <w:pPr>
              <w:spacing w:after="0"/>
              <w:rPr>
                <w:sz w:val="24"/>
                <w:szCs w:val="24"/>
                <w:color w:val="auto"/>
              </w:rPr>
            </w:pPr>
          </w:p>
        </w:tc>
      </w:tr>
      <w:tr>
        <w:trPr>
          <w:trHeight w:val="195"/>
        </w:trPr>
        <w:tc>
          <w:tcPr>
            <w:tcW w:w="78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5440" w:type="dxa"/>
            <w:vAlign w:val="bottom"/>
            <w:tcBorders>
              <w:bottom w:val="single" w:sz="8" w:color="0000EE"/>
            </w:tcBorders>
            <w:gridSpan w:val="11"/>
          </w:tcPr>
          <w:p>
            <w:pPr>
              <w:spacing w:after="0" w:line="195" w:lineRule="exact"/>
              <w:rPr>
                <w:rFonts w:ascii="Arial" w:cs="Arial" w:eastAsia="Arial" w:hAnsi="Arial"/>
                <w:sz w:val="18"/>
                <w:szCs w:val="18"/>
                <w:color w:val="0000EE"/>
                <w:w w:val="89"/>
              </w:rPr>
            </w:pPr>
            <w:hyperlink r:id="rId106">
              <w:r>
                <w:rPr>
                  <w:rFonts w:ascii="Arial" w:cs="Arial" w:eastAsia="Arial" w:hAnsi="Arial"/>
                  <w:sz w:val="18"/>
                  <w:szCs w:val="18"/>
                  <w:color w:val="0000EE"/>
                  <w:w w:val="89"/>
                </w:rPr>
                <w:t>February 27, 2013 pursuant to the 2007 Viad Corp Omnibus Incentive Plan,</w:t>
              </w:r>
            </w:hyperlink>
          </w:p>
        </w:tc>
        <w:tc>
          <w:tcPr>
            <w:tcW w:w="360" w:type="dxa"/>
            <w:vAlign w:val="bottom"/>
            <w:gridSpan w:val="6"/>
          </w:tcPr>
          <w:p>
            <w:pPr>
              <w:spacing w:after="0"/>
              <w:rPr>
                <w:sz w:val="16"/>
                <w:szCs w:val="16"/>
                <w:color w:val="auto"/>
              </w:rPr>
            </w:pPr>
          </w:p>
        </w:tc>
      </w:tr>
      <w:tr>
        <w:trPr>
          <w:trHeight w:val="195"/>
        </w:trPr>
        <w:tc>
          <w:tcPr>
            <w:tcW w:w="780" w:type="dxa"/>
            <w:vAlign w:val="bottom"/>
          </w:tcPr>
          <w:p>
            <w:pPr>
              <w:spacing w:after="0"/>
              <w:rPr>
                <w:sz w:val="16"/>
                <w:szCs w:val="16"/>
                <w:color w:val="auto"/>
              </w:rPr>
            </w:pPr>
          </w:p>
        </w:tc>
        <w:tc>
          <w:tcPr>
            <w:tcW w:w="640" w:type="dxa"/>
            <w:vAlign w:val="bottom"/>
          </w:tcPr>
          <w:p>
            <w:pPr>
              <w:jc w:val="right"/>
              <w:ind w:right="230"/>
              <w:spacing w:after="0" w:line="195" w:lineRule="exact"/>
              <w:rPr>
                <w:sz w:val="20"/>
                <w:szCs w:val="20"/>
                <w:color w:val="auto"/>
              </w:rPr>
            </w:pPr>
            <w:r>
              <w:rPr>
                <w:rFonts w:ascii="Arial" w:cs="Arial" w:eastAsia="Arial" w:hAnsi="Arial"/>
                <w:sz w:val="18"/>
                <w:szCs w:val="18"/>
                <w:color w:val="auto"/>
              </w:rPr>
              <w:t>+</w:t>
            </w:r>
          </w:p>
        </w:tc>
        <w:tc>
          <w:tcPr>
            <w:tcW w:w="2420" w:type="dxa"/>
            <w:vAlign w:val="bottom"/>
            <w:tcBorders>
              <w:bottom w:val="single" w:sz="8" w:color="0000EE"/>
            </w:tcBorders>
            <w:gridSpan w:val="2"/>
          </w:tcPr>
          <w:p>
            <w:pPr>
              <w:spacing w:after="0" w:line="195" w:lineRule="exact"/>
              <w:rPr>
                <w:rFonts w:ascii="Arial" w:cs="Arial" w:eastAsia="Arial" w:hAnsi="Arial"/>
                <w:sz w:val="18"/>
                <w:szCs w:val="18"/>
                <w:color w:val="0000EE"/>
                <w:w w:val="89"/>
              </w:rPr>
            </w:pPr>
            <w:hyperlink r:id="rId106">
              <w:r>
                <w:rPr>
                  <w:rFonts w:ascii="Arial" w:cs="Arial" w:eastAsia="Arial" w:hAnsi="Arial"/>
                  <w:sz w:val="18"/>
                  <w:szCs w:val="18"/>
                  <w:color w:val="0000EE"/>
                  <w:w w:val="89"/>
                </w:rPr>
                <w:t>effective as of February 24, 2016.</w:t>
              </w:r>
            </w:hyperlink>
          </w:p>
        </w:tc>
        <w:tc>
          <w:tcPr>
            <w:tcW w:w="3380" w:type="dxa"/>
            <w:vAlign w:val="bottom"/>
            <w:gridSpan w:val="15"/>
          </w:tcPr>
          <w:p>
            <w:pPr>
              <w:spacing w:after="0"/>
              <w:rPr>
                <w:sz w:val="16"/>
                <w:szCs w:val="16"/>
                <w:color w:val="auto"/>
              </w:rPr>
            </w:pPr>
          </w:p>
        </w:tc>
      </w:tr>
      <w:tr>
        <w:trPr>
          <w:trHeight w:val="437"/>
        </w:trPr>
        <w:tc>
          <w:tcPr>
            <w:tcW w:w="780" w:type="dxa"/>
            <w:vAlign w:val="bottom"/>
          </w:tcPr>
          <w:p>
            <w:pPr>
              <w:spacing w:after="0"/>
              <w:rPr>
                <w:sz w:val="20"/>
                <w:szCs w:val="20"/>
                <w:color w:val="auto"/>
              </w:rPr>
            </w:pPr>
            <w:r>
              <w:rPr>
                <w:rFonts w:ascii="Arial" w:cs="Arial" w:eastAsia="Arial" w:hAnsi="Arial"/>
                <w:sz w:val="18"/>
                <w:szCs w:val="18"/>
                <w:color w:val="auto"/>
              </w:rPr>
              <w:t>10.A10</w:t>
            </w:r>
          </w:p>
        </w:tc>
        <w:tc>
          <w:tcPr>
            <w:tcW w:w="640" w:type="dxa"/>
            <w:vAlign w:val="bottom"/>
          </w:tcPr>
          <w:p>
            <w:pPr>
              <w:spacing w:after="0"/>
              <w:rPr>
                <w:sz w:val="24"/>
                <w:szCs w:val="24"/>
                <w:color w:val="auto"/>
              </w:rPr>
            </w:pPr>
          </w:p>
        </w:tc>
        <w:tc>
          <w:tcPr>
            <w:tcW w:w="5740" w:type="dxa"/>
            <w:vAlign w:val="bottom"/>
            <w:tcBorders>
              <w:bottom w:val="single" w:sz="8" w:color="0000EE"/>
            </w:tcBorders>
            <w:gridSpan w:val="16"/>
          </w:tcPr>
          <w:p>
            <w:pPr>
              <w:spacing w:after="0"/>
              <w:rPr>
                <w:rFonts w:ascii="Arial" w:cs="Arial" w:eastAsia="Arial" w:hAnsi="Arial"/>
                <w:sz w:val="18"/>
                <w:szCs w:val="18"/>
                <w:color w:val="0000EE"/>
                <w:w w:val="90"/>
              </w:rPr>
            </w:pPr>
            <w:hyperlink r:id="rId107">
              <w:r>
                <w:rPr>
                  <w:rFonts w:ascii="Arial" w:cs="Arial" w:eastAsia="Arial" w:hAnsi="Arial"/>
                  <w:sz w:val="18"/>
                  <w:szCs w:val="18"/>
                  <w:color w:val="0000EE"/>
                  <w:w w:val="90"/>
                </w:rPr>
                <w:t>Form of Performance Unit Agreement, effective as of March 26, 2014, pursuant</w:t>
              </w:r>
            </w:hyperlink>
          </w:p>
        </w:tc>
        <w:tc>
          <w:tcPr>
            <w:tcW w:w="60" w:type="dxa"/>
            <w:vAlign w:val="bottom"/>
          </w:tcPr>
          <w:p>
            <w:pPr>
              <w:spacing w:after="0"/>
              <w:rPr>
                <w:sz w:val="24"/>
                <w:szCs w:val="24"/>
                <w:color w:val="auto"/>
              </w:rPr>
            </w:pPr>
          </w:p>
        </w:tc>
      </w:tr>
      <w:tr>
        <w:trPr>
          <w:trHeight w:val="195"/>
        </w:trPr>
        <w:tc>
          <w:tcPr>
            <w:tcW w:w="780" w:type="dxa"/>
            <w:vAlign w:val="bottom"/>
          </w:tcPr>
          <w:p>
            <w:pPr>
              <w:spacing w:after="0"/>
              <w:rPr>
                <w:sz w:val="16"/>
                <w:szCs w:val="16"/>
                <w:color w:val="auto"/>
              </w:rPr>
            </w:pPr>
          </w:p>
        </w:tc>
        <w:tc>
          <w:tcPr>
            <w:tcW w:w="640" w:type="dxa"/>
            <w:vAlign w:val="bottom"/>
          </w:tcPr>
          <w:p>
            <w:pPr>
              <w:jc w:val="right"/>
              <w:ind w:right="230"/>
              <w:spacing w:after="0" w:line="195" w:lineRule="exact"/>
              <w:rPr>
                <w:sz w:val="20"/>
                <w:szCs w:val="20"/>
                <w:color w:val="auto"/>
              </w:rPr>
            </w:pPr>
            <w:r>
              <w:rPr>
                <w:rFonts w:ascii="Arial" w:cs="Arial" w:eastAsia="Arial" w:hAnsi="Arial"/>
                <w:sz w:val="18"/>
                <w:szCs w:val="18"/>
                <w:color w:val="auto"/>
              </w:rPr>
              <w:t>+</w:t>
            </w:r>
          </w:p>
        </w:tc>
        <w:tc>
          <w:tcPr>
            <w:tcW w:w="3420" w:type="dxa"/>
            <w:vAlign w:val="bottom"/>
            <w:tcBorders>
              <w:bottom w:val="single" w:sz="8" w:color="0000EE"/>
            </w:tcBorders>
            <w:gridSpan w:val="3"/>
          </w:tcPr>
          <w:p>
            <w:pPr>
              <w:spacing w:after="0" w:line="195" w:lineRule="exact"/>
              <w:rPr>
                <w:rFonts w:ascii="Arial" w:cs="Arial" w:eastAsia="Arial" w:hAnsi="Arial"/>
                <w:sz w:val="18"/>
                <w:szCs w:val="18"/>
                <w:color w:val="0000EE"/>
                <w:w w:val="90"/>
              </w:rPr>
            </w:pPr>
            <w:hyperlink r:id="rId107">
              <w:r>
                <w:rPr>
                  <w:rFonts w:ascii="Arial" w:cs="Arial" w:eastAsia="Arial" w:hAnsi="Arial"/>
                  <w:sz w:val="18"/>
                  <w:szCs w:val="18"/>
                  <w:color w:val="0000EE"/>
                  <w:w w:val="90"/>
                </w:rPr>
                <w:t>to the 2007 Viad Corp Omnibus Incentive Plan.</w:t>
              </w:r>
            </w:hyperlink>
          </w:p>
        </w:tc>
        <w:tc>
          <w:tcPr>
            <w:tcW w:w="2380" w:type="dxa"/>
            <w:vAlign w:val="bottom"/>
            <w:gridSpan w:val="14"/>
          </w:tcPr>
          <w:p>
            <w:pPr>
              <w:spacing w:after="0"/>
              <w:rPr>
                <w:sz w:val="16"/>
                <w:szCs w:val="16"/>
                <w:color w:val="auto"/>
              </w:rPr>
            </w:pPr>
          </w:p>
        </w:tc>
      </w:tr>
      <w:tr>
        <w:trPr>
          <w:trHeight w:val="437"/>
        </w:trPr>
        <w:tc>
          <w:tcPr>
            <w:tcW w:w="780" w:type="dxa"/>
            <w:vAlign w:val="bottom"/>
          </w:tcPr>
          <w:p>
            <w:pPr>
              <w:spacing w:after="0"/>
              <w:rPr>
                <w:sz w:val="20"/>
                <w:szCs w:val="20"/>
                <w:color w:val="auto"/>
              </w:rPr>
            </w:pPr>
            <w:r>
              <w:rPr>
                <w:rFonts w:ascii="Arial" w:cs="Arial" w:eastAsia="Arial" w:hAnsi="Arial"/>
                <w:sz w:val="18"/>
                <w:szCs w:val="18"/>
                <w:color w:val="auto"/>
              </w:rPr>
              <w:t>10.A11</w:t>
            </w:r>
          </w:p>
        </w:tc>
        <w:tc>
          <w:tcPr>
            <w:tcW w:w="640" w:type="dxa"/>
            <w:vAlign w:val="bottom"/>
          </w:tcPr>
          <w:p>
            <w:pPr>
              <w:spacing w:after="0"/>
              <w:rPr>
                <w:sz w:val="24"/>
                <w:szCs w:val="24"/>
                <w:color w:val="auto"/>
              </w:rPr>
            </w:pPr>
          </w:p>
        </w:tc>
        <w:tc>
          <w:tcPr>
            <w:tcW w:w="5260" w:type="dxa"/>
            <w:vAlign w:val="bottom"/>
            <w:tcBorders>
              <w:bottom w:val="single" w:sz="8" w:color="0000EE"/>
            </w:tcBorders>
            <w:gridSpan w:val="8"/>
          </w:tcPr>
          <w:p>
            <w:pPr>
              <w:spacing w:after="0"/>
              <w:rPr>
                <w:rFonts w:ascii="Arial" w:cs="Arial" w:eastAsia="Arial" w:hAnsi="Arial"/>
                <w:sz w:val="18"/>
                <w:szCs w:val="18"/>
                <w:color w:val="0000EE"/>
                <w:w w:val="90"/>
              </w:rPr>
            </w:pPr>
            <w:hyperlink r:id="rId108">
              <w:r>
                <w:rPr>
                  <w:rFonts w:ascii="Arial" w:cs="Arial" w:eastAsia="Arial" w:hAnsi="Arial"/>
                  <w:sz w:val="18"/>
                  <w:szCs w:val="18"/>
                  <w:color w:val="0000EE"/>
                  <w:w w:val="90"/>
                </w:rPr>
                <w:t>Form of Performance Unit Agreement, effective as of February 24, 2016,</w:t>
              </w:r>
            </w:hyperlink>
          </w:p>
        </w:tc>
        <w:tc>
          <w:tcPr>
            <w:tcW w:w="540" w:type="dxa"/>
            <w:vAlign w:val="bottom"/>
            <w:gridSpan w:val="9"/>
          </w:tcPr>
          <w:p>
            <w:pPr>
              <w:spacing w:after="0"/>
              <w:rPr>
                <w:sz w:val="24"/>
                <w:szCs w:val="24"/>
                <w:color w:val="auto"/>
              </w:rPr>
            </w:pPr>
          </w:p>
        </w:tc>
      </w:tr>
      <w:tr>
        <w:trPr>
          <w:trHeight w:val="195"/>
        </w:trPr>
        <w:tc>
          <w:tcPr>
            <w:tcW w:w="780" w:type="dxa"/>
            <w:vAlign w:val="bottom"/>
          </w:tcPr>
          <w:p>
            <w:pPr>
              <w:spacing w:after="0"/>
              <w:rPr>
                <w:sz w:val="16"/>
                <w:szCs w:val="16"/>
                <w:color w:val="auto"/>
              </w:rPr>
            </w:pPr>
          </w:p>
        </w:tc>
        <w:tc>
          <w:tcPr>
            <w:tcW w:w="640" w:type="dxa"/>
            <w:vAlign w:val="bottom"/>
          </w:tcPr>
          <w:p>
            <w:pPr>
              <w:jc w:val="right"/>
              <w:ind w:right="230"/>
              <w:spacing w:after="0" w:line="195" w:lineRule="exact"/>
              <w:rPr>
                <w:sz w:val="20"/>
                <w:szCs w:val="20"/>
                <w:color w:val="auto"/>
              </w:rPr>
            </w:pPr>
            <w:r>
              <w:rPr>
                <w:rFonts w:ascii="Arial" w:cs="Arial" w:eastAsia="Arial" w:hAnsi="Arial"/>
                <w:sz w:val="18"/>
                <w:szCs w:val="18"/>
                <w:color w:val="auto"/>
              </w:rPr>
              <w:t>+</w:t>
            </w:r>
          </w:p>
        </w:tc>
        <w:tc>
          <w:tcPr>
            <w:tcW w:w="4080" w:type="dxa"/>
            <w:vAlign w:val="bottom"/>
            <w:tcBorders>
              <w:bottom w:val="single" w:sz="8" w:color="0000EE"/>
            </w:tcBorders>
            <w:gridSpan w:val="4"/>
          </w:tcPr>
          <w:p>
            <w:pPr>
              <w:spacing w:after="0" w:line="195" w:lineRule="exact"/>
              <w:rPr>
                <w:rFonts w:ascii="Arial" w:cs="Arial" w:eastAsia="Arial" w:hAnsi="Arial"/>
                <w:sz w:val="18"/>
                <w:szCs w:val="18"/>
                <w:color w:val="0000EE"/>
                <w:w w:val="90"/>
              </w:rPr>
            </w:pPr>
            <w:hyperlink r:id="rId108">
              <w:r>
                <w:rPr>
                  <w:rFonts w:ascii="Arial" w:cs="Arial" w:eastAsia="Arial" w:hAnsi="Arial"/>
                  <w:sz w:val="18"/>
                  <w:szCs w:val="18"/>
                  <w:color w:val="0000EE"/>
                  <w:w w:val="90"/>
                </w:rPr>
                <w:t>pursuant to the 2007 Viad Corp Omnibus Incentive Plan.</w:t>
              </w:r>
            </w:hyperlink>
          </w:p>
        </w:tc>
        <w:tc>
          <w:tcPr>
            <w:tcW w:w="1720" w:type="dxa"/>
            <w:vAlign w:val="bottom"/>
            <w:gridSpan w:val="13"/>
          </w:tcPr>
          <w:p>
            <w:pPr>
              <w:spacing w:after="0"/>
              <w:rPr>
                <w:sz w:val="16"/>
                <w:szCs w:val="16"/>
                <w:color w:val="auto"/>
              </w:rPr>
            </w:pPr>
          </w:p>
        </w:tc>
      </w:tr>
      <w:tr>
        <w:trPr>
          <w:trHeight w:val="437"/>
        </w:trPr>
        <w:tc>
          <w:tcPr>
            <w:tcW w:w="780" w:type="dxa"/>
            <w:vAlign w:val="bottom"/>
          </w:tcPr>
          <w:p>
            <w:pPr>
              <w:spacing w:after="0"/>
              <w:rPr>
                <w:sz w:val="20"/>
                <w:szCs w:val="20"/>
                <w:color w:val="auto"/>
              </w:rPr>
            </w:pPr>
            <w:r>
              <w:rPr>
                <w:rFonts w:ascii="Arial" w:cs="Arial" w:eastAsia="Arial" w:hAnsi="Arial"/>
                <w:sz w:val="18"/>
                <w:szCs w:val="18"/>
                <w:color w:val="auto"/>
              </w:rPr>
              <w:t>10.B1</w:t>
            </w:r>
          </w:p>
        </w:tc>
        <w:tc>
          <w:tcPr>
            <w:tcW w:w="640" w:type="dxa"/>
            <w:vAlign w:val="bottom"/>
          </w:tcPr>
          <w:p>
            <w:pPr>
              <w:jc w:val="right"/>
              <w:ind w:right="230"/>
              <w:spacing w:after="0"/>
              <w:rPr>
                <w:sz w:val="20"/>
                <w:szCs w:val="20"/>
                <w:color w:val="auto"/>
              </w:rPr>
            </w:pPr>
            <w:r>
              <w:rPr>
                <w:rFonts w:ascii="Arial" w:cs="Arial" w:eastAsia="Arial" w:hAnsi="Arial"/>
                <w:sz w:val="18"/>
                <w:szCs w:val="18"/>
                <w:color w:val="auto"/>
              </w:rPr>
              <w:t>+</w:t>
            </w:r>
          </w:p>
        </w:tc>
        <w:tc>
          <w:tcPr>
            <w:tcW w:w="5120" w:type="dxa"/>
            <w:vAlign w:val="bottom"/>
            <w:tcBorders>
              <w:bottom w:val="single" w:sz="8" w:color="0000EE"/>
            </w:tcBorders>
            <w:gridSpan w:val="6"/>
          </w:tcPr>
          <w:p>
            <w:pPr>
              <w:spacing w:after="0"/>
              <w:rPr>
                <w:rFonts w:ascii="Arial" w:cs="Arial" w:eastAsia="Arial" w:hAnsi="Arial"/>
                <w:sz w:val="18"/>
                <w:szCs w:val="18"/>
                <w:color w:val="0000EE"/>
                <w:w w:val="91"/>
              </w:rPr>
            </w:pPr>
            <w:hyperlink r:id="rId109">
              <w:r>
                <w:rPr>
                  <w:rFonts w:ascii="Arial" w:cs="Arial" w:eastAsia="Arial" w:hAnsi="Arial"/>
                  <w:sz w:val="18"/>
                  <w:szCs w:val="18"/>
                  <w:color w:val="0000EE"/>
                  <w:w w:val="91"/>
                </w:rPr>
                <w:t>2017 Viad Corp Omnibus Incentive Plan, effective as of May 18, 2017.</w:t>
              </w:r>
            </w:hyperlink>
          </w:p>
        </w:tc>
        <w:tc>
          <w:tcPr>
            <w:tcW w:w="680" w:type="dxa"/>
            <w:vAlign w:val="bottom"/>
            <w:gridSpan w:val="11"/>
          </w:tcPr>
          <w:p>
            <w:pPr>
              <w:spacing w:after="0"/>
              <w:rPr>
                <w:sz w:val="24"/>
                <w:szCs w:val="24"/>
                <w:color w:val="auto"/>
              </w:rPr>
            </w:pPr>
          </w:p>
        </w:tc>
      </w:tr>
      <w:tr>
        <w:trPr>
          <w:trHeight w:val="437"/>
        </w:trPr>
        <w:tc>
          <w:tcPr>
            <w:tcW w:w="780" w:type="dxa"/>
            <w:vAlign w:val="bottom"/>
          </w:tcPr>
          <w:p>
            <w:pPr>
              <w:spacing w:after="0"/>
              <w:rPr>
                <w:sz w:val="20"/>
                <w:szCs w:val="20"/>
                <w:color w:val="auto"/>
              </w:rPr>
            </w:pPr>
            <w:r>
              <w:rPr>
                <w:rFonts w:ascii="Arial" w:cs="Arial" w:eastAsia="Arial" w:hAnsi="Arial"/>
                <w:sz w:val="18"/>
                <w:szCs w:val="18"/>
                <w:color w:val="auto"/>
              </w:rPr>
              <w:t>10.B2</w:t>
            </w:r>
          </w:p>
        </w:tc>
        <w:tc>
          <w:tcPr>
            <w:tcW w:w="640" w:type="dxa"/>
            <w:vAlign w:val="bottom"/>
          </w:tcPr>
          <w:p>
            <w:pPr>
              <w:spacing w:after="0"/>
              <w:rPr>
                <w:sz w:val="24"/>
                <w:szCs w:val="24"/>
                <w:color w:val="auto"/>
              </w:rPr>
            </w:pPr>
          </w:p>
        </w:tc>
        <w:tc>
          <w:tcPr>
            <w:tcW w:w="5800" w:type="dxa"/>
            <w:vAlign w:val="bottom"/>
            <w:tcBorders>
              <w:bottom w:val="single" w:sz="8" w:color="0000EE"/>
            </w:tcBorders>
            <w:gridSpan w:val="17"/>
          </w:tcPr>
          <w:p>
            <w:pPr>
              <w:spacing w:after="0"/>
              <w:rPr>
                <w:rFonts w:ascii="Arial" w:cs="Arial" w:eastAsia="Arial" w:hAnsi="Arial"/>
                <w:sz w:val="18"/>
                <w:szCs w:val="18"/>
                <w:color w:val="0000EE"/>
                <w:w w:val="90"/>
              </w:rPr>
            </w:pPr>
            <w:hyperlink r:id="rId110">
              <w:r>
                <w:rPr>
                  <w:rFonts w:ascii="Arial" w:cs="Arial" w:eastAsia="Arial" w:hAnsi="Arial"/>
                  <w:sz w:val="18"/>
                  <w:szCs w:val="18"/>
                  <w:color w:val="0000EE"/>
                  <w:w w:val="90"/>
                </w:rPr>
                <w:t>Form of Restricted Stock Agreement – Executives, effective as of May 18, 2017,</w:t>
              </w:r>
            </w:hyperlink>
          </w:p>
        </w:tc>
      </w:tr>
      <w:tr>
        <w:trPr>
          <w:trHeight w:val="195"/>
        </w:trPr>
        <w:tc>
          <w:tcPr>
            <w:tcW w:w="780" w:type="dxa"/>
            <w:vAlign w:val="bottom"/>
          </w:tcPr>
          <w:p>
            <w:pPr>
              <w:spacing w:after="0"/>
              <w:rPr>
                <w:sz w:val="16"/>
                <w:szCs w:val="16"/>
                <w:color w:val="auto"/>
              </w:rPr>
            </w:pPr>
          </w:p>
        </w:tc>
        <w:tc>
          <w:tcPr>
            <w:tcW w:w="640" w:type="dxa"/>
            <w:vAlign w:val="bottom"/>
          </w:tcPr>
          <w:p>
            <w:pPr>
              <w:jc w:val="right"/>
              <w:ind w:right="230"/>
              <w:spacing w:after="0" w:line="195" w:lineRule="exact"/>
              <w:rPr>
                <w:sz w:val="20"/>
                <w:szCs w:val="20"/>
                <w:color w:val="auto"/>
              </w:rPr>
            </w:pPr>
            <w:r>
              <w:rPr>
                <w:rFonts w:ascii="Arial" w:cs="Arial" w:eastAsia="Arial" w:hAnsi="Arial"/>
                <w:sz w:val="18"/>
                <w:szCs w:val="18"/>
                <w:color w:val="auto"/>
              </w:rPr>
              <w:t>+</w:t>
            </w:r>
          </w:p>
        </w:tc>
        <w:tc>
          <w:tcPr>
            <w:tcW w:w="4080" w:type="dxa"/>
            <w:vAlign w:val="bottom"/>
            <w:tcBorders>
              <w:bottom w:val="single" w:sz="8" w:color="0000EE"/>
            </w:tcBorders>
            <w:gridSpan w:val="4"/>
          </w:tcPr>
          <w:p>
            <w:pPr>
              <w:spacing w:after="0" w:line="195" w:lineRule="exact"/>
              <w:rPr>
                <w:rFonts w:ascii="Arial" w:cs="Arial" w:eastAsia="Arial" w:hAnsi="Arial"/>
                <w:sz w:val="18"/>
                <w:szCs w:val="18"/>
                <w:color w:val="0000EE"/>
                <w:w w:val="90"/>
              </w:rPr>
            </w:pPr>
            <w:hyperlink r:id="rId110">
              <w:r>
                <w:rPr>
                  <w:rFonts w:ascii="Arial" w:cs="Arial" w:eastAsia="Arial" w:hAnsi="Arial"/>
                  <w:sz w:val="18"/>
                  <w:szCs w:val="18"/>
                  <w:color w:val="0000EE"/>
                  <w:w w:val="90"/>
                </w:rPr>
                <w:t>pursuant to the 2017 Viad Corp Omnibus Incentive Plan.</w:t>
              </w:r>
            </w:hyperlink>
          </w:p>
        </w:tc>
        <w:tc>
          <w:tcPr>
            <w:tcW w:w="1720" w:type="dxa"/>
            <w:vAlign w:val="bottom"/>
            <w:gridSpan w:val="13"/>
          </w:tcPr>
          <w:p>
            <w:pPr>
              <w:spacing w:after="0"/>
              <w:rPr>
                <w:sz w:val="16"/>
                <w:szCs w:val="16"/>
                <w:color w:val="auto"/>
              </w:rPr>
            </w:pPr>
          </w:p>
        </w:tc>
      </w:tr>
      <w:tr>
        <w:trPr>
          <w:trHeight w:val="437"/>
        </w:trPr>
        <w:tc>
          <w:tcPr>
            <w:tcW w:w="780" w:type="dxa"/>
            <w:vAlign w:val="bottom"/>
          </w:tcPr>
          <w:p>
            <w:pPr>
              <w:spacing w:after="0"/>
              <w:rPr>
                <w:sz w:val="20"/>
                <w:szCs w:val="20"/>
                <w:color w:val="auto"/>
              </w:rPr>
            </w:pPr>
            <w:r>
              <w:rPr>
                <w:rFonts w:ascii="Arial" w:cs="Arial" w:eastAsia="Arial" w:hAnsi="Arial"/>
                <w:sz w:val="18"/>
                <w:szCs w:val="18"/>
                <w:color w:val="auto"/>
              </w:rPr>
              <w:t>10.B3</w:t>
            </w:r>
          </w:p>
        </w:tc>
        <w:tc>
          <w:tcPr>
            <w:tcW w:w="640" w:type="dxa"/>
            <w:vAlign w:val="bottom"/>
          </w:tcPr>
          <w:p>
            <w:pPr>
              <w:spacing w:after="0"/>
              <w:rPr>
                <w:sz w:val="24"/>
                <w:szCs w:val="24"/>
                <w:color w:val="auto"/>
              </w:rPr>
            </w:pPr>
          </w:p>
        </w:tc>
        <w:tc>
          <w:tcPr>
            <w:tcW w:w="5800" w:type="dxa"/>
            <w:vAlign w:val="bottom"/>
            <w:gridSpan w:val="17"/>
          </w:tcPr>
          <w:p>
            <w:pPr>
              <w:spacing w:after="0"/>
              <w:rPr>
                <w:rFonts w:ascii="Arial" w:cs="Arial" w:eastAsia="Arial" w:hAnsi="Arial"/>
                <w:sz w:val="18"/>
                <w:szCs w:val="18"/>
                <w:color w:val="0000EE"/>
              </w:rPr>
            </w:pPr>
            <w:hyperlink r:id="rId111">
              <w:r>
                <w:rPr>
                  <w:rFonts w:ascii="Arial" w:cs="Arial" w:eastAsia="Arial" w:hAnsi="Arial"/>
                  <w:sz w:val="18"/>
                  <w:szCs w:val="18"/>
                  <w:color w:val="0000EE"/>
                </w:rPr>
                <w:t>Form of Restricted Stock Units Agreement, effective as of May 18, 2017,</w:t>
              </w:r>
            </w:hyperlink>
          </w:p>
        </w:tc>
      </w:tr>
      <w:tr>
        <w:trPr>
          <w:trHeight w:val="195"/>
        </w:trPr>
        <w:tc>
          <w:tcPr>
            <w:tcW w:w="780" w:type="dxa"/>
            <w:vAlign w:val="bottom"/>
          </w:tcPr>
          <w:p>
            <w:pPr>
              <w:spacing w:after="0"/>
              <w:rPr>
                <w:sz w:val="16"/>
                <w:szCs w:val="16"/>
                <w:color w:val="auto"/>
              </w:rPr>
            </w:pPr>
          </w:p>
        </w:tc>
        <w:tc>
          <w:tcPr>
            <w:tcW w:w="640" w:type="dxa"/>
            <w:vAlign w:val="bottom"/>
          </w:tcPr>
          <w:p>
            <w:pPr>
              <w:jc w:val="right"/>
              <w:ind w:right="230"/>
              <w:spacing w:after="0" w:line="195" w:lineRule="exact"/>
              <w:rPr>
                <w:sz w:val="20"/>
                <w:szCs w:val="20"/>
                <w:color w:val="auto"/>
              </w:rPr>
            </w:pPr>
            <w:r>
              <w:rPr>
                <w:rFonts w:ascii="Arial" w:cs="Arial" w:eastAsia="Arial" w:hAnsi="Arial"/>
                <w:sz w:val="18"/>
                <w:szCs w:val="18"/>
                <w:color w:val="auto"/>
              </w:rPr>
              <w:t>+</w:t>
            </w:r>
          </w:p>
        </w:tc>
        <w:tc>
          <w:tcPr>
            <w:tcW w:w="4080" w:type="dxa"/>
            <w:vAlign w:val="bottom"/>
            <w:tcBorders>
              <w:top w:val="single" w:sz="8" w:color="0000EE"/>
              <w:bottom w:val="single" w:sz="8" w:color="0000EE"/>
            </w:tcBorders>
            <w:gridSpan w:val="4"/>
          </w:tcPr>
          <w:p>
            <w:pPr>
              <w:spacing w:after="0" w:line="195" w:lineRule="exact"/>
              <w:rPr>
                <w:rFonts w:ascii="Arial" w:cs="Arial" w:eastAsia="Arial" w:hAnsi="Arial"/>
                <w:sz w:val="18"/>
                <w:szCs w:val="18"/>
                <w:color w:val="0000EE"/>
                <w:w w:val="90"/>
              </w:rPr>
            </w:pPr>
            <w:hyperlink r:id="rId111">
              <w:r>
                <w:rPr>
                  <w:rFonts w:ascii="Arial" w:cs="Arial" w:eastAsia="Arial" w:hAnsi="Arial"/>
                  <w:sz w:val="18"/>
                  <w:szCs w:val="18"/>
                  <w:color w:val="0000EE"/>
                  <w:w w:val="90"/>
                </w:rPr>
                <w:t>pursuant to the 2017 Viad Corp Omnibus Incentive Plan.</w:t>
              </w:r>
            </w:hyperlink>
          </w:p>
        </w:tc>
        <w:tc>
          <w:tcPr>
            <w:tcW w:w="1180" w:type="dxa"/>
            <w:vAlign w:val="bottom"/>
            <w:tcBorders>
              <w:top w:val="single" w:sz="8" w:color="0000EE"/>
            </w:tcBorders>
            <w:gridSpan w:val="4"/>
          </w:tcPr>
          <w:p>
            <w:pPr>
              <w:spacing w:after="0"/>
              <w:rPr>
                <w:sz w:val="16"/>
                <w:szCs w:val="16"/>
                <w:color w:val="auto"/>
              </w:rPr>
            </w:pPr>
          </w:p>
        </w:tc>
        <w:tc>
          <w:tcPr>
            <w:tcW w:w="540" w:type="dxa"/>
            <w:vAlign w:val="bottom"/>
            <w:gridSpan w:val="9"/>
          </w:tcPr>
          <w:p>
            <w:pPr>
              <w:spacing w:after="0"/>
              <w:rPr>
                <w:sz w:val="16"/>
                <w:szCs w:val="16"/>
                <w:color w:val="auto"/>
              </w:rPr>
            </w:pPr>
          </w:p>
        </w:tc>
      </w:tr>
      <w:tr>
        <w:trPr>
          <w:trHeight w:val="451"/>
        </w:trPr>
        <w:tc>
          <w:tcPr>
            <w:tcW w:w="78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4520" w:type="dxa"/>
            <w:vAlign w:val="bottom"/>
            <w:gridSpan w:val="5"/>
          </w:tcPr>
          <w:p>
            <w:pPr>
              <w:ind w:left="4200"/>
              <w:spacing w:after="0"/>
              <w:rPr>
                <w:sz w:val="20"/>
                <w:szCs w:val="20"/>
                <w:color w:val="auto"/>
              </w:rPr>
            </w:pPr>
            <w:r>
              <w:rPr>
                <w:rFonts w:ascii="Arial" w:cs="Arial" w:eastAsia="Arial" w:hAnsi="Arial"/>
                <w:sz w:val="18"/>
                <w:szCs w:val="18"/>
                <w:color w:val="auto"/>
              </w:rPr>
              <w:t>41</w:t>
            </w:r>
          </w:p>
        </w:tc>
        <w:tc>
          <w:tcPr>
            <w:tcW w:w="6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 w:type="dxa"/>
            <w:vAlign w:val="bottom"/>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55245</wp:posOffset>
            </wp:positionV>
            <wp:extent cx="7289800" cy="42545"/>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12">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5"/>
        </w:trPr>
        <w:tc>
          <w:tcPr>
            <w:tcW w:w="1200" w:type="dxa"/>
            <w:vAlign w:val="bottom"/>
          </w:tcPr>
          <w:p>
            <w:pPr>
              <w:jc w:val="right"/>
              <w:ind w:right="770"/>
              <w:spacing w:after="0"/>
              <w:rPr>
                <w:sz w:val="20"/>
                <w:szCs w:val="20"/>
                <w:color w:val="auto"/>
              </w:rPr>
            </w:pPr>
            <w:r>
              <w:rPr>
                <w:rFonts w:ascii="Arial" w:cs="Arial" w:eastAsia="Arial" w:hAnsi="Arial"/>
                <w:sz w:val="18"/>
                <w:szCs w:val="18"/>
                <w:color w:val="auto"/>
                <w:w w:val="88"/>
              </w:rPr>
              <w:t>DEF</w:t>
            </w:r>
          </w:p>
        </w:tc>
        <w:tc>
          <w:tcPr>
            <w:tcW w:w="152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4/13/2012</w:t>
            </w:r>
          </w:p>
        </w:tc>
      </w:tr>
      <w:tr>
        <w:trPr>
          <w:trHeight w:val="230"/>
        </w:trPr>
        <w:tc>
          <w:tcPr>
            <w:tcW w:w="1200" w:type="dxa"/>
            <w:vAlign w:val="bottom"/>
          </w:tcPr>
          <w:p>
            <w:pPr>
              <w:jc w:val="right"/>
              <w:ind w:right="770"/>
              <w:spacing w:after="0"/>
              <w:rPr>
                <w:sz w:val="20"/>
                <w:szCs w:val="20"/>
                <w:color w:val="auto"/>
              </w:rPr>
            </w:pPr>
            <w:r>
              <w:rPr>
                <w:rFonts w:ascii="Arial" w:cs="Arial" w:eastAsia="Arial" w:hAnsi="Arial"/>
                <w:sz w:val="18"/>
                <w:szCs w:val="18"/>
                <w:color w:val="auto"/>
                <w:w w:val="99"/>
              </w:rPr>
              <w:t>14A</w:t>
            </w:r>
          </w:p>
        </w:tc>
        <w:tc>
          <w:tcPr>
            <w:tcW w:w="1520" w:type="dxa"/>
            <w:vAlign w:val="bottom"/>
          </w:tcPr>
          <w:p>
            <w:pPr>
              <w:spacing w:after="0"/>
              <w:rPr>
                <w:sz w:val="19"/>
                <w:szCs w:val="19"/>
                <w:color w:val="auto"/>
              </w:rPr>
            </w:pPr>
          </w:p>
        </w:tc>
        <w:tc>
          <w:tcPr>
            <w:tcW w:w="1020" w:type="dxa"/>
            <w:vAlign w:val="bottom"/>
          </w:tcPr>
          <w:p>
            <w:pPr>
              <w:spacing w:after="0"/>
              <w:rPr>
                <w:sz w:val="19"/>
                <w:szCs w:val="19"/>
                <w:color w:val="auto"/>
              </w:rPr>
            </w:pPr>
          </w:p>
        </w:tc>
      </w:tr>
      <w:tr>
        <w:trPr>
          <w:trHeight w:val="457"/>
        </w:trPr>
        <w:tc>
          <w:tcPr>
            <w:tcW w:w="1200" w:type="dxa"/>
            <w:vAlign w:val="bottom"/>
          </w:tcPr>
          <w:p>
            <w:pPr>
              <w:jc w:val="right"/>
              <w:ind w:right="770"/>
              <w:spacing w:after="0"/>
              <w:rPr>
                <w:sz w:val="20"/>
                <w:szCs w:val="20"/>
                <w:color w:val="auto"/>
              </w:rPr>
            </w:pPr>
            <w:r>
              <w:rPr>
                <w:rFonts w:ascii="Arial" w:cs="Arial" w:eastAsia="Arial" w:hAnsi="Arial"/>
                <w:sz w:val="18"/>
                <w:szCs w:val="18"/>
                <w:color w:val="auto"/>
              </w:rPr>
              <w:t>8-K</w:t>
            </w:r>
          </w:p>
        </w:tc>
        <w:tc>
          <w:tcPr>
            <w:tcW w:w="1520" w:type="dxa"/>
            <w:vAlign w:val="bottom"/>
          </w:tcPr>
          <w:p>
            <w:pPr>
              <w:jc w:val="right"/>
              <w:ind w:right="210"/>
              <w:spacing w:after="0"/>
              <w:rPr>
                <w:sz w:val="20"/>
                <w:szCs w:val="20"/>
                <w:color w:val="auto"/>
              </w:rPr>
            </w:pPr>
            <w:r>
              <w:rPr>
                <w:rFonts w:ascii="Arial" w:cs="Arial" w:eastAsia="Arial" w:hAnsi="Arial"/>
                <w:sz w:val="18"/>
                <w:szCs w:val="18"/>
                <w:color w:val="auto"/>
              </w:rPr>
              <w:t>10.A</w:t>
            </w:r>
          </w:p>
        </w:tc>
        <w:tc>
          <w:tcPr>
            <w:tcW w:w="1020" w:type="dxa"/>
            <w:vAlign w:val="bottom"/>
          </w:tcPr>
          <w:p>
            <w:pPr>
              <w:jc w:val="right"/>
              <w:spacing w:after="0"/>
              <w:rPr>
                <w:sz w:val="20"/>
                <w:szCs w:val="20"/>
                <w:color w:val="auto"/>
              </w:rPr>
            </w:pPr>
            <w:r>
              <w:rPr>
                <w:rFonts w:ascii="Arial" w:cs="Arial" w:eastAsia="Arial" w:hAnsi="Arial"/>
                <w:sz w:val="18"/>
                <w:szCs w:val="18"/>
                <w:color w:val="auto"/>
              </w:rPr>
              <w:t>3/28/2014</w:t>
            </w:r>
          </w:p>
        </w:tc>
      </w:tr>
      <w:tr>
        <w:trPr>
          <w:trHeight w:val="887"/>
        </w:trPr>
        <w:tc>
          <w:tcPr>
            <w:tcW w:w="1200" w:type="dxa"/>
            <w:vAlign w:val="bottom"/>
          </w:tcPr>
          <w:p>
            <w:pPr>
              <w:jc w:val="right"/>
              <w:ind w:right="770"/>
              <w:spacing w:after="0"/>
              <w:rPr>
                <w:sz w:val="20"/>
                <w:szCs w:val="20"/>
                <w:color w:val="auto"/>
              </w:rPr>
            </w:pPr>
            <w:r>
              <w:rPr>
                <w:rFonts w:ascii="Arial" w:cs="Arial" w:eastAsia="Arial" w:hAnsi="Arial"/>
                <w:sz w:val="18"/>
                <w:szCs w:val="18"/>
                <w:color w:val="auto"/>
              </w:rPr>
              <w:t>8-K</w:t>
            </w:r>
          </w:p>
        </w:tc>
        <w:tc>
          <w:tcPr>
            <w:tcW w:w="1520" w:type="dxa"/>
            <w:vAlign w:val="bottom"/>
          </w:tcPr>
          <w:p>
            <w:pPr>
              <w:jc w:val="right"/>
              <w:ind w:right="210"/>
              <w:spacing w:after="0"/>
              <w:rPr>
                <w:sz w:val="20"/>
                <w:szCs w:val="20"/>
                <w:color w:val="auto"/>
              </w:rPr>
            </w:pPr>
            <w:r>
              <w:rPr>
                <w:rFonts w:ascii="Arial" w:cs="Arial" w:eastAsia="Arial" w:hAnsi="Arial"/>
                <w:sz w:val="18"/>
                <w:szCs w:val="18"/>
                <w:color w:val="auto"/>
              </w:rPr>
              <w:t>10.B</w:t>
            </w:r>
          </w:p>
        </w:tc>
        <w:tc>
          <w:tcPr>
            <w:tcW w:w="1020" w:type="dxa"/>
            <w:vAlign w:val="bottom"/>
          </w:tcPr>
          <w:p>
            <w:pPr>
              <w:jc w:val="right"/>
              <w:spacing w:after="0"/>
              <w:rPr>
                <w:sz w:val="20"/>
                <w:szCs w:val="20"/>
                <w:color w:val="auto"/>
              </w:rPr>
            </w:pPr>
            <w:r>
              <w:rPr>
                <w:rFonts w:ascii="Arial" w:cs="Arial" w:eastAsia="Arial" w:hAnsi="Arial"/>
                <w:sz w:val="18"/>
                <w:szCs w:val="18"/>
                <w:color w:val="auto"/>
              </w:rPr>
              <w:t>3/28/2014</w:t>
            </w:r>
          </w:p>
        </w:tc>
      </w:tr>
      <w:tr>
        <w:trPr>
          <w:trHeight w:val="672"/>
        </w:trPr>
        <w:tc>
          <w:tcPr>
            <w:tcW w:w="1200" w:type="dxa"/>
            <w:vAlign w:val="bottom"/>
          </w:tcPr>
          <w:p>
            <w:pPr>
              <w:jc w:val="right"/>
              <w:ind w:right="770"/>
              <w:spacing w:after="0"/>
              <w:rPr>
                <w:sz w:val="20"/>
                <w:szCs w:val="20"/>
                <w:color w:val="auto"/>
              </w:rPr>
            </w:pPr>
            <w:r>
              <w:rPr>
                <w:rFonts w:ascii="Arial" w:cs="Arial" w:eastAsia="Arial" w:hAnsi="Arial"/>
                <w:sz w:val="18"/>
                <w:szCs w:val="18"/>
                <w:color w:val="auto"/>
              </w:rPr>
              <w:t>8-K</w:t>
            </w:r>
          </w:p>
        </w:tc>
        <w:tc>
          <w:tcPr>
            <w:tcW w:w="1520" w:type="dxa"/>
            <w:vAlign w:val="bottom"/>
          </w:tcPr>
          <w:p>
            <w:pPr>
              <w:jc w:val="right"/>
              <w:ind w:right="210"/>
              <w:spacing w:after="0"/>
              <w:rPr>
                <w:sz w:val="20"/>
                <w:szCs w:val="20"/>
                <w:color w:val="auto"/>
              </w:rPr>
            </w:pPr>
            <w:r>
              <w:rPr>
                <w:rFonts w:ascii="Arial" w:cs="Arial" w:eastAsia="Arial" w:hAnsi="Arial"/>
                <w:sz w:val="18"/>
                <w:szCs w:val="18"/>
                <w:color w:val="auto"/>
              </w:rPr>
              <w:t>10.F</w:t>
            </w:r>
          </w:p>
        </w:tc>
        <w:tc>
          <w:tcPr>
            <w:tcW w:w="1020" w:type="dxa"/>
            <w:vAlign w:val="bottom"/>
          </w:tcPr>
          <w:p>
            <w:pPr>
              <w:jc w:val="right"/>
              <w:spacing w:after="0"/>
              <w:rPr>
                <w:sz w:val="20"/>
                <w:szCs w:val="20"/>
                <w:color w:val="auto"/>
              </w:rPr>
            </w:pPr>
            <w:r>
              <w:rPr>
                <w:rFonts w:ascii="Arial" w:cs="Arial" w:eastAsia="Arial" w:hAnsi="Arial"/>
                <w:sz w:val="18"/>
                <w:szCs w:val="18"/>
                <w:color w:val="auto"/>
              </w:rPr>
              <w:t>2/28/2008</w:t>
            </w:r>
          </w:p>
        </w:tc>
      </w:tr>
      <w:tr>
        <w:trPr>
          <w:trHeight w:val="672"/>
        </w:trPr>
        <w:tc>
          <w:tcPr>
            <w:tcW w:w="1200" w:type="dxa"/>
            <w:vAlign w:val="bottom"/>
          </w:tcPr>
          <w:p>
            <w:pPr>
              <w:jc w:val="right"/>
              <w:ind w:right="770"/>
              <w:spacing w:after="0"/>
              <w:rPr>
                <w:sz w:val="20"/>
                <w:szCs w:val="20"/>
                <w:color w:val="auto"/>
              </w:rPr>
            </w:pPr>
            <w:r>
              <w:rPr>
                <w:rFonts w:ascii="Arial" w:cs="Arial" w:eastAsia="Arial" w:hAnsi="Arial"/>
                <w:sz w:val="18"/>
                <w:szCs w:val="18"/>
                <w:color w:val="auto"/>
              </w:rPr>
              <w:t>8-K</w:t>
            </w:r>
          </w:p>
        </w:tc>
        <w:tc>
          <w:tcPr>
            <w:tcW w:w="1520" w:type="dxa"/>
            <w:vAlign w:val="bottom"/>
          </w:tcPr>
          <w:p>
            <w:pPr>
              <w:jc w:val="right"/>
              <w:ind w:right="210"/>
              <w:spacing w:after="0"/>
              <w:rPr>
                <w:sz w:val="20"/>
                <w:szCs w:val="20"/>
                <w:color w:val="auto"/>
              </w:rPr>
            </w:pPr>
            <w:r>
              <w:rPr>
                <w:rFonts w:ascii="Arial" w:cs="Arial" w:eastAsia="Arial" w:hAnsi="Arial"/>
                <w:sz w:val="18"/>
                <w:szCs w:val="18"/>
                <w:color w:val="auto"/>
              </w:rPr>
              <w:t>10.B</w:t>
            </w:r>
          </w:p>
        </w:tc>
        <w:tc>
          <w:tcPr>
            <w:tcW w:w="1020" w:type="dxa"/>
            <w:vAlign w:val="bottom"/>
          </w:tcPr>
          <w:p>
            <w:pPr>
              <w:jc w:val="right"/>
              <w:spacing w:after="0"/>
              <w:rPr>
                <w:sz w:val="20"/>
                <w:szCs w:val="20"/>
                <w:color w:val="auto"/>
              </w:rPr>
            </w:pPr>
            <w:r>
              <w:rPr>
                <w:rFonts w:ascii="Arial" w:cs="Arial" w:eastAsia="Arial" w:hAnsi="Arial"/>
                <w:sz w:val="18"/>
                <w:szCs w:val="18"/>
                <w:color w:val="auto"/>
              </w:rPr>
              <w:t>2/26/2010</w:t>
            </w:r>
          </w:p>
        </w:tc>
      </w:tr>
      <w:tr>
        <w:trPr>
          <w:trHeight w:val="672"/>
        </w:trPr>
        <w:tc>
          <w:tcPr>
            <w:tcW w:w="1200" w:type="dxa"/>
            <w:vAlign w:val="bottom"/>
          </w:tcPr>
          <w:p>
            <w:pPr>
              <w:jc w:val="right"/>
              <w:ind w:right="770"/>
              <w:spacing w:after="0"/>
              <w:rPr>
                <w:sz w:val="20"/>
                <w:szCs w:val="20"/>
                <w:color w:val="auto"/>
              </w:rPr>
            </w:pPr>
            <w:r>
              <w:rPr>
                <w:rFonts w:ascii="Arial" w:cs="Arial" w:eastAsia="Arial" w:hAnsi="Arial"/>
                <w:sz w:val="18"/>
                <w:szCs w:val="18"/>
                <w:color w:val="auto"/>
              </w:rPr>
              <w:t>8-K</w:t>
            </w:r>
          </w:p>
        </w:tc>
        <w:tc>
          <w:tcPr>
            <w:tcW w:w="1520" w:type="dxa"/>
            <w:vAlign w:val="bottom"/>
          </w:tcPr>
          <w:p>
            <w:pPr>
              <w:jc w:val="right"/>
              <w:ind w:right="210"/>
              <w:spacing w:after="0"/>
              <w:rPr>
                <w:sz w:val="20"/>
                <w:szCs w:val="20"/>
                <w:color w:val="auto"/>
              </w:rPr>
            </w:pPr>
            <w:r>
              <w:rPr>
                <w:rFonts w:ascii="Arial" w:cs="Arial" w:eastAsia="Arial" w:hAnsi="Arial"/>
                <w:sz w:val="18"/>
                <w:szCs w:val="18"/>
                <w:color w:val="auto"/>
              </w:rPr>
              <w:t>10.A</w:t>
            </w:r>
          </w:p>
        </w:tc>
        <w:tc>
          <w:tcPr>
            <w:tcW w:w="1020" w:type="dxa"/>
            <w:vAlign w:val="bottom"/>
          </w:tcPr>
          <w:p>
            <w:pPr>
              <w:jc w:val="right"/>
              <w:spacing w:after="0"/>
              <w:rPr>
                <w:sz w:val="20"/>
                <w:szCs w:val="20"/>
                <w:color w:val="auto"/>
              </w:rPr>
            </w:pPr>
            <w:r>
              <w:rPr>
                <w:rFonts w:ascii="Arial" w:cs="Arial" w:eastAsia="Arial" w:hAnsi="Arial"/>
                <w:sz w:val="18"/>
                <w:szCs w:val="18"/>
                <w:color w:val="auto"/>
              </w:rPr>
              <w:t>2/26/2010</w:t>
            </w:r>
          </w:p>
        </w:tc>
      </w:tr>
      <w:tr>
        <w:trPr>
          <w:trHeight w:val="672"/>
        </w:trPr>
        <w:tc>
          <w:tcPr>
            <w:tcW w:w="1200" w:type="dxa"/>
            <w:vAlign w:val="bottom"/>
          </w:tcPr>
          <w:p>
            <w:pPr>
              <w:jc w:val="right"/>
              <w:ind w:right="770"/>
              <w:spacing w:after="0"/>
              <w:rPr>
                <w:sz w:val="20"/>
                <w:szCs w:val="20"/>
                <w:color w:val="auto"/>
              </w:rPr>
            </w:pPr>
            <w:r>
              <w:rPr>
                <w:rFonts w:ascii="Arial" w:cs="Arial" w:eastAsia="Arial" w:hAnsi="Arial"/>
                <w:sz w:val="18"/>
                <w:szCs w:val="18"/>
                <w:color w:val="auto"/>
              </w:rPr>
              <w:t>8-K</w:t>
            </w:r>
          </w:p>
        </w:tc>
        <w:tc>
          <w:tcPr>
            <w:tcW w:w="1520" w:type="dxa"/>
            <w:vAlign w:val="bottom"/>
          </w:tcPr>
          <w:p>
            <w:pPr>
              <w:jc w:val="right"/>
              <w:ind w:right="210"/>
              <w:spacing w:after="0"/>
              <w:rPr>
                <w:sz w:val="20"/>
                <w:szCs w:val="20"/>
                <w:color w:val="auto"/>
              </w:rPr>
            </w:pPr>
            <w:r>
              <w:rPr>
                <w:rFonts w:ascii="Arial" w:cs="Arial" w:eastAsia="Arial" w:hAnsi="Arial"/>
                <w:sz w:val="18"/>
                <w:szCs w:val="18"/>
                <w:color w:val="auto"/>
              </w:rPr>
              <w:t>10.C</w:t>
            </w:r>
          </w:p>
        </w:tc>
        <w:tc>
          <w:tcPr>
            <w:tcW w:w="1020" w:type="dxa"/>
            <w:vAlign w:val="bottom"/>
          </w:tcPr>
          <w:p>
            <w:pPr>
              <w:jc w:val="right"/>
              <w:spacing w:after="0"/>
              <w:rPr>
                <w:sz w:val="20"/>
                <w:szCs w:val="20"/>
                <w:color w:val="auto"/>
              </w:rPr>
            </w:pPr>
            <w:r>
              <w:rPr>
                <w:rFonts w:ascii="Arial" w:cs="Arial" w:eastAsia="Arial" w:hAnsi="Arial"/>
                <w:sz w:val="18"/>
                <w:szCs w:val="18"/>
                <w:color w:val="auto"/>
              </w:rPr>
              <w:t>3/5/2013</w:t>
            </w:r>
          </w:p>
        </w:tc>
      </w:tr>
      <w:tr>
        <w:trPr>
          <w:trHeight w:val="672"/>
        </w:trPr>
        <w:tc>
          <w:tcPr>
            <w:tcW w:w="1200" w:type="dxa"/>
            <w:vAlign w:val="bottom"/>
          </w:tcPr>
          <w:p>
            <w:pPr>
              <w:jc w:val="right"/>
              <w:ind w:right="770"/>
              <w:spacing w:after="0"/>
              <w:rPr>
                <w:sz w:val="20"/>
                <w:szCs w:val="20"/>
                <w:color w:val="auto"/>
              </w:rPr>
            </w:pPr>
            <w:r>
              <w:rPr>
                <w:rFonts w:ascii="Arial" w:cs="Arial" w:eastAsia="Arial" w:hAnsi="Arial"/>
                <w:sz w:val="18"/>
                <w:szCs w:val="18"/>
                <w:color w:val="auto"/>
              </w:rPr>
              <w:t>8-K</w:t>
            </w:r>
          </w:p>
        </w:tc>
        <w:tc>
          <w:tcPr>
            <w:tcW w:w="1520" w:type="dxa"/>
            <w:vAlign w:val="bottom"/>
          </w:tcPr>
          <w:p>
            <w:pPr>
              <w:jc w:val="right"/>
              <w:ind w:right="210"/>
              <w:spacing w:after="0"/>
              <w:rPr>
                <w:sz w:val="20"/>
                <w:szCs w:val="20"/>
                <w:color w:val="auto"/>
              </w:rPr>
            </w:pPr>
            <w:r>
              <w:rPr>
                <w:rFonts w:ascii="Arial" w:cs="Arial" w:eastAsia="Arial" w:hAnsi="Arial"/>
                <w:sz w:val="18"/>
                <w:szCs w:val="18"/>
                <w:color w:val="auto"/>
              </w:rPr>
              <w:t>10.D</w:t>
            </w:r>
          </w:p>
        </w:tc>
        <w:tc>
          <w:tcPr>
            <w:tcW w:w="1020" w:type="dxa"/>
            <w:vAlign w:val="bottom"/>
          </w:tcPr>
          <w:p>
            <w:pPr>
              <w:jc w:val="right"/>
              <w:spacing w:after="0"/>
              <w:rPr>
                <w:sz w:val="20"/>
                <w:szCs w:val="20"/>
                <w:color w:val="auto"/>
              </w:rPr>
            </w:pPr>
            <w:r>
              <w:rPr>
                <w:rFonts w:ascii="Arial" w:cs="Arial" w:eastAsia="Arial" w:hAnsi="Arial"/>
                <w:sz w:val="18"/>
                <w:szCs w:val="18"/>
                <w:color w:val="auto"/>
              </w:rPr>
              <w:t>3/5/2013</w:t>
            </w:r>
          </w:p>
        </w:tc>
      </w:tr>
      <w:tr>
        <w:trPr>
          <w:trHeight w:val="672"/>
        </w:trPr>
        <w:tc>
          <w:tcPr>
            <w:tcW w:w="1200" w:type="dxa"/>
            <w:vAlign w:val="bottom"/>
          </w:tcPr>
          <w:p>
            <w:pPr>
              <w:jc w:val="right"/>
              <w:ind w:right="770"/>
              <w:spacing w:after="0"/>
              <w:rPr>
                <w:sz w:val="20"/>
                <w:szCs w:val="20"/>
                <w:color w:val="auto"/>
              </w:rPr>
            </w:pPr>
            <w:r>
              <w:rPr>
                <w:rFonts w:ascii="Arial" w:cs="Arial" w:eastAsia="Arial" w:hAnsi="Arial"/>
                <w:sz w:val="18"/>
                <w:szCs w:val="18"/>
                <w:color w:val="auto"/>
              </w:rPr>
              <w:t>8-K</w:t>
            </w:r>
          </w:p>
        </w:tc>
        <w:tc>
          <w:tcPr>
            <w:tcW w:w="1520" w:type="dxa"/>
            <w:vAlign w:val="bottom"/>
          </w:tcPr>
          <w:p>
            <w:pPr>
              <w:jc w:val="right"/>
              <w:ind w:right="210"/>
              <w:spacing w:after="0"/>
              <w:rPr>
                <w:sz w:val="20"/>
                <w:szCs w:val="20"/>
                <w:color w:val="auto"/>
              </w:rPr>
            </w:pPr>
            <w:r>
              <w:rPr>
                <w:rFonts w:ascii="Arial" w:cs="Arial" w:eastAsia="Arial" w:hAnsi="Arial"/>
                <w:sz w:val="18"/>
                <w:szCs w:val="18"/>
                <w:color w:val="auto"/>
              </w:rPr>
              <w:t>10.B</w:t>
            </w:r>
          </w:p>
        </w:tc>
        <w:tc>
          <w:tcPr>
            <w:tcW w:w="1020" w:type="dxa"/>
            <w:vAlign w:val="bottom"/>
          </w:tcPr>
          <w:p>
            <w:pPr>
              <w:jc w:val="right"/>
              <w:spacing w:after="0"/>
              <w:rPr>
                <w:sz w:val="20"/>
                <w:szCs w:val="20"/>
                <w:color w:val="auto"/>
              </w:rPr>
            </w:pPr>
            <w:r>
              <w:rPr>
                <w:rFonts w:ascii="Arial" w:cs="Arial" w:eastAsia="Arial" w:hAnsi="Arial"/>
                <w:sz w:val="18"/>
                <w:szCs w:val="18"/>
                <w:color w:val="auto"/>
              </w:rPr>
              <w:t>3/1/2016</w:t>
            </w:r>
          </w:p>
        </w:tc>
      </w:tr>
      <w:tr>
        <w:trPr>
          <w:trHeight w:val="887"/>
        </w:trPr>
        <w:tc>
          <w:tcPr>
            <w:tcW w:w="1200" w:type="dxa"/>
            <w:vAlign w:val="bottom"/>
          </w:tcPr>
          <w:p>
            <w:pPr>
              <w:jc w:val="right"/>
              <w:ind w:right="770"/>
              <w:spacing w:after="0"/>
              <w:rPr>
                <w:sz w:val="20"/>
                <w:szCs w:val="20"/>
                <w:color w:val="auto"/>
              </w:rPr>
            </w:pPr>
            <w:r>
              <w:rPr>
                <w:rFonts w:ascii="Arial" w:cs="Arial" w:eastAsia="Arial" w:hAnsi="Arial"/>
                <w:sz w:val="18"/>
                <w:szCs w:val="18"/>
                <w:color w:val="auto"/>
              </w:rPr>
              <w:t>8-K</w:t>
            </w:r>
          </w:p>
        </w:tc>
        <w:tc>
          <w:tcPr>
            <w:tcW w:w="1520" w:type="dxa"/>
            <w:vAlign w:val="bottom"/>
          </w:tcPr>
          <w:p>
            <w:pPr>
              <w:jc w:val="right"/>
              <w:ind w:right="210"/>
              <w:spacing w:after="0"/>
              <w:rPr>
                <w:sz w:val="20"/>
                <w:szCs w:val="20"/>
                <w:color w:val="auto"/>
              </w:rPr>
            </w:pPr>
            <w:r>
              <w:rPr>
                <w:rFonts w:ascii="Arial" w:cs="Arial" w:eastAsia="Arial" w:hAnsi="Arial"/>
                <w:sz w:val="18"/>
                <w:szCs w:val="18"/>
                <w:color w:val="auto"/>
              </w:rPr>
              <w:t>10.C</w:t>
            </w:r>
          </w:p>
        </w:tc>
        <w:tc>
          <w:tcPr>
            <w:tcW w:w="1020" w:type="dxa"/>
            <w:vAlign w:val="bottom"/>
          </w:tcPr>
          <w:p>
            <w:pPr>
              <w:jc w:val="right"/>
              <w:spacing w:after="0"/>
              <w:rPr>
                <w:sz w:val="20"/>
                <w:szCs w:val="20"/>
                <w:color w:val="auto"/>
              </w:rPr>
            </w:pPr>
            <w:r>
              <w:rPr>
                <w:rFonts w:ascii="Arial" w:cs="Arial" w:eastAsia="Arial" w:hAnsi="Arial"/>
                <w:sz w:val="18"/>
                <w:szCs w:val="18"/>
                <w:color w:val="auto"/>
              </w:rPr>
              <w:t>3/28/2014</w:t>
            </w:r>
          </w:p>
        </w:tc>
      </w:tr>
      <w:tr>
        <w:trPr>
          <w:trHeight w:val="672"/>
        </w:trPr>
        <w:tc>
          <w:tcPr>
            <w:tcW w:w="1200" w:type="dxa"/>
            <w:vAlign w:val="bottom"/>
          </w:tcPr>
          <w:p>
            <w:pPr>
              <w:jc w:val="right"/>
              <w:ind w:right="770"/>
              <w:spacing w:after="0"/>
              <w:rPr>
                <w:sz w:val="20"/>
                <w:szCs w:val="20"/>
                <w:color w:val="auto"/>
              </w:rPr>
            </w:pPr>
            <w:r>
              <w:rPr>
                <w:rFonts w:ascii="Arial" w:cs="Arial" w:eastAsia="Arial" w:hAnsi="Arial"/>
                <w:sz w:val="18"/>
                <w:szCs w:val="18"/>
                <w:color w:val="auto"/>
              </w:rPr>
              <w:t>8-K</w:t>
            </w:r>
          </w:p>
        </w:tc>
        <w:tc>
          <w:tcPr>
            <w:tcW w:w="1520" w:type="dxa"/>
            <w:vAlign w:val="bottom"/>
          </w:tcPr>
          <w:p>
            <w:pPr>
              <w:jc w:val="right"/>
              <w:ind w:right="210"/>
              <w:spacing w:after="0"/>
              <w:rPr>
                <w:sz w:val="20"/>
                <w:szCs w:val="20"/>
                <w:color w:val="auto"/>
              </w:rPr>
            </w:pPr>
            <w:r>
              <w:rPr>
                <w:rFonts w:ascii="Arial" w:cs="Arial" w:eastAsia="Arial" w:hAnsi="Arial"/>
                <w:sz w:val="18"/>
                <w:szCs w:val="18"/>
                <w:color w:val="auto"/>
              </w:rPr>
              <w:t>10.A</w:t>
            </w:r>
          </w:p>
        </w:tc>
        <w:tc>
          <w:tcPr>
            <w:tcW w:w="1020" w:type="dxa"/>
            <w:vAlign w:val="bottom"/>
          </w:tcPr>
          <w:p>
            <w:pPr>
              <w:jc w:val="right"/>
              <w:spacing w:after="0"/>
              <w:rPr>
                <w:sz w:val="20"/>
                <w:szCs w:val="20"/>
                <w:color w:val="auto"/>
              </w:rPr>
            </w:pPr>
            <w:r>
              <w:rPr>
                <w:rFonts w:ascii="Arial" w:cs="Arial" w:eastAsia="Arial" w:hAnsi="Arial"/>
                <w:sz w:val="18"/>
                <w:szCs w:val="18"/>
                <w:color w:val="auto"/>
              </w:rPr>
              <w:t>3/1/2016</w:t>
            </w:r>
          </w:p>
        </w:tc>
      </w:tr>
      <w:tr>
        <w:trPr>
          <w:trHeight w:val="672"/>
        </w:trPr>
        <w:tc>
          <w:tcPr>
            <w:tcW w:w="1200" w:type="dxa"/>
            <w:vAlign w:val="bottom"/>
          </w:tcPr>
          <w:p>
            <w:pPr>
              <w:jc w:val="right"/>
              <w:ind w:right="770"/>
              <w:spacing w:after="0"/>
              <w:rPr>
                <w:sz w:val="20"/>
                <w:szCs w:val="20"/>
                <w:color w:val="auto"/>
              </w:rPr>
            </w:pPr>
            <w:r>
              <w:rPr>
                <w:rFonts w:ascii="Arial" w:cs="Arial" w:eastAsia="Arial" w:hAnsi="Arial"/>
                <w:sz w:val="18"/>
                <w:szCs w:val="18"/>
                <w:color w:val="auto"/>
              </w:rPr>
              <w:t>8-K</w:t>
            </w:r>
          </w:p>
        </w:tc>
        <w:tc>
          <w:tcPr>
            <w:tcW w:w="1520" w:type="dxa"/>
            <w:vAlign w:val="bottom"/>
          </w:tcPr>
          <w:p>
            <w:pPr>
              <w:jc w:val="right"/>
              <w:ind w:right="210"/>
              <w:spacing w:after="0"/>
              <w:rPr>
                <w:sz w:val="20"/>
                <w:szCs w:val="20"/>
                <w:color w:val="auto"/>
              </w:rPr>
            </w:pPr>
            <w:r>
              <w:rPr>
                <w:rFonts w:ascii="Arial" w:cs="Arial" w:eastAsia="Arial" w:hAnsi="Arial"/>
                <w:sz w:val="18"/>
                <w:szCs w:val="18"/>
                <w:color w:val="auto"/>
              </w:rPr>
              <w:t>10.1</w:t>
            </w:r>
          </w:p>
        </w:tc>
        <w:tc>
          <w:tcPr>
            <w:tcW w:w="1020" w:type="dxa"/>
            <w:vAlign w:val="bottom"/>
          </w:tcPr>
          <w:p>
            <w:pPr>
              <w:jc w:val="right"/>
              <w:spacing w:after="0"/>
              <w:rPr>
                <w:sz w:val="20"/>
                <w:szCs w:val="20"/>
                <w:color w:val="auto"/>
              </w:rPr>
            </w:pPr>
            <w:r>
              <w:rPr>
                <w:rFonts w:ascii="Arial" w:cs="Arial" w:eastAsia="Arial" w:hAnsi="Arial"/>
                <w:sz w:val="18"/>
                <w:szCs w:val="18"/>
                <w:color w:val="auto"/>
              </w:rPr>
              <w:t>5/23/2017</w:t>
            </w:r>
          </w:p>
        </w:tc>
      </w:tr>
      <w:tr>
        <w:trPr>
          <w:trHeight w:val="457"/>
        </w:trPr>
        <w:tc>
          <w:tcPr>
            <w:tcW w:w="1200" w:type="dxa"/>
            <w:vAlign w:val="bottom"/>
          </w:tcPr>
          <w:p>
            <w:pPr>
              <w:jc w:val="right"/>
              <w:ind w:right="770"/>
              <w:spacing w:after="0"/>
              <w:rPr>
                <w:sz w:val="20"/>
                <w:szCs w:val="20"/>
                <w:color w:val="auto"/>
              </w:rPr>
            </w:pPr>
            <w:r>
              <w:rPr>
                <w:rFonts w:ascii="Arial" w:cs="Arial" w:eastAsia="Arial" w:hAnsi="Arial"/>
                <w:sz w:val="18"/>
                <w:szCs w:val="18"/>
                <w:color w:val="auto"/>
              </w:rPr>
              <w:t>8-K</w:t>
            </w:r>
          </w:p>
        </w:tc>
        <w:tc>
          <w:tcPr>
            <w:tcW w:w="1520" w:type="dxa"/>
            <w:vAlign w:val="bottom"/>
          </w:tcPr>
          <w:p>
            <w:pPr>
              <w:jc w:val="right"/>
              <w:ind w:right="210"/>
              <w:spacing w:after="0"/>
              <w:rPr>
                <w:sz w:val="20"/>
                <w:szCs w:val="20"/>
                <w:color w:val="auto"/>
              </w:rPr>
            </w:pPr>
            <w:r>
              <w:rPr>
                <w:rFonts w:ascii="Arial" w:cs="Arial" w:eastAsia="Arial" w:hAnsi="Arial"/>
                <w:sz w:val="18"/>
                <w:szCs w:val="18"/>
                <w:color w:val="auto"/>
              </w:rPr>
              <w:t>10.3</w:t>
            </w:r>
          </w:p>
        </w:tc>
        <w:tc>
          <w:tcPr>
            <w:tcW w:w="1020" w:type="dxa"/>
            <w:vAlign w:val="bottom"/>
          </w:tcPr>
          <w:p>
            <w:pPr>
              <w:jc w:val="right"/>
              <w:spacing w:after="0"/>
              <w:rPr>
                <w:sz w:val="20"/>
                <w:szCs w:val="20"/>
                <w:color w:val="auto"/>
              </w:rPr>
            </w:pPr>
            <w:r>
              <w:rPr>
                <w:rFonts w:ascii="Arial" w:cs="Arial" w:eastAsia="Arial" w:hAnsi="Arial"/>
                <w:sz w:val="18"/>
                <w:szCs w:val="18"/>
                <w:color w:val="auto"/>
              </w:rPr>
              <w:t>5/23/2017</w:t>
            </w:r>
          </w:p>
        </w:tc>
      </w:tr>
      <w:tr>
        <w:trPr>
          <w:trHeight w:val="672"/>
        </w:trPr>
        <w:tc>
          <w:tcPr>
            <w:tcW w:w="1200" w:type="dxa"/>
            <w:vAlign w:val="bottom"/>
          </w:tcPr>
          <w:p>
            <w:pPr>
              <w:jc w:val="right"/>
              <w:ind w:right="770"/>
              <w:spacing w:after="0"/>
              <w:rPr>
                <w:sz w:val="20"/>
                <w:szCs w:val="20"/>
                <w:color w:val="auto"/>
              </w:rPr>
            </w:pPr>
            <w:r>
              <w:rPr>
                <w:rFonts w:ascii="Arial" w:cs="Arial" w:eastAsia="Arial" w:hAnsi="Arial"/>
                <w:sz w:val="18"/>
                <w:szCs w:val="18"/>
                <w:color w:val="auto"/>
              </w:rPr>
              <w:t>8-K</w:t>
            </w:r>
          </w:p>
        </w:tc>
        <w:tc>
          <w:tcPr>
            <w:tcW w:w="1520" w:type="dxa"/>
            <w:vAlign w:val="bottom"/>
          </w:tcPr>
          <w:p>
            <w:pPr>
              <w:jc w:val="right"/>
              <w:ind w:right="210"/>
              <w:spacing w:after="0"/>
              <w:rPr>
                <w:sz w:val="20"/>
                <w:szCs w:val="20"/>
                <w:color w:val="auto"/>
              </w:rPr>
            </w:pPr>
            <w:r>
              <w:rPr>
                <w:rFonts w:ascii="Arial" w:cs="Arial" w:eastAsia="Arial" w:hAnsi="Arial"/>
                <w:sz w:val="18"/>
                <w:szCs w:val="18"/>
                <w:color w:val="auto"/>
              </w:rPr>
              <w:t>10.4</w:t>
            </w:r>
          </w:p>
        </w:tc>
        <w:tc>
          <w:tcPr>
            <w:tcW w:w="1020" w:type="dxa"/>
            <w:vAlign w:val="bottom"/>
          </w:tcPr>
          <w:p>
            <w:pPr>
              <w:jc w:val="right"/>
              <w:spacing w:after="0"/>
              <w:rPr>
                <w:sz w:val="20"/>
                <w:szCs w:val="20"/>
                <w:color w:val="auto"/>
              </w:rPr>
            </w:pPr>
            <w:r>
              <w:rPr>
                <w:rFonts w:ascii="Arial" w:cs="Arial" w:eastAsia="Arial" w:hAnsi="Arial"/>
                <w:sz w:val="18"/>
                <w:szCs w:val="18"/>
                <w:color w:val="auto"/>
              </w:rPr>
              <w:t>5/23/2017</w:t>
            </w:r>
          </w:p>
        </w:tc>
      </w:tr>
    </w:tbl>
    <w:p>
      <w:pPr>
        <w:sectPr>
          <w:pgSz w:w="11900" w:h="16838" w:orient="portrait"/>
          <w:cols w:equalWidth="0" w:num="2">
            <w:col w:w="7220" w:space="440"/>
            <w:col w:w="3740"/>
          </w:cols>
          <w:pgMar w:left="240" w:top="564" w:right="259" w:bottom="1440" w:gutter="0" w:footer="0" w:header="0"/>
        </w:sectPr>
      </w:pPr>
    </w:p>
    <w:bookmarkStart w:id="43" w:name="page44"/>
    <w:bookmarkEnd w:id="43"/>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1420" w:type="dxa"/>
            <w:vAlign w:val="bottom"/>
          </w:tcPr>
          <w:p>
            <w:pPr>
              <w:spacing w:after="0"/>
              <w:rPr>
                <w:sz w:val="20"/>
                <w:szCs w:val="20"/>
                <w:color w:val="auto"/>
              </w:rPr>
            </w:pPr>
            <w:r>
              <w:rPr>
                <w:rFonts w:ascii="Arial" w:cs="Arial" w:eastAsia="Arial" w:hAnsi="Arial"/>
                <w:sz w:val="18"/>
                <w:szCs w:val="18"/>
                <w:color w:val="auto"/>
              </w:rPr>
              <w:t>10.B4</w:t>
            </w:r>
          </w:p>
        </w:tc>
        <w:tc>
          <w:tcPr>
            <w:tcW w:w="5780" w:type="dxa"/>
            <w:vAlign w:val="bottom"/>
            <w:tcBorders>
              <w:bottom w:val="single" w:sz="8" w:color="0000EE"/>
            </w:tcBorders>
            <w:gridSpan w:val="24"/>
          </w:tcPr>
          <w:p>
            <w:pPr>
              <w:spacing w:after="0"/>
              <w:rPr>
                <w:rFonts w:ascii="Arial" w:cs="Arial" w:eastAsia="Arial" w:hAnsi="Arial"/>
                <w:sz w:val="18"/>
                <w:szCs w:val="18"/>
                <w:color w:val="0000EE"/>
                <w:w w:val="92"/>
              </w:rPr>
            </w:pPr>
            <w:hyperlink r:id="rId113">
              <w:r>
                <w:rPr>
                  <w:rFonts w:ascii="Arial" w:cs="Arial" w:eastAsia="Arial" w:hAnsi="Arial"/>
                  <w:sz w:val="18"/>
                  <w:szCs w:val="18"/>
                  <w:color w:val="0000EE"/>
                  <w:w w:val="92"/>
                </w:rPr>
                <w:t>Form of Management Incentive Plan (MIP) Administrative Guidelines, effective</w:t>
              </w:r>
            </w:hyperlink>
          </w:p>
        </w:tc>
        <w:tc>
          <w:tcPr>
            <w:tcW w:w="60" w:type="dxa"/>
            <w:vAlign w:val="bottom"/>
            <w:gridSpan w:val="3"/>
          </w:tcPr>
          <w:p>
            <w:pPr>
              <w:spacing w:after="0"/>
              <w:rPr>
                <w:sz w:val="17"/>
                <w:szCs w:val="17"/>
                <w:color w:val="auto"/>
              </w:rPr>
            </w:pPr>
          </w:p>
        </w:tc>
      </w:tr>
      <w:tr>
        <w:trPr>
          <w:trHeight w:val="195"/>
        </w:trPr>
        <w:tc>
          <w:tcPr>
            <w:tcW w:w="1420" w:type="dxa"/>
            <w:vAlign w:val="bottom"/>
          </w:tcPr>
          <w:p>
            <w:pPr>
              <w:spacing w:after="0"/>
              <w:rPr>
                <w:sz w:val="16"/>
                <w:szCs w:val="16"/>
                <w:color w:val="auto"/>
              </w:rPr>
            </w:pPr>
          </w:p>
        </w:tc>
        <w:tc>
          <w:tcPr>
            <w:tcW w:w="5500" w:type="dxa"/>
            <w:vAlign w:val="bottom"/>
            <w:tcBorders>
              <w:bottom w:val="single" w:sz="8" w:color="0000EE"/>
            </w:tcBorders>
            <w:gridSpan w:val="14"/>
          </w:tcPr>
          <w:p>
            <w:pPr>
              <w:spacing w:after="0" w:line="195" w:lineRule="exact"/>
              <w:rPr>
                <w:rFonts w:ascii="Arial" w:cs="Arial" w:eastAsia="Arial" w:hAnsi="Arial"/>
                <w:sz w:val="18"/>
                <w:szCs w:val="18"/>
                <w:color w:val="0000EE"/>
                <w:w w:val="90"/>
              </w:rPr>
            </w:pPr>
            <w:hyperlink r:id="rId113">
              <w:r>
                <w:rPr>
                  <w:rFonts w:ascii="Arial" w:cs="Arial" w:eastAsia="Arial" w:hAnsi="Arial"/>
                  <w:sz w:val="18"/>
                  <w:szCs w:val="18"/>
                  <w:color w:val="0000EE"/>
                  <w:w w:val="90"/>
                </w:rPr>
                <w:t>February 27, 2018, pursuant to the 2017 Viad Corp Omnibus Incentive Plan,</w:t>
              </w:r>
            </w:hyperlink>
          </w:p>
        </w:tc>
        <w:tc>
          <w:tcPr>
            <w:tcW w:w="340" w:type="dxa"/>
            <w:vAlign w:val="bottom"/>
            <w:gridSpan w:val="13"/>
          </w:tcPr>
          <w:p>
            <w:pPr>
              <w:spacing w:after="0"/>
              <w:rPr>
                <w:sz w:val="16"/>
                <w:szCs w:val="16"/>
                <w:color w:val="auto"/>
              </w:rPr>
            </w:pPr>
          </w:p>
        </w:tc>
      </w:tr>
      <w:tr>
        <w:trPr>
          <w:trHeight w:val="195"/>
        </w:trPr>
        <w:tc>
          <w:tcPr>
            <w:tcW w:w="1420" w:type="dxa"/>
            <w:vAlign w:val="bottom"/>
          </w:tcPr>
          <w:p>
            <w:pPr>
              <w:ind w:left="1000"/>
              <w:spacing w:after="0" w:line="195" w:lineRule="exact"/>
              <w:rPr>
                <w:sz w:val="20"/>
                <w:szCs w:val="20"/>
                <w:color w:val="auto"/>
              </w:rPr>
            </w:pPr>
            <w:r>
              <w:rPr>
                <w:rFonts w:ascii="Arial" w:cs="Arial" w:eastAsia="Arial" w:hAnsi="Arial"/>
                <w:sz w:val="18"/>
                <w:szCs w:val="18"/>
                <w:color w:val="auto"/>
              </w:rPr>
              <w:t>+</w:t>
            </w:r>
          </w:p>
        </w:tc>
        <w:tc>
          <w:tcPr>
            <w:tcW w:w="5840" w:type="dxa"/>
            <w:vAlign w:val="bottom"/>
            <w:gridSpan w:val="27"/>
          </w:tcPr>
          <w:p>
            <w:pPr>
              <w:spacing w:after="0" w:line="195" w:lineRule="exact"/>
              <w:rPr>
                <w:rFonts w:ascii="Arial" w:cs="Arial" w:eastAsia="Arial" w:hAnsi="Arial"/>
                <w:sz w:val="18"/>
                <w:szCs w:val="18"/>
                <w:color w:val="0000EE"/>
              </w:rPr>
            </w:pPr>
            <w:hyperlink r:id="rId113">
              <w:r>
                <w:rPr>
                  <w:rFonts w:ascii="Arial" w:cs="Arial" w:eastAsia="Arial" w:hAnsi="Arial"/>
                  <w:sz w:val="18"/>
                  <w:szCs w:val="18"/>
                  <w:color w:val="0000EE"/>
                </w:rPr>
                <w:t>effective as of May 18, 2017.</w:t>
              </w:r>
            </w:hyperlink>
          </w:p>
        </w:tc>
      </w:tr>
      <w:tr>
        <w:trPr>
          <w:trHeight w:val="20"/>
        </w:trPr>
        <w:tc>
          <w:tcPr>
            <w:tcW w:w="1420" w:type="dxa"/>
            <w:vAlign w:val="bottom"/>
          </w:tcPr>
          <w:p>
            <w:pPr>
              <w:spacing w:after="0" w:line="20" w:lineRule="exact"/>
              <w:rPr>
                <w:sz w:val="1"/>
                <w:szCs w:val="1"/>
                <w:color w:val="auto"/>
              </w:rPr>
            </w:pPr>
          </w:p>
        </w:tc>
        <w:tc>
          <w:tcPr>
            <w:tcW w:w="680" w:type="dxa"/>
            <w:vAlign w:val="bottom"/>
            <w:shd w:val="clear" w:color="auto" w:fill="0000EE"/>
          </w:tcPr>
          <w:p>
            <w:pPr>
              <w:spacing w:after="0" w:line="20" w:lineRule="exact"/>
              <w:rPr>
                <w:sz w:val="1"/>
                <w:szCs w:val="1"/>
                <w:color w:val="auto"/>
              </w:rPr>
            </w:pPr>
          </w:p>
        </w:tc>
        <w:tc>
          <w:tcPr>
            <w:tcW w:w="360" w:type="dxa"/>
            <w:vAlign w:val="bottom"/>
            <w:shd w:val="clear" w:color="auto" w:fill="0000EE"/>
          </w:tcPr>
          <w:p>
            <w:pPr>
              <w:spacing w:after="0" w:line="20" w:lineRule="exact"/>
              <w:rPr>
                <w:sz w:val="1"/>
                <w:szCs w:val="1"/>
                <w:color w:val="auto"/>
              </w:rPr>
            </w:pPr>
          </w:p>
        </w:tc>
        <w:tc>
          <w:tcPr>
            <w:tcW w:w="520" w:type="dxa"/>
            <w:vAlign w:val="bottom"/>
            <w:shd w:val="clear" w:color="auto" w:fill="0000EE"/>
          </w:tcPr>
          <w:p>
            <w:pPr>
              <w:spacing w:after="0" w:line="20" w:lineRule="exact"/>
              <w:rPr>
                <w:sz w:val="1"/>
                <w:szCs w:val="1"/>
                <w:color w:val="auto"/>
              </w:rPr>
            </w:pPr>
          </w:p>
        </w:tc>
        <w:tc>
          <w:tcPr>
            <w:tcW w:w="540" w:type="dxa"/>
            <w:vAlign w:val="bottom"/>
            <w:shd w:val="clear" w:color="auto" w:fill="0000EE"/>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128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437"/>
        </w:trPr>
        <w:tc>
          <w:tcPr>
            <w:tcW w:w="1420" w:type="dxa"/>
            <w:vAlign w:val="bottom"/>
          </w:tcPr>
          <w:p>
            <w:pPr>
              <w:spacing w:after="0"/>
              <w:rPr>
                <w:sz w:val="20"/>
                <w:szCs w:val="20"/>
                <w:color w:val="auto"/>
              </w:rPr>
            </w:pPr>
            <w:r>
              <w:rPr>
                <w:rFonts w:ascii="Arial" w:cs="Arial" w:eastAsia="Arial" w:hAnsi="Arial"/>
                <w:sz w:val="18"/>
                <w:szCs w:val="18"/>
                <w:color w:val="auto"/>
              </w:rPr>
              <w:t>10.B5</w:t>
            </w:r>
          </w:p>
        </w:tc>
        <w:tc>
          <w:tcPr>
            <w:tcW w:w="5840" w:type="dxa"/>
            <w:vAlign w:val="bottom"/>
            <w:gridSpan w:val="27"/>
          </w:tcPr>
          <w:p>
            <w:pPr>
              <w:spacing w:after="0"/>
              <w:rPr>
                <w:rFonts w:ascii="Arial" w:cs="Arial" w:eastAsia="Arial" w:hAnsi="Arial"/>
                <w:sz w:val="18"/>
                <w:szCs w:val="18"/>
                <w:color w:val="0000EE"/>
                <w:w w:val="90"/>
              </w:rPr>
            </w:pPr>
            <w:hyperlink r:id="rId114">
              <w:r>
                <w:rPr>
                  <w:rFonts w:ascii="Arial" w:cs="Arial" w:eastAsia="Arial" w:hAnsi="Arial"/>
                  <w:sz w:val="18"/>
                  <w:szCs w:val="18"/>
                  <w:color w:val="0000EE"/>
                  <w:w w:val="90"/>
                </w:rPr>
                <w:t>Form of Management Incentive Plan, effective as of February 27, 2018, pursuant</w:t>
              </w:r>
            </w:hyperlink>
          </w:p>
        </w:tc>
      </w:tr>
      <w:tr>
        <w:trPr>
          <w:trHeight w:val="195"/>
        </w:trPr>
        <w:tc>
          <w:tcPr>
            <w:tcW w:w="1420" w:type="dxa"/>
            <w:vAlign w:val="bottom"/>
          </w:tcPr>
          <w:p>
            <w:pPr>
              <w:ind w:left="1000"/>
              <w:spacing w:after="0" w:line="195" w:lineRule="exact"/>
              <w:rPr>
                <w:sz w:val="20"/>
                <w:szCs w:val="20"/>
                <w:color w:val="auto"/>
              </w:rPr>
            </w:pPr>
            <w:r>
              <w:rPr>
                <w:rFonts w:ascii="Arial" w:cs="Arial" w:eastAsia="Arial" w:hAnsi="Arial"/>
                <w:sz w:val="18"/>
                <w:szCs w:val="18"/>
                <w:color w:val="auto"/>
              </w:rPr>
              <w:t>+</w:t>
            </w:r>
          </w:p>
        </w:tc>
        <w:tc>
          <w:tcPr>
            <w:tcW w:w="5580" w:type="dxa"/>
            <w:vAlign w:val="bottom"/>
            <w:tcBorders>
              <w:top w:val="single" w:sz="8" w:color="0000EE"/>
              <w:bottom w:val="single" w:sz="8" w:color="0000EE"/>
            </w:tcBorders>
            <w:gridSpan w:val="16"/>
          </w:tcPr>
          <w:p>
            <w:pPr>
              <w:spacing w:after="0" w:line="195" w:lineRule="exact"/>
              <w:rPr>
                <w:rFonts w:ascii="Arial" w:cs="Arial" w:eastAsia="Arial" w:hAnsi="Arial"/>
                <w:sz w:val="18"/>
                <w:szCs w:val="18"/>
                <w:color w:val="0000EE"/>
                <w:w w:val="91"/>
              </w:rPr>
            </w:pPr>
            <w:hyperlink r:id="rId114">
              <w:r>
                <w:rPr>
                  <w:rFonts w:ascii="Arial" w:cs="Arial" w:eastAsia="Arial" w:hAnsi="Arial"/>
                  <w:sz w:val="18"/>
                  <w:szCs w:val="18"/>
                  <w:color w:val="0000EE"/>
                  <w:w w:val="91"/>
                </w:rPr>
                <w:t>to the 2017 Viad Corp Omnibus Incentive Plan, effective as of May 18, 2017.</w:t>
              </w:r>
            </w:hyperlink>
          </w:p>
        </w:tc>
        <w:tc>
          <w:tcPr>
            <w:tcW w:w="220" w:type="dxa"/>
            <w:vAlign w:val="bottom"/>
            <w:tcBorders>
              <w:top w:val="single" w:sz="8" w:color="0000EE"/>
            </w:tcBorders>
            <w:gridSpan w:val="9"/>
          </w:tcPr>
          <w:p>
            <w:pPr>
              <w:spacing w:after="0"/>
              <w:rPr>
                <w:sz w:val="16"/>
                <w:szCs w:val="16"/>
                <w:color w:val="auto"/>
              </w:rPr>
            </w:pPr>
          </w:p>
        </w:tc>
        <w:tc>
          <w:tcPr>
            <w:tcW w:w="40" w:type="dxa"/>
            <w:vAlign w:val="bottom"/>
            <w:gridSpan w:val="2"/>
          </w:tcPr>
          <w:p>
            <w:pPr>
              <w:spacing w:after="0"/>
              <w:rPr>
                <w:sz w:val="16"/>
                <w:szCs w:val="16"/>
                <w:color w:val="auto"/>
              </w:rPr>
            </w:pPr>
          </w:p>
        </w:tc>
      </w:tr>
      <w:tr>
        <w:trPr>
          <w:trHeight w:val="437"/>
        </w:trPr>
        <w:tc>
          <w:tcPr>
            <w:tcW w:w="1420" w:type="dxa"/>
            <w:vAlign w:val="bottom"/>
          </w:tcPr>
          <w:p>
            <w:pPr>
              <w:spacing w:after="0"/>
              <w:rPr>
                <w:sz w:val="20"/>
                <w:szCs w:val="20"/>
                <w:color w:val="auto"/>
              </w:rPr>
            </w:pPr>
            <w:r>
              <w:rPr>
                <w:rFonts w:ascii="Arial" w:cs="Arial" w:eastAsia="Arial" w:hAnsi="Arial"/>
                <w:sz w:val="18"/>
                <w:szCs w:val="18"/>
                <w:color w:val="auto"/>
              </w:rPr>
              <w:t>10.B6</w:t>
            </w:r>
          </w:p>
        </w:tc>
        <w:tc>
          <w:tcPr>
            <w:tcW w:w="5620" w:type="dxa"/>
            <w:vAlign w:val="bottom"/>
            <w:tcBorders>
              <w:bottom w:val="single" w:sz="8" w:color="0000EE"/>
            </w:tcBorders>
            <w:gridSpan w:val="17"/>
          </w:tcPr>
          <w:p>
            <w:pPr>
              <w:spacing w:after="0"/>
              <w:rPr>
                <w:rFonts w:ascii="Arial" w:cs="Arial" w:eastAsia="Arial" w:hAnsi="Arial"/>
                <w:sz w:val="18"/>
                <w:szCs w:val="18"/>
                <w:color w:val="0000EE"/>
                <w:w w:val="92"/>
              </w:rPr>
            </w:pPr>
            <w:hyperlink r:id="rId115">
              <w:r>
                <w:rPr>
                  <w:rFonts w:ascii="Arial" w:cs="Arial" w:eastAsia="Arial" w:hAnsi="Arial"/>
                  <w:sz w:val="18"/>
                  <w:szCs w:val="18"/>
                  <w:color w:val="0000EE"/>
                  <w:w w:val="92"/>
                </w:rPr>
                <w:t>Form of Performance Unit Incentive Plan (“PUP”) Administrative Guidelines,</w:t>
              </w:r>
            </w:hyperlink>
          </w:p>
        </w:tc>
        <w:tc>
          <w:tcPr>
            <w:tcW w:w="220" w:type="dxa"/>
            <w:vAlign w:val="bottom"/>
            <w:gridSpan w:val="10"/>
          </w:tcPr>
          <w:p>
            <w:pPr>
              <w:spacing w:after="0"/>
              <w:rPr>
                <w:sz w:val="24"/>
                <w:szCs w:val="24"/>
                <w:color w:val="auto"/>
              </w:rPr>
            </w:pPr>
          </w:p>
        </w:tc>
      </w:tr>
      <w:tr>
        <w:trPr>
          <w:trHeight w:val="195"/>
        </w:trPr>
        <w:tc>
          <w:tcPr>
            <w:tcW w:w="1420" w:type="dxa"/>
            <w:vAlign w:val="bottom"/>
          </w:tcPr>
          <w:p>
            <w:pPr>
              <w:spacing w:after="0"/>
              <w:rPr>
                <w:sz w:val="16"/>
                <w:szCs w:val="16"/>
                <w:color w:val="auto"/>
              </w:rPr>
            </w:pPr>
          </w:p>
        </w:tc>
        <w:tc>
          <w:tcPr>
            <w:tcW w:w="5840" w:type="dxa"/>
            <w:vAlign w:val="bottom"/>
            <w:gridSpan w:val="27"/>
          </w:tcPr>
          <w:p>
            <w:pPr>
              <w:spacing w:after="0" w:line="195" w:lineRule="exact"/>
              <w:rPr>
                <w:rFonts w:ascii="Arial" w:cs="Arial" w:eastAsia="Arial" w:hAnsi="Arial"/>
                <w:sz w:val="18"/>
                <w:szCs w:val="18"/>
                <w:color w:val="0000EE"/>
                <w:w w:val="91"/>
              </w:rPr>
            </w:pPr>
            <w:hyperlink r:id="rId115">
              <w:r>
                <w:rPr>
                  <w:rFonts w:ascii="Arial" w:cs="Arial" w:eastAsia="Arial" w:hAnsi="Arial"/>
                  <w:sz w:val="18"/>
                  <w:szCs w:val="18"/>
                  <w:color w:val="0000EE"/>
                  <w:w w:val="91"/>
                </w:rPr>
                <w:t>effective February 27, 2018, pursuant to the 2017 Viad Corp Omnibus Incentive</w:t>
              </w:r>
            </w:hyperlink>
          </w:p>
        </w:tc>
      </w:tr>
      <w:tr>
        <w:trPr>
          <w:trHeight w:val="195"/>
        </w:trPr>
        <w:tc>
          <w:tcPr>
            <w:tcW w:w="1420" w:type="dxa"/>
            <w:vAlign w:val="bottom"/>
          </w:tcPr>
          <w:p>
            <w:pPr>
              <w:ind w:left="1000"/>
              <w:spacing w:after="0" w:line="195" w:lineRule="exact"/>
              <w:rPr>
                <w:sz w:val="20"/>
                <w:szCs w:val="20"/>
                <w:color w:val="auto"/>
              </w:rPr>
            </w:pPr>
            <w:r>
              <w:rPr>
                <w:rFonts w:ascii="Arial" w:cs="Arial" w:eastAsia="Arial" w:hAnsi="Arial"/>
                <w:sz w:val="18"/>
                <w:szCs w:val="18"/>
                <w:color w:val="auto"/>
              </w:rPr>
              <w:t>+</w:t>
            </w:r>
          </w:p>
        </w:tc>
        <w:tc>
          <w:tcPr>
            <w:tcW w:w="5740" w:type="dxa"/>
            <w:vAlign w:val="bottom"/>
            <w:tcBorders>
              <w:top w:val="single" w:sz="8" w:color="0000EE"/>
            </w:tcBorders>
            <w:gridSpan w:val="22"/>
          </w:tcPr>
          <w:p>
            <w:pPr>
              <w:spacing w:after="0" w:line="195" w:lineRule="exact"/>
              <w:rPr>
                <w:rFonts w:ascii="Arial" w:cs="Arial" w:eastAsia="Arial" w:hAnsi="Arial"/>
                <w:sz w:val="18"/>
                <w:szCs w:val="18"/>
                <w:color w:val="0000EE"/>
              </w:rPr>
            </w:pPr>
            <w:hyperlink r:id="rId115">
              <w:r>
                <w:rPr>
                  <w:rFonts w:ascii="Arial" w:cs="Arial" w:eastAsia="Arial" w:hAnsi="Arial"/>
                  <w:sz w:val="18"/>
                  <w:szCs w:val="18"/>
                  <w:color w:val="0000EE"/>
                </w:rPr>
                <w:t>Plan, effective as of May 18, 2017.</w:t>
              </w:r>
            </w:hyperlink>
          </w:p>
        </w:tc>
        <w:tc>
          <w:tcPr>
            <w:tcW w:w="100" w:type="dxa"/>
            <w:vAlign w:val="bottom"/>
            <w:gridSpan w:val="5"/>
          </w:tcPr>
          <w:p>
            <w:pPr>
              <w:spacing w:after="0"/>
              <w:rPr>
                <w:sz w:val="16"/>
                <w:szCs w:val="16"/>
                <w:color w:val="auto"/>
              </w:rPr>
            </w:pPr>
          </w:p>
        </w:tc>
      </w:tr>
      <w:tr>
        <w:trPr>
          <w:trHeight w:val="20"/>
        </w:trPr>
        <w:tc>
          <w:tcPr>
            <w:tcW w:w="1420" w:type="dxa"/>
            <w:vAlign w:val="bottom"/>
          </w:tcPr>
          <w:p>
            <w:pPr>
              <w:spacing w:after="0" w:line="20" w:lineRule="exact"/>
              <w:rPr>
                <w:sz w:val="1"/>
                <w:szCs w:val="1"/>
                <w:color w:val="auto"/>
              </w:rPr>
            </w:pPr>
          </w:p>
        </w:tc>
        <w:tc>
          <w:tcPr>
            <w:tcW w:w="680" w:type="dxa"/>
            <w:vAlign w:val="bottom"/>
            <w:shd w:val="clear" w:color="auto" w:fill="0000EE"/>
          </w:tcPr>
          <w:p>
            <w:pPr>
              <w:spacing w:after="0" w:line="20" w:lineRule="exact"/>
              <w:rPr>
                <w:sz w:val="1"/>
                <w:szCs w:val="1"/>
                <w:color w:val="auto"/>
              </w:rPr>
            </w:pPr>
          </w:p>
        </w:tc>
        <w:tc>
          <w:tcPr>
            <w:tcW w:w="360" w:type="dxa"/>
            <w:vAlign w:val="bottom"/>
            <w:shd w:val="clear" w:color="auto" w:fill="0000EE"/>
          </w:tcPr>
          <w:p>
            <w:pPr>
              <w:spacing w:after="0" w:line="20" w:lineRule="exact"/>
              <w:rPr>
                <w:sz w:val="1"/>
                <w:szCs w:val="1"/>
                <w:color w:val="auto"/>
              </w:rPr>
            </w:pPr>
          </w:p>
        </w:tc>
        <w:tc>
          <w:tcPr>
            <w:tcW w:w="520" w:type="dxa"/>
            <w:vAlign w:val="bottom"/>
            <w:shd w:val="clear" w:color="auto" w:fill="0000EE"/>
          </w:tcPr>
          <w:p>
            <w:pPr>
              <w:spacing w:after="0" w:line="20" w:lineRule="exact"/>
              <w:rPr>
                <w:sz w:val="1"/>
                <w:szCs w:val="1"/>
                <w:color w:val="auto"/>
              </w:rPr>
            </w:pPr>
          </w:p>
        </w:tc>
        <w:tc>
          <w:tcPr>
            <w:tcW w:w="540" w:type="dxa"/>
            <w:vAlign w:val="bottom"/>
            <w:shd w:val="clear" w:color="auto" w:fill="0000EE"/>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128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437"/>
        </w:trPr>
        <w:tc>
          <w:tcPr>
            <w:tcW w:w="1420" w:type="dxa"/>
            <w:vAlign w:val="bottom"/>
          </w:tcPr>
          <w:p>
            <w:pPr>
              <w:spacing w:after="0"/>
              <w:rPr>
                <w:sz w:val="20"/>
                <w:szCs w:val="20"/>
                <w:color w:val="auto"/>
              </w:rPr>
            </w:pPr>
            <w:r>
              <w:rPr>
                <w:rFonts w:ascii="Arial" w:cs="Arial" w:eastAsia="Arial" w:hAnsi="Arial"/>
                <w:sz w:val="18"/>
                <w:szCs w:val="18"/>
                <w:color w:val="auto"/>
              </w:rPr>
              <w:t>10.B7</w:t>
            </w:r>
          </w:p>
        </w:tc>
        <w:tc>
          <w:tcPr>
            <w:tcW w:w="5760" w:type="dxa"/>
            <w:vAlign w:val="bottom"/>
            <w:tcBorders>
              <w:bottom w:val="single" w:sz="8" w:color="0000EE"/>
            </w:tcBorders>
            <w:gridSpan w:val="23"/>
          </w:tcPr>
          <w:p>
            <w:pPr>
              <w:spacing w:after="0"/>
              <w:rPr>
                <w:rFonts w:ascii="Arial" w:cs="Arial" w:eastAsia="Arial" w:hAnsi="Arial"/>
                <w:sz w:val="18"/>
                <w:szCs w:val="18"/>
                <w:color w:val="0000EE"/>
                <w:w w:val="91"/>
              </w:rPr>
            </w:pPr>
            <w:hyperlink r:id="rId116">
              <w:r>
                <w:rPr>
                  <w:rFonts w:ascii="Arial" w:cs="Arial" w:eastAsia="Arial" w:hAnsi="Arial"/>
                  <w:sz w:val="18"/>
                  <w:szCs w:val="18"/>
                  <w:color w:val="0000EE"/>
                  <w:w w:val="91"/>
                </w:rPr>
                <w:t>Form of 2017 Viad Corp Omnibus Incentive Plan Performance Unit Agreement,</w:t>
              </w:r>
            </w:hyperlink>
          </w:p>
        </w:tc>
        <w:tc>
          <w:tcPr>
            <w:tcW w:w="80" w:type="dxa"/>
            <w:vAlign w:val="bottom"/>
            <w:gridSpan w:val="4"/>
          </w:tcPr>
          <w:p>
            <w:pPr>
              <w:spacing w:after="0"/>
              <w:rPr>
                <w:sz w:val="24"/>
                <w:szCs w:val="24"/>
                <w:color w:val="auto"/>
              </w:rPr>
            </w:pPr>
          </w:p>
        </w:tc>
      </w:tr>
      <w:tr>
        <w:trPr>
          <w:trHeight w:val="195"/>
        </w:trPr>
        <w:tc>
          <w:tcPr>
            <w:tcW w:w="1420" w:type="dxa"/>
            <w:vAlign w:val="bottom"/>
          </w:tcPr>
          <w:p>
            <w:pPr>
              <w:spacing w:after="0"/>
              <w:rPr>
                <w:sz w:val="16"/>
                <w:szCs w:val="16"/>
                <w:color w:val="auto"/>
              </w:rPr>
            </w:pPr>
          </w:p>
        </w:tc>
        <w:tc>
          <w:tcPr>
            <w:tcW w:w="5840" w:type="dxa"/>
            <w:vAlign w:val="bottom"/>
            <w:gridSpan w:val="27"/>
          </w:tcPr>
          <w:p>
            <w:pPr>
              <w:spacing w:after="0" w:line="195" w:lineRule="exact"/>
              <w:rPr>
                <w:rFonts w:ascii="Arial" w:cs="Arial" w:eastAsia="Arial" w:hAnsi="Arial"/>
                <w:sz w:val="18"/>
                <w:szCs w:val="18"/>
                <w:color w:val="0000EE"/>
                <w:w w:val="91"/>
              </w:rPr>
            </w:pPr>
            <w:hyperlink r:id="rId116">
              <w:r>
                <w:rPr>
                  <w:rFonts w:ascii="Arial" w:cs="Arial" w:eastAsia="Arial" w:hAnsi="Arial"/>
                  <w:sz w:val="18"/>
                  <w:szCs w:val="18"/>
                  <w:color w:val="0000EE"/>
                  <w:w w:val="91"/>
                </w:rPr>
                <w:t>effective February 27, 2018, pursuant to the 2017 Viad Corp Omnibus Incentive</w:t>
              </w:r>
            </w:hyperlink>
          </w:p>
        </w:tc>
      </w:tr>
      <w:tr>
        <w:trPr>
          <w:trHeight w:val="195"/>
        </w:trPr>
        <w:tc>
          <w:tcPr>
            <w:tcW w:w="1420" w:type="dxa"/>
            <w:vAlign w:val="bottom"/>
          </w:tcPr>
          <w:p>
            <w:pPr>
              <w:ind w:left="1000"/>
              <w:spacing w:after="0" w:line="195" w:lineRule="exact"/>
              <w:rPr>
                <w:sz w:val="20"/>
                <w:szCs w:val="20"/>
                <w:color w:val="auto"/>
              </w:rPr>
            </w:pPr>
            <w:r>
              <w:rPr>
                <w:rFonts w:ascii="Arial" w:cs="Arial" w:eastAsia="Arial" w:hAnsi="Arial"/>
                <w:sz w:val="18"/>
                <w:szCs w:val="18"/>
                <w:color w:val="auto"/>
              </w:rPr>
              <w:t>+</w:t>
            </w:r>
          </w:p>
        </w:tc>
        <w:tc>
          <w:tcPr>
            <w:tcW w:w="5740" w:type="dxa"/>
            <w:vAlign w:val="bottom"/>
            <w:tcBorders>
              <w:top w:val="single" w:sz="8" w:color="0000EE"/>
            </w:tcBorders>
            <w:gridSpan w:val="22"/>
          </w:tcPr>
          <w:p>
            <w:pPr>
              <w:spacing w:after="0" w:line="195" w:lineRule="exact"/>
              <w:rPr>
                <w:rFonts w:ascii="Arial" w:cs="Arial" w:eastAsia="Arial" w:hAnsi="Arial"/>
                <w:sz w:val="18"/>
                <w:szCs w:val="18"/>
                <w:color w:val="0000EE"/>
              </w:rPr>
            </w:pPr>
            <w:hyperlink r:id="rId116">
              <w:r>
                <w:rPr>
                  <w:rFonts w:ascii="Arial" w:cs="Arial" w:eastAsia="Arial" w:hAnsi="Arial"/>
                  <w:sz w:val="18"/>
                  <w:szCs w:val="18"/>
                  <w:color w:val="0000EE"/>
                </w:rPr>
                <w:t>Plan, effective as of May 18, 2017.</w:t>
              </w:r>
            </w:hyperlink>
          </w:p>
        </w:tc>
        <w:tc>
          <w:tcPr>
            <w:tcW w:w="100" w:type="dxa"/>
            <w:vAlign w:val="bottom"/>
            <w:gridSpan w:val="5"/>
          </w:tcPr>
          <w:p>
            <w:pPr>
              <w:spacing w:after="0"/>
              <w:rPr>
                <w:sz w:val="16"/>
                <w:szCs w:val="16"/>
                <w:color w:val="auto"/>
              </w:rPr>
            </w:pPr>
          </w:p>
        </w:tc>
      </w:tr>
      <w:tr>
        <w:trPr>
          <w:trHeight w:val="20"/>
        </w:trPr>
        <w:tc>
          <w:tcPr>
            <w:tcW w:w="1420" w:type="dxa"/>
            <w:vAlign w:val="bottom"/>
          </w:tcPr>
          <w:p>
            <w:pPr>
              <w:spacing w:after="0" w:line="20" w:lineRule="exact"/>
              <w:rPr>
                <w:sz w:val="1"/>
                <w:szCs w:val="1"/>
                <w:color w:val="auto"/>
              </w:rPr>
            </w:pPr>
          </w:p>
        </w:tc>
        <w:tc>
          <w:tcPr>
            <w:tcW w:w="680" w:type="dxa"/>
            <w:vAlign w:val="bottom"/>
            <w:shd w:val="clear" w:color="auto" w:fill="0000EE"/>
          </w:tcPr>
          <w:p>
            <w:pPr>
              <w:spacing w:after="0" w:line="20" w:lineRule="exact"/>
              <w:rPr>
                <w:sz w:val="1"/>
                <w:szCs w:val="1"/>
                <w:color w:val="auto"/>
              </w:rPr>
            </w:pPr>
          </w:p>
        </w:tc>
        <w:tc>
          <w:tcPr>
            <w:tcW w:w="360" w:type="dxa"/>
            <w:vAlign w:val="bottom"/>
            <w:shd w:val="clear" w:color="auto" w:fill="0000EE"/>
          </w:tcPr>
          <w:p>
            <w:pPr>
              <w:spacing w:after="0" w:line="20" w:lineRule="exact"/>
              <w:rPr>
                <w:sz w:val="1"/>
                <w:szCs w:val="1"/>
                <w:color w:val="auto"/>
              </w:rPr>
            </w:pPr>
          </w:p>
        </w:tc>
        <w:tc>
          <w:tcPr>
            <w:tcW w:w="520" w:type="dxa"/>
            <w:vAlign w:val="bottom"/>
            <w:shd w:val="clear" w:color="auto" w:fill="0000EE"/>
          </w:tcPr>
          <w:p>
            <w:pPr>
              <w:spacing w:after="0" w:line="20" w:lineRule="exact"/>
              <w:rPr>
                <w:sz w:val="1"/>
                <w:szCs w:val="1"/>
                <w:color w:val="auto"/>
              </w:rPr>
            </w:pPr>
          </w:p>
        </w:tc>
        <w:tc>
          <w:tcPr>
            <w:tcW w:w="540" w:type="dxa"/>
            <w:vAlign w:val="bottom"/>
            <w:shd w:val="clear" w:color="auto" w:fill="0000EE"/>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128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437"/>
        </w:trPr>
        <w:tc>
          <w:tcPr>
            <w:tcW w:w="1420" w:type="dxa"/>
            <w:vAlign w:val="bottom"/>
          </w:tcPr>
          <w:p>
            <w:pPr>
              <w:spacing w:after="0"/>
              <w:rPr>
                <w:sz w:val="20"/>
                <w:szCs w:val="20"/>
                <w:color w:val="auto"/>
              </w:rPr>
            </w:pPr>
            <w:r>
              <w:rPr>
                <w:rFonts w:ascii="Arial" w:cs="Arial" w:eastAsia="Arial" w:hAnsi="Arial"/>
                <w:sz w:val="18"/>
                <w:szCs w:val="18"/>
                <w:color w:val="auto"/>
              </w:rPr>
              <w:t>10.B8</w:t>
            </w:r>
          </w:p>
        </w:tc>
        <w:tc>
          <w:tcPr>
            <w:tcW w:w="5840" w:type="dxa"/>
            <w:vAlign w:val="bottom"/>
            <w:gridSpan w:val="27"/>
          </w:tcPr>
          <w:p>
            <w:pPr>
              <w:spacing w:after="0"/>
              <w:rPr>
                <w:rFonts w:ascii="Arial" w:cs="Arial" w:eastAsia="Arial" w:hAnsi="Arial"/>
                <w:sz w:val="18"/>
                <w:szCs w:val="18"/>
                <w:color w:val="0000EE"/>
                <w:w w:val="91"/>
              </w:rPr>
            </w:pPr>
            <w:hyperlink r:id="rId117">
              <w:r>
                <w:rPr>
                  <w:rFonts w:ascii="Arial" w:cs="Arial" w:eastAsia="Arial" w:hAnsi="Arial"/>
                  <w:sz w:val="18"/>
                  <w:szCs w:val="18"/>
                  <w:color w:val="0000EE"/>
                  <w:w w:val="91"/>
                </w:rPr>
                <w:t>Form of Viad Corp Performance Unit Incentive Plan, effective as of February 27,</w:t>
              </w:r>
            </w:hyperlink>
          </w:p>
        </w:tc>
      </w:tr>
      <w:tr>
        <w:trPr>
          <w:trHeight w:val="195"/>
        </w:trPr>
        <w:tc>
          <w:tcPr>
            <w:tcW w:w="1420" w:type="dxa"/>
            <w:vAlign w:val="bottom"/>
          </w:tcPr>
          <w:p>
            <w:pPr>
              <w:spacing w:after="0"/>
              <w:rPr>
                <w:sz w:val="16"/>
                <w:szCs w:val="16"/>
                <w:color w:val="auto"/>
              </w:rPr>
            </w:pPr>
          </w:p>
        </w:tc>
        <w:tc>
          <w:tcPr>
            <w:tcW w:w="5580" w:type="dxa"/>
            <w:vAlign w:val="bottom"/>
            <w:tcBorders>
              <w:top w:val="single" w:sz="8" w:color="0000EE"/>
              <w:bottom w:val="single" w:sz="8" w:color="0000EE"/>
            </w:tcBorders>
            <w:gridSpan w:val="16"/>
          </w:tcPr>
          <w:p>
            <w:pPr>
              <w:spacing w:after="0" w:line="195" w:lineRule="exact"/>
              <w:rPr>
                <w:rFonts w:ascii="Arial" w:cs="Arial" w:eastAsia="Arial" w:hAnsi="Arial"/>
                <w:sz w:val="18"/>
                <w:szCs w:val="18"/>
                <w:color w:val="0000EE"/>
                <w:w w:val="90"/>
              </w:rPr>
            </w:pPr>
            <w:hyperlink r:id="rId117">
              <w:r>
                <w:rPr>
                  <w:rFonts w:ascii="Arial" w:cs="Arial" w:eastAsia="Arial" w:hAnsi="Arial"/>
                  <w:sz w:val="18"/>
                  <w:szCs w:val="18"/>
                  <w:color w:val="0000EE"/>
                  <w:w w:val="90"/>
                </w:rPr>
                <w:t>2018, pursuant to the 2017 Viad Corp Omnibus Incentive Plan, effective as of</w:t>
              </w:r>
            </w:hyperlink>
          </w:p>
        </w:tc>
        <w:tc>
          <w:tcPr>
            <w:tcW w:w="240" w:type="dxa"/>
            <w:vAlign w:val="bottom"/>
            <w:tcBorders>
              <w:top w:val="single" w:sz="8" w:color="0000EE"/>
            </w:tcBorders>
            <w:gridSpan w:val="10"/>
          </w:tcPr>
          <w:p>
            <w:pPr>
              <w:spacing w:after="0"/>
              <w:rPr>
                <w:sz w:val="16"/>
                <w:szCs w:val="16"/>
                <w:color w:val="auto"/>
              </w:rPr>
            </w:pPr>
          </w:p>
        </w:tc>
        <w:tc>
          <w:tcPr>
            <w:tcW w:w="20" w:type="dxa"/>
            <w:vAlign w:val="bottom"/>
          </w:tcPr>
          <w:p>
            <w:pPr>
              <w:spacing w:after="0"/>
              <w:rPr>
                <w:sz w:val="16"/>
                <w:szCs w:val="16"/>
                <w:color w:val="auto"/>
              </w:rPr>
            </w:pPr>
          </w:p>
        </w:tc>
      </w:tr>
      <w:tr>
        <w:trPr>
          <w:trHeight w:val="195"/>
        </w:trPr>
        <w:tc>
          <w:tcPr>
            <w:tcW w:w="1420" w:type="dxa"/>
            <w:vAlign w:val="bottom"/>
          </w:tcPr>
          <w:p>
            <w:pPr>
              <w:ind w:left="1000"/>
              <w:spacing w:after="0" w:line="195" w:lineRule="exact"/>
              <w:rPr>
                <w:sz w:val="20"/>
                <w:szCs w:val="20"/>
                <w:color w:val="auto"/>
              </w:rPr>
            </w:pPr>
            <w:r>
              <w:rPr>
                <w:rFonts w:ascii="Arial" w:cs="Arial" w:eastAsia="Arial" w:hAnsi="Arial"/>
                <w:sz w:val="18"/>
                <w:szCs w:val="18"/>
                <w:color w:val="auto"/>
              </w:rPr>
              <w:t>+</w:t>
            </w:r>
          </w:p>
        </w:tc>
        <w:tc>
          <w:tcPr>
            <w:tcW w:w="5840" w:type="dxa"/>
            <w:vAlign w:val="bottom"/>
            <w:gridSpan w:val="27"/>
          </w:tcPr>
          <w:p>
            <w:pPr>
              <w:spacing w:after="0" w:line="195" w:lineRule="exact"/>
              <w:rPr>
                <w:rFonts w:ascii="Arial" w:cs="Arial" w:eastAsia="Arial" w:hAnsi="Arial"/>
                <w:sz w:val="18"/>
                <w:szCs w:val="18"/>
                <w:color w:val="0000EE"/>
              </w:rPr>
            </w:pPr>
            <w:hyperlink r:id="rId117">
              <w:r>
                <w:rPr>
                  <w:rFonts w:ascii="Arial" w:cs="Arial" w:eastAsia="Arial" w:hAnsi="Arial"/>
                  <w:sz w:val="18"/>
                  <w:szCs w:val="18"/>
                  <w:color w:val="0000EE"/>
                </w:rPr>
                <w:t>May 18, 2017.</w:t>
              </w:r>
            </w:hyperlink>
          </w:p>
        </w:tc>
      </w:tr>
      <w:tr>
        <w:trPr>
          <w:trHeight w:val="20"/>
        </w:trPr>
        <w:tc>
          <w:tcPr>
            <w:tcW w:w="1420" w:type="dxa"/>
            <w:vAlign w:val="bottom"/>
          </w:tcPr>
          <w:p>
            <w:pPr>
              <w:spacing w:after="0" w:line="20" w:lineRule="exact"/>
              <w:rPr>
                <w:sz w:val="1"/>
                <w:szCs w:val="1"/>
                <w:color w:val="auto"/>
              </w:rPr>
            </w:pPr>
          </w:p>
        </w:tc>
        <w:tc>
          <w:tcPr>
            <w:tcW w:w="680" w:type="dxa"/>
            <w:vAlign w:val="bottom"/>
            <w:shd w:val="clear" w:color="auto" w:fill="0000EE"/>
          </w:tcPr>
          <w:p>
            <w:pPr>
              <w:spacing w:after="0" w:line="20" w:lineRule="exact"/>
              <w:rPr>
                <w:sz w:val="1"/>
                <w:szCs w:val="1"/>
                <w:color w:val="auto"/>
              </w:rPr>
            </w:pPr>
          </w:p>
        </w:tc>
        <w:tc>
          <w:tcPr>
            <w:tcW w:w="360" w:type="dxa"/>
            <w:vAlign w:val="bottom"/>
            <w:shd w:val="clear" w:color="auto" w:fill="0000EE"/>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60" w:type="dxa"/>
            <w:vAlign w:val="bottom"/>
            <w:gridSpan w:val="2"/>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128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80" w:type="dxa"/>
            <w:vAlign w:val="bottom"/>
            <w:gridSpan w:val="3"/>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r>
      <w:tr>
        <w:trPr>
          <w:trHeight w:val="437"/>
        </w:trPr>
        <w:tc>
          <w:tcPr>
            <w:tcW w:w="1420" w:type="dxa"/>
            <w:vAlign w:val="bottom"/>
          </w:tcPr>
          <w:p>
            <w:pPr>
              <w:spacing w:after="0"/>
              <w:rPr>
                <w:sz w:val="20"/>
                <w:szCs w:val="20"/>
                <w:color w:val="auto"/>
              </w:rPr>
            </w:pPr>
            <w:r>
              <w:rPr>
                <w:rFonts w:ascii="Arial" w:cs="Arial" w:eastAsia="Arial" w:hAnsi="Arial"/>
                <w:sz w:val="18"/>
                <w:szCs w:val="18"/>
                <w:color w:val="auto"/>
              </w:rPr>
              <w:t>10.B9</w:t>
            </w:r>
          </w:p>
        </w:tc>
        <w:tc>
          <w:tcPr>
            <w:tcW w:w="5740" w:type="dxa"/>
            <w:vAlign w:val="bottom"/>
            <w:tcBorders>
              <w:bottom w:val="single" w:sz="8" w:color="0000EE"/>
            </w:tcBorders>
            <w:gridSpan w:val="22"/>
          </w:tcPr>
          <w:p>
            <w:pPr>
              <w:spacing w:after="0"/>
              <w:rPr>
                <w:rFonts w:ascii="Arial" w:cs="Arial" w:eastAsia="Arial" w:hAnsi="Arial"/>
                <w:sz w:val="18"/>
                <w:szCs w:val="18"/>
                <w:color w:val="0000EE"/>
                <w:w w:val="91"/>
              </w:rPr>
            </w:pPr>
            <w:hyperlink r:id="rId118">
              <w:r>
                <w:rPr>
                  <w:rFonts w:ascii="Arial" w:cs="Arial" w:eastAsia="Arial" w:hAnsi="Arial"/>
                  <w:sz w:val="18"/>
                  <w:szCs w:val="18"/>
                  <w:color w:val="0000EE"/>
                  <w:w w:val="91"/>
                </w:rPr>
                <w:t>Form of Restricted Stock Agreement – Non-Employee Directors, effective as of</w:t>
              </w:r>
            </w:hyperlink>
          </w:p>
        </w:tc>
        <w:tc>
          <w:tcPr>
            <w:tcW w:w="100" w:type="dxa"/>
            <w:vAlign w:val="bottom"/>
            <w:gridSpan w:val="5"/>
          </w:tcPr>
          <w:p>
            <w:pPr>
              <w:spacing w:after="0"/>
              <w:rPr>
                <w:sz w:val="24"/>
                <w:szCs w:val="24"/>
                <w:color w:val="auto"/>
              </w:rPr>
            </w:pPr>
          </w:p>
        </w:tc>
      </w:tr>
      <w:tr>
        <w:trPr>
          <w:trHeight w:val="195"/>
        </w:trPr>
        <w:tc>
          <w:tcPr>
            <w:tcW w:w="1420" w:type="dxa"/>
            <w:vAlign w:val="bottom"/>
          </w:tcPr>
          <w:p>
            <w:pPr>
              <w:ind w:left="1000"/>
              <w:spacing w:after="0" w:line="195" w:lineRule="exact"/>
              <w:rPr>
                <w:sz w:val="20"/>
                <w:szCs w:val="20"/>
                <w:color w:val="auto"/>
              </w:rPr>
            </w:pPr>
            <w:r>
              <w:rPr>
                <w:rFonts w:ascii="Arial" w:cs="Arial" w:eastAsia="Arial" w:hAnsi="Arial"/>
                <w:sz w:val="18"/>
                <w:szCs w:val="18"/>
                <w:color w:val="auto"/>
              </w:rPr>
              <w:t>+</w:t>
            </w:r>
          </w:p>
        </w:tc>
        <w:tc>
          <w:tcPr>
            <w:tcW w:w="5840" w:type="dxa"/>
            <w:vAlign w:val="bottom"/>
            <w:gridSpan w:val="27"/>
          </w:tcPr>
          <w:p>
            <w:pPr>
              <w:spacing w:after="0" w:line="195" w:lineRule="exact"/>
              <w:rPr>
                <w:rFonts w:ascii="Arial" w:cs="Arial" w:eastAsia="Arial" w:hAnsi="Arial"/>
                <w:sz w:val="18"/>
                <w:szCs w:val="18"/>
                <w:color w:val="0000EE"/>
              </w:rPr>
            </w:pPr>
            <w:hyperlink r:id="rId118">
              <w:r>
                <w:rPr>
                  <w:rFonts w:ascii="Arial" w:cs="Arial" w:eastAsia="Arial" w:hAnsi="Arial"/>
                  <w:sz w:val="18"/>
                  <w:szCs w:val="18"/>
                  <w:color w:val="0000EE"/>
                </w:rPr>
                <w:t>May 18, 2017, pursuant to the 2017 Viad Corp Omnibus Incentive Plan.</w:t>
              </w:r>
            </w:hyperlink>
          </w:p>
        </w:tc>
      </w:tr>
      <w:tr>
        <w:trPr>
          <w:trHeight w:val="20"/>
        </w:trPr>
        <w:tc>
          <w:tcPr>
            <w:tcW w:w="1420" w:type="dxa"/>
            <w:vAlign w:val="bottom"/>
          </w:tcPr>
          <w:p>
            <w:pPr>
              <w:spacing w:after="0" w:line="20" w:lineRule="exact"/>
              <w:rPr>
                <w:sz w:val="1"/>
                <w:szCs w:val="1"/>
                <w:color w:val="auto"/>
              </w:rPr>
            </w:pPr>
          </w:p>
        </w:tc>
        <w:tc>
          <w:tcPr>
            <w:tcW w:w="680" w:type="dxa"/>
            <w:vAlign w:val="bottom"/>
            <w:shd w:val="clear" w:color="auto" w:fill="0000EE"/>
          </w:tcPr>
          <w:p>
            <w:pPr>
              <w:spacing w:after="0" w:line="20" w:lineRule="exact"/>
              <w:rPr>
                <w:sz w:val="1"/>
                <w:szCs w:val="1"/>
                <w:color w:val="auto"/>
              </w:rPr>
            </w:pPr>
          </w:p>
        </w:tc>
        <w:tc>
          <w:tcPr>
            <w:tcW w:w="880" w:type="dxa"/>
            <w:vAlign w:val="bottom"/>
            <w:gridSpan w:val="2"/>
            <w:shd w:val="clear" w:color="auto" w:fill="0000EE"/>
          </w:tcPr>
          <w:p>
            <w:pPr>
              <w:spacing w:after="0" w:line="20" w:lineRule="exact"/>
              <w:rPr>
                <w:sz w:val="1"/>
                <w:szCs w:val="1"/>
                <w:color w:val="auto"/>
              </w:rPr>
            </w:pPr>
          </w:p>
        </w:tc>
        <w:tc>
          <w:tcPr>
            <w:tcW w:w="540" w:type="dxa"/>
            <w:vAlign w:val="bottom"/>
            <w:shd w:val="clear" w:color="auto" w:fill="0000EE"/>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360" w:type="dxa"/>
            <w:vAlign w:val="bottom"/>
            <w:gridSpan w:val="2"/>
            <w:shd w:val="clear" w:color="auto" w:fill="0000EE"/>
          </w:tcPr>
          <w:p>
            <w:pPr>
              <w:spacing w:after="0" w:line="20" w:lineRule="exact"/>
              <w:rPr>
                <w:sz w:val="1"/>
                <w:szCs w:val="1"/>
                <w:color w:val="auto"/>
              </w:rPr>
            </w:pPr>
          </w:p>
        </w:tc>
        <w:tc>
          <w:tcPr>
            <w:tcW w:w="36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680" w:type="dxa"/>
            <w:vAlign w:val="bottom"/>
            <w:shd w:val="clear" w:color="auto" w:fill="0000EE"/>
          </w:tcPr>
          <w:p>
            <w:pPr>
              <w:spacing w:after="0" w:line="20" w:lineRule="exact"/>
              <w:rPr>
                <w:sz w:val="1"/>
                <w:szCs w:val="1"/>
                <w:color w:val="auto"/>
              </w:rPr>
            </w:pPr>
          </w:p>
        </w:tc>
        <w:tc>
          <w:tcPr>
            <w:tcW w:w="1280" w:type="dxa"/>
            <w:vAlign w:val="bottom"/>
            <w:shd w:val="clear" w:color="auto" w:fill="0000EE"/>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80" w:type="dxa"/>
            <w:vAlign w:val="bottom"/>
            <w:gridSpan w:val="3"/>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gridSpan w:val="3"/>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r>
      <w:tr>
        <w:trPr>
          <w:trHeight w:val="437"/>
        </w:trPr>
        <w:tc>
          <w:tcPr>
            <w:tcW w:w="1420" w:type="dxa"/>
            <w:vAlign w:val="bottom"/>
          </w:tcPr>
          <w:p>
            <w:pPr>
              <w:spacing w:after="0"/>
              <w:rPr>
                <w:sz w:val="20"/>
                <w:szCs w:val="20"/>
                <w:color w:val="auto"/>
              </w:rPr>
            </w:pPr>
            <w:r>
              <w:rPr>
                <w:rFonts w:ascii="Arial" w:cs="Arial" w:eastAsia="Arial" w:hAnsi="Arial"/>
                <w:sz w:val="18"/>
                <w:szCs w:val="18"/>
                <w:color w:val="auto"/>
              </w:rPr>
              <w:t>10.B10</w:t>
            </w:r>
          </w:p>
        </w:tc>
        <w:tc>
          <w:tcPr>
            <w:tcW w:w="5740" w:type="dxa"/>
            <w:vAlign w:val="bottom"/>
            <w:tcBorders>
              <w:bottom w:val="single" w:sz="8" w:color="0000EE"/>
            </w:tcBorders>
            <w:gridSpan w:val="22"/>
          </w:tcPr>
          <w:p>
            <w:pPr>
              <w:spacing w:after="0"/>
              <w:rPr>
                <w:rFonts w:ascii="Arial" w:cs="Arial" w:eastAsia="Arial" w:hAnsi="Arial"/>
                <w:sz w:val="18"/>
                <w:szCs w:val="18"/>
                <w:color w:val="0000EE"/>
                <w:w w:val="91"/>
              </w:rPr>
            </w:pPr>
            <w:hyperlink r:id="rId119">
              <w:r>
                <w:rPr>
                  <w:rFonts w:ascii="Arial" w:cs="Arial" w:eastAsia="Arial" w:hAnsi="Arial"/>
                  <w:sz w:val="18"/>
                  <w:szCs w:val="18"/>
                  <w:color w:val="0000EE"/>
                  <w:w w:val="91"/>
                </w:rPr>
                <w:t>Form of Restricted Stock Agreement – Non-Employee Directors, effective as of</w:t>
              </w:r>
            </w:hyperlink>
          </w:p>
        </w:tc>
        <w:tc>
          <w:tcPr>
            <w:tcW w:w="100" w:type="dxa"/>
            <w:vAlign w:val="bottom"/>
            <w:gridSpan w:val="5"/>
          </w:tcPr>
          <w:p>
            <w:pPr>
              <w:spacing w:after="0"/>
              <w:rPr>
                <w:sz w:val="24"/>
                <w:szCs w:val="24"/>
                <w:color w:val="auto"/>
              </w:rPr>
            </w:pPr>
          </w:p>
        </w:tc>
      </w:tr>
      <w:tr>
        <w:trPr>
          <w:trHeight w:val="195"/>
        </w:trPr>
        <w:tc>
          <w:tcPr>
            <w:tcW w:w="1420" w:type="dxa"/>
            <w:vAlign w:val="bottom"/>
          </w:tcPr>
          <w:p>
            <w:pPr>
              <w:ind w:left="1000"/>
              <w:spacing w:after="0" w:line="195" w:lineRule="exact"/>
              <w:rPr>
                <w:sz w:val="20"/>
                <w:szCs w:val="20"/>
                <w:color w:val="auto"/>
              </w:rPr>
            </w:pPr>
            <w:r>
              <w:rPr>
                <w:rFonts w:ascii="Arial" w:cs="Arial" w:eastAsia="Arial" w:hAnsi="Arial"/>
                <w:sz w:val="18"/>
                <w:szCs w:val="18"/>
                <w:color w:val="auto"/>
              </w:rPr>
              <w:t>+</w:t>
            </w:r>
          </w:p>
        </w:tc>
        <w:tc>
          <w:tcPr>
            <w:tcW w:w="5500" w:type="dxa"/>
            <w:vAlign w:val="bottom"/>
            <w:tcBorders>
              <w:bottom w:val="single" w:sz="8" w:color="0000EE"/>
            </w:tcBorders>
            <w:gridSpan w:val="14"/>
          </w:tcPr>
          <w:p>
            <w:pPr>
              <w:spacing w:after="0" w:line="195" w:lineRule="exact"/>
              <w:rPr>
                <w:rFonts w:ascii="Arial" w:cs="Arial" w:eastAsia="Arial" w:hAnsi="Arial"/>
                <w:sz w:val="18"/>
                <w:szCs w:val="18"/>
                <w:color w:val="0000EE"/>
                <w:w w:val="90"/>
              </w:rPr>
            </w:pPr>
            <w:hyperlink r:id="rId119">
              <w:r>
                <w:rPr>
                  <w:rFonts w:ascii="Arial" w:cs="Arial" w:eastAsia="Arial" w:hAnsi="Arial"/>
                  <w:sz w:val="18"/>
                  <w:szCs w:val="18"/>
                  <w:color w:val="0000EE"/>
                  <w:w w:val="90"/>
                </w:rPr>
                <w:t>February 27, 2018, pursuant to the 2017 Viad Corp Omnibus Incentive Plan.</w:t>
              </w:r>
            </w:hyperlink>
          </w:p>
        </w:tc>
        <w:tc>
          <w:tcPr>
            <w:tcW w:w="340" w:type="dxa"/>
            <w:vAlign w:val="bottom"/>
            <w:gridSpan w:val="13"/>
          </w:tcPr>
          <w:p>
            <w:pPr>
              <w:spacing w:after="0"/>
              <w:rPr>
                <w:sz w:val="16"/>
                <w:szCs w:val="16"/>
                <w:color w:val="auto"/>
              </w:rPr>
            </w:pPr>
          </w:p>
        </w:tc>
      </w:tr>
      <w:tr>
        <w:trPr>
          <w:trHeight w:val="437"/>
        </w:trPr>
        <w:tc>
          <w:tcPr>
            <w:tcW w:w="1420" w:type="dxa"/>
            <w:vAlign w:val="bottom"/>
          </w:tcPr>
          <w:p>
            <w:pPr>
              <w:spacing w:after="0"/>
              <w:rPr>
                <w:sz w:val="20"/>
                <w:szCs w:val="20"/>
                <w:color w:val="auto"/>
              </w:rPr>
            </w:pPr>
            <w:r>
              <w:rPr>
                <w:rFonts w:ascii="Arial" w:cs="Arial" w:eastAsia="Arial" w:hAnsi="Arial"/>
                <w:sz w:val="18"/>
                <w:szCs w:val="18"/>
                <w:color w:val="auto"/>
              </w:rPr>
              <w:t>10.C1</w:t>
            </w:r>
          </w:p>
        </w:tc>
        <w:tc>
          <w:tcPr>
            <w:tcW w:w="5480" w:type="dxa"/>
            <w:vAlign w:val="bottom"/>
            <w:tcBorders>
              <w:bottom w:val="single" w:sz="8" w:color="0000EE"/>
            </w:tcBorders>
            <w:gridSpan w:val="13"/>
          </w:tcPr>
          <w:p>
            <w:pPr>
              <w:spacing w:after="0"/>
              <w:rPr>
                <w:rFonts w:ascii="Arial" w:cs="Arial" w:eastAsia="Arial" w:hAnsi="Arial"/>
                <w:sz w:val="18"/>
                <w:szCs w:val="18"/>
                <w:color w:val="0000EE"/>
                <w:w w:val="89"/>
              </w:rPr>
            </w:pPr>
            <w:hyperlink r:id="rId120">
              <w:r>
                <w:rPr>
                  <w:rFonts w:ascii="Arial" w:cs="Arial" w:eastAsia="Arial" w:hAnsi="Arial"/>
                  <w:sz w:val="18"/>
                  <w:szCs w:val="18"/>
                  <w:color w:val="0000EE"/>
                  <w:w w:val="89"/>
                </w:rPr>
                <w:t>Forms of Viad Corp Executive Severance Plans (Tier I and II), amended and</w:t>
              </w:r>
            </w:hyperlink>
          </w:p>
        </w:tc>
        <w:tc>
          <w:tcPr>
            <w:tcW w:w="360" w:type="dxa"/>
            <w:vAlign w:val="bottom"/>
            <w:gridSpan w:val="14"/>
          </w:tcPr>
          <w:p>
            <w:pPr>
              <w:spacing w:after="0"/>
              <w:rPr>
                <w:sz w:val="24"/>
                <w:szCs w:val="24"/>
                <w:color w:val="auto"/>
              </w:rPr>
            </w:pPr>
          </w:p>
        </w:tc>
      </w:tr>
      <w:tr>
        <w:trPr>
          <w:trHeight w:val="195"/>
        </w:trPr>
        <w:tc>
          <w:tcPr>
            <w:tcW w:w="1420" w:type="dxa"/>
            <w:vAlign w:val="bottom"/>
          </w:tcPr>
          <w:p>
            <w:pPr>
              <w:ind w:left="1000"/>
              <w:spacing w:after="0" w:line="195" w:lineRule="exact"/>
              <w:rPr>
                <w:sz w:val="20"/>
                <w:szCs w:val="20"/>
                <w:color w:val="auto"/>
              </w:rPr>
            </w:pPr>
            <w:r>
              <w:rPr>
                <w:rFonts w:ascii="Arial" w:cs="Arial" w:eastAsia="Arial" w:hAnsi="Arial"/>
                <w:sz w:val="18"/>
                <w:szCs w:val="18"/>
                <w:color w:val="auto"/>
              </w:rPr>
              <w:t>+</w:t>
            </w:r>
          </w:p>
        </w:tc>
        <w:tc>
          <w:tcPr>
            <w:tcW w:w="3880" w:type="dxa"/>
            <w:vAlign w:val="bottom"/>
            <w:tcBorders>
              <w:bottom w:val="single" w:sz="8" w:color="0000EE"/>
            </w:tcBorders>
            <w:gridSpan w:val="11"/>
          </w:tcPr>
          <w:p>
            <w:pPr>
              <w:spacing w:after="0" w:line="195" w:lineRule="exact"/>
              <w:rPr>
                <w:rFonts w:ascii="Arial" w:cs="Arial" w:eastAsia="Arial" w:hAnsi="Arial"/>
                <w:sz w:val="18"/>
                <w:szCs w:val="18"/>
                <w:color w:val="0000EE"/>
                <w:w w:val="88"/>
              </w:rPr>
            </w:pPr>
            <w:hyperlink r:id="rId120">
              <w:r>
                <w:rPr>
                  <w:rFonts w:ascii="Arial" w:cs="Arial" w:eastAsia="Arial" w:hAnsi="Arial"/>
                  <w:sz w:val="18"/>
                  <w:szCs w:val="18"/>
                  <w:color w:val="0000EE"/>
                  <w:w w:val="88"/>
                </w:rPr>
                <w:t>restated for Code Section 409A as of January 1, 2005.</w:t>
              </w:r>
            </w:hyperlink>
          </w:p>
        </w:tc>
        <w:tc>
          <w:tcPr>
            <w:tcW w:w="1960" w:type="dxa"/>
            <w:vAlign w:val="bottom"/>
            <w:gridSpan w:val="16"/>
          </w:tcPr>
          <w:p>
            <w:pPr>
              <w:spacing w:after="0"/>
              <w:rPr>
                <w:sz w:val="16"/>
                <w:szCs w:val="16"/>
                <w:color w:val="auto"/>
              </w:rPr>
            </w:pPr>
          </w:p>
        </w:tc>
      </w:tr>
      <w:tr>
        <w:trPr>
          <w:trHeight w:val="437"/>
        </w:trPr>
        <w:tc>
          <w:tcPr>
            <w:tcW w:w="1420" w:type="dxa"/>
            <w:vAlign w:val="bottom"/>
          </w:tcPr>
          <w:p>
            <w:pPr>
              <w:spacing w:after="0"/>
              <w:rPr>
                <w:sz w:val="20"/>
                <w:szCs w:val="20"/>
                <w:color w:val="auto"/>
              </w:rPr>
            </w:pPr>
            <w:r>
              <w:rPr>
                <w:rFonts w:ascii="Arial" w:cs="Arial" w:eastAsia="Arial" w:hAnsi="Arial"/>
                <w:sz w:val="18"/>
                <w:szCs w:val="18"/>
                <w:color w:val="auto"/>
              </w:rPr>
              <w:t>10.C2</w:t>
            </w:r>
          </w:p>
        </w:tc>
        <w:tc>
          <w:tcPr>
            <w:tcW w:w="5840" w:type="dxa"/>
            <w:vAlign w:val="bottom"/>
            <w:gridSpan w:val="27"/>
          </w:tcPr>
          <w:p>
            <w:pPr>
              <w:spacing w:after="0"/>
              <w:rPr>
                <w:rFonts w:ascii="Arial" w:cs="Arial" w:eastAsia="Arial" w:hAnsi="Arial"/>
                <w:sz w:val="18"/>
                <w:szCs w:val="18"/>
                <w:color w:val="0000EE"/>
                <w:w w:val="91"/>
              </w:rPr>
            </w:pPr>
            <w:hyperlink r:id="rId121">
              <w:r>
                <w:rPr>
                  <w:rFonts w:ascii="Arial" w:cs="Arial" w:eastAsia="Arial" w:hAnsi="Arial"/>
                  <w:sz w:val="18"/>
                  <w:szCs w:val="18"/>
                  <w:color w:val="0000EE"/>
                  <w:w w:val="91"/>
                </w:rPr>
                <w:t>Form of Viad Corp Executive Severance Plan (Tier I-2013) effective as February</w:t>
              </w:r>
            </w:hyperlink>
          </w:p>
        </w:tc>
      </w:tr>
      <w:tr>
        <w:trPr>
          <w:trHeight w:val="195"/>
        </w:trPr>
        <w:tc>
          <w:tcPr>
            <w:tcW w:w="1420" w:type="dxa"/>
            <w:vAlign w:val="bottom"/>
          </w:tcPr>
          <w:p>
            <w:pPr>
              <w:ind w:left="1000"/>
              <w:spacing w:after="0" w:line="195" w:lineRule="exact"/>
              <w:rPr>
                <w:sz w:val="20"/>
                <w:szCs w:val="20"/>
                <w:color w:val="auto"/>
              </w:rPr>
            </w:pPr>
            <w:r>
              <w:rPr>
                <w:rFonts w:ascii="Arial" w:cs="Arial" w:eastAsia="Arial" w:hAnsi="Arial"/>
                <w:sz w:val="18"/>
                <w:szCs w:val="18"/>
                <w:color w:val="auto"/>
              </w:rPr>
              <w:t>+</w:t>
            </w:r>
          </w:p>
        </w:tc>
        <w:tc>
          <w:tcPr>
            <w:tcW w:w="680" w:type="dxa"/>
            <w:vAlign w:val="bottom"/>
            <w:tcBorders>
              <w:top w:val="single" w:sz="8" w:color="0000EE"/>
              <w:bottom w:val="single" w:sz="8" w:color="0000EE"/>
            </w:tcBorders>
          </w:tcPr>
          <w:p>
            <w:pPr>
              <w:spacing w:after="0" w:line="195" w:lineRule="exact"/>
              <w:rPr>
                <w:rFonts w:ascii="Arial" w:cs="Arial" w:eastAsia="Arial" w:hAnsi="Arial"/>
                <w:sz w:val="18"/>
                <w:szCs w:val="18"/>
                <w:color w:val="0000EE"/>
                <w:w w:val="87"/>
              </w:rPr>
            </w:pPr>
            <w:hyperlink r:id="rId121">
              <w:r>
                <w:rPr>
                  <w:rFonts w:ascii="Arial" w:cs="Arial" w:eastAsia="Arial" w:hAnsi="Arial"/>
                  <w:sz w:val="18"/>
                  <w:szCs w:val="18"/>
                  <w:color w:val="0000EE"/>
                  <w:w w:val="87"/>
                </w:rPr>
                <w:t>27, 2013.</w:t>
              </w:r>
            </w:hyperlink>
          </w:p>
        </w:tc>
        <w:tc>
          <w:tcPr>
            <w:tcW w:w="360" w:type="dxa"/>
            <w:vAlign w:val="bottom"/>
            <w:tcBorders>
              <w:top w:val="single" w:sz="8" w:color="0000EE"/>
            </w:tcBorders>
          </w:tcPr>
          <w:p>
            <w:pPr>
              <w:spacing w:after="0"/>
              <w:rPr>
                <w:sz w:val="16"/>
                <w:szCs w:val="16"/>
                <w:color w:val="auto"/>
              </w:rPr>
            </w:pPr>
          </w:p>
        </w:tc>
        <w:tc>
          <w:tcPr>
            <w:tcW w:w="520" w:type="dxa"/>
            <w:vAlign w:val="bottom"/>
            <w:tcBorders>
              <w:top w:val="single" w:sz="8" w:color="0000EE"/>
            </w:tcBorders>
          </w:tcPr>
          <w:p>
            <w:pPr>
              <w:spacing w:after="0"/>
              <w:rPr>
                <w:sz w:val="16"/>
                <w:szCs w:val="16"/>
                <w:color w:val="auto"/>
              </w:rPr>
            </w:pPr>
          </w:p>
        </w:tc>
        <w:tc>
          <w:tcPr>
            <w:tcW w:w="540" w:type="dxa"/>
            <w:vAlign w:val="bottom"/>
            <w:tcBorders>
              <w:top w:val="single" w:sz="8" w:color="0000EE"/>
            </w:tcBorders>
          </w:tcPr>
          <w:p>
            <w:pPr>
              <w:spacing w:after="0"/>
              <w:rPr>
                <w:sz w:val="16"/>
                <w:szCs w:val="16"/>
                <w:color w:val="auto"/>
              </w:rPr>
            </w:pPr>
          </w:p>
        </w:tc>
        <w:tc>
          <w:tcPr>
            <w:tcW w:w="180" w:type="dxa"/>
            <w:vAlign w:val="bottom"/>
            <w:tcBorders>
              <w:top w:val="single" w:sz="8" w:color="0000EE"/>
            </w:tcBorders>
          </w:tcPr>
          <w:p>
            <w:pPr>
              <w:spacing w:after="0"/>
              <w:rPr>
                <w:sz w:val="16"/>
                <w:szCs w:val="16"/>
                <w:color w:val="auto"/>
              </w:rPr>
            </w:pPr>
          </w:p>
        </w:tc>
        <w:tc>
          <w:tcPr>
            <w:tcW w:w="220" w:type="dxa"/>
            <w:vAlign w:val="bottom"/>
            <w:tcBorders>
              <w:top w:val="single" w:sz="8" w:color="0000EE"/>
            </w:tcBorders>
          </w:tcPr>
          <w:p>
            <w:pPr>
              <w:spacing w:after="0"/>
              <w:rPr>
                <w:sz w:val="16"/>
                <w:szCs w:val="16"/>
                <w:color w:val="auto"/>
              </w:rPr>
            </w:pPr>
          </w:p>
        </w:tc>
        <w:tc>
          <w:tcPr>
            <w:tcW w:w="140" w:type="dxa"/>
            <w:vAlign w:val="bottom"/>
            <w:tcBorders>
              <w:top w:val="single" w:sz="8" w:color="0000EE"/>
            </w:tcBorders>
          </w:tcPr>
          <w:p>
            <w:pPr>
              <w:spacing w:after="0"/>
              <w:rPr>
                <w:sz w:val="16"/>
                <w:szCs w:val="16"/>
                <w:color w:val="auto"/>
              </w:rPr>
            </w:pPr>
          </w:p>
        </w:tc>
        <w:tc>
          <w:tcPr>
            <w:tcW w:w="360" w:type="dxa"/>
            <w:vAlign w:val="bottom"/>
            <w:tcBorders>
              <w:top w:val="single" w:sz="8" w:color="0000EE"/>
            </w:tcBorders>
          </w:tcPr>
          <w:p>
            <w:pPr>
              <w:spacing w:after="0"/>
              <w:rPr>
                <w:sz w:val="16"/>
                <w:szCs w:val="16"/>
                <w:color w:val="auto"/>
              </w:rPr>
            </w:pPr>
          </w:p>
        </w:tc>
        <w:tc>
          <w:tcPr>
            <w:tcW w:w="20" w:type="dxa"/>
            <w:vAlign w:val="bottom"/>
            <w:tcBorders>
              <w:top w:val="single" w:sz="8" w:color="0000EE"/>
            </w:tcBorders>
          </w:tcPr>
          <w:p>
            <w:pPr>
              <w:spacing w:after="0"/>
              <w:rPr>
                <w:sz w:val="16"/>
                <w:szCs w:val="16"/>
                <w:color w:val="auto"/>
              </w:rPr>
            </w:pPr>
          </w:p>
        </w:tc>
        <w:tc>
          <w:tcPr>
            <w:tcW w:w="180" w:type="dxa"/>
            <w:vAlign w:val="bottom"/>
            <w:tcBorders>
              <w:top w:val="single" w:sz="8" w:color="0000EE"/>
            </w:tcBorders>
          </w:tcPr>
          <w:p>
            <w:pPr>
              <w:spacing w:after="0"/>
              <w:rPr>
                <w:sz w:val="16"/>
                <w:szCs w:val="16"/>
                <w:color w:val="auto"/>
              </w:rPr>
            </w:pPr>
          </w:p>
        </w:tc>
        <w:tc>
          <w:tcPr>
            <w:tcW w:w="680" w:type="dxa"/>
            <w:vAlign w:val="bottom"/>
            <w:tcBorders>
              <w:top w:val="single" w:sz="8" w:color="0000EE"/>
            </w:tcBorders>
          </w:tcPr>
          <w:p>
            <w:pPr>
              <w:spacing w:after="0"/>
              <w:rPr>
                <w:sz w:val="16"/>
                <w:szCs w:val="16"/>
                <w:color w:val="auto"/>
              </w:rPr>
            </w:pPr>
          </w:p>
        </w:tc>
        <w:tc>
          <w:tcPr>
            <w:tcW w:w="1280" w:type="dxa"/>
            <w:vAlign w:val="bottom"/>
            <w:tcBorders>
              <w:top w:val="single" w:sz="8" w:color="0000EE"/>
            </w:tcBorders>
          </w:tcPr>
          <w:p>
            <w:pPr>
              <w:spacing w:after="0"/>
              <w:rPr>
                <w:sz w:val="16"/>
                <w:szCs w:val="16"/>
                <w:color w:val="auto"/>
              </w:rPr>
            </w:pPr>
          </w:p>
        </w:tc>
        <w:tc>
          <w:tcPr>
            <w:tcW w:w="320" w:type="dxa"/>
            <w:vAlign w:val="bottom"/>
            <w:tcBorders>
              <w:top w:val="single" w:sz="8" w:color="0000EE"/>
            </w:tcBorders>
          </w:tcPr>
          <w:p>
            <w:pPr>
              <w:spacing w:after="0"/>
              <w:rPr>
                <w:sz w:val="16"/>
                <w:szCs w:val="16"/>
                <w:color w:val="auto"/>
              </w:rPr>
            </w:pPr>
          </w:p>
        </w:tc>
        <w:tc>
          <w:tcPr>
            <w:tcW w:w="20" w:type="dxa"/>
            <w:vAlign w:val="bottom"/>
            <w:tcBorders>
              <w:top w:val="single" w:sz="8" w:color="0000EE"/>
            </w:tcBorders>
          </w:tcPr>
          <w:p>
            <w:pPr>
              <w:spacing w:after="0"/>
              <w:rPr>
                <w:sz w:val="16"/>
                <w:szCs w:val="16"/>
                <w:color w:val="auto"/>
              </w:rPr>
            </w:pPr>
          </w:p>
        </w:tc>
        <w:tc>
          <w:tcPr>
            <w:tcW w:w="60" w:type="dxa"/>
            <w:vAlign w:val="bottom"/>
            <w:tcBorders>
              <w:top w:val="single" w:sz="8" w:color="0000EE"/>
            </w:tcBorders>
          </w:tcPr>
          <w:p>
            <w:pPr>
              <w:spacing w:after="0"/>
              <w:rPr>
                <w:sz w:val="16"/>
                <w:szCs w:val="16"/>
                <w:color w:val="auto"/>
              </w:rPr>
            </w:pPr>
          </w:p>
        </w:tc>
        <w:tc>
          <w:tcPr>
            <w:tcW w:w="20" w:type="dxa"/>
            <w:vAlign w:val="bottom"/>
            <w:tcBorders>
              <w:top w:val="single" w:sz="8" w:color="0000EE"/>
            </w:tcBorders>
          </w:tcPr>
          <w:p>
            <w:pPr>
              <w:spacing w:after="0"/>
              <w:rPr>
                <w:sz w:val="16"/>
                <w:szCs w:val="16"/>
                <w:color w:val="auto"/>
              </w:rPr>
            </w:pPr>
          </w:p>
        </w:tc>
        <w:tc>
          <w:tcPr>
            <w:tcW w:w="40" w:type="dxa"/>
            <w:vAlign w:val="bottom"/>
            <w:tcBorders>
              <w:top w:val="single" w:sz="8" w:color="0000EE"/>
            </w:tcBorders>
          </w:tcPr>
          <w:p>
            <w:pPr>
              <w:spacing w:after="0"/>
              <w:rPr>
                <w:sz w:val="16"/>
                <w:szCs w:val="16"/>
                <w:color w:val="auto"/>
              </w:rPr>
            </w:pPr>
          </w:p>
        </w:tc>
        <w:tc>
          <w:tcPr>
            <w:tcW w:w="20" w:type="dxa"/>
            <w:vAlign w:val="bottom"/>
            <w:tcBorders>
              <w:top w:val="single" w:sz="8" w:color="0000EE"/>
            </w:tcBorders>
          </w:tcPr>
          <w:p>
            <w:pPr>
              <w:spacing w:after="0"/>
              <w:rPr>
                <w:sz w:val="16"/>
                <w:szCs w:val="16"/>
                <w:color w:val="auto"/>
              </w:rPr>
            </w:pPr>
          </w:p>
        </w:tc>
        <w:tc>
          <w:tcPr>
            <w:tcW w:w="20" w:type="dxa"/>
            <w:vAlign w:val="bottom"/>
            <w:tcBorders>
              <w:top w:val="single" w:sz="8" w:color="0000EE"/>
            </w:tcBorders>
          </w:tcPr>
          <w:p>
            <w:pPr>
              <w:spacing w:after="0"/>
              <w:rPr>
                <w:sz w:val="16"/>
                <w:szCs w:val="16"/>
                <w:color w:val="auto"/>
              </w:rPr>
            </w:pPr>
          </w:p>
        </w:tc>
        <w:tc>
          <w:tcPr>
            <w:tcW w:w="40" w:type="dxa"/>
            <w:vAlign w:val="bottom"/>
            <w:tcBorders>
              <w:top w:val="single" w:sz="8" w:color="0000EE"/>
            </w:tcBorders>
          </w:tcPr>
          <w:p>
            <w:pPr>
              <w:spacing w:after="0"/>
              <w:rPr>
                <w:sz w:val="16"/>
                <w:szCs w:val="16"/>
                <w:color w:val="auto"/>
              </w:rPr>
            </w:pPr>
          </w:p>
        </w:tc>
        <w:tc>
          <w:tcPr>
            <w:tcW w:w="40" w:type="dxa"/>
            <w:vAlign w:val="bottom"/>
            <w:tcBorders>
              <w:top w:val="single" w:sz="8" w:color="0000EE"/>
            </w:tcBorders>
          </w:tcPr>
          <w:p>
            <w:pPr>
              <w:spacing w:after="0"/>
              <w:rPr>
                <w:sz w:val="16"/>
                <w:szCs w:val="16"/>
                <w:color w:val="auto"/>
              </w:rPr>
            </w:pPr>
          </w:p>
        </w:tc>
        <w:tc>
          <w:tcPr>
            <w:tcW w:w="0" w:type="dxa"/>
            <w:vAlign w:val="bottom"/>
            <w:tcBorders>
              <w:top w:val="single" w:sz="8" w:color="0000EE"/>
            </w:tcBorders>
          </w:tcPr>
          <w:p>
            <w:pPr>
              <w:spacing w:after="0"/>
              <w:rPr>
                <w:sz w:val="16"/>
                <w:szCs w:val="16"/>
                <w:color w:val="auto"/>
              </w:rPr>
            </w:pPr>
          </w:p>
        </w:tc>
        <w:tc>
          <w:tcPr>
            <w:tcW w:w="20" w:type="dxa"/>
            <w:vAlign w:val="bottom"/>
            <w:tcBorders>
              <w:top w:val="single" w:sz="8" w:color="0000EE"/>
            </w:tcBorders>
          </w:tcPr>
          <w:p>
            <w:pPr>
              <w:spacing w:after="0"/>
              <w:rPr>
                <w:sz w:val="16"/>
                <w:szCs w:val="16"/>
                <w:color w:val="auto"/>
              </w:rPr>
            </w:pPr>
          </w:p>
        </w:tc>
        <w:tc>
          <w:tcPr>
            <w:tcW w:w="20" w:type="dxa"/>
            <w:vAlign w:val="bottom"/>
            <w:tcBorders>
              <w:top w:val="single" w:sz="8" w:color="0000EE"/>
            </w:tcBorders>
          </w:tcPr>
          <w:p>
            <w:pPr>
              <w:spacing w:after="0"/>
              <w:rPr>
                <w:sz w:val="16"/>
                <w:szCs w:val="16"/>
                <w:color w:val="auto"/>
              </w:rPr>
            </w:pPr>
          </w:p>
        </w:tc>
        <w:tc>
          <w:tcPr>
            <w:tcW w:w="20" w:type="dxa"/>
            <w:vAlign w:val="bottom"/>
            <w:tcBorders>
              <w:top w:val="single" w:sz="8" w:color="0000EE"/>
            </w:tcBorders>
          </w:tcPr>
          <w:p>
            <w:pPr>
              <w:spacing w:after="0"/>
              <w:rPr>
                <w:sz w:val="16"/>
                <w:szCs w:val="16"/>
                <w:color w:val="auto"/>
              </w:rPr>
            </w:pPr>
          </w:p>
        </w:tc>
        <w:tc>
          <w:tcPr>
            <w:tcW w:w="20" w:type="dxa"/>
            <w:vAlign w:val="bottom"/>
          </w:tcPr>
          <w:p>
            <w:pPr>
              <w:spacing w:after="0"/>
              <w:rPr>
                <w:sz w:val="16"/>
                <w:szCs w:val="16"/>
                <w:color w:val="auto"/>
              </w:rPr>
            </w:pPr>
          </w:p>
        </w:tc>
        <w:tc>
          <w:tcPr>
            <w:tcW w:w="20" w:type="dxa"/>
            <w:vAlign w:val="bottom"/>
          </w:tcPr>
          <w:p>
            <w:pPr>
              <w:spacing w:after="0"/>
              <w:rPr>
                <w:sz w:val="16"/>
                <w:szCs w:val="16"/>
                <w:color w:val="auto"/>
              </w:rPr>
            </w:pPr>
          </w:p>
        </w:tc>
      </w:tr>
      <w:tr>
        <w:trPr>
          <w:trHeight w:val="437"/>
        </w:trPr>
        <w:tc>
          <w:tcPr>
            <w:tcW w:w="1420" w:type="dxa"/>
            <w:vAlign w:val="bottom"/>
          </w:tcPr>
          <w:p>
            <w:pPr>
              <w:spacing w:after="0"/>
              <w:rPr>
                <w:sz w:val="20"/>
                <w:szCs w:val="20"/>
                <w:color w:val="auto"/>
              </w:rPr>
            </w:pPr>
            <w:r>
              <w:rPr>
                <w:rFonts w:ascii="Arial" w:cs="Arial" w:eastAsia="Arial" w:hAnsi="Arial"/>
                <w:sz w:val="18"/>
                <w:szCs w:val="18"/>
                <w:color w:val="auto"/>
              </w:rPr>
              <w:t>10.C3</w:t>
            </w:r>
          </w:p>
        </w:tc>
        <w:tc>
          <w:tcPr>
            <w:tcW w:w="5840" w:type="dxa"/>
            <w:vAlign w:val="bottom"/>
            <w:gridSpan w:val="27"/>
          </w:tcPr>
          <w:p>
            <w:pPr>
              <w:spacing w:after="0"/>
              <w:rPr>
                <w:rFonts w:ascii="Arial" w:cs="Arial" w:eastAsia="Arial" w:hAnsi="Arial"/>
                <w:sz w:val="18"/>
                <w:szCs w:val="18"/>
                <w:color w:val="0000EE"/>
                <w:w w:val="93"/>
              </w:rPr>
            </w:pPr>
            <w:hyperlink r:id="rId122">
              <w:r>
                <w:rPr>
                  <w:rFonts w:ascii="Arial" w:cs="Arial" w:eastAsia="Arial" w:hAnsi="Arial"/>
                  <w:sz w:val="18"/>
                  <w:szCs w:val="18"/>
                  <w:color w:val="0000EE"/>
                  <w:w w:val="93"/>
                </w:rPr>
                <w:t>Amendment No. 1 to Viad Corp Executive Severance Plan (Tier I), effective as</w:t>
              </w:r>
            </w:hyperlink>
          </w:p>
        </w:tc>
      </w:tr>
      <w:tr>
        <w:trPr>
          <w:trHeight w:val="195"/>
        </w:trPr>
        <w:tc>
          <w:tcPr>
            <w:tcW w:w="1420" w:type="dxa"/>
            <w:vAlign w:val="bottom"/>
          </w:tcPr>
          <w:p>
            <w:pPr>
              <w:ind w:left="1000"/>
              <w:spacing w:after="0" w:line="195" w:lineRule="exact"/>
              <w:rPr>
                <w:sz w:val="20"/>
                <w:szCs w:val="20"/>
                <w:color w:val="auto"/>
              </w:rPr>
            </w:pPr>
            <w:r>
              <w:rPr>
                <w:rFonts w:ascii="Arial" w:cs="Arial" w:eastAsia="Arial" w:hAnsi="Arial"/>
                <w:sz w:val="18"/>
                <w:szCs w:val="18"/>
                <w:color w:val="auto"/>
              </w:rPr>
              <w:t>+</w:t>
            </w:r>
          </w:p>
        </w:tc>
        <w:tc>
          <w:tcPr>
            <w:tcW w:w="1560" w:type="dxa"/>
            <w:vAlign w:val="bottom"/>
            <w:tcBorders>
              <w:top w:val="single" w:sz="8" w:color="0000EE"/>
              <w:bottom w:val="single" w:sz="8" w:color="0000EE"/>
            </w:tcBorders>
            <w:gridSpan w:val="3"/>
          </w:tcPr>
          <w:p>
            <w:pPr>
              <w:spacing w:after="0" w:line="195" w:lineRule="exact"/>
              <w:rPr>
                <w:rFonts w:ascii="Arial" w:cs="Arial" w:eastAsia="Arial" w:hAnsi="Arial"/>
                <w:sz w:val="18"/>
                <w:szCs w:val="18"/>
                <w:color w:val="0000EE"/>
                <w:w w:val="89"/>
              </w:rPr>
            </w:pPr>
            <w:hyperlink r:id="rId122">
              <w:r>
                <w:rPr>
                  <w:rFonts w:ascii="Arial" w:cs="Arial" w:eastAsia="Arial" w:hAnsi="Arial"/>
                  <w:sz w:val="18"/>
                  <w:szCs w:val="18"/>
                  <w:color w:val="0000EE"/>
                  <w:w w:val="89"/>
                </w:rPr>
                <w:t>of February 26, 2014.</w:t>
              </w:r>
            </w:hyperlink>
          </w:p>
        </w:tc>
        <w:tc>
          <w:tcPr>
            <w:tcW w:w="4100" w:type="dxa"/>
            <w:vAlign w:val="bottom"/>
            <w:tcBorders>
              <w:top w:val="single" w:sz="8" w:color="0000EE"/>
            </w:tcBorders>
            <w:gridSpan w:val="16"/>
          </w:tcPr>
          <w:p>
            <w:pPr>
              <w:spacing w:after="0"/>
              <w:rPr>
                <w:sz w:val="16"/>
                <w:szCs w:val="16"/>
                <w:color w:val="auto"/>
              </w:rPr>
            </w:pPr>
          </w:p>
        </w:tc>
        <w:tc>
          <w:tcPr>
            <w:tcW w:w="180" w:type="dxa"/>
            <w:vAlign w:val="bottom"/>
            <w:gridSpan w:val="8"/>
          </w:tcPr>
          <w:p>
            <w:pPr>
              <w:spacing w:after="0"/>
              <w:rPr>
                <w:sz w:val="16"/>
                <w:szCs w:val="16"/>
                <w:color w:val="auto"/>
              </w:rPr>
            </w:pPr>
          </w:p>
        </w:tc>
      </w:tr>
      <w:tr>
        <w:trPr>
          <w:trHeight w:val="437"/>
        </w:trPr>
        <w:tc>
          <w:tcPr>
            <w:tcW w:w="1420" w:type="dxa"/>
            <w:vAlign w:val="bottom"/>
          </w:tcPr>
          <w:p>
            <w:pPr>
              <w:spacing w:after="0"/>
              <w:rPr>
                <w:sz w:val="20"/>
                <w:szCs w:val="20"/>
                <w:color w:val="auto"/>
              </w:rPr>
            </w:pPr>
            <w:r>
              <w:rPr>
                <w:rFonts w:ascii="Arial" w:cs="Arial" w:eastAsia="Arial" w:hAnsi="Arial"/>
                <w:sz w:val="18"/>
                <w:szCs w:val="18"/>
                <w:color w:val="auto"/>
              </w:rPr>
              <w:t>10.C4</w:t>
            </w:r>
          </w:p>
        </w:tc>
        <w:tc>
          <w:tcPr>
            <w:tcW w:w="5840" w:type="dxa"/>
            <w:vAlign w:val="bottom"/>
            <w:tcBorders>
              <w:bottom w:val="single" w:sz="8" w:color="0000EE"/>
            </w:tcBorders>
            <w:gridSpan w:val="27"/>
          </w:tcPr>
          <w:p>
            <w:pPr>
              <w:spacing w:after="0"/>
              <w:rPr>
                <w:rFonts w:ascii="Arial" w:cs="Arial" w:eastAsia="Arial" w:hAnsi="Arial"/>
                <w:sz w:val="18"/>
                <w:szCs w:val="18"/>
                <w:color w:val="0000EE"/>
                <w:w w:val="89"/>
              </w:rPr>
            </w:pPr>
            <w:hyperlink r:id="rId123">
              <w:r>
                <w:rPr>
                  <w:rFonts w:ascii="Arial" w:cs="Arial" w:eastAsia="Arial" w:hAnsi="Arial"/>
                  <w:sz w:val="18"/>
                  <w:szCs w:val="18"/>
                  <w:color w:val="0000EE"/>
                  <w:w w:val="89"/>
                </w:rPr>
                <w:t>Severance Agreement (No Change in Control) between Viad Corp and Steven W.</w:t>
              </w:r>
            </w:hyperlink>
          </w:p>
        </w:tc>
      </w:tr>
      <w:tr>
        <w:trPr>
          <w:trHeight w:val="195"/>
        </w:trPr>
        <w:tc>
          <w:tcPr>
            <w:tcW w:w="1420" w:type="dxa"/>
            <w:vAlign w:val="bottom"/>
          </w:tcPr>
          <w:p>
            <w:pPr>
              <w:ind w:left="1000"/>
              <w:spacing w:after="0" w:line="195" w:lineRule="exact"/>
              <w:rPr>
                <w:sz w:val="20"/>
                <w:szCs w:val="20"/>
                <w:color w:val="auto"/>
              </w:rPr>
            </w:pPr>
            <w:r>
              <w:rPr>
                <w:rFonts w:ascii="Arial" w:cs="Arial" w:eastAsia="Arial" w:hAnsi="Arial"/>
                <w:sz w:val="18"/>
                <w:szCs w:val="18"/>
                <w:color w:val="auto"/>
              </w:rPr>
              <w:t>+</w:t>
            </w:r>
          </w:p>
        </w:tc>
        <w:tc>
          <w:tcPr>
            <w:tcW w:w="3020" w:type="dxa"/>
            <w:vAlign w:val="bottom"/>
            <w:tcBorders>
              <w:bottom w:val="single" w:sz="8" w:color="0000EE"/>
            </w:tcBorders>
            <w:gridSpan w:val="9"/>
          </w:tcPr>
          <w:p>
            <w:pPr>
              <w:spacing w:after="0" w:line="195" w:lineRule="exact"/>
              <w:rPr>
                <w:rFonts w:ascii="Arial" w:cs="Arial" w:eastAsia="Arial" w:hAnsi="Arial"/>
                <w:sz w:val="18"/>
                <w:szCs w:val="18"/>
                <w:color w:val="0000EE"/>
                <w:w w:val="89"/>
              </w:rPr>
            </w:pPr>
            <w:hyperlink r:id="rId123">
              <w:r>
                <w:rPr>
                  <w:rFonts w:ascii="Arial" w:cs="Arial" w:eastAsia="Arial" w:hAnsi="Arial"/>
                  <w:sz w:val="18"/>
                  <w:szCs w:val="18"/>
                  <w:color w:val="0000EE"/>
                  <w:w w:val="89"/>
                </w:rPr>
                <w:t>Moster, effective as of December 3, 2014.</w:t>
              </w:r>
            </w:hyperlink>
          </w:p>
        </w:tc>
        <w:tc>
          <w:tcPr>
            <w:tcW w:w="2820" w:type="dxa"/>
            <w:vAlign w:val="bottom"/>
            <w:gridSpan w:val="18"/>
          </w:tcPr>
          <w:p>
            <w:pPr>
              <w:spacing w:after="0"/>
              <w:rPr>
                <w:sz w:val="16"/>
                <w:szCs w:val="16"/>
                <w:color w:val="auto"/>
              </w:rPr>
            </w:pPr>
          </w:p>
        </w:tc>
      </w:tr>
      <w:tr>
        <w:trPr>
          <w:trHeight w:val="437"/>
        </w:trPr>
        <w:tc>
          <w:tcPr>
            <w:tcW w:w="1420" w:type="dxa"/>
            <w:vAlign w:val="bottom"/>
          </w:tcPr>
          <w:p>
            <w:pPr>
              <w:spacing w:after="0"/>
              <w:rPr>
                <w:sz w:val="20"/>
                <w:szCs w:val="20"/>
                <w:color w:val="auto"/>
              </w:rPr>
            </w:pPr>
            <w:r>
              <w:rPr>
                <w:rFonts w:ascii="Arial" w:cs="Arial" w:eastAsia="Arial" w:hAnsi="Arial"/>
                <w:sz w:val="18"/>
                <w:szCs w:val="18"/>
                <w:color w:val="auto"/>
              </w:rPr>
              <w:t>10.C5</w:t>
            </w:r>
          </w:p>
        </w:tc>
        <w:tc>
          <w:tcPr>
            <w:tcW w:w="5840" w:type="dxa"/>
            <w:vAlign w:val="bottom"/>
            <w:gridSpan w:val="27"/>
          </w:tcPr>
          <w:p>
            <w:pPr>
              <w:spacing w:after="0"/>
              <w:rPr>
                <w:rFonts w:ascii="Arial" w:cs="Arial" w:eastAsia="Arial" w:hAnsi="Arial"/>
                <w:sz w:val="18"/>
                <w:szCs w:val="18"/>
                <w:color w:val="0000EE"/>
                <w:w w:val="90"/>
              </w:rPr>
            </w:pPr>
            <w:hyperlink r:id="rId124">
              <w:r>
                <w:rPr>
                  <w:rFonts w:ascii="Arial" w:cs="Arial" w:eastAsia="Arial" w:hAnsi="Arial"/>
                  <w:sz w:val="18"/>
                  <w:szCs w:val="18"/>
                  <w:color w:val="0000EE"/>
                  <w:w w:val="90"/>
                </w:rPr>
                <w:t>Severance Agreement (No Change in Control) between Viad Corp and David W.</w:t>
              </w:r>
            </w:hyperlink>
          </w:p>
        </w:tc>
      </w:tr>
      <w:tr>
        <w:trPr>
          <w:trHeight w:val="195"/>
        </w:trPr>
        <w:tc>
          <w:tcPr>
            <w:tcW w:w="1420" w:type="dxa"/>
            <w:vAlign w:val="bottom"/>
          </w:tcPr>
          <w:p>
            <w:pPr>
              <w:ind w:left="1000"/>
              <w:spacing w:after="0" w:line="195" w:lineRule="exact"/>
              <w:rPr>
                <w:sz w:val="20"/>
                <w:szCs w:val="20"/>
                <w:color w:val="auto"/>
              </w:rPr>
            </w:pPr>
            <w:r>
              <w:rPr>
                <w:rFonts w:ascii="Arial" w:cs="Arial" w:eastAsia="Arial" w:hAnsi="Arial"/>
                <w:sz w:val="18"/>
                <w:szCs w:val="18"/>
                <w:color w:val="auto"/>
              </w:rPr>
              <w:t>+</w:t>
            </w:r>
          </w:p>
        </w:tc>
        <w:tc>
          <w:tcPr>
            <w:tcW w:w="2640" w:type="dxa"/>
            <w:vAlign w:val="bottom"/>
            <w:tcBorders>
              <w:top w:val="single" w:sz="8" w:color="0000EE"/>
              <w:bottom w:val="single" w:sz="8" w:color="0000EE"/>
            </w:tcBorders>
            <w:gridSpan w:val="7"/>
          </w:tcPr>
          <w:p>
            <w:pPr>
              <w:spacing w:after="0" w:line="195" w:lineRule="exact"/>
              <w:rPr>
                <w:rFonts w:ascii="Arial" w:cs="Arial" w:eastAsia="Arial" w:hAnsi="Arial"/>
                <w:sz w:val="18"/>
                <w:szCs w:val="18"/>
                <w:color w:val="0000EE"/>
                <w:w w:val="91"/>
              </w:rPr>
            </w:pPr>
            <w:hyperlink r:id="rId124">
              <w:r>
                <w:rPr>
                  <w:rFonts w:ascii="Arial" w:cs="Arial" w:eastAsia="Arial" w:hAnsi="Arial"/>
                  <w:sz w:val="18"/>
                  <w:szCs w:val="18"/>
                  <w:color w:val="0000EE"/>
                  <w:w w:val="91"/>
                </w:rPr>
                <w:t>Barry, effective as of April 22, 2015.</w:t>
              </w:r>
            </w:hyperlink>
          </w:p>
        </w:tc>
        <w:tc>
          <w:tcPr>
            <w:tcW w:w="3140" w:type="dxa"/>
            <w:vAlign w:val="bottom"/>
            <w:tcBorders>
              <w:top w:val="single" w:sz="8" w:color="0000EE"/>
            </w:tcBorders>
            <w:gridSpan w:val="17"/>
          </w:tcPr>
          <w:p>
            <w:pPr>
              <w:spacing w:after="0"/>
              <w:rPr>
                <w:sz w:val="16"/>
                <w:szCs w:val="16"/>
                <w:color w:val="auto"/>
              </w:rPr>
            </w:pPr>
          </w:p>
        </w:tc>
        <w:tc>
          <w:tcPr>
            <w:tcW w:w="60" w:type="dxa"/>
            <w:vAlign w:val="bottom"/>
            <w:gridSpan w:val="3"/>
          </w:tcPr>
          <w:p>
            <w:pPr>
              <w:spacing w:after="0"/>
              <w:rPr>
                <w:sz w:val="16"/>
                <w:szCs w:val="16"/>
                <w:color w:val="auto"/>
              </w:rPr>
            </w:pPr>
          </w:p>
        </w:tc>
      </w:tr>
      <w:tr>
        <w:trPr>
          <w:trHeight w:val="437"/>
        </w:trPr>
        <w:tc>
          <w:tcPr>
            <w:tcW w:w="1420" w:type="dxa"/>
            <w:vAlign w:val="bottom"/>
          </w:tcPr>
          <w:p>
            <w:pPr>
              <w:spacing w:after="0"/>
              <w:rPr>
                <w:sz w:val="20"/>
                <w:szCs w:val="20"/>
                <w:color w:val="auto"/>
              </w:rPr>
            </w:pPr>
            <w:r>
              <w:rPr>
                <w:rFonts w:ascii="Arial" w:cs="Arial" w:eastAsia="Arial" w:hAnsi="Arial"/>
                <w:sz w:val="18"/>
                <w:szCs w:val="18"/>
                <w:color w:val="auto"/>
              </w:rPr>
              <w:t>10.C6</w:t>
            </w:r>
          </w:p>
        </w:tc>
        <w:tc>
          <w:tcPr>
            <w:tcW w:w="5700" w:type="dxa"/>
            <w:vAlign w:val="bottom"/>
            <w:tcBorders>
              <w:bottom w:val="single" w:sz="8" w:color="0000EE"/>
            </w:tcBorders>
            <w:gridSpan w:val="20"/>
          </w:tcPr>
          <w:p>
            <w:pPr>
              <w:spacing w:after="0"/>
              <w:rPr>
                <w:rFonts w:ascii="Arial" w:cs="Arial" w:eastAsia="Arial" w:hAnsi="Arial"/>
                <w:sz w:val="18"/>
                <w:szCs w:val="18"/>
                <w:color w:val="0000EE"/>
                <w:w w:val="88"/>
              </w:rPr>
            </w:pPr>
            <w:hyperlink r:id="rId125">
              <w:r>
                <w:rPr>
                  <w:rFonts w:ascii="Arial" w:cs="Arial" w:eastAsia="Arial" w:hAnsi="Arial"/>
                  <w:sz w:val="18"/>
                  <w:szCs w:val="18"/>
                  <w:color w:val="0000EE"/>
                  <w:w w:val="88"/>
                </w:rPr>
                <w:t>Severance Agreement and General Release between Viad Corp and Thomas M.</w:t>
              </w:r>
            </w:hyperlink>
          </w:p>
        </w:tc>
        <w:tc>
          <w:tcPr>
            <w:tcW w:w="140" w:type="dxa"/>
            <w:vAlign w:val="bottom"/>
            <w:gridSpan w:val="7"/>
          </w:tcPr>
          <w:p>
            <w:pPr>
              <w:spacing w:after="0"/>
              <w:rPr>
                <w:sz w:val="24"/>
                <w:szCs w:val="24"/>
                <w:color w:val="auto"/>
              </w:rPr>
            </w:pPr>
          </w:p>
        </w:tc>
      </w:tr>
      <w:tr>
        <w:trPr>
          <w:trHeight w:val="195"/>
        </w:trPr>
        <w:tc>
          <w:tcPr>
            <w:tcW w:w="1420" w:type="dxa"/>
            <w:vAlign w:val="bottom"/>
          </w:tcPr>
          <w:p>
            <w:pPr>
              <w:ind w:left="1000"/>
              <w:spacing w:after="0" w:line="195" w:lineRule="exact"/>
              <w:rPr>
                <w:sz w:val="20"/>
                <w:szCs w:val="20"/>
                <w:color w:val="auto"/>
              </w:rPr>
            </w:pPr>
            <w:r>
              <w:rPr>
                <w:rFonts w:ascii="Arial" w:cs="Arial" w:eastAsia="Arial" w:hAnsi="Arial"/>
                <w:sz w:val="18"/>
                <w:szCs w:val="18"/>
                <w:color w:val="auto"/>
              </w:rPr>
              <w:t>+</w:t>
            </w:r>
          </w:p>
        </w:tc>
        <w:tc>
          <w:tcPr>
            <w:tcW w:w="5840" w:type="dxa"/>
            <w:vAlign w:val="bottom"/>
            <w:gridSpan w:val="27"/>
          </w:tcPr>
          <w:p>
            <w:pPr>
              <w:spacing w:after="0" w:line="195" w:lineRule="exact"/>
              <w:rPr>
                <w:rFonts w:ascii="Arial" w:cs="Arial" w:eastAsia="Arial" w:hAnsi="Arial"/>
                <w:sz w:val="18"/>
                <w:szCs w:val="18"/>
                <w:color w:val="0000EE"/>
              </w:rPr>
            </w:pPr>
            <w:hyperlink r:id="rId125">
              <w:r>
                <w:rPr>
                  <w:rFonts w:ascii="Arial" w:cs="Arial" w:eastAsia="Arial" w:hAnsi="Arial"/>
                  <w:sz w:val="18"/>
                  <w:szCs w:val="18"/>
                  <w:color w:val="0000EE"/>
                </w:rPr>
                <w:t>Kuczynski, effective as of April 27, 2016.</w:t>
              </w:r>
            </w:hyperlink>
          </w:p>
        </w:tc>
      </w:tr>
      <w:tr>
        <w:trPr>
          <w:trHeight w:val="20"/>
        </w:trPr>
        <w:tc>
          <w:tcPr>
            <w:tcW w:w="1420" w:type="dxa"/>
            <w:vAlign w:val="bottom"/>
          </w:tcPr>
          <w:p>
            <w:pPr>
              <w:spacing w:after="0" w:line="20" w:lineRule="exact"/>
              <w:rPr>
                <w:sz w:val="1"/>
                <w:szCs w:val="1"/>
                <w:color w:val="auto"/>
              </w:rPr>
            </w:pPr>
          </w:p>
        </w:tc>
        <w:tc>
          <w:tcPr>
            <w:tcW w:w="2100" w:type="dxa"/>
            <w:vAlign w:val="bottom"/>
            <w:gridSpan w:val="4"/>
            <w:shd w:val="clear" w:color="auto" w:fill="0000EE"/>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720" w:type="dxa"/>
            <w:vAlign w:val="bottom"/>
            <w:gridSpan w:val="3"/>
            <w:shd w:val="clear" w:color="auto" w:fill="0000EE"/>
          </w:tcPr>
          <w:p>
            <w:pPr>
              <w:spacing w:after="0" w:line="20" w:lineRule="exact"/>
              <w:rPr>
                <w:sz w:val="1"/>
                <w:szCs w:val="1"/>
                <w:color w:val="auto"/>
              </w:rPr>
            </w:pPr>
          </w:p>
        </w:tc>
        <w:tc>
          <w:tcPr>
            <w:tcW w:w="200" w:type="dxa"/>
            <w:vAlign w:val="bottom"/>
            <w:gridSpan w:val="2"/>
          </w:tcPr>
          <w:p>
            <w:pPr>
              <w:spacing w:after="0" w:line="20" w:lineRule="exact"/>
              <w:rPr>
                <w:sz w:val="1"/>
                <w:szCs w:val="1"/>
                <w:color w:val="auto"/>
              </w:rPr>
            </w:pPr>
          </w:p>
        </w:tc>
        <w:tc>
          <w:tcPr>
            <w:tcW w:w="2360" w:type="dxa"/>
            <w:vAlign w:val="bottom"/>
            <w:gridSpan w:val="5"/>
          </w:tcPr>
          <w:p>
            <w:pPr>
              <w:spacing w:after="0" w:line="20" w:lineRule="exact"/>
              <w:rPr>
                <w:sz w:val="1"/>
                <w:szCs w:val="1"/>
                <w:color w:val="auto"/>
              </w:rPr>
            </w:pPr>
          </w:p>
        </w:tc>
        <w:tc>
          <w:tcPr>
            <w:tcW w:w="80" w:type="dxa"/>
            <w:vAlign w:val="bottom"/>
            <w:gridSpan w:val="3"/>
          </w:tcPr>
          <w:p>
            <w:pPr>
              <w:spacing w:after="0" w:line="20" w:lineRule="exact"/>
              <w:rPr>
                <w:sz w:val="1"/>
                <w:szCs w:val="1"/>
                <w:color w:val="auto"/>
              </w:rPr>
            </w:pPr>
          </w:p>
        </w:tc>
        <w:tc>
          <w:tcPr>
            <w:tcW w:w="100" w:type="dxa"/>
            <w:vAlign w:val="bottom"/>
            <w:gridSpan w:val="3"/>
          </w:tcPr>
          <w:p>
            <w:pPr>
              <w:spacing w:after="0" w:line="20" w:lineRule="exact"/>
              <w:rPr>
                <w:sz w:val="1"/>
                <w:szCs w:val="1"/>
                <w:color w:val="auto"/>
              </w:rPr>
            </w:pPr>
          </w:p>
        </w:tc>
        <w:tc>
          <w:tcPr>
            <w:tcW w:w="100" w:type="dxa"/>
            <w:vAlign w:val="bottom"/>
            <w:gridSpan w:val="6"/>
          </w:tcPr>
          <w:p>
            <w:pPr>
              <w:spacing w:after="0" w:line="20" w:lineRule="exact"/>
              <w:rPr>
                <w:sz w:val="1"/>
                <w:szCs w:val="1"/>
                <w:color w:val="auto"/>
              </w:rPr>
            </w:pPr>
          </w:p>
        </w:tc>
      </w:tr>
      <w:tr>
        <w:trPr>
          <w:trHeight w:val="437"/>
        </w:trPr>
        <w:tc>
          <w:tcPr>
            <w:tcW w:w="1420" w:type="dxa"/>
            <w:vAlign w:val="bottom"/>
          </w:tcPr>
          <w:p>
            <w:pPr>
              <w:spacing w:after="0"/>
              <w:rPr>
                <w:sz w:val="20"/>
                <w:szCs w:val="20"/>
                <w:color w:val="auto"/>
              </w:rPr>
            </w:pPr>
            <w:r>
              <w:rPr>
                <w:rFonts w:ascii="Arial" w:cs="Arial" w:eastAsia="Arial" w:hAnsi="Arial"/>
                <w:sz w:val="18"/>
                <w:szCs w:val="18"/>
                <w:color w:val="auto"/>
              </w:rPr>
              <w:t>10.C7</w:t>
            </w:r>
          </w:p>
        </w:tc>
        <w:tc>
          <w:tcPr>
            <w:tcW w:w="5840" w:type="dxa"/>
            <w:vAlign w:val="bottom"/>
            <w:gridSpan w:val="27"/>
          </w:tcPr>
          <w:p>
            <w:pPr>
              <w:spacing w:after="0"/>
              <w:rPr>
                <w:rFonts w:ascii="Arial" w:cs="Arial" w:eastAsia="Arial" w:hAnsi="Arial"/>
                <w:sz w:val="18"/>
                <w:szCs w:val="18"/>
                <w:color w:val="0000EE"/>
                <w:w w:val="90"/>
              </w:rPr>
            </w:pPr>
            <w:hyperlink r:id="rId126">
              <w:r>
                <w:rPr>
                  <w:rFonts w:ascii="Arial" w:cs="Arial" w:eastAsia="Arial" w:hAnsi="Arial"/>
                  <w:sz w:val="18"/>
                  <w:szCs w:val="18"/>
                  <w:color w:val="0000EE"/>
                  <w:w w:val="90"/>
                </w:rPr>
                <w:t>Severance Agreement and General Release between Viad Corp and Deborah J.</w:t>
              </w:r>
            </w:hyperlink>
          </w:p>
        </w:tc>
      </w:tr>
      <w:tr>
        <w:trPr>
          <w:trHeight w:val="195"/>
        </w:trPr>
        <w:tc>
          <w:tcPr>
            <w:tcW w:w="1420" w:type="dxa"/>
            <w:vAlign w:val="bottom"/>
          </w:tcPr>
          <w:p>
            <w:pPr>
              <w:ind w:left="1000"/>
              <w:spacing w:after="0" w:line="195" w:lineRule="exact"/>
              <w:rPr>
                <w:sz w:val="20"/>
                <w:szCs w:val="20"/>
                <w:color w:val="auto"/>
              </w:rPr>
            </w:pPr>
            <w:r>
              <w:rPr>
                <w:rFonts w:ascii="Arial" w:cs="Arial" w:eastAsia="Arial" w:hAnsi="Arial"/>
                <w:sz w:val="18"/>
                <w:szCs w:val="18"/>
                <w:color w:val="auto"/>
              </w:rPr>
              <w:t>+</w:t>
            </w:r>
          </w:p>
        </w:tc>
        <w:tc>
          <w:tcPr>
            <w:tcW w:w="3200" w:type="dxa"/>
            <w:vAlign w:val="bottom"/>
            <w:tcBorders>
              <w:top w:val="single" w:sz="8" w:color="0000EE"/>
              <w:bottom w:val="single" w:sz="8" w:color="0000EE"/>
            </w:tcBorders>
            <w:gridSpan w:val="10"/>
          </w:tcPr>
          <w:p>
            <w:pPr>
              <w:spacing w:after="0" w:line="195" w:lineRule="exact"/>
              <w:rPr>
                <w:rFonts w:ascii="Arial" w:cs="Arial" w:eastAsia="Arial" w:hAnsi="Arial"/>
                <w:sz w:val="18"/>
                <w:szCs w:val="18"/>
                <w:color w:val="0000EE"/>
                <w:w w:val="90"/>
              </w:rPr>
            </w:pPr>
            <w:hyperlink r:id="rId126">
              <w:r>
                <w:rPr>
                  <w:rFonts w:ascii="Arial" w:cs="Arial" w:eastAsia="Arial" w:hAnsi="Arial"/>
                  <w:sz w:val="18"/>
                  <w:szCs w:val="18"/>
                  <w:color w:val="0000EE"/>
                  <w:w w:val="90"/>
                </w:rPr>
                <w:t>DePaoli, effective as of November 29, 2017.</w:t>
              </w:r>
            </w:hyperlink>
          </w:p>
        </w:tc>
        <w:tc>
          <w:tcPr>
            <w:tcW w:w="2440" w:type="dxa"/>
            <w:vAlign w:val="bottom"/>
            <w:tcBorders>
              <w:top w:val="single" w:sz="8" w:color="0000EE"/>
            </w:tcBorders>
            <w:gridSpan w:val="8"/>
          </w:tcPr>
          <w:p>
            <w:pPr>
              <w:spacing w:after="0"/>
              <w:rPr>
                <w:sz w:val="16"/>
                <w:szCs w:val="16"/>
                <w:color w:val="auto"/>
              </w:rPr>
            </w:pPr>
          </w:p>
        </w:tc>
        <w:tc>
          <w:tcPr>
            <w:tcW w:w="200" w:type="dxa"/>
            <w:vAlign w:val="bottom"/>
            <w:gridSpan w:val="9"/>
          </w:tcPr>
          <w:p>
            <w:pPr>
              <w:spacing w:after="0"/>
              <w:rPr>
                <w:sz w:val="16"/>
                <w:szCs w:val="16"/>
                <w:color w:val="auto"/>
              </w:rPr>
            </w:pPr>
          </w:p>
        </w:tc>
      </w:tr>
      <w:tr>
        <w:trPr>
          <w:trHeight w:val="437"/>
        </w:trPr>
        <w:tc>
          <w:tcPr>
            <w:tcW w:w="1420" w:type="dxa"/>
            <w:vAlign w:val="bottom"/>
          </w:tcPr>
          <w:p>
            <w:pPr>
              <w:spacing w:after="0"/>
              <w:rPr>
                <w:sz w:val="20"/>
                <w:szCs w:val="20"/>
                <w:color w:val="auto"/>
              </w:rPr>
            </w:pPr>
            <w:r>
              <w:rPr>
                <w:rFonts w:ascii="Arial" w:cs="Arial" w:eastAsia="Arial" w:hAnsi="Arial"/>
                <w:sz w:val="18"/>
                <w:szCs w:val="18"/>
                <w:color w:val="auto"/>
              </w:rPr>
              <w:t>10.D1</w:t>
            </w:r>
          </w:p>
        </w:tc>
        <w:tc>
          <w:tcPr>
            <w:tcW w:w="5740" w:type="dxa"/>
            <w:vAlign w:val="bottom"/>
            <w:tcBorders>
              <w:bottom w:val="single" w:sz="8" w:color="0000EE"/>
            </w:tcBorders>
            <w:gridSpan w:val="21"/>
          </w:tcPr>
          <w:p>
            <w:pPr>
              <w:spacing w:after="0"/>
              <w:rPr>
                <w:rFonts w:ascii="Arial" w:cs="Arial" w:eastAsia="Arial" w:hAnsi="Arial"/>
                <w:sz w:val="18"/>
                <w:szCs w:val="18"/>
                <w:color w:val="0000EE"/>
                <w:w w:val="89"/>
              </w:rPr>
            </w:pPr>
            <w:hyperlink r:id="rId127">
              <w:r>
                <w:rPr>
                  <w:rFonts w:ascii="Arial" w:cs="Arial" w:eastAsia="Arial" w:hAnsi="Arial"/>
                  <w:sz w:val="18"/>
                  <w:szCs w:val="18"/>
                  <w:color w:val="0000EE"/>
                  <w:w w:val="89"/>
                </w:rPr>
                <w:t>Viad Corp Supplemental TRIM Plan, as amended and restated effective January</w:t>
              </w:r>
            </w:hyperlink>
          </w:p>
        </w:tc>
        <w:tc>
          <w:tcPr>
            <w:tcW w:w="100" w:type="dxa"/>
            <w:vAlign w:val="bottom"/>
            <w:gridSpan w:val="6"/>
          </w:tcPr>
          <w:p>
            <w:pPr>
              <w:spacing w:after="0"/>
              <w:rPr>
                <w:sz w:val="24"/>
                <w:szCs w:val="24"/>
                <w:color w:val="auto"/>
              </w:rPr>
            </w:pPr>
          </w:p>
        </w:tc>
      </w:tr>
      <w:tr>
        <w:trPr>
          <w:trHeight w:val="195"/>
        </w:trPr>
        <w:tc>
          <w:tcPr>
            <w:tcW w:w="1420" w:type="dxa"/>
            <w:vAlign w:val="bottom"/>
          </w:tcPr>
          <w:p>
            <w:pPr>
              <w:ind w:left="1000"/>
              <w:spacing w:after="0" w:line="195" w:lineRule="exact"/>
              <w:rPr>
                <w:sz w:val="20"/>
                <w:szCs w:val="20"/>
                <w:color w:val="auto"/>
              </w:rPr>
            </w:pPr>
            <w:r>
              <w:rPr>
                <w:rFonts w:ascii="Arial" w:cs="Arial" w:eastAsia="Arial" w:hAnsi="Arial"/>
                <w:sz w:val="18"/>
                <w:szCs w:val="18"/>
                <w:color w:val="auto"/>
              </w:rPr>
              <w:t>+</w:t>
            </w:r>
          </w:p>
        </w:tc>
        <w:tc>
          <w:tcPr>
            <w:tcW w:w="5840" w:type="dxa"/>
            <w:vAlign w:val="bottom"/>
            <w:gridSpan w:val="27"/>
          </w:tcPr>
          <w:p>
            <w:pPr>
              <w:spacing w:after="0" w:line="195" w:lineRule="exact"/>
              <w:rPr>
                <w:rFonts w:ascii="Arial" w:cs="Arial" w:eastAsia="Arial" w:hAnsi="Arial"/>
                <w:sz w:val="18"/>
                <w:szCs w:val="18"/>
                <w:color w:val="0000EE"/>
              </w:rPr>
            </w:pPr>
            <w:hyperlink r:id="rId127">
              <w:r>
                <w:rPr>
                  <w:rFonts w:ascii="Arial" w:cs="Arial" w:eastAsia="Arial" w:hAnsi="Arial"/>
                  <w:sz w:val="18"/>
                  <w:szCs w:val="18"/>
                  <w:color w:val="0000EE"/>
                </w:rPr>
                <w:t>1, 2005 for Code Section 409A.</w:t>
              </w:r>
            </w:hyperlink>
          </w:p>
        </w:tc>
      </w:tr>
      <w:tr>
        <w:trPr>
          <w:trHeight w:val="20"/>
        </w:trPr>
        <w:tc>
          <w:tcPr>
            <w:tcW w:w="1420" w:type="dxa"/>
            <w:vAlign w:val="bottom"/>
          </w:tcPr>
          <w:p>
            <w:pPr>
              <w:spacing w:after="0" w:line="20" w:lineRule="exact"/>
              <w:rPr>
                <w:sz w:val="1"/>
                <w:szCs w:val="1"/>
                <w:color w:val="auto"/>
              </w:rPr>
            </w:pPr>
          </w:p>
        </w:tc>
        <w:tc>
          <w:tcPr>
            <w:tcW w:w="2100" w:type="dxa"/>
            <w:vAlign w:val="bottom"/>
            <w:gridSpan w:val="4"/>
            <w:shd w:val="clear" w:color="auto" w:fill="0000EE"/>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3280" w:type="dxa"/>
            <w:vAlign w:val="bottom"/>
            <w:gridSpan w:val="10"/>
          </w:tcPr>
          <w:p>
            <w:pPr>
              <w:spacing w:after="0" w:line="20" w:lineRule="exact"/>
              <w:rPr>
                <w:sz w:val="1"/>
                <w:szCs w:val="1"/>
                <w:color w:val="auto"/>
              </w:rPr>
            </w:pPr>
          </w:p>
        </w:tc>
        <w:tc>
          <w:tcPr>
            <w:tcW w:w="280" w:type="dxa"/>
            <w:vAlign w:val="bottom"/>
            <w:gridSpan w:val="12"/>
          </w:tcPr>
          <w:p>
            <w:pPr>
              <w:spacing w:after="0" w:line="20" w:lineRule="exact"/>
              <w:rPr>
                <w:sz w:val="1"/>
                <w:szCs w:val="1"/>
                <w:color w:val="auto"/>
              </w:rPr>
            </w:pPr>
          </w:p>
        </w:tc>
      </w:tr>
      <w:tr>
        <w:trPr>
          <w:trHeight w:val="437"/>
        </w:trPr>
        <w:tc>
          <w:tcPr>
            <w:tcW w:w="1420" w:type="dxa"/>
            <w:vAlign w:val="bottom"/>
          </w:tcPr>
          <w:p>
            <w:pPr>
              <w:spacing w:after="0"/>
              <w:rPr>
                <w:sz w:val="20"/>
                <w:szCs w:val="20"/>
                <w:color w:val="auto"/>
              </w:rPr>
            </w:pPr>
            <w:r>
              <w:rPr>
                <w:rFonts w:ascii="Arial" w:cs="Arial" w:eastAsia="Arial" w:hAnsi="Arial"/>
                <w:sz w:val="18"/>
                <w:szCs w:val="18"/>
                <w:color w:val="auto"/>
              </w:rPr>
              <w:t>10.E1</w:t>
            </w:r>
          </w:p>
        </w:tc>
        <w:tc>
          <w:tcPr>
            <w:tcW w:w="5560" w:type="dxa"/>
            <w:vAlign w:val="bottom"/>
            <w:tcBorders>
              <w:bottom w:val="single" w:sz="8" w:color="0000EE"/>
            </w:tcBorders>
            <w:gridSpan w:val="15"/>
          </w:tcPr>
          <w:p>
            <w:pPr>
              <w:spacing w:after="0"/>
              <w:rPr>
                <w:rFonts w:ascii="Arial" w:cs="Arial" w:eastAsia="Arial" w:hAnsi="Arial"/>
                <w:sz w:val="18"/>
                <w:szCs w:val="18"/>
                <w:color w:val="0000EE"/>
                <w:w w:val="88"/>
              </w:rPr>
            </w:pPr>
            <w:hyperlink r:id="rId128">
              <w:r>
                <w:rPr>
                  <w:rFonts w:ascii="Arial" w:cs="Arial" w:eastAsia="Arial" w:hAnsi="Arial"/>
                  <w:sz w:val="18"/>
                  <w:szCs w:val="18"/>
                  <w:color w:val="0000EE"/>
                  <w:w w:val="88"/>
                </w:rPr>
                <w:t>Viad Corp Supplemental Pension Plan, amended and restated as of January 1,</w:t>
              </w:r>
            </w:hyperlink>
          </w:p>
        </w:tc>
        <w:tc>
          <w:tcPr>
            <w:tcW w:w="280" w:type="dxa"/>
            <w:vAlign w:val="bottom"/>
            <w:gridSpan w:val="12"/>
          </w:tcPr>
          <w:p>
            <w:pPr>
              <w:spacing w:after="0"/>
              <w:rPr>
                <w:sz w:val="24"/>
                <w:szCs w:val="24"/>
                <w:color w:val="auto"/>
              </w:rPr>
            </w:pPr>
          </w:p>
        </w:tc>
      </w:tr>
      <w:tr>
        <w:trPr>
          <w:trHeight w:val="195"/>
        </w:trPr>
        <w:tc>
          <w:tcPr>
            <w:tcW w:w="1420" w:type="dxa"/>
            <w:vAlign w:val="bottom"/>
          </w:tcPr>
          <w:p>
            <w:pPr>
              <w:ind w:left="1000"/>
              <w:spacing w:after="0" w:line="195" w:lineRule="exact"/>
              <w:rPr>
                <w:sz w:val="20"/>
                <w:szCs w:val="20"/>
                <w:color w:val="auto"/>
              </w:rPr>
            </w:pPr>
            <w:r>
              <w:rPr>
                <w:rFonts w:ascii="Arial" w:cs="Arial" w:eastAsia="Arial" w:hAnsi="Arial"/>
                <w:sz w:val="18"/>
                <w:szCs w:val="18"/>
                <w:color w:val="auto"/>
              </w:rPr>
              <w:t>+</w:t>
            </w:r>
          </w:p>
        </w:tc>
        <w:tc>
          <w:tcPr>
            <w:tcW w:w="5840" w:type="dxa"/>
            <w:vAlign w:val="bottom"/>
            <w:gridSpan w:val="27"/>
          </w:tcPr>
          <w:p>
            <w:pPr>
              <w:spacing w:after="0" w:line="195" w:lineRule="exact"/>
              <w:rPr>
                <w:rFonts w:ascii="Arial" w:cs="Arial" w:eastAsia="Arial" w:hAnsi="Arial"/>
                <w:sz w:val="18"/>
                <w:szCs w:val="18"/>
                <w:color w:val="0000EE"/>
              </w:rPr>
            </w:pPr>
            <w:hyperlink r:id="rId128">
              <w:r>
                <w:rPr>
                  <w:rFonts w:ascii="Arial" w:cs="Arial" w:eastAsia="Arial" w:hAnsi="Arial"/>
                  <w:sz w:val="18"/>
                  <w:szCs w:val="18"/>
                  <w:color w:val="0000EE"/>
                </w:rPr>
                <w:t>2005 for Code Section 409A.</w:t>
              </w:r>
            </w:hyperlink>
          </w:p>
        </w:tc>
      </w:tr>
      <w:tr>
        <w:trPr>
          <w:trHeight w:val="679"/>
        </w:trPr>
        <w:tc>
          <w:tcPr>
            <w:tcW w:w="1420" w:type="dxa"/>
            <w:vAlign w:val="bottom"/>
          </w:tcPr>
          <w:p>
            <w:pPr>
              <w:spacing w:after="0"/>
              <w:rPr>
                <w:sz w:val="24"/>
                <w:szCs w:val="24"/>
                <w:color w:val="auto"/>
              </w:rPr>
            </w:pPr>
          </w:p>
        </w:tc>
        <w:tc>
          <w:tcPr>
            <w:tcW w:w="2100" w:type="dxa"/>
            <w:vAlign w:val="bottom"/>
            <w:tcBorders>
              <w:top w:val="single" w:sz="8" w:color="0000EE"/>
            </w:tcBorders>
            <w:gridSpan w:val="4"/>
          </w:tcPr>
          <w:p>
            <w:pPr>
              <w:spacing w:after="0"/>
              <w:rPr>
                <w:sz w:val="24"/>
                <w:szCs w:val="24"/>
                <w:color w:val="auto"/>
              </w:rPr>
            </w:pPr>
          </w:p>
        </w:tc>
        <w:tc>
          <w:tcPr>
            <w:tcW w:w="3060" w:type="dxa"/>
            <w:vAlign w:val="bottom"/>
            <w:gridSpan w:val="8"/>
          </w:tcPr>
          <w:p>
            <w:pPr>
              <w:jc w:val="right"/>
              <w:ind w:right="780"/>
              <w:spacing w:after="0"/>
              <w:rPr>
                <w:sz w:val="20"/>
                <w:szCs w:val="20"/>
                <w:color w:val="auto"/>
              </w:rPr>
            </w:pPr>
            <w:r>
              <w:rPr>
                <w:rFonts w:ascii="Arial" w:cs="Arial" w:eastAsia="Arial" w:hAnsi="Arial"/>
                <w:sz w:val="18"/>
                <w:szCs w:val="18"/>
                <w:color w:val="auto"/>
              </w:rPr>
              <w:t>42</w:t>
            </w:r>
          </w:p>
        </w:tc>
        <w:tc>
          <w:tcPr>
            <w:tcW w:w="3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55245</wp:posOffset>
            </wp:positionV>
            <wp:extent cx="7289800" cy="42545"/>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29">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30"/>
        </w:trPr>
        <w:tc>
          <w:tcPr>
            <w:tcW w:w="720" w:type="dxa"/>
            <w:vAlign w:val="bottom"/>
          </w:tcPr>
          <w:p>
            <w:pPr>
              <w:jc w:val="right"/>
              <w:ind w:right="170"/>
              <w:spacing w:after="0"/>
              <w:rPr>
                <w:sz w:val="20"/>
                <w:szCs w:val="20"/>
                <w:color w:val="auto"/>
              </w:rPr>
            </w:pPr>
            <w:r>
              <w:rPr>
                <w:rFonts w:ascii="Arial" w:cs="Arial" w:eastAsia="Arial" w:hAnsi="Arial"/>
                <w:sz w:val="18"/>
                <w:szCs w:val="18"/>
                <w:color w:val="auto"/>
              </w:rPr>
              <w:t>10-K</w:t>
            </w:r>
          </w:p>
        </w:tc>
        <w:tc>
          <w:tcPr>
            <w:tcW w:w="1180" w:type="dxa"/>
            <w:vAlign w:val="bottom"/>
          </w:tcPr>
          <w:p>
            <w:pPr>
              <w:jc w:val="right"/>
              <w:ind w:right="10"/>
              <w:spacing w:after="0"/>
              <w:rPr>
                <w:sz w:val="20"/>
                <w:szCs w:val="20"/>
                <w:color w:val="auto"/>
              </w:rPr>
            </w:pPr>
            <w:r>
              <w:rPr>
                <w:rFonts w:ascii="Arial" w:cs="Arial" w:eastAsia="Arial" w:hAnsi="Arial"/>
                <w:sz w:val="18"/>
                <w:szCs w:val="18"/>
                <w:color w:val="auto"/>
              </w:rPr>
              <w:t>12/31/2017</w:t>
            </w:r>
          </w:p>
        </w:tc>
        <w:tc>
          <w:tcPr>
            <w:tcW w:w="940" w:type="dxa"/>
            <w:vAlign w:val="bottom"/>
          </w:tcPr>
          <w:p>
            <w:pPr>
              <w:jc w:val="right"/>
              <w:ind w:right="210"/>
              <w:spacing w:after="0"/>
              <w:rPr>
                <w:sz w:val="20"/>
                <w:szCs w:val="20"/>
                <w:color w:val="auto"/>
              </w:rPr>
            </w:pPr>
            <w:r>
              <w:rPr>
                <w:rFonts w:ascii="Arial" w:cs="Arial" w:eastAsia="Arial" w:hAnsi="Arial"/>
                <w:sz w:val="18"/>
                <w:szCs w:val="18"/>
                <w:color w:val="auto"/>
              </w:rPr>
              <w:t>10.B4</w:t>
            </w:r>
          </w:p>
        </w:tc>
        <w:tc>
          <w:tcPr>
            <w:tcW w:w="1020" w:type="dxa"/>
            <w:vAlign w:val="bottom"/>
          </w:tcPr>
          <w:p>
            <w:pPr>
              <w:jc w:val="right"/>
              <w:spacing w:after="0"/>
              <w:rPr>
                <w:sz w:val="20"/>
                <w:szCs w:val="20"/>
                <w:color w:val="auto"/>
              </w:rPr>
            </w:pPr>
            <w:r>
              <w:rPr>
                <w:rFonts w:ascii="Arial" w:cs="Arial" w:eastAsia="Arial" w:hAnsi="Arial"/>
                <w:sz w:val="18"/>
                <w:szCs w:val="18"/>
                <w:color w:val="auto"/>
              </w:rPr>
              <w:t>2/28/2018</w:t>
            </w:r>
          </w:p>
        </w:tc>
      </w:tr>
      <w:tr>
        <w:trPr>
          <w:trHeight w:val="887"/>
        </w:trPr>
        <w:tc>
          <w:tcPr>
            <w:tcW w:w="720" w:type="dxa"/>
            <w:vAlign w:val="bottom"/>
          </w:tcPr>
          <w:p>
            <w:pPr>
              <w:jc w:val="right"/>
              <w:ind w:right="170"/>
              <w:spacing w:after="0"/>
              <w:rPr>
                <w:sz w:val="20"/>
                <w:szCs w:val="20"/>
                <w:color w:val="auto"/>
              </w:rPr>
            </w:pPr>
            <w:r>
              <w:rPr>
                <w:rFonts w:ascii="Arial" w:cs="Arial" w:eastAsia="Arial" w:hAnsi="Arial"/>
                <w:sz w:val="18"/>
                <w:szCs w:val="18"/>
                <w:color w:val="auto"/>
              </w:rPr>
              <w:t>10-K</w:t>
            </w:r>
          </w:p>
        </w:tc>
        <w:tc>
          <w:tcPr>
            <w:tcW w:w="1180" w:type="dxa"/>
            <w:vAlign w:val="bottom"/>
          </w:tcPr>
          <w:p>
            <w:pPr>
              <w:jc w:val="right"/>
              <w:ind w:right="10"/>
              <w:spacing w:after="0"/>
              <w:rPr>
                <w:sz w:val="20"/>
                <w:szCs w:val="20"/>
                <w:color w:val="auto"/>
              </w:rPr>
            </w:pPr>
            <w:r>
              <w:rPr>
                <w:rFonts w:ascii="Arial" w:cs="Arial" w:eastAsia="Arial" w:hAnsi="Arial"/>
                <w:sz w:val="18"/>
                <w:szCs w:val="18"/>
                <w:color w:val="auto"/>
              </w:rPr>
              <w:t>12/31/2017</w:t>
            </w:r>
          </w:p>
        </w:tc>
        <w:tc>
          <w:tcPr>
            <w:tcW w:w="940" w:type="dxa"/>
            <w:vAlign w:val="bottom"/>
          </w:tcPr>
          <w:p>
            <w:pPr>
              <w:jc w:val="right"/>
              <w:ind w:right="210"/>
              <w:spacing w:after="0"/>
              <w:rPr>
                <w:sz w:val="20"/>
                <w:szCs w:val="20"/>
                <w:color w:val="auto"/>
              </w:rPr>
            </w:pPr>
            <w:r>
              <w:rPr>
                <w:rFonts w:ascii="Arial" w:cs="Arial" w:eastAsia="Arial" w:hAnsi="Arial"/>
                <w:sz w:val="18"/>
                <w:szCs w:val="18"/>
                <w:color w:val="auto"/>
              </w:rPr>
              <w:t>10.B5</w:t>
            </w:r>
          </w:p>
        </w:tc>
        <w:tc>
          <w:tcPr>
            <w:tcW w:w="1020" w:type="dxa"/>
            <w:vAlign w:val="bottom"/>
          </w:tcPr>
          <w:p>
            <w:pPr>
              <w:jc w:val="right"/>
              <w:spacing w:after="0"/>
              <w:rPr>
                <w:sz w:val="20"/>
                <w:szCs w:val="20"/>
                <w:color w:val="auto"/>
              </w:rPr>
            </w:pPr>
            <w:r>
              <w:rPr>
                <w:rFonts w:ascii="Arial" w:cs="Arial" w:eastAsia="Arial" w:hAnsi="Arial"/>
                <w:sz w:val="18"/>
                <w:szCs w:val="18"/>
                <w:color w:val="auto"/>
              </w:rPr>
              <w:t>2/28/2018</w:t>
            </w:r>
          </w:p>
        </w:tc>
      </w:tr>
      <w:tr>
        <w:trPr>
          <w:trHeight w:val="672"/>
        </w:trPr>
        <w:tc>
          <w:tcPr>
            <w:tcW w:w="720" w:type="dxa"/>
            <w:vAlign w:val="bottom"/>
          </w:tcPr>
          <w:p>
            <w:pPr>
              <w:jc w:val="right"/>
              <w:ind w:right="170"/>
              <w:spacing w:after="0"/>
              <w:rPr>
                <w:sz w:val="20"/>
                <w:szCs w:val="20"/>
                <w:color w:val="auto"/>
              </w:rPr>
            </w:pPr>
            <w:r>
              <w:rPr>
                <w:rFonts w:ascii="Arial" w:cs="Arial" w:eastAsia="Arial" w:hAnsi="Arial"/>
                <w:sz w:val="18"/>
                <w:szCs w:val="18"/>
                <w:color w:val="auto"/>
              </w:rPr>
              <w:t>10-K</w:t>
            </w:r>
          </w:p>
        </w:tc>
        <w:tc>
          <w:tcPr>
            <w:tcW w:w="1180" w:type="dxa"/>
            <w:vAlign w:val="bottom"/>
          </w:tcPr>
          <w:p>
            <w:pPr>
              <w:jc w:val="right"/>
              <w:ind w:right="10"/>
              <w:spacing w:after="0"/>
              <w:rPr>
                <w:sz w:val="20"/>
                <w:szCs w:val="20"/>
                <w:color w:val="auto"/>
              </w:rPr>
            </w:pPr>
            <w:r>
              <w:rPr>
                <w:rFonts w:ascii="Arial" w:cs="Arial" w:eastAsia="Arial" w:hAnsi="Arial"/>
                <w:sz w:val="18"/>
                <w:szCs w:val="18"/>
                <w:color w:val="auto"/>
              </w:rPr>
              <w:t>12/31/2017</w:t>
            </w:r>
          </w:p>
        </w:tc>
        <w:tc>
          <w:tcPr>
            <w:tcW w:w="940" w:type="dxa"/>
            <w:vAlign w:val="bottom"/>
          </w:tcPr>
          <w:p>
            <w:pPr>
              <w:jc w:val="right"/>
              <w:ind w:right="210"/>
              <w:spacing w:after="0"/>
              <w:rPr>
                <w:sz w:val="20"/>
                <w:szCs w:val="20"/>
                <w:color w:val="auto"/>
              </w:rPr>
            </w:pPr>
            <w:r>
              <w:rPr>
                <w:rFonts w:ascii="Arial" w:cs="Arial" w:eastAsia="Arial" w:hAnsi="Arial"/>
                <w:sz w:val="18"/>
                <w:szCs w:val="18"/>
                <w:color w:val="auto"/>
              </w:rPr>
              <w:t>10.B6</w:t>
            </w:r>
          </w:p>
        </w:tc>
        <w:tc>
          <w:tcPr>
            <w:tcW w:w="1020" w:type="dxa"/>
            <w:vAlign w:val="bottom"/>
          </w:tcPr>
          <w:p>
            <w:pPr>
              <w:jc w:val="right"/>
              <w:spacing w:after="0"/>
              <w:rPr>
                <w:sz w:val="20"/>
                <w:szCs w:val="20"/>
                <w:color w:val="auto"/>
              </w:rPr>
            </w:pPr>
            <w:r>
              <w:rPr>
                <w:rFonts w:ascii="Arial" w:cs="Arial" w:eastAsia="Arial" w:hAnsi="Arial"/>
                <w:sz w:val="18"/>
                <w:szCs w:val="18"/>
                <w:color w:val="auto"/>
              </w:rPr>
              <w:t>2/28/2018</w:t>
            </w:r>
          </w:p>
        </w:tc>
      </w:tr>
      <w:tr>
        <w:trPr>
          <w:trHeight w:val="887"/>
        </w:trPr>
        <w:tc>
          <w:tcPr>
            <w:tcW w:w="720" w:type="dxa"/>
            <w:vAlign w:val="bottom"/>
          </w:tcPr>
          <w:p>
            <w:pPr>
              <w:jc w:val="right"/>
              <w:ind w:right="170"/>
              <w:spacing w:after="0"/>
              <w:rPr>
                <w:sz w:val="20"/>
                <w:szCs w:val="20"/>
                <w:color w:val="auto"/>
              </w:rPr>
            </w:pPr>
            <w:r>
              <w:rPr>
                <w:rFonts w:ascii="Arial" w:cs="Arial" w:eastAsia="Arial" w:hAnsi="Arial"/>
                <w:sz w:val="18"/>
                <w:szCs w:val="18"/>
                <w:color w:val="auto"/>
              </w:rPr>
              <w:t>10-K</w:t>
            </w:r>
          </w:p>
        </w:tc>
        <w:tc>
          <w:tcPr>
            <w:tcW w:w="1180" w:type="dxa"/>
            <w:vAlign w:val="bottom"/>
          </w:tcPr>
          <w:p>
            <w:pPr>
              <w:jc w:val="right"/>
              <w:ind w:right="10"/>
              <w:spacing w:after="0"/>
              <w:rPr>
                <w:sz w:val="20"/>
                <w:szCs w:val="20"/>
                <w:color w:val="auto"/>
              </w:rPr>
            </w:pPr>
            <w:r>
              <w:rPr>
                <w:rFonts w:ascii="Arial" w:cs="Arial" w:eastAsia="Arial" w:hAnsi="Arial"/>
                <w:sz w:val="18"/>
                <w:szCs w:val="18"/>
                <w:color w:val="auto"/>
              </w:rPr>
              <w:t>12/31/2017</w:t>
            </w:r>
          </w:p>
        </w:tc>
        <w:tc>
          <w:tcPr>
            <w:tcW w:w="940" w:type="dxa"/>
            <w:vAlign w:val="bottom"/>
          </w:tcPr>
          <w:p>
            <w:pPr>
              <w:jc w:val="right"/>
              <w:ind w:right="210"/>
              <w:spacing w:after="0"/>
              <w:rPr>
                <w:sz w:val="20"/>
                <w:szCs w:val="20"/>
                <w:color w:val="auto"/>
              </w:rPr>
            </w:pPr>
            <w:r>
              <w:rPr>
                <w:rFonts w:ascii="Arial" w:cs="Arial" w:eastAsia="Arial" w:hAnsi="Arial"/>
                <w:sz w:val="18"/>
                <w:szCs w:val="18"/>
                <w:color w:val="auto"/>
              </w:rPr>
              <w:t>10.B7</w:t>
            </w:r>
          </w:p>
        </w:tc>
        <w:tc>
          <w:tcPr>
            <w:tcW w:w="1020" w:type="dxa"/>
            <w:vAlign w:val="bottom"/>
          </w:tcPr>
          <w:p>
            <w:pPr>
              <w:jc w:val="right"/>
              <w:spacing w:after="0"/>
              <w:rPr>
                <w:sz w:val="20"/>
                <w:szCs w:val="20"/>
                <w:color w:val="auto"/>
              </w:rPr>
            </w:pPr>
            <w:r>
              <w:rPr>
                <w:rFonts w:ascii="Arial" w:cs="Arial" w:eastAsia="Arial" w:hAnsi="Arial"/>
                <w:sz w:val="18"/>
                <w:szCs w:val="18"/>
                <w:color w:val="auto"/>
              </w:rPr>
              <w:t>2/28/2018</w:t>
            </w:r>
          </w:p>
        </w:tc>
      </w:tr>
      <w:tr>
        <w:trPr>
          <w:trHeight w:val="887"/>
        </w:trPr>
        <w:tc>
          <w:tcPr>
            <w:tcW w:w="720" w:type="dxa"/>
            <w:vAlign w:val="bottom"/>
          </w:tcPr>
          <w:p>
            <w:pPr>
              <w:jc w:val="right"/>
              <w:ind w:right="170"/>
              <w:spacing w:after="0"/>
              <w:rPr>
                <w:sz w:val="20"/>
                <w:szCs w:val="20"/>
                <w:color w:val="auto"/>
              </w:rPr>
            </w:pPr>
            <w:r>
              <w:rPr>
                <w:rFonts w:ascii="Arial" w:cs="Arial" w:eastAsia="Arial" w:hAnsi="Arial"/>
                <w:sz w:val="18"/>
                <w:szCs w:val="18"/>
                <w:color w:val="auto"/>
              </w:rPr>
              <w:t>10-K</w:t>
            </w:r>
          </w:p>
        </w:tc>
        <w:tc>
          <w:tcPr>
            <w:tcW w:w="1180" w:type="dxa"/>
            <w:vAlign w:val="bottom"/>
          </w:tcPr>
          <w:p>
            <w:pPr>
              <w:jc w:val="right"/>
              <w:ind w:right="10"/>
              <w:spacing w:after="0"/>
              <w:rPr>
                <w:sz w:val="20"/>
                <w:szCs w:val="20"/>
                <w:color w:val="auto"/>
              </w:rPr>
            </w:pPr>
            <w:r>
              <w:rPr>
                <w:rFonts w:ascii="Arial" w:cs="Arial" w:eastAsia="Arial" w:hAnsi="Arial"/>
                <w:sz w:val="18"/>
                <w:szCs w:val="18"/>
                <w:color w:val="auto"/>
              </w:rPr>
              <w:t>12/31/2017</w:t>
            </w:r>
          </w:p>
        </w:tc>
        <w:tc>
          <w:tcPr>
            <w:tcW w:w="940" w:type="dxa"/>
            <w:vAlign w:val="bottom"/>
          </w:tcPr>
          <w:p>
            <w:pPr>
              <w:jc w:val="right"/>
              <w:ind w:right="210"/>
              <w:spacing w:after="0"/>
              <w:rPr>
                <w:sz w:val="20"/>
                <w:szCs w:val="20"/>
                <w:color w:val="auto"/>
              </w:rPr>
            </w:pPr>
            <w:r>
              <w:rPr>
                <w:rFonts w:ascii="Arial" w:cs="Arial" w:eastAsia="Arial" w:hAnsi="Arial"/>
                <w:sz w:val="18"/>
                <w:szCs w:val="18"/>
                <w:color w:val="auto"/>
              </w:rPr>
              <w:t>10.B8</w:t>
            </w:r>
          </w:p>
        </w:tc>
        <w:tc>
          <w:tcPr>
            <w:tcW w:w="1020" w:type="dxa"/>
            <w:vAlign w:val="bottom"/>
          </w:tcPr>
          <w:p>
            <w:pPr>
              <w:jc w:val="right"/>
              <w:spacing w:after="0"/>
              <w:rPr>
                <w:sz w:val="20"/>
                <w:szCs w:val="20"/>
                <w:color w:val="auto"/>
              </w:rPr>
            </w:pPr>
            <w:r>
              <w:rPr>
                <w:rFonts w:ascii="Arial" w:cs="Arial" w:eastAsia="Arial" w:hAnsi="Arial"/>
                <w:sz w:val="18"/>
                <w:szCs w:val="18"/>
                <w:color w:val="auto"/>
              </w:rPr>
              <w:t>2/28/2018</w:t>
            </w:r>
          </w:p>
        </w:tc>
      </w:tr>
      <w:tr>
        <w:trPr>
          <w:trHeight w:val="887"/>
        </w:trPr>
        <w:tc>
          <w:tcPr>
            <w:tcW w:w="720" w:type="dxa"/>
            <w:vAlign w:val="bottom"/>
          </w:tcPr>
          <w:p>
            <w:pPr>
              <w:jc w:val="right"/>
              <w:ind w:right="170"/>
              <w:spacing w:after="0"/>
              <w:rPr>
                <w:sz w:val="20"/>
                <w:szCs w:val="20"/>
                <w:color w:val="auto"/>
              </w:rPr>
            </w:pPr>
            <w:r>
              <w:rPr>
                <w:rFonts w:ascii="Arial" w:cs="Arial" w:eastAsia="Arial" w:hAnsi="Arial"/>
                <w:sz w:val="18"/>
                <w:szCs w:val="18"/>
                <w:color w:val="auto"/>
              </w:rPr>
              <w:t>8-K</w:t>
            </w:r>
          </w:p>
        </w:tc>
        <w:tc>
          <w:tcPr>
            <w:tcW w:w="1180" w:type="dxa"/>
            <w:vAlign w:val="bottom"/>
          </w:tcPr>
          <w:p>
            <w:pPr>
              <w:spacing w:after="0"/>
              <w:rPr>
                <w:sz w:val="24"/>
                <w:szCs w:val="24"/>
                <w:color w:val="auto"/>
              </w:rPr>
            </w:pPr>
          </w:p>
        </w:tc>
        <w:tc>
          <w:tcPr>
            <w:tcW w:w="940" w:type="dxa"/>
            <w:vAlign w:val="bottom"/>
          </w:tcPr>
          <w:p>
            <w:pPr>
              <w:jc w:val="right"/>
              <w:ind w:right="210"/>
              <w:spacing w:after="0"/>
              <w:rPr>
                <w:sz w:val="20"/>
                <w:szCs w:val="20"/>
                <w:color w:val="auto"/>
              </w:rPr>
            </w:pPr>
            <w:r>
              <w:rPr>
                <w:rFonts w:ascii="Arial" w:cs="Arial" w:eastAsia="Arial" w:hAnsi="Arial"/>
                <w:sz w:val="18"/>
                <w:szCs w:val="18"/>
                <w:color w:val="auto"/>
              </w:rPr>
              <w:t>10.2</w:t>
            </w:r>
          </w:p>
        </w:tc>
        <w:tc>
          <w:tcPr>
            <w:tcW w:w="1020" w:type="dxa"/>
            <w:vAlign w:val="bottom"/>
          </w:tcPr>
          <w:p>
            <w:pPr>
              <w:jc w:val="right"/>
              <w:spacing w:after="0"/>
              <w:rPr>
                <w:sz w:val="20"/>
                <w:szCs w:val="20"/>
                <w:color w:val="auto"/>
              </w:rPr>
            </w:pPr>
            <w:r>
              <w:rPr>
                <w:rFonts w:ascii="Arial" w:cs="Arial" w:eastAsia="Arial" w:hAnsi="Arial"/>
                <w:sz w:val="18"/>
                <w:szCs w:val="18"/>
                <w:color w:val="auto"/>
              </w:rPr>
              <w:t>5/23/2017</w:t>
            </w:r>
          </w:p>
        </w:tc>
      </w:tr>
      <w:tr>
        <w:trPr>
          <w:trHeight w:val="672"/>
        </w:trPr>
        <w:tc>
          <w:tcPr>
            <w:tcW w:w="720" w:type="dxa"/>
            <w:vAlign w:val="bottom"/>
          </w:tcPr>
          <w:p>
            <w:pPr>
              <w:jc w:val="right"/>
              <w:ind w:right="170"/>
              <w:spacing w:after="0"/>
              <w:rPr>
                <w:sz w:val="20"/>
                <w:szCs w:val="20"/>
                <w:color w:val="auto"/>
              </w:rPr>
            </w:pPr>
            <w:r>
              <w:rPr>
                <w:rFonts w:ascii="Arial" w:cs="Arial" w:eastAsia="Arial" w:hAnsi="Arial"/>
                <w:sz w:val="18"/>
                <w:szCs w:val="18"/>
                <w:color w:val="auto"/>
              </w:rPr>
              <w:t>10-K</w:t>
            </w:r>
          </w:p>
        </w:tc>
        <w:tc>
          <w:tcPr>
            <w:tcW w:w="1180" w:type="dxa"/>
            <w:vAlign w:val="bottom"/>
          </w:tcPr>
          <w:p>
            <w:pPr>
              <w:jc w:val="right"/>
              <w:ind w:right="10"/>
              <w:spacing w:after="0"/>
              <w:rPr>
                <w:sz w:val="20"/>
                <w:szCs w:val="20"/>
                <w:color w:val="auto"/>
              </w:rPr>
            </w:pPr>
            <w:r>
              <w:rPr>
                <w:rFonts w:ascii="Arial" w:cs="Arial" w:eastAsia="Arial" w:hAnsi="Arial"/>
                <w:sz w:val="18"/>
                <w:szCs w:val="18"/>
                <w:color w:val="auto"/>
              </w:rPr>
              <w:t>12/31/2017</w:t>
            </w:r>
          </w:p>
        </w:tc>
        <w:tc>
          <w:tcPr>
            <w:tcW w:w="940" w:type="dxa"/>
            <w:vAlign w:val="bottom"/>
          </w:tcPr>
          <w:p>
            <w:pPr>
              <w:jc w:val="right"/>
              <w:ind w:right="210"/>
              <w:spacing w:after="0"/>
              <w:rPr>
                <w:sz w:val="20"/>
                <w:szCs w:val="20"/>
                <w:color w:val="auto"/>
              </w:rPr>
            </w:pPr>
            <w:r>
              <w:rPr>
                <w:rFonts w:ascii="Arial" w:cs="Arial" w:eastAsia="Arial" w:hAnsi="Arial"/>
                <w:sz w:val="18"/>
                <w:szCs w:val="18"/>
                <w:color w:val="auto"/>
              </w:rPr>
              <w:t>10.B10</w:t>
            </w:r>
          </w:p>
        </w:tc>
        <w:tc>
          <w:tcPr>
            <w:tcW w:w="1020" w:type="dxa"/>
            <w:vAlign w:val="bottom"/>
          </w:tcPr>
          <w:p>
            <w:pPr>
              <w:jc w:val="right"/>
              <w:spacing w:after="0"/>
              <w:rPr>
                <w:sz w:val="20"/>
                <w:szCs w:val="20"/>
                <w:color w:val="auto"/>
              </w:rPr>
            </w:pPr>
            <w:r>
              <w:rPr>
                <w:rFonts w:ascii="Arial" w:cs="Arial" w:eastAsia="Arial" w:hAnsi="Arial"/>
                <w:sz w:val="18"/>
                <w:szCs w:val="18"/>
                <w:color w:val="auto"/>
              </w:rPr>
              <w:t>2/28/2018</w:t>
            </w:r>
          </w:p>
        </w:tc>
      </w:tr>
      <w:tr>
        <w:trPr>
          <w:trHeight w:val="672"/>
        </w:trPr>
        <w:tc>
          <w:tcPr>
            <w:tcW w:w="720" w:type="dxa"/>
            <w:vAlign w:val="bottom"/>
          </w:tcPr>
          <w:p>
            <w:pPr>
              <w:jc w:val="right"/>
              <w:ind w:right="170"/>
              <w:spacing w:after="0"/>
              <w:rPr>
                <w:sz w:val="20"/>
                <w:szCs w:val="20"/>
                <w:color w:val="auto"/>
              </w:rPr>
            </w:pPr>
            <w:r>
              <w:rPr>
                <w:rFonts w:ascii="Arial" w:cs="Arial" w:eastAsia="Arial" w:hAnsi="Arial"/>
                <w:sz w:val="18"/>
                <w:szCs w:val="18"/>
                <w:color w:val="auto"/>
              </w:rPr>
              <w:t>8-K</w:t>
            </w:r>
          </w:p>
        </w:tc>
        <w:tc>
          <w:tcPr>
            <w:tcW w:w="1180" w:type="dxa"/>
            <w:vAlign w:val="bottom"/>
          </w:tcPr>
          <w:p>
            <w:pPr>
              <w:spacing w:after="0"/>
              <w:rPr>
                <w:sz w:val="24"/>
                <w:szCs w:val="24"/>
                <w:color w:val="auto"/>
              </w:rPr>
            </w:pPr>
          </w:p>
        </w:tc>
        <w:tc>
          <w:tcPr>
            <w:tcW w:w="940" w:type="dxa"/>
            <w:vAlign w:val="bottom"/>
          </w:tcPr>
          <w:p>
            <w:pPr>
              <w:jc w:val="right"/>
              <w:ind w:right="210"/>
              <w:spacing w:after="0"/>
              <w:rPr>
                <w:sz w:val="20"/>
                <w:szCs w:val="20"/>
                <w:color w:val="auto"/>
              </w:rPr>
            </w:pPr>
            <w:r>
              <w:rPr>
                <w:rFonts w:ascii="Arial" w:cs="Arial" w:eastAsia="Arial" w:hAnsi="Arial"/>
                <w:sz w:val="18"/>
                <w:szCs w:val="18"/>
                <w:color w:val="auto"/>
              </w:rPr>
              <w:t>10.B</w:t>
            </w:r>
          </w:p>
        </w:tc>
        <w:tc>
          <w:tcPr>
            <w:tcW w:w="1020" w:type="dxa"/>
            <w:vAlign w:val="bottom"/>
          </w:tcPr>
          <w:p>
            <w:pPr>
              <w:jc w:val="right"/>
              <w:spacing w:after="0"/>
              <w:rPr>
                <w:sz w:val="20"/>
                <w:szCs w:val="20"/>
                <w:color w:val="auto"/>
              </w:rPr>
            </w:pPr>
            <w:r>
              <w:rPr>
                <w:rFonts w:ascii="Arial" w:cs="Arial" w:eastAsia="Arial" w:hAnsi="Arial"/>
                <w:sz w:val="18"/>
                <w:szCs w:val="18"/>
                <w:color w:val="auto"/>
              </w:rPr>
              <w:t>8/29/2007</w:t>
            </w:r>
          </w:p>
        </w:tc>
      </w:tr>
      <w:tr>
        <w:trPr>
          <w:trHeight w:val="672"/>
        </w:trPr>
        <w:tc>
          <w:tcPr>
            <w:tcW w:w="720" w:type="dxa"/>
            <w:vAlign w:val="bottom"/>
          </w:tcPr>
          <w:p>
            <w:pPr>
              <w:jc w:val="right"/>
              <w:ind w:right="170"/>
              <w:spacing w:after="0"/>
              <w:rPr>
                <w:sz w:val="20"/>
                <w:szCs w:val="20"/>
                <w:color w:val="auto"/>
              </w:rPr>
            </w:pPr>
            <w:r>
              <w:rPr>
                <w:rFonts w:ascii="Arial" w:cs="Arial" w:eastAsia="Arial" w:hAnsi="Arial"/>
                <w:sz w:val="18"/>
                <w:szCs w:val="18"/>
                <w:color w:val="auto"/>
              </w:rPr>
              <w:t>8-K</w:t>
            </w:r>
          </w:p>
        </w:tc>
        <w:tc>
          <w:tcPr>
            <w:tcW w:w="1180" w:type="dxa"/>
            <w:vAlign w:val="bottom"/>
          </w:tcPr>
          <w:p>
            <w:pPr>
              <w:spacing w:after="0"/>
              <w:rPr>
                <w:sz w:val="24"/>
                <w:szCs w:val="24"/>
                <w:color w:val="auto"/>
              </w:rPr>
            </w:pPr>
          </w:p>
        </w:tc>
        <w:tc>
          <w:tcPr>
            <w:tcW w:w="940" w:type="dxa"/>
            <w:vAlign w:val="bottom"/>
          </w:tcPr>
          <w:p>
            <w:pPr>
              <w:jc w:val="right"/>
              <w:ind w:right="210"/>
              <w:spacing w:after="0"/>
              <w:rPr>
                <w:sz w:val="20"/>
                <w:szCs w:val="20"/>
                <w:color w:val="auto"/>
              </w:rPr>
            </w:pPr>
            <w:r>
              <w:rPr>
                <w:rFonts w:ascii="Arial" w:cs="Arial" w:eastAsia="Arial" w:hAnsi="Arial"/>
                <w:sz w:val="18"/>
                <w:szCs w:val="18"/>
                <w:color w:val="auto"/>
              </w:rPr>
              <w:t>10.B</w:t>
            </w:r>
          </w:p>
        </w:tc>
        <w:tc>
          <w:tcPr>
            <w:tcW w:w="1020" w:type="dxa"/>
            <w:vAlign w:val="bottom"/>
          </w:tcPr>
          <w:p>
            <w:pPr>
              <w:jc w:val="right"/>
              <w:spacing w:after="0"/>
              <w:rPr>
                <w:sz w:val="20"/>
                <w:szCs w:val="20"/>
                <w:color w:val="auto"/>
              </w:rPr>
            </w:pPr>
            <w:r>
              <w:rPr>
                <w:rFonts w:ascii="Arial" w:cs="Arial" w:eastAsia="Arial" w:hAnsi="Arial"/>
                <w:sz w:val="18"/>
                <w:szCs w:val="18"/>
                <w:color w:val="auto"/>
              </w:rPr>
              <w:t>3/5/2013</w:t>
            </w:r>
          </w:p>
        </w:tc>
      </w:tr>
      <w:tr>
        <w:trPr>
          <w:trHeight w:val="672"/>
        </w:trPr>
        <w:tc>
          <w:tcPr>
            <w:tcW w:w="720" w:type="dxa"/>
            <w:vAlign w:val="bottom"/>
          </w:tcPr>
          <w:p>
            <w:pPr>
              <w:jc w:val="right"/>
              <w:ind w:right="170"/>
              <w:spacing w:after="0"/>
              <w:rPr>
                <w:sz w:val="20"/>
                <w:szCs w:val="20"/>
                <w:color w:val="auto"/>
              </w:rPr>
            </w:pPr>
            <w:r>
              <w:rPr>
                <w:rFonts w:ascii="Arial" w:cs="Arial" w:eastAsia="Arial" w:hAnsi="Arial"/>
                <w:sz w:val="18"/>
                <w:szCs w:val="18"/>
                <w:color w:val="auto"/>
              </w:rPr>
              <w:t>8-K</w:t>
            </w:r>
          </w:p>
        </w:tc>
        <w:tc>
          <w:tcPr>
            <w:tcW w:w="1180" w:type="dxa"/>
            <w:vAlign w:val="bottom"/>
          </w:tcPr>
          <w:p>
            <w:pPr>
              <w:spacing w:after="0"/>
              <w:rPr>
                <w:sz w:val="24"/>
                <w:szCs w:val="24"/>
                <w:color w:val="auto"/>
              </w:rPr>
            </w:pPr>
          </w:p>
        </w:tc>
        <w:tc>
          <w:tcPr>
            <w:tcW w:w="940" w:type="dxa"/>
            <w:vAlign w:val="bottom"/>
          </w:tcPr>
          <w:p>
            <w:pPr>
              <w:jc w:val="right"/>
              <w:ind w:right="210"/>
              <w:spacing w:after="0"/>
              <w:rPr>
                <w:sz w:val="20"/>
                <w:szCs w:val="20"/>
                <w:color w:val="auto"/>
              </w:rPr>
            </w:pPr>
            <w:r>
              <w:rPr>
                <w:rFonts w:ascii="Arial" w:cs="Arial" w:eastAsia="Arial" w:hAnsi="Arial"/>
                <w:sz w:val="18"/>
                <w:szCs w:val="18"/>
                <w:color w:val="auto"/>
              </w:rPr>
              <w:t>10</w:t>
            </w:r>
          </w:p>
        </w:tc>
        <w:tc>
          <w:tcPr>
            <w:tcW w:w="1020" w:type="dxa"/>
            <w:vAlign w:val="bottom"/>
          </w:tcPr>
          <w:p>
            <w:pPr>
              <w:jc w:val="right"/>
              <w:spacing w:after="0"/>
              <w:rPr>
                <w:sz w:val="20"/>
                <w:szCs w:val="20"/>
                <w:color w:val="auto"/>
              </w:rPr>
            </w:pPr>
            <w:r>
              <w:rPr>
                <w:rFonts w:ascii="Arial" w:cs="Arial" w:eastAsia="Arial" w:hAnsi="Arial"/>
                <w:sz w:val="18"/>
                <w:szCs w:val="18"/>
                <w:color w:val="auto"/>
              </w:rPr>
              <w:t>3/4/2014</w:t>
            </w:r>
          </w:p>
        </w:tc>
      </w:tr>
      <w:tr>
        <w:trPr>
          <w:trHeight w:val="672"/>
        </w:trPr>
        <w:tc>
          <w:tcPr>
            <w:tcW w:w="720" w:type="dxa"/>
            <w:vAlign w:val="bottom"/>
          </w:tcPr>
          <w:p>
            <w:pPr>
              <w:jc w:val="right"/>
              <w:ind w:right="170"/>
              <w:spacing w:after="0"/>
              <w:rPr>
                <w:sz w:val="20"/>
                <w:szCs w:val="20"/>
                <w:color w:val="auto"/>
              </w:rPr>
            </w:pPr>
            <w:r>
              <w:rPr>
                <w:rFonts w:ascii="Arial" w:cs="Arial" w:eastAsia="Arial" w:hAnsi="Arial"/>
                <w:sz w:val="18"/>
                <w:szCs w:val="18"/>
                <w:color w:val="auto"/>
              </w:rPr>
              <w:t>8-K</w:t>
            </w:r>
          </w:p>
        </w:tc>
        <w:tc>
          <w:tcPr>
            <w:tcW w:w="1180" w:type="dxa"/>
            <w:vAlign w:val="bottom"/>
          </w:tcPr>
          <w:p>
            <w:pPr>
              <w:spacing w:after="0"/>
              <w:rPr>
                <w:sz w:val="24"/>
                <w:szCs w:val="24"/>
                <w:color w:val="auto"/>
              </w:rPr>
            </w:pPr>
          </w:p>
        </w:tc>
        <w:tc>
          <w:tcPr>
            <w:tcW w:w="940" w:type="dxa"/>
            <w:vAlign w:val="bottom"/>
          </w:tcPr>
          <w:p>
            <w:pPr>
              <w:jc w:val="right"/>
              <w:ind w:right="210"/>
              <w:spacing w:after="0"/>
              <w:rPr>
                <w:sz w:val="20"/>
                <w:szCs w:val="20"/>
                <w:color w:val="auto"/>
              </w:rPr>
            </w:pPr>
            <w:r>
              <w:rPr>
                <w:rFonts w:ascii="Arial" w:cs="Arial" w:eastAsia="Arial" w:hAnsi="Arial"/>
                <w:sz w:val="18"/>
                <w:szCs w:val="18"/>
                <w:color w:val="auto"/>
              </w:rPr>
              <w:t>10.B</w:t>
            </w:r>
          </w:p>
        </w:tc>
        <w:tc>
          <w:tcPr>
            <w:tcW w:w="1020" w:type="dxa"/>
            <w:vAlign w:val="bottom"/>
          </w:tcPr>
          <w:p>
            <w:pPr>
              <w:jc w:val="right"/>
              <w:spacing w:after="0"/>
              <w:rPr>
                <w:sz w:val="20"/>
                <w:szCs w:val="20"/>
                <w:color w:val="auto"/>
              </w:rPr>
            </w:pPr>
            <w:r>
              <w:rPr>
                <w:rFonts w:ascii="Arial" w:cs="Arial" w:eastAsia="Arial" w:hAnsi="Arial"/>
                <w:sz w:val="18"/>
                <w:szCs w:val="18"/>
                <w:color w:val="auto"/>
              </w:rPr>
              <w:t>12/5/2014</w:t>
            </w:r>
          </w:p>
        </w:tc>
      </w:tr>
      <w:tr>
        <w:trPr>
          <w:trHeight w:val="672"/>
        </w:trPr>
        <w:tc>
          <w:tcPr>
            <w:tcW w:w="720" w:type="dxa"/>
            <w:vAlign w:val="bottom"/>
          </w:tcPr>
          <w:p>
            <w:pPr>
              <w:jc w:val="right"/>
              <w:ind w:right="170"/>
              <w:spacing w:after="0"/>
              <w:rPr>
                <w:sz w:val="20"/>
                <w:szCs w:val="20"/>
                <w:color w:val="auto"/>
              </w:rPr>
            </w:pPr>
            <w:r>
              <w:rPr>
                <w:rFonts w:ascii="Arial" w:cs="Arial" w:eastAsia="Arial" w:hAnsi="Arial"/>
                <w:sz w:val="18"/>
                <w:szCs w:val="18"/>
                <w:color w:val="auto"/>
              </w:rPr>
              <w:t>10-K</w:t>
            </w:r>
          </w:p>
        </w:tc>
        <w:tc>
          <w:tcPr>
            <w:tcW w:w="1180" w:type="dxa"/>
            <w:vAlign w:val="bottom"/>
          </w:tcPr>
          <w:p>
            <w:pPr>
              <w:jc w:val="right"/>
              <w:ind w:right="10"/>
              <w:spacing w:after="0"/>
              <w:rPr>
                <w:sz w:val="20"/>
                <w:szCs w:val="20"/>
                <w:color w:val="auto"/>
              </w:rPr>
            </w:pPr>
            <w:r>
              <w:rPr>
                <w:rFonts w:ascii="Arial" w:cs="Arial" w:eastAsia="Arial" w:hAnsi="Arial"/>
                <w:sz w:val="18"/>
                <w:szCs w:val="18"/>
                <w:color w:val="auto"/>
              </w:rPr>
              <w:t>12/31/2015</w:t>
            </w:r>
          </w:p>
        </w:tc>
        <w:tc>
          <w:tcPr>
            <w:tcW w:w="940" w:type="dxa"/>
            <w:vAlign w:val="bottom"/>
          </w:tcPr>
          <w:p>
            <w:pPr>
              <w:jc w:val="right"/>
              <w:ind w:right="210"/>
              <w:spacing w:after="0"/>
              <w:rPr>
                <w:sz w:val="20"/>
                <w:szCs w:val="20"/>
                <w:color w:val="auto"/>
              </w:rPr>
            </w:pPr>
            <w:r>
              <w:rPr>
                <w:rFonts w:ascii="Arial" w:cs="Arial" w:eastAsia="Arial" w:hAnsi="Arial"/>
                <w:sz w:val="18"/>
                <w:szCs w:val="18"/>
                <w:color w:val="auto"/>
              </w:rPr>
              <w:t>10.H4</w:t>
            </w:r>
          </w:p>
        </w:tc>
        <w:tc>
          <w:tcPr>
            <w:tcW w:w="1020" w:type="dxa"/>
            <w:vAlign w:val="bottom"/>
          </w:tcPr>
          <w:p>
            <w:pPr>
              <w:jc w:val="right"/>
              <w:spacing w:after="0"/>
              <w:rPr>
                <w:sz w:val="20"/>
                <w:szCs w:val="20"/>
                <w:color w:val="auto"/>
              </w:rPr>
            </w:pPr>
            <w:r>
              <w:rPr>
                <w:rFonts w:ascii="Arial" w:cs="Arial" w:eastAsia="Arial" w:hAnsi="Arial"/>
                <w:sz w:val="18"/>
                <w:szCs w:val="18"/>
                <w:color w:val="auto"/>
              </w:rPr>
              <w:t>3/11/2016</w:t>
            </w:r>
          </w:p>
        </w:tc>
      </w:tr>
      <w:tr>
        <w:trPr>
          <w:trHeight w:val="672"/>
        </w:trPr>
        <w:tc>
          <w:tcPr>
            <w:tcW w:w="720" w:type="dxa"/>
            <w:vAlign w:val="bottom"/>
          </w:tcPr>
          <w:p>
            <w:pPr>
              <w:jc w:val="right"/>
              <w:ind w:right="170"/>
              <w:spacing w:after="0"/>
              <w:rPr>
                <w:sz w:val="20"/>
                <w:szCs w:val="20"/>
                <w:color w:val="auto"/>
              </w:rPr>
            </w:pPr>
            <w:r>
              <w:rPr>
                <w:rFonts w:ascii="Arial" w:cs="Arial" w:eastAsia="Arial" w:hAnsi="Arial"/>
                <w:sz w:val="18"/>
                <w:szCs w:val="18"/>
                <w:color w:val="auto"/>
                <w:w w:val="97"/>
              </w:rPr>
              <w:t>8-K/A</w:t>
            </w:r>
          </w:p>
        </w:tc>
        <w:tc>
          <w:tcPr>
            <w:tcW w:w="1180" w:type="dxa"/>
            <w:vAlign w:val="bottom"/>
          </w:tcPr>
          <w:p>
            <w:pPr>
              <w:spacing w:after="0"/>
              <w:rPr>
                <w:sz w:val="24"/>
                <w:szCs w:val="24"/>
                <w:color w:val="auto"/>
              </w:rPr>
            </w:pPr>
          </w:p>
        </w:tc>
        <w:tc>
          <w:tcPr>
            <w:tcW w:w="940" w:type="dxa"/>
            <w:vAlign w:val="bottom"/>
          </w:tcPr>
          <w:p>
            <w:pPr>
              <w:jc w:val="right"/>
              <w:ind w:right="210"/>
              <w:spacing w:after="0"/>
              <w:rPr>
                <w:sz w:val="20"/>
                <w:szCs w:val="20"/>
                <w:color w:val="auto"/>
              </w:rPr>
            </w:pPr>
            <w:r>
              <w:rPr>
                <w:rFonts w:ascii="Arial" w:cs="Arial" w:eastAsia="Arial" w:hAnsi="Arial"/>
                <w:sz w:val="18"/>
                <w:szCs w:val="18"/>
                <w:color w:val="auto"/>
              </w:rPr>
              <w:t>10</w:t>
            </w:r>
          </w:p>
        </w:tc>
        <w:tc>
          <w:tcPr>
            <w:tcW w:w="1020" w:type="dxa"/>
            <w:vAlign w:val="bottom"/>
          </w:tcPr>
          <w:p>
            <w:pPr>
              <w:jc w:val="right"/>
              <w:spacing w:after="0"/>
              <w:rPr>
                <w:sz w:val="20"/>
                <w:szCs w:val="20"/>
                <w:color w:val="auto"/>
              </w:rPr>
            </w:pPr>
            <w:r>
              <w:rPr>
                <w:rFonts w:ascii="Arial" w:cs="Arial" w:eastAsia="Arial" w:hAnsi="Arial"/>
                <w:sz w:val="18"/>
                <w:szCs w:val="18"/>
                <w:color w:val="auto"/>
              </w:rPr>
              <w:t>4/22/2016</w:t>
            </w:r>
          </w:p>
        </w:tc>
      </w:tr>
      <w:tr>
        <w:trPr>
          <w:trHeight w:val="672"/>
        </w:trPr>
        <w:tc>
          <w:tcPr>
            <w:tcW w:w="720" w:type="dxa"/>
            <w:vAlign w:val="bottom"/>
          </w:tcPr>
          <w:p>
            <w:pPr>
              <w:jc w:val="right"/>
              <w:ind w:right="170"/>
              <w:spacing w:after="0"/>
              <w:rPr>
                <w:sz w:val="20"/>
                <w:szCs w:val="20"/>
                <w:color w:val="auto"/>
              </w:rPr>
            </w:pPr>
            <w:r>
              <w:rPr>
                <w:rFonts w:ascii="Arial" w:cs="Arial" w:eastAsia="Arial" w:hAnsi="Arial"/>
                <w:sz w:val="18"/>
                <w:szCs w:val="18"/>
                <w:color w:val="auto"/>
                <w:w w:val="97"/>
              </w:rPr>
              <w:t>8-K/A</w:t>
            </w:r>
          </w:p>
        </w:tc>
        <w:tc>
          <w:tcPr>
            <w:tcW w:w="1180" w:type="dxa"/>
            <w:vAlign w:val="bottom"/>
          </w:tcPr>
          <w:p>
            <w:pPr>
              <w:spacing w:after="0"/>
              <w:rPr>
                <w:sz w:val="24"/>
                <w:szCs w:val="24"/>
                <w:color w:val="auto"/>
              </w:rPr>
            </w:pPr>
          </w:p>
        </w:tc>
        <w:tc>
          <w:tcPr>
            <w:tcW w:w="940" w:type="dxa"/>
            <w:vAlign w:val="bottom"/>
          </w:tcPr>
          <w:p>
            <w:pPr>
              <w:jc w:val="right"/>
              <w:ind w:right="210"/>
              <w:spacing w:after="0"/>
              <w:rPr>
                <w:sz w:val="20"/>
                <w:szCs w:val="20"/>
                <w:color w:val="auto"/>
              </w:rPr>
            </w:pPr>
            <w:r>
              <w:rPr>
                <w:rFonts w:ascii="Arial" w:cs="Arial" w:eastAsia="Arial" w:hAnsi="Arial"/>
                <w:sz w:val="18"/>
                <w:szCs w:val="18"/>
                <w:color w:val="auto"/>
              </w:rPr>
              <w:t>10.1</w:t>
            </w:r>
          </w:p>
        </w:tc>
        <w:tc>
          <w:tcPr>
            <w:tcW w:w="1020" w:type="dxa"/>
            <w:vAlign w:val="bottom"/>
          </w:tcPr>
          <w:p>
            <w:pPr>
              <w:jc w:val="right"/>
              <w:spacing w:after="0"/>
              <w:rPr>
                <w:sz w:val="20"/>
                <w:szCs w:val="20"/>
                <w:color w:val="auto"/>
              </w:rPr>
            </w:pPr>
            <w:r>
              <w:rPr>
                <w:rFonts w:ascii="Arial" w:cs="Arial" w:eastAsia="Arial" w:hAnsi="Arial"/>
                <w:sz w:val="18"/>
                <w:szCs w:val="18"/>
                <w:color w:val="auto"/>
              </w:rPr>
              <w:t>12/1/2017</w:t>
            </w:r>
          </w:p>
        </w:tc>
      </w:tr>
      <w:tr>
        <w:trPr>
          <w:trHeight w:val="672"/>
        </w:trPr>
        <w:tc>
          <w:tcPr>
            <w:tcW w:w="720" w:type="dxa"/>
            <w:vAlign w:val="bottom"/>
          </w:tcPr>
          <w:p>
            <w:pPr>
              <w:jc w:val="right"/>
              <w:ind w:right="170"/>
              <w:spacing w:after="0"/>
              <w:rPr>
                <w:sz w:val="20"/>
                <w:szCs w:val="20"/>
                <w:color w:val="auto"/>
              </w:rPr>
            </w:pPr>
            <w:r>
              <w:rPr>
                <w:rFonts w:ascii="Arial" w:cs="Arial" w:eastAsia="Arial" w:hAnsi="Arial"/>
                <w:sz w:val="18"/>
                <w:szCs w:val="18"/>
                <w:color w:val="auto"/>
              </w:rPr>
              <w:t>8-K</w:t>
            </w:r>
          </w:p>
        </w:tc>
        <w:tc>
          <w:tcPr>
            <w:tcW w:w="1180" w:type="dxa"/>
            <w:vAlign w:val="bottom"/>
          </w:tcPr>
          <w:p>
            <w:pPr>
              <w:spacing w:after="0"/>
              <w:rPr>
                <w:sz w:val="24"/>
                <w:szCs w:val="24"/>
                <w:color w:val="auto"/>
              </w:rPr>
            </w:pPr>
          </w:p>
        </w:tc>
        <w:tc>
          <w:tcPr>
            <w:tcW w:w="940" w:type="dxa"/>
            <w:vAlign w:val="bottom"/>
          </w:tcPr>
          <w:p>
            <w:pPr>
              <w:jc w:val="right"/>
              <w:ind w:right="210"/>
              <w:spacing w:after="0"/>
              <w:rPr>
                <w:sz w:val="20"/>
                <w:szCs w:val="20"/>
                <w:color w:val="auto"/>
              </w:rPr>
            </w:pPr>
            <w:r>
              <w:rPr>
                <w:rFonts w:ascii="Arial" w:cs="Arial" w:eastAsia="Arial" w:hAnsi="Arial"/>
                <w:sz w:val="18"/>
                <w:szCs w:val="18"/>
                <w:color w:val="auto"/>
              </w:rPr>
              <w:t>10.E</w:t>
            </w:r>
          </w:p>
        </w:tc>
        <w:tc>
          <w:tcPr>
            <w:tcW w:w="1020" w:type="dxa"/>
            <w:vAlign w:val="bottom"/>
          </w:tcPr>
          <w:p>
            <w:pPr>
              <w:jc w:val="right"/>
              <w:spacing w:after="0"/>
              <w:rPr>
                <w:sz w:val="20"/>
                <w:szCs w:val="20"/>
                <w:color w:val="auto"/>
              </w:rPr>
            </w:pPr>
            <w:r>
              <w:rPr>
                <w:rFonts w:ascii="Arial" w:cs="Arial" w:eastAsia="Arial" w:hAnsi="Arial"/>
                <w:sz w:val="18"/>
                <w:szCs w:val="18"/>
                <w:color w:val="auto"/>
              </w:rPr>
              <w:t>8/29/2007</w:t>
            </w:r>
          </w:p>
        </w:tc>
      </w:tr>
      <w:tr>
        <w:trPr>
          <w:trHeight w:val="672"/>
        </w:trPr>
        <w:tc>
          <w:tcPr>
            <w:tcW w:w="720" w:type="dxa"/>
            <w:vAlign w:val="bottom"/>
          </w:tcPr>
          <w:p>
            <w:pPr>
              <w:jc w:val="right"/>
              <w:ind w:right="170"/>
              <w:spacing w:after="0"/>
              <w:rPr>
                <w:sz w:val="20"/>
                <w:szCs w:val="20"/>
                <w:color w:val="auto"/>
              </w:rPr>
            </w:pPr>
            <w:r>
              <w:rPr>
                <w:rFonts w:ascii="Arial" w:cs="Arial" w:eastAsia="Arial" w:hAnsi="Arial"/>
                <w:sz w:val="18"/>
                <w:szCs w:val="18"/>
                <w:color w:val="auto"/>
              </w:rPr>
              <w:t>8-K</w:t>
            </w:r>
          </w:p>
        </w:tc>
        <w:tc>
          <w:tcPr>
            <w:tcW w:w="1180" w:type="dxa"/>
            <w:vAlign w:val="bottom"/>
          </w:tcPr>
          <w:p>
            <w:pPr>
              <w:spacing w:after="0"/>
              <w:rPr>
                <w:sz w:val="24"/>
                <w:szCs w:val="24"/>
                <w:color w:val="auto"/>
              </w:rPr>
            </w:pPr>
          </w:p>
        </w:tc>
        <w:tc>
          <w:tcPr>
            <w:tcW w:w="940" w:type="dxa"/>
            <w:vAlign w:val="bottom"/>
          </w:tcPr>
          <w:p>
            <w:pPr>
              <w:jc w:val="right"/>
              <w:ind w:right="210"/>
              <w:spacing w:after="0"/>
              <w:rPr>
                <w:sz w:val="20"/>
                <w:szCs w:val="20"/>
                <w:color w:val="auto"/>
              </w:rPr>
            </w:pPr>
            <w:r>
              <w:rPr>
                <w:rFonts w:ascii="Arial" w:cs="Arial" w:eastAsia="Arial" w:hAnsi="Arial"/>
                <w:sz w:val="18"/>
                <w:szCs w:val="18"/>
                <w:color w:val="auto"/>
              </w:rPr>
              <w:t>10.A</w:t>
            </w:r>
          </w:p>
        </w:tc>
        <w:tc>
          <w:tcPr>
            <w:tcW w:w="1020" w:type="dxa"/>
            <w:vAlign w:val="bottom"/>
          </w:tcPr>
          <w:p>
            <w:pPr>
              <w:jc w:val="right"/>
              <w:spacing w:after="0"/>
              <w:rPr>
                <w:sz w:val="20"/>
                <w:szCs w:val="20"/>
                <w:color w:val="auto"/>
              </w:rPr>
            </w:pPr>
            <w:r>
              <w:rPr>
                <w:rFonts w:ascii="Arial" w:cs="Arial" w:eastAsia="Arial" w:hAnsi="Arial"/>
                <w:sz w:val="18"/>
                <w:szCs w:val="18"/>
                <w:color w:val="auto"/>
              </w:rPr>
              <w:t>8/29/2007</w:t>
            </w:r>
          </w:p>
        </w:tc>
      </w:tr>
    </w:tbl>
    <w:p>
      <w:pPr>
        <w:sectPr>
          <w:pgSz w:w="11900" w:h="16838" w:orient="portrait"/>
          <w:cols w:equalWidth="0" w:num="2">
            <w:col w:w="7260" w:space="280"/>
            <w:col w:w="3860"/>
          </w:cols>
          <w:pgMar w:left="240" w:top="564" w:right="259" w:bottom="1440" w:gutter="0" w:footer="0" w:header="0"/>
        </w:sectPr>
      </w:pPr>
    </w:p>
    <w:bookmarkStart w:id="44" w:name="page45"/>
    <w:bookmarkEnd w:id="44"/>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720" w:type="dxa"/>
            <w:vAlign w:val="bottom"/>
          </w:tcPr>
          <w:p>
            <w:pPr>
              <w:spacing w:after="0"/>
              <w:rPr>
                <w:sz w:val="20"/>
                <w:szCs w:val="20"/>
                <w:color w:val="auto"/>
              </w:rPr>
            </w:pPr>
            <w:r>
              <w:rPr>
                <w:rFonts w:ascii="Arial" w:cs="Arial" w:eastAsia="Arial" w:hAnsi="Arial"/>
                <w:sz w:val="18"/>
                <w:szCs w:val="18"/>
                <w:color w:val="auto"/>
              </w:rPr>
              <w:t>10.F1</w:t>
            </w:r>
          </w:p>
        </w:tc>
        <w:tc>
          <w:tcPr>
            <w:tcW w:w="700" w:type="dxa"/>
            <w:vAlign w:val="bottom"/>
          </w:tcPr>
          <w:p>
            <w:pPr>
              <w:spacing w:after="0"/>
              <w:rPr>
                <w:sz w:val="17"/>
                <w:szCs w:val="17"/>
                <w:color w:val="auto"/>
              </w:rPr>
            </w:pPr>
          </w:p>
        </w:tc>
        <w:tc>
          <w:tcPr>
            <w:tcW w:w="5700" w:type="dxa"/>
            <w:vAlign w:val="bottom"/>
            <w:gridSpan w:val="8"/>
          </w:tcPr>
          <w:p>
            <w:pPr>
              <w:spacing w:after="0"/>
              <w:rPr>
                <w:rFonts w:ascii="Arial" w:cs="Arial" w:eastAsia="Arial" w:hAnsi="Arial"/>
                <w:sz w:val="18"/>
                <w:szCs w:val="18"/>
                <w:color w:val="0000EE"/>
                <w:w w:val="96"/>
              </w:rPr>
            </w:pPr>
            <w:hyperlink r:id="rId130">
              <w:r>
                <w:rPr>
                  <w:rFonts w:ascii="Arial" w:cs="Arial" w:eastAsia="Arial" w:hAnsi="Arial"/>
                  <w:sz w:val="18"/>
                  <w:szCs w:val="18"/>
                  <w:color w:val="0000EE"/>
                  <w:w w:val="96"/>
                </w:rPr>
                <w:t>Viad Corp Defined Contribution Supplemental Executive Retirement Plan,</w:t>
              </w:r>
            </w:hyperlink>
          </w:p>
        </w:tc>
      </w:tr>
      <w:tr>
        <w:trPr>
          <w:trHeight w:val="195"/>
        </w:trPr>
        <w:tc>
          <w:tcPr>
            <w:tcW w:w="720" w:type="dxa"/>
            <w:vAlign w:val="bottom"/>
          </w:tcPr>
          <w:p>
            <w:pPr>
              <w:spacing w:after="0"/>
              <w:rPr>
                <w:sz w:val="16"/>
                <w:szCs w:val="16"/>
                <w:color w:val="auto"/>
              </w:rPr>
            </w:pPr>
          </w:p>
        </w:tc>
        <w:tc>
          <w:tcPr>
            <w:tcW w:w="700" w:type="dxa"/>
            <w:vAlign w:val="bottom"/>
          </w:tcPr>
          <w:p>
            <w:pPr>
              <w:ind w:left="280"/>
              <w:spacing w:after="0" w:line="195" w:lineRule="exact"/>
              <w:rPr>
                <w:sz w:val="20"/>
                <w:szCs w:val="20"/>
                <w:color w:val="auto"/>
              </w:rPr>
            </w:pPr>
            <w:r>
              <w:rPr>
                <w:rFonts w:ascii="Arial" w:cs="Arial" w:eastAsia="Arial" w:hAnsi="Arial"/>
                <w:sz w:val="18"/>
                <w:szCs w:val="18"/>
                <w:color w:val="auto"/>
              </w:rPr>
              <w:t>+</w:t>
            </w:r>
          </w:p>
        </w:tc>
        <w:tc>
          <w:tcPr>
            <w:tcW w:w="2240" w:type="dxa"/>
            <w:vAlign w:val="bottom"/>
            <w:tcBorders>
              <w:top w:val="single" w:sz="8" w:color="0000EE"/>
              <w:bottom w:val="single" w:sz="8" w:color="0000EE"/>
            </w:tcBorders>
            <w:gridSpan w:val="2"/>
          </w:tcPr>
          <w:p>
            <w:pPr>
              <w:spacing w:after="0" w:line="195" w:lineRule="exact"/>
              <w:rPr>
                <w:rFonts w:ascii="Arial" w:cs="Arial" w:eastAsia="Arial" w:hAnsi="Arial"/>
                <w:sz w:val="18"/>
                <w:szCs w:val="18"/>
                <w:color w:val="0000EE"/>
                <w:w w:val="88"/>
              </w:rPr>
            </w:pPr>
            <w:hyperlink r:id="rId130">
              <w:r>
                <w:rPr>
                  <w:rFonts w:ascii="Arial" w:cs="Arial" w:eastAsia="Arial" w:hAnsi="Arial"/>
                  <w:sz w:val="18"/>
                  <w:szCs w:val="18"/>
                  <w:color w:val="0000EE"/>
                  <w:w w:val="88"/>
                </w:rPr>
                <w:t>effective as of January 1, 2013.</w:t>
              </w:r>
            </w:hyperlink>
          </w:p>
        </w:tc>
        <w:tc>
          <w:tcPr>
            <w:tcW w:w="3120" w:type="dxa"/>
            <w:vAlign w:val="bottom"/>
            <w:tcBorders>
              <w:top w:val="single" w:sz="8" w:color="0000EE"/>
            </w:tcBorders>
            <w:gridSpan w:val="3"/>
          </w:tcPr>
          <w:p>
            <w:pPr>
              <w:spacing w:after="0"/>
              <w:rPr>
                <w:sz w:val="16"/>
                <w:szCs w:val="16"/>
                <w:color w:val="auto"/>
              </w:rPr>
            </w:pPr>
          </w:p>
        </w:tc>
        <w:tc>
          <w:tcPr>
            <w:tcW w:w="340" w:type="dxa"/>
            <w:vAlign w:val="bottom"/>
            <w:gridSpan w:val="3"/>
          </w:tcPr>
          <w:p>
            <w:pPr>
              <w:spacing w:after="0"/>
              <w:rPr>
                <w:sz w:val="16"/>
                <w:szCs w:val="16"/>
                <w:color w:val="auto"/>
              </w:rPr>
            </w:pPr>
          </w:p>
        </w:tc>
      </w:tr>
      <w:tr>
        <w:trPr>
          <w:trHeight w:val="437"/>
        </w:trPr>
        <w:tc>
          <w:tcPr>
            <w:tcW w:w="720" w:type="dxa"/>
            <w:vAlign w:val="bottom"/>
          </w:tcPr>
          <w:p>
            <w:pPr>
              <w:spacing w:after="0"/>
              <w:rPr>
                <w:sz w:val="20"/>
                <w:szCs w:val="20"/>
                <w:color w:val="auto"/>
              </w:rPr>
            </w:pPr>
            <w:r>
              <w:rPr>
                <w:rFonts w:ascii="Arial" w:cs="Arial" w:eastAsia="Arial" w:hAnsi="Arial"/>
                <w:sz w:val="18"/>
                <w:szCs w:val="18"/>
                <w:color w:val="auto"/>
              </w:rPr>
              <w:t>10.G1</w:t>
            </w:r>
          </w:p>
        </w:tc>
        <w:tc>
          <w:tcPr>
            <w:tcW w:w="700" w:type="dxa"/>
            <w:vAlign w:val="bottom"/>
          </w:tcPr>
          <w:p>
            <w:pPr>
              <w:ind w:left="280"/>
              <w:spacing w:after="0"/>
              <w:rPr>
                <w:sz w:val="20"/>
                <w:szCs w:val="20"/>
                <w:color w:val="auto"/>
              </w:rPr>
            </w:pPr>
            <w:r>
              <w:rPr>
                <w:rFonts w:ascii="Arial" w:cs="Arial" w:eastAsia="Arial" w:hAnsi="Arial"/>
                <w:sz w:val="18"/>
                <w:szCs w:val="18"/>
                <w:color w:val="auto"/>
              </w:rPr>
              <w:t>+</w:t>
            </w:r>
          </w:p>
        </w:tc>
        <w:tc>
          <w:tcPr>
            <w:tcW w:w="5700" w:type="dxa"/>
            <w:vAlign w:val="bottom"/>
            <w:gridSpan w:val="8"/>
          </w:tcPr>
          <w:p>
            <w:pPr>
              <w:spacing w:after="0"/>
              <w:rPr>
                <w:rFonts w:ascii="Arial" w:cs="Arial" w:eastAsia="Arial" w:hAnsi="Arial"/>
                <w:sz w:val="18"/>
                <w:szCs w:val="18"/>
                <w:color w:val="0000EE"/>
              </w:rPr>
            </w:pPr>
            <w:hyperlink r:id="rId131">
              <w:r>
                <w:rPr>
                  <w:rFonts w:ascii="Arial" w:cs="Arial" w:eastAsia="Arial" w:hAnsi="Arial"/>
                  <w:sz w:val="18"/>
                  <w:szCs w:val="18"/>
                  <w:color w:val="0000EE"/>
                </w:rPr>
                <w:t>Executive Officer Pay Continuation Policy adopted February 7, 2007.</w:t>
              </w:r>
            </w:hyperlink>
          </w:p>
        </w:tc>
      </w:tr>
      <w:tr>
        <w:trPr>
          <w:trHeight w:val="20"/>
        </w:trPr>
        <w:tc>
          <w:tcPr>
            <w:tcW w:w="72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1760" w:type="dxa"/>
            <w:vAlign w:val="bottom"/>
            <w:shd w:val="clear" w:color="auto" w:fill="0000EE"/>
          </w:tcPr>
          <w:p>
            <w:pPr>
              <w:spacing w:after="0" w:line="20" w:lineRule="exact"/>
              <w:rPr>
                <w:sz w:val="1"/>
                <w:szCs w:val="1"/>
                <w:color w:val="auto"/>
              </w:rPr>
            </w:pPr>
          </w:p>
        </w:tc>
        <w:tc>
          <w:tcPr>
            <w:tcW w:w="3060" w:type="dxa"/>
            <w:vAlign w:val="bottom"/>
            <w:gridSpan w:val="2"/>
            <w:shd w:val="clear" w:color="auto" w:fill="0000EE"/>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440" w:type="dxa"/>
            <w:vAlign w:val="bottom"/>
            <w:gridSpan w:val="2"/>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r>
        <w:trPr>
          <w:trHeight w:val="437"/>
        </w:trPr>
        <w:tc>
          <w:tcPr>
            <w:tcW w:w="720" w:type="dxa"/>
            <w:vAlign w:val="bottom"/>
          </w:tcPr>
          <w:p>
            <w:pPr>
              <w:spacing w:after="0"/>
              <w:rPr>
                <w:sz w:val="20"/>
                <w:szCs w:val="20"/>
                <w:color w:val="auto"/>
              </w:rPr>
            </w:pPr>
            <w:r>
              <w:rPr>
                <w:rFonts w:ascii="Arial" w:cs="Arial" w:eastAsia="Arial" w:hAnsi="Arial"/>
                <w:sz w:val="18"/>
                <w:szCs w:val="18"/>
                <w:color w:val="auto"/>
              </w:rPr>
              <w:t>10.H1</w:t>
            </w:r>
          </w:p>
        </w:tc>
        <w:tc>
          <w:tcPr>
            <w:tcW w:w="700" w:type="dxa"/>
            <w:vAlign w:val="bottom"/>
          </w:tcPr>
          <w:p>
            <w:pPr>
              <w:ind w:left="280"/>
              <w:spacing w:after="0"/>
              <w:rPr>
                <w:sz w:val="20"/>
                <w:szCs w:val="20"/>
                <w:color w:val="auto"/>
              </w:rPr>
            </w:pPr>
            <w:r>
              <w:rPr>
                <w:rFonts w:ascii="Arial" w:cs="Arial" w:eastAsia="Arial" w:hAnsi="Arial"/>
                <w:sz w:val="18"/>
                <w:szCs w:val="18"/>
                <w:color w:val="auto"/>
              </w:rPr>
              <w:t>+</w:t>
            </w:r>
          </w:p>
        </w:tc>
        <w:tc>
          <w:tcPr>
            <w:tcW w:w="5440" w:type="dxa"/>
            <w:vAlign w:val="bottom"/>
            <w:tcBorders>
              <w:bottom w:val="single" w:sz="8" w:color="0000EE"/>
            </w:tcBorders>
            <w:gridSpan w:val="6"/>
          </w:tcPr>
          <w:p>
            <w:pPr>
              <w:spacing w:after="0"/>
              <w:rPr>
                <w:rFonts w:ascii="Arial" w:cs="Arial" w:eastAsia="Arial" w:hAnsi="Arial"/>
                <w:sz w:val="18"/>
                <w:szCs w:val="18"/>
                <w:color w:val="0000EE"/>
                <w:w w:val="92"/>
              </w:rPr>
            </w:pPr>
            <w:hyperlink r:id="rId132">
              <w:r>
                <w:rPr>
                  <w:rFonts w:ascii="Arial" w:cs="Arial" w:eastAsia="Arial" w:hAnsi="Arial"/>
                  <w:sz w:val="18"/>
                  <w:szCs w:val="18"/>
                  <w:color w:val="0000EE"/>
                  <w:w w:val="92"/>
                </w:rPr>
                <w:t>Description of Viad Corp Directors Matching 2018 Matching Gift Program.</w:t>
              </w:r>
            </w:hyperlink>
          </w:p>
        </w:tc>
        <w:tc>
          <w:tcPr>
            <w:tcW w:w="260" w:type="dxa"/>
            <w:vAlign w:val="bottom"/>
            <w:gridSpan w:val="2"/>
          </w:tcPr>
          <w:p>
            <w:pPr>
              <w:spacing w:after="0"/>
              <w:rPr>
                <w:sz w:val="24"/>
                <w:szCs w:val="24"/>
                <w:color w:val="auto"/>
              </w:rPr>
            </w:pPr>
          </w:p>
        </w:tc>
      </w:tr>
      <w:tr>
        <w:trPr>
          <w:trHeight w:val="437"/>
        </w:trPr>
        <w:tc>
          <w:tcPr>
            <w:tcW w:w="720" w:type="dxa"/>
            <w:vAlign w:val="bottom"/>
          </w:tcPr>
          <w:p>
            <w:pPr>
              <w:spacing w:after="0"/>
              <w:rPr>
                <w:sz w:val="20"/>
                <w:szCs w:val="20"/>
                <w:color w:val="auto"/>
              </w:rPr>
            </w:pPr>
            <w:r>
              <w:rPr>
                <w:rFonts w:ascii="Arial" w:cs="Arial" w:eastAsia="Arial" w:hAnsi="Arial"/>
                <w:sz w:val="18"/>
                <w:szCs w:val="18"/>
                <w:color w:val="auto"/>
              </w:rPr>
              <w:t>10.I1</w:t>
            </w:r>
          </w:p>
        </w:tc>
        <w:tc>
          <w:tcPr>
            <w:tcW w:w="700" w:type="dxa"/>
            <w:vAlign w:val="bottom"/>
          </w:tcPr>
          <w:p>
            <w:pPr>
              <w:spacing w:after="0"/>
              <w:rPr>
                <w:sz w:val="24"/>
                <w:szCs w:val="24"/>
                <w:color w:val="auto"/>
              </w:rPr>
            </w:pPr>
          </w:p>
        </w:tc>
        <w:tc>
          <w:tcPr>
            <w:tcW w:w="5700" w:type="dxa"/>
            <w:vAlign w:val="bottom"/>
            <w:gridSpan w:val="8"/>
          </w:tcPr>
          <w:p>
            <w:pPr>
              <w:spacing w:after="0"/>
              <w:rPr>
                <w:rFonts w:ascii="Arial" w:cs="Arial" w:eastAsia="Arial" w:hAnsi="Arial"/>
                <w:sz w:val="18"/>
                <w:szCs w:val="18"/>
                <w:color w:val="0000EE"/>
                <w:w w:val="92"/>
              </w:rPr>
            </w:pPr>
            <w:hyperlink r:id="rId133">
              <w:r>
                <w:rPr>
                  <w:rFonts w:ascii="Arial" w:cs="Arial" w:eastAsia="Arial" w:hAnsi="Arial"/>
                  <w:sz w:val="18"/>
                  <w:szCs w:val="18"/>
                  <w:color w:val="0000EE"/>
                  <w:w w:val="92"/>
                </w:rPr>
                <w:t>Form of Indemnification Agreement between Viad Corp and Directors of Viad</w:t>
              </w:r>
            </w:hyperlink>
          </w:p>
        </w:tc>
      </w:tr>
      <w:tr>
        <w:trPr>
          <w:trHeight w:val="195"/>
        </w:trPr>
        <w:tc>
          <w:tcPr>
            <w:tcW w:w="720" w:type="dxa"/>
            <w:vAlign w:val="bottom"/>
          </w:tcPr>
          <w:p>
            <w:pPr>
              <w:spacing w:after="0"/>
              <w:rPr>
                <w:sz w:val="16"/>
                <w:szCs w:val="16"/>
                <w:color w:val="auto"/>
              </w:rPr>
            </w:pPr>
          </w:p>
        </w:tc>
        <w:tc>
          <w:tcPr>
            <w:tcW w:w="700" w:type="dxa"/>
            <w:vAlign w:val="bottom"/>
          </w:tcPr>
          <w:p>
            <w:pPr>
              <w:ind w:left="280"/>
              <w:spacing w:after="0" w:line="195" w:lineRule="exact"/>
              <w:rPr>
                <w:sz w:val="20"/>
                <w:szCs w:val="20"/>
                <w:color w:val="auto"/>
              </w:rPr>
            </w:pPr>
            <w:r>
              <w:rPr>
                <w:rFonts w:ascii="Arial" w:cs="Arial" w:eastAsia="Arial" w:hAnsi="Arial"/>
                <w:sz w:val="18"/>
                <w:szCs w:val="18"/>
                <w:color w:val="auto"/>
              </w:rPr>
              <w:t>+</w:t>
            </w:r>
          </w:p>
        </w:tc>
        <w:tc>
          <w:tcPr>
            <w:tcW w:w="5620" w:type="dxa"/>
            <w:vAlign w:val="bottom"/>
            <w:tcBorders>
              <w:top w:val="single" w:sz="8" w:color="0000EE"/>
            </w:tcBorders>
            <w:gridSpan w:val="7"/>
          </w:tcPr>
          <w:p>
            <w:pPr>
              <w:spacing w:after="0" w:line="195" w:lineRule="exact"/>
              <w:rPr>
                <w:rFonts w:ascii="Arial" w:cs="Arial" w:eastAsia="Arial" w:hAnsi="Arial"/>
                <w:sz w:val="18"/>
                <w:szCs w:val="18"/>
                <w:color w:val="0000EE"/>
              </w:rPr>
            </w:pPr>
            <w:hyperlink r:id="rId133">
              <w:r>
                <w:rPr>
                  <w:rFonts w:ascii="Arial" w:cs="Arial" w:eastAsia="Arial" w:hAnsi="Arial"/>
                  <w:sz w:val="18"/>
                  <w:szCs w:val="18"/>
                  <w:color w:val="0000EE"/>
                </w:rPr>
                <w:t>Corp, as approved by Viad Corp stockholders on October 16, 1987.</w:t>
              </w:r>
            </w:hyperlink>
          </w:p>
        </w:tc>
        <w:tc>
          <w:tcPr>
            <w:tcW w:w="80" w:type="dxa"/>
            <w:vAlign w:val="bottom"/>
          </w:tcPr>
          <w:p>
            <w:pPr>
              <w:spacing w:after="0"/>
              <w:rPr>
                <w:sz w:val="16"/>
                <w:szCs w:val="16"/>
                <w:color w:val="auto"/>
              </w:rPr>
            </w:pPr>
          </w:p>
        </w:tc>
      </w:tr>
      <w:tr>
        <w:trPr>
          <w:trHeight w:val="20"/>
        </w:trPr>
        <w:tc>
          <w:tcPr>
            <w:tcW w:w="72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1760" w:type="dxa"/>
            <w:vAlign w:val="bottom"/>
            <w:shd w:val="clear" w:color="auto" w:fill="0000EE"/>
          </w:tcPr>
          <w:p>
            <w:pPr>
              <w:spacing w:after="0" w:line="20" w:lineRule="exact"/>
              <w:rPr>
                <w:sz w:val="1"/>
                <w:szCs w:val="1"/>
                <w:color w:val="auto"/>
              </w:rPr>
            </w:pPr>
          </w:p>
        </w:tc>
        <w:tc>
          <w:tcPr>
            <w:tcW w:w="3060" w:type="dxa"/>
            <w:vAlign w:val="bottom"/>
            <w:gridSpan w:val="2"/>
            <w:shd w:val="clear" w:color="auto" w:fill="0000EE"/>
          </w:tcPr>
          <w:p>
            <w:pPr>
              <w:spacing w:after="0" w:line="20" w:lineRule="exact"/>
              <w:rPr>
                <w:sz w:val="1"/>
                <w:szCs w:val="1"/>
                <w:color w:val="auto"/>
              </w:rPr>
            </w:pPr>
          </w:p>
        </w:tc>
        <w:tc>
          <w:tcPr>
            <w:tcW w:w="880" w:type="dxa"/>
            <w:vAlign w:val="bottom"/>
            <w:gridSpan w:val="5"/>
          </w:tcPr>
          <w:p>
            <w:pPr>
              <w:spacing w:after="0" w:line="20" w:lineRule="exact"/>
              <w:rPr>
                <w:sz w:val="1"/>
                <w:szCs w:val="1"/>
                <w:color w:val="auto"/>
              </w:rPr>
            </w:pPr>
          </w:p>
        </w:tc>
      </w:tr>
      <w:tr>
        <w:trPr>
          <w:trHeight w:val="437"/>
        </w:trPr>
        <w:tc>
          <w:tcPr>
            <w:tcW w:w="720" w:type="dxa"/>
            <w:vAlign w:val="bottom"/>
          </w:tcPr>
          <w:p>
            <w:pPr>
              <w:spacing w:after="0"/>
              <w:rPr>
                <w:sz w:val="20"/>
                <w:szCs w:val="20"/>
                <w:color w:val="auto"/>
              </w:rPr>
            </w:pPr>
            <w:r>
              <w:rPr>
                <w:rFonts w:ascii="Arial" w:cs="Arial" w:eastAsia="Arial" w:hAnsi="Arial"/>
                <w:sz w:val="18"/>
                <w:szCs w:val="18"/>
                <w:color w:val="auto"/>
              </w:rPr>
              <w:t>10.J</w:t>
            </w:r>
          </w:p>
        </w:tc>
        <w:tc>
          <w:tcPr>
            <w:tcW w:w="700" w:type="dxa"/>
            <w:vAlign w:val="bottom"/>
          </w:tcPr>
          <w:p>
            <w:pPr>
              <w:spacing w:after="0"/>
              <w:rPr>
                <w:sz w:val="24"/>
                <w:szCs w:val="24"/>
                <w:color w:val="auto"/>
              </w:rPr>
            </w:pPr>
          </w:p>
        </w:tc>
        <w:tc>
          <w:tcPr>
            <w:tcW w:w="5700" w:type="dxa"/>
            <w:vAlign w:val="bottom"/>
            <w:tcBorders>
              <w:bottom w:val="single" w:sz="8" w:color="0000EE"/>
            </w:tcBorders>
            <w:gridSpan w:val="8"/>
          </w:tcPr>
          <w:p>
            <w:pPr>
              <w:spacing w:after="0"/>
              <w:rPr>
                <w:rFonts w:ascii="Arial" w:cs="Arial" w:eastAsia="Arial" w:hAnsi="Arial"/>
                <w:sz w:val="18"/>
                <w:szCs w:val="18"/>
                <w:color w:val="0000EE"/>
                <w:w w:val="91"/>
              </w:rPr>
            </w:pPr>
            <w:hyperlink r:id="rId134">
              <w:r>
                <w:rPr>
                  <w:rFonts w:ascii="Arial" w:cs="Arial" w:eastAsia="Arial" w:hAnsi="Arial"/>
                  <w:sz w:val="18"/>
                  <w:szCs w:val="18"/>
                  <w:color w:val="0000EE"/>
                  <w:w w:val="91"/>
                </w:rPr>
                <w:t>Summary of Compensation Program of Non-Employee Directors of Viad Corp,</w:t>
              </w:r>
            </w:hyperlink>
          </w:p>
        </w:tc>
      </w:tr>
      <w:tr>
        <w:trPr>
          <w:trHeight w:val="195"/>
        </w:trPr>
        <w:tc>
          <w:tcPr>
            <w:tcW w:w="720" w:type="dxa"/>
            <w:vAlign w:val="bottom"/>
          </w:tcPr>
          <w:p>
            <w:pPr>
              <w:spacing w:after="0"/>
              <w:rPr>
                <w:sz w:val="16"/>
                <w:szCs w:val="16"/>
                <w:color w:val="auto"/>
              </w:rPr>
            </w:pPr>
          </w:p>
        </w:tc>
        <w:tc>
          <w:tcPr>
            <w:tcW w:w="700" w:type="dxa"/>
            <w:vAlign w:val="bottom"/>
          </w:tcPr>
          <w:p>
            <w:pPr>
              <w:ind w:left="280"/>
              <w:spacing w:after="0" w:line="195" w:lineRule="exact"/>
              <w:rPr>
                <w:sz w:val="20"/>
                <w:szCs w:val="20"/>
                <w:color w:val="auto"/>
              </w:rPr>
            </w:pPr>
            <w:r>
              <w:rPr>
                <w:rFonts w:ascii="Arial" w:cs="Arial" w:eastAsia="Arial" w:hAnsi="Arial"/>
                <w:sz w:val="18"/>
                <w:szCs w:val="18"/>
                <w:color w:val="auto"/>
              </w:rPr>
              <w:t>+</w:t>
            </w:r>
          </w:p>
        </w:tc>
        <w:tc>
          <w:tcPr>
            <w:tcW w:w="1760" w:type="dxa"/>
            <w:vAlign w:val="bottom"/>
            <w:tcBorders>
              <w:bottom w:val="single" w:sz="8" w:color="0000EE"/>
            </w:tcBorders>
          </w:tcPr>
          <w:p>
            <w:pPr>
              <w:spacing w:after="0" w:line="195" w:lineRule="exact"/>
              <w:rPr>
                <w:rFonts w:ascii="Arial" w:cs="Arial" w:eastAsia="Arial" w:hAnsi="Arial"/>
                <w:sz w:val="18"/>
                <w:szCs w:val="18"/>
                <w:color w:val="0000EE"/>
                <w:w w:val="88"/>
              </w:rPr>
            </w:pPr>
            <w:hyperlink r:id="rId134">
              <w:r>
                <w:rPr>
                  <w:rFonts w:ascii="Arial" w:cs="Arial" w:eastAsia="Arial" w:hAnsi="Arial"/>
                  <w:sz w:val="18"/>
                  <w:szCs w:val="18"/>
                  <w:color w:val="0000EE"/>
                  <w:w w:val="88"/>
                </w:rPr>
                <w:t>as of February 23, 2016.</w:t>
              </w:r>
            </w:hyperlink>
          </w:p>
        </w:tc>
        <w:tc>
          <w:tcPr>
            <w:tcW w:w="3940" w:type="dxa"/>
            <w:vAlign w:val="bottom"/>
            <w:gridSpan w:val="7"/>
          </w:tcPr>
          <w:p>
            <w:pPr>
              <w:spacing w:after="0"/>
              <w:rPr>
                <w:sz w:val="16"/>
                <w:szCs w:val="16"/>
                <w:color w:val="auto"/>
              </w:rPr>
            </w:pPr>
          </w:p>
        </w:tc>
      </w:tr>
      <w:tr>
        <w:trPr>
          <w:trHeight w:val="437"/>
        </w:trPr>
        <w:tc>
          <w:tcPr>
            <w:tcW w:w="720" w:type="dxa"/>
            <w:vAlign w:val="bottom"/>
          </w:tcPr>
          <w:p>
            <w:pPr>
              <w:spacing w:after="0"/>
              <w:rPr>
                <w:sz w:val="20"/>
                <w:szCs w:val="20"/>
                <w:color w:val="auto"/>
              </w:rPr>
            </w:pPr>
            <w:r>
              <w:rPr>
                <w:rFonts w:ascii="Arial" w:cs="Arial" w:eastAsia="Arial" w:hAnsi="Arial"/>
                <w:sz w:val="18"/>
                <w:szCs w:val="18"/>
                <w:color w:val="auto"/>
              </w:rPr>
              <w:t>10.J1</w:t>
            </w:r>
          </w:p>
        </w:tc>
        <w:tc>
          <w:tcPr>
            <w:tcW w:w="700" w:type="dxa"/>
            <w:vAlign w:val="bottom"/>
          </w:tcPr>
          <w:p>
            <w:pPr>
              <w:spacing w:after="0"/>
              <w:rPr>
                <w:sz w:val="24"/>
                <w:szCs w:val="24"/>
                <w:color w:val="auto"/>
              </w:rPr>
            </w:pPr>
          </w:p>
        </w:tc>
        <w:tc>
          <w:tcPr>
            <w:tcW w:w="5700" w:type="dxa"/>
            <w:vAlign w:val="bottom"/>
            <w:tcBorders>
              <w:bottom w:val="single" w:sz="8" w:color="0000EE"/>
            </w:tcBorders>
            <w:gridSpan w:val="8"/>
          </w:tcPr>
          <w:p>
            <w:pPr>
              <w:spacing w:after="0"/>
              <w:rPr>
                <w:rFonts w:ascii="Arial" w:cs="Arial" w:eastAsia="Arial" w:hAnsi="Arial"/>
                <w:sz w:val="18"/>
                <w:szCs w:val="18"/>
                <w:color w:val="0000EE"/>
                <w:w w:val="91"/>
              </w:rPr>
            </w:pPr>
            <w:hyperlink w:anchor="page48">
              <w:r>
                <w:rPr>
                  <w:rFonts w:ascii="Arial" w:cs="Arial" w:eastAsia="Arial" w:hAnsi="Arial"/>
                  <w:sz w:val="18"/>
                  <w:szCs w:val="18"/>
                  <w:color w:val="0000EE"/>
                  <w:w w:val="91"/>
                </w:rPr>
                <w:t>Summary of Compensation Program of Non-Employee Directors of Viad Corp,</w:t>
              </w:r>
            </w:hyperlink>
          </w:p>
        </w:tc>
      </w:tr>
      <w:tr>
        <w:trPr>
          <w:trHeight w:val="195"/>
        </w:trPr>
        <w:tc>
          <w:tcPr>
            <w:tcW w:w="720" w:type="dxa"/>
            <w:vAlign w:val="bottom"/>
          </w:tcPr>
          <w:p>
            <w:pPr>
              <w:spacing w:after="0"/>
              <w:rPr>
                <w:sz w:val="16"/>
                <w:szCs w:val="16"/>
                <w:color w:val="auto"/>
              </w:rPr>
            </w:pPr>
          </w:p>
        </w:tc>
        <w:tc>
          <w:tcPr>
            <w:tcW w:w="700" w:type="dxa"/>
            <w:vAlign w:val="bottom"/>
          </w:tcPr>
          <w:p>
            <w:pPr>
              <w:ind w:left="280"/>
              <w:spacing w:after="0" w:line="195" w:lineRule="exact"/>
              <w:rPr>
                <w:sz w:val="20"/>
                <w:szCs w:val="20"/>
                <w:color w:val="auto"/>
              </w:rPr>
            </w:pPr>
            <w:r>
              <w:rPr>
                <w:rFonts w:ascii="Arial" w:cs="Arial" w:eastAsia="Arial" w:hAnsi="Arial"/>
                <w:sz w:val="18"/>
                <w:szCs w:val="18"/>
                <w:color w:val="auto"/>
              </w:rPr>
              <w:t>+*</w:t>
            </w:r>
          </w:p>
        </w:tc>
        <w:tc>
          <w:tcPr>
            <w:tcW w:w="1760" w:type="dxa"/>
            <w:vAlign w:val="bottom"/>
            <w:tcBorders>
              <w:bottom w:val="single" w:sz="8" w:color="0000EE"/>
            </w:tcBorders>
          </w:tcPr>
          <w:p>
            <w:pPr>
              <w:spacing w:after="0" w:line="195" w:lineRule="exact"/>
              <w:rPr>
                <w:rFonts w:ascii="Arial" w:cs="Arial" w:eastAsia="Arial" w:hAnsi="Arial"/>
                <w:sz w:val="18"/>
                <w:szCs w:val="18"/>
                <w:color w:val="0000EE"/>
                <w:w w:val="88"/>
              </w:rPr>
            </w:pPr>
            <w:hyperlink w:anchor="page48">
              <w:r>
                <w:rPr>
                  <w:rFonts w:ascii="Arial" w:cs="Arial" w:eastAsia="Arial" w:hAnsi="Arial"/>
                  <w:sz w:val="18"/>
                  <w:szCs w:val="18"/>
                  <w:color w:val="0000EE"/>
                  <w:w w:val="88"/>
                </w:rPr>
                <w:t>as of February 27, 2018.</w:t>
              </w:r>
            </w:hyperlink>
          </w:p>
        </w:tc>
        <w:tc>
          <w:tcPr>
            <w:tcW w:w="3940" w:type="dxa"/>
            <w:vAlign w:val="bottom"/>
            <w:gridSpan w:val="7"/>
          </w:tcPr>
          <w:p>
            <w:pPr>
              <w:spacing w:after="0"/>
              <w:rPr>
                <w:sz w:val="16"/>
                <w:szCs w:val="16"/>
                <w:color w:val="auto"/>
              </w:rPr>
            </w:pPr>
          </w:p>
        </w:tc>
      </w:tr>
    </w:tbl>
    <w:p>
      <w:pPr>
        <w:spacing w:after="0" w:line="255" w:lineRule="exact"/>
        <w:rPr>
          <w:sz w:val="20"/>
          <w:szCs w:val="20"/>
          <w:color w:val="auto"/>
        </w:rPr>
      </w:pPr>
    </w:p>
    <w:p>
      <w:pPr>
        <w:ind w:left="1420" w:hanging="1412"/>
        <w:spacing w:after="0"/>
        <w:tabs>
          <w:tab w:leader="none" w:pos="1420" w:val="left"/>
        </w:tabs>
        <w:numPr>
          <w:ilvl w:val="0"/>
          <w:numId w:val="28"/>
        </w:numPr>
        <w:rPr>
          <w:rFonts w:ascii="Arial" w:cs="Arial" w:eastAsia="Arial" w:hAnsi="Arial"/>
          <w:sz w:val="18"/>
          <w:szCs w:val="18"/>
          <w:u w:val="single" w:color="auto"/>
          <w:color w:val="0000EE"/>
        </w:rPr>
      </w:pPr>
      <w:hyperlink r:id="rId135">
        <w:r>
          <w:rPr>
            <w:rFonts w:ascii="Arial" w:cs="Arial" w:eastAsia="Arial" w:hAnsi="Arial"/>
            <w:sz w:val="18"/>
            <w:szCs w:val="18"/>
            <w:u w:val="single" w:color="auto"/>
            <w:color w:val="0000EE"/>
          </w:rPr>
          <w:t>List of Viad Corp Subsidiaries.</w:t>
        </w:r>
      </w:hyperlink>
    </w:p>
    <w:p>
      <w:pPr>
        <w:spacing w:after="0" w:line="250" w:lineRule="exact"/>
        <w:rPr>
          <w:sz w:val="20"/>
          <w:szCs w:val="20"/>
          <w:color w:val="auto"/>
        </w:rPr>
      </w:pPr>
    </w:p>
    <w:p>
      <w:pPr>
        <w:ind w:left="1420" w:right="20" w:hanging="1412"/>
        <w:spacing w:after="0" w:line="262" w:lineRule="auto"/>
        <w:tabs>
          <w:tab w:leader="none" w:pos="1420" w:val="left"/>
        </w:tabs>
        <w:numPr>
          <w:ilvl w:val="0"/>
          <w:numId w:val="29"/>
        </w:numPr>
        <w:rPr>
          <w:rFonts w:ascii="Arial" w:cs="Arial" w:eastAsia="Arial" w:hAnsi="Arial"/>
          <w:sz w:val="18"/>
          <w:szCs w:val="18"/>
          <w:u w:val="single" w:color="auto"/>
          <w:color w:val="0000EE"/>
        </w:rPr>
      </w:pPr>
      <w:hyperlink r:id="rId136">
        <w:r>
          <w:rPr>
            <w:rFonts w:ascii="Arial" w:cs="Arial" w:eastAsia="Arial" w:hAnsi="Arial"/>
            <w:sz w:val="18"/>
            <w:szCs w:val="18"/>
            <w:u w:val="single" w:color="auto"/>
            <w:color w:val="0000EE"/>
          </w:rPr>
          <w:t>Consent of Independent Registered Public Accounting Firm to the incorporation</w:t>
        </w:r>
      </w:hyperlink>
      <w:r>
        <w:rPr>
          <w:rFonts w:ascii="Arial" w:cs="Arial" w:eastAsia="Arial" w:hAnsi="Arial"/>
          <w:sz w:val="18"/>
          <w:szCs w:val="18"/>
          <w:u w:val="single" w:color="auto"/>
          <w:color w:val="0000EE"/>
        </w:rPr>
        <w:t xml:space="preserve"> </w:t>
      </w:r>
      <w:hyperlink r:id="rId136">
        <w:r>
          <w:rPr>
            <w:rFonts w:ascii="Arial" w:cs="Arial" w:eastAsia="Arial" w:hAnsi="Arial"/>
            <w:sz w:val="18"/>
            <w:szCs w:val="18"/>
            <w:u w:val="single" w:color="auto"/>
            <w:color w:val="0000EE"/>
          </w:rPr>
          <w:t>by reference into specified registration statements on Form S-8 of its report</w:t>
        </w:r>
      </w:hyperlink>
      <w:r>
        <w:rPr>
          <w:rFonts w:ascii="Arial" w:cs="Arial" w:eastAsia="Arial" w:hAnsi="Arial"/>
          <w:sz w:val="18"/>
          <w:szCs w:val="18"/>
          <w:u w:val="single" w:color="auto"/>
          <w:color w:val="0000EE"/>
        </w:rPr>
        <w:t xml:space="preserve"> </w:t>
      </w:r>
      <w:hyperlink r:id="rId136">
        <w:r>
          <w:rPr>
            <w:rFonts w:ascii="Arial" w:cs="Arial" w:eastAsia="Arial" w:hAnsi="Arial"/>
            <w:sz w:val="18"/>
            <w:szCs w:val="18"/>
            <w:u w:val="single" w:color="auto"/>
            <w:color w:val="0000EE"/>
          </w:rPr>
          <w:t>contained in this Annual Report.</w:t>
        </w:r>
      </w:hyperlink>
    </w:p>
    <w:p>
      <w:pPr>
        <w:spacing w:after="0" w:line="209" w:lineRule="exact"/>
        <w:rPr>
          <w:rFonts w:ascii="Arial" w:cs="Arial" w:eastAsia="Arial" w:hAnsi="Arial"/>
          <w:sz w:val="18"/>
          <w:szCs w:val="18"/>
          <w:u w:val="single" w:color="auto"/>
          <w:color w:val="0000EE"/>
        </w:rPr>
      </w:pPr>
    </w:p>
    <w:p>
      <w:pPr>
        <w:ind w:left="1420" w:hanging="1412"/>
        <w:spacing w:after="0"/>
        <w:tabs>
          <w:tab w:leader="none" w:pos="1420" w:val="left"/>
        </w:tabs>
        <w:numPr>
          <w:ilvl w:val="0"/>
          <w:numId w:val="29"/>
        </w:numPr>
        <w:rPr>
          <w:rFonts w:ascii="Arial" w:cs="Arial" w:eastAsia="Arial" w:hAnsi="Arial"/>
          <w:sz w:val="18"/>
          <w:szCs w:val="18"/>
          <w:u w:val="single" w:color="auto"/>
          <w:color w:val="0000EE"/>
        </w:rPr>
      </w:pPr>
      <w:hyperlink r:id="rId137">
        <w:r>
          <w:rPr>
            <w:rFonts w:ascii="Arial" w:cs="Arial" w:eastAsia="Arial" w:hAnsi="Arial"/>
            <w:sz w:val="18"/>
            <w:szCs w:val="18"/>
            <w:u w:val="single" w:color="auto"/>
            <w:color w:val="0000EE"/>
          </w:rPr>
          <w:t>Power of Attorney signed by Viad Corp Directors.</w:t>
        </w:r>
      </w:hyperlink>
    </w:p>
    <w:p>
      <w:pPr>
        <w:spacing w:after="0" w:line="250" w:lineRule="exact"/>
        <w:rPr>
          <w:rFonts w:ascii="Arial" w:cs="Arial" w:eastAsia="Arial" w:hAnsi="Arial"/>
          <w:sz w:val="18"/>
          <w:szCs w:val="18"/>
          <w:u w:val="single" w:color="auto"/>
          <w:color w:val="0000EE"/>
        </w:rPr>
      </w:pPr>
    </w:p>
    <w:p>
      <w:pPr>
        <w:spacing w:after="0"/>
        <w:tabs>
          <w:tab w:leader="none" w:pos="1400" w:val="left"/>
        </w:tabs>
        <w:rPr>
          <w:rFonts w:ascii="Arial" w:cs="Arial" w:eastAsia="Arial" w:hAnsi="Arial"/>
          <w:sz w:val="16"/>
          <w:szCs w:val="16"/>
          <w:u w:val="single" w:color="auto"/>
          <w:color w:val="0000EE"/>
        </w:rPr>
      </w:pPr>
      <w:r>
        <w:rPr>
          <w:rFonts w:ascii="Arial" w:cs="Arial" w:eastAsia="Arial" w:hAnsi="Arial"/>
          <w:sz w:val="18"/>
          <w:szCs w:val="18"/>
          <w:color w:val="auto"/>
        </w:rPr>
        <w:t>31.1A</w:t>
      </w:r>
      <w:r>
        <w:rPr>
          <w:sz w:val="20"/>
          <w:szCs w:val="20"/>
          <w:color w:val="auto"/>
        </w:rPr>
        <w:tab/>
      </w:r>
      <w:hyperlink r:id="rId138">
        <w:r>
          <w:rPr>
            <w:rFonts w:ascii="Arial" w:cs="Arial" w:eastAsia="Arial" w:hAnsi="Arial"/>
            <w:sz w:val="16"/>
            <w:szCs w:val="16"/>
            <w:u w:val="single" w:color="auto"/>
            <w:color w:val="0000EE"/>
          </w:rPr>
          <w:t>Certification of Chief Executive Officer of Viad Corp pursuant to Section 302 of</w:t>
        </w:r>
      </w:hyperlink>
    </w:p>
    <w:p>
      <w:pPr>
        <w:spacing w:after="0" w:line="23" w:lineRule="exact"/>
        <w:rPr>
          <w:rFonts w:ascii="Arial" w:cs="Arial" w:eastAsia="Arial" w:hAnsi="Arial"/>
          <w:sz w:val="18"/>
          <w:szCs w:val="18"/>
          <w:u w:val="single" w:color="auto"/>
          <w:color w:val="0000EE"/>
        </w:rPr>
      </w:pPr>
    </w:p>
    <w:p>
      <w:pPr>
        <w:ind w:left="1420" w:hanging="418"/>
        <w:spacing w:after="0"/>
        <w:tabs>
          <w:tab w:leader="none" w:pos="1420" w:val="left"/>
        </w:tabs>
        <w:numPr>
          <w:ilvl w:val="0"/>
          <w:numId w:val="30"/>
        </w:numPr>
        <w:rPr>
          <w:rFonts w:ascii="Arial" w:cs="Arial" w:eastAsia="Arial" w:hAnsi="Arial"/>
          <w:sz w:val="17"/>
          <w:szCs w:val="17"/>
          <w:u w:val="single" w:color="auto"/>
          <w:color w:val="0000EE"/>
        </w:rPr>
      </w:pPr>
      <w:hyperlink r:id="rId138">
        <w:r>
          <w:rPr>
            <w:rFonts w:ascii="Arial" w:cs="Arial" w:eastAsia="Arial" w:hAnsi="Arial"/>
            <w:sz w:val="17"/>
            <w:szCs w:val="17"/>
            <w:u w:val="single" w:color="auto"/>
            <w:color w:val="0000EE"/>
          </w:rPr>
          <w:t>the Sarbanes-Oxley Act of 2002, for the period ended December 31, 2017.</w:t>
        </w:r>
      </w:hyperlink>
    </w:p>
    <w:p>
      <w:pPr>
        <w:spacing w:after="0" w:line="247" w:lineRule="exact"/>
        <w:rPr>
          <w:rFonts w:ascii="Arial" w:cs="Arial" w:eastAsia="Arial" w:hAnsi="Arial"/>
          <w:sz w:val="18"/>
          <w:szCs w:val="18"/>
          <w:u w:val="single" w:color="auto"/>
          <w:color w:val="0000EE"/>
        </w:rPr>
      </w:pPr>
    </w:p>
    <w:p>
      <w:pPr>
        <w:spacing w:after="0"/>
        <w:tabs>
          <w:tab w:leader="none" w:pos="1400" w:val="left"/>
        </w:tabs>
        <w:rPr>
          <w:rFonts w:ascii="Arial" w:cs="Arial" w:eastAsia="Arial" w:hAnsi="Arial"/>
          <w:sz w:val="16"/>
          <w:szCs w:val="16"/>
          <w:u w:val="single" w:color="auto"/>
          <w:color w:val="0000EE"/>
        </w:rPr>
      </w:pPr>
      <w:r>
        <w:rPr>
          <w:rFonts w:ascii="Arial" w:cs="Arial" w:eastAsia="Arial" w:hAnsi="Arial"/>
          <w:sz w:val="18"/>
          <w:szCs w:val="18"/>
          <w:color w:val="auto"/>
        </w:rPr>
        <w:t>31.1B</w:t>
      </w:r>
      <w:r>
        <w:rPr>
          <w:sz w:val="20"/>
          <w:szCs w:val="20"/>
          <w:color w:val="auto"/>
        </w:rPr>
        <w:tab/>
      </w:r>
      <w:hyperlink w:anchor="page49">
        <w:r>
          <w:rPr>
            <w:rFonts w:ascii="Arial" w:cs="Arial" w:eastAsia="Arial" w:hAnsi="Arial"/>
            <w:sz w:val="16"/>
            <w:szCs w:val="16"/>
            <w:u w:val="single" w:color="auto"/>
            <w:color w:val="0000EE"/>
          </w:rPr>
          <w:t>Certification of Chief Executive Officer of Viad Corp pursuant to Section 302 of</w:t>
        </w:r>
      </w:hyperlink>
    </w:p>
    <w:p>
      <w:pPr>
        <w:spacing w:after="0" w:line="23" w:lineRule="exact"/>
        <w:rPr>
          <w:rFonts w:ascii="Arial" w:cs="Arial" w:eastAsia="Arial" w:hAnsi="Arial"/>
          <w:sz w:val="18"/>
          <w:szCs w:val="18"/>
          <w:u w:val="single" w:color="auto"/>
          <w:color w:val="0000EE"/>
        </w:rPr>
      </w:pPr>
    </w:p>
    <w:p>
      <w:pPr>
        <w:ind w:left="1140" w:hanging="138"/>
        <w:spacing w:after="0"/>
        <w:tabs>
          <w:tab w:leader="none" w:pos="1140" w:val="left"/>
        </w:tabs>
        <w:numPr>
          <w:ilvl w:val="0"/>
          <w:numId w:val="31"/>
        </w:numPr>
        <w:rPr>
          <w:rFonts w:ascii="Arial" w:cs="Arial" w:eastAsia="Arial" w:hAnsi="Arial"/>
          <w:sz w:val="18"/>
          <w:szCs w:val="18"/>
          <w:color w:val="auto"/>
        </w:rPr>
      </w:pPr>
      <w:r>
        <w:rPr>
          <w:rFonts w:ascii="Arial" w:cs="Arial" w:eastAsia="Arial" w:hAnsi="Arial"/>
          <w:sz w:val="18"/>
          <w:szCs w:val="18"/>
          <w:color w:val="auto"/>
        </w:rPr>
        <w:t xml:space="preserve">*  </w:t>
      </w:r>
      <w:hyperlink w:anchor="page49">
        <w:r>
          <w:rPr>
            <w:rFonts w:ascii="Arial" w:cs="Arial" w:eastAsia="Arial" w:hAnsi="Arial"/>
            <w:sz w:val="18"/>
            <w:szCs w:val="18"/>
            <w:u w:val="single" w:color="auto"/>
            <w:color w:val="0000EE"/>
          </w:rPr>
          <w:t>the Sarbanes-Oxley Act of 2002, for the period ended March 31, 2018.</w:t>
        </w:r>
      </w:hyperlink>
    </w:p>
    <w:p>
      <w:pPr>
        <w:spacing w:after="0" w:line="235" w:lineRule="exact"/>
        <w:rPr>
          <w:rFonts w:ascii="Arial" w:cs="Arial" w:eastAsia="Arial" w:hAnsi="Arial"/>
          <w:sz w:val="18"/>
          <w:szCs w:val="18"/>
          <w:u w:val="single" w:color="auto"/>
          <w:color w:val="0000EE"/>
        </w:rPr>
      </w:pPr>
    </w:p>
    <w:p>
      <w:pPr>
        <w:spacing w:after="0"/>
        <w:tabs>
          <w:tab w:leader="none" w:pos="1400" w:val="left"/>
        </w:tabs>
        <w:rPr>
          <w:rFonts w:ascii="Arial" w:cs="Arial" w:eastAsia="Arial" w:hAnsi="Arial"/>
          <w:sz w:val="16"/>
          <w:szCs w:val="16"/>
          <w:u w:val="single" w:color="auto"/>
          <w:color w:val="0000EE"/>
        </w:rPr>
      </w:pPr>
      <w:r>
        <w:rPr>
          <w:rFonts w:ascii="Arial" w:cs="Arial" w:eastAsia="Arial" w:hAnsi="Arial"/>
          <w:sz w:val="18"/>
          <w:szCs w:val="18"/>
          <w:color w:val="auto"/>
        </w:rPr>
        <w:t>31.2A</w:t>
      </w:r>
      <w:r>
        <w:rPr>
          <w:sz w:val="20"/>
          <w:szCs w:val="20"/>
          <w:color w:val="auto"/>
        </w:rPr>
        <w:tab/>
      </w:r>
      <w:hyperlink r:id="rId139">
        <w:r>
          <w:rPr>
            <w:rFonts w:ascii="Arial" w:cs="Arial" w:eastAsia="Arial" w:hAnsi="Arial"/>
            <w:sz w:val="16"/>
            <w:szCs w:val="16"/>
            <w:u w:val="single" w:color="auto"/>
            <w:color w:val="0000EE"/>
          </w:rPr>
          <w:t>Certification of Chief Financial Officer of Viad Corp pursuant to Section 302 of</w:t>
        </w:r>
      </w:hyperlink>
    </w:p>
    <w:p>
      <w:pPr>
        <w:spacing w:after="0" w:line="23" w:lineRule="exact"/>
        <w:rPr>
          <w:rFonts w:ascii="Arial" w:cs="Arial" w:eastAsia="Arial" w:hAnsi="Arial"/>
          <w:sz w:val="18"/>
          <w:szCs w:val="18"/>
          <w:u w:val="single" w:color="auto"/>
          <w:color w:val="0000EE"/>
        </w:rPr>
      </w:pPr>
    </w:p>
    <w:p>
      <w:pPr>
        <w:ind w:left="1420" w:hanging="418"/>
        <w:spacing w:after="0"/>
        <w:tabs>
          <w:tab w:leader="none" w:pos="1420" w:val="left"/>
        </w:tabs>
        <w:numPr>
          <w:ilvl w:val="0"/>
          <w:numId w:val="32"/>
        </w:numPr>
        <w:rPr>
          <w:rFonts w:ascii="Arial" w:cs="Arial" w:eastAsia="Arial" w:hAnsi="Arial"/>
          <w:sz w:val="17"/>
          <w:szCs w:val="17"/>
          <w:u w:val="single" w:color="auto"/>
          <w:color w:val="0000EE"/>
        </w:rPr>
      </w:pPr>
      <w:hyperlink r:id="rId139">
        <w:r>
          <w:rPr>
            <w:rFonts w:ascii="Arial" w:cs="Arial" w:eastAsia="Arial" w:hAnsi="Arial"/>
            <w:sz w:val="17"/>
            <w:szCs w:val="17"/>
            <w:u w:val="single" w:color="auto"/>
            <w:color w:val="0000EE"/>
          </w:rPr>
          <w:t>the Sarbanes-Oxley Act of 2002, for the period ended December 31, 2017.</w:t>
        </w:r>
      </w:hyperlink>
    </w:p>
    <w:p>
      <w:pPr>
        <w:spacing w:after="0" w:line="247" w:lineRule="exact"/>
        <w:rPr>
          <w:rFonts w:ascii="Arial" w:cs="Arial" w:eastAsia="Arial" w:hAnsi="Arial"/>
          <w:sz w:val="18"/>
          <w:szCs w:val="18"/>
          <w:u w:val="single" w:color="auto"/>
          <w:color w:val="0000EE"/>
        </w:rPr>
      </w:pPr>
    </w:p>
    <w:p>
      <w:pPr>
        <w:spacing w:after="0"/>
        <w:tabs>
          <w:tab w:leader="none" w:pos="1400" w:val="left"/>
        </w:tabs>
        <w:rPr>
          <w:rFonts w:ascii="Arial" w:cs="Arial" w:eastAsia="Arial" w:hAnsi="Arial"/>
          <w:sz w:val="16"/>
          <w:szCs w:val="16"/>
          <w:u w:val="single" w:color="auto"/>
          <w:color w:val="0000EE"/>
        </w:rPr>
      </w:pPr>
      <w:r>
        <w:rPr>
          <w:rFonts w:ascii="Arial" w:cs="Arial" w:eastAsia="Arial" w:hAnsi="Arial"/>
          <w:sz w:val="18"/>
          <w:szCs w:val="18"/>
          <w:color w:val="auto"/>
        </w:rPr>
        <w:t>31.2B</w:t>
      </w:r>
      <w:r>
        <w:rPr>
          <w:sz w:val="20"/>
          <w:szCs w:val="20"/>
          <w:color w:val="auto"/>
        </w:rPr>
        <w:tab/>
      </w:r>
      <w:hyperlink w:anchor="page50">
        <w:r>
          <w:rPr>
            <w:rFonts w:ascii="Arial" w:cs="Arial" w:eastAsia="Arial" w:hAnsi="Arial"/>
            <w:sz w:val="16"/>
            <w:szCs w:val="16"/>
            <w:u w:val="single" w:color="auto"/>
            <w:color w:val="0000EE"/>
          </w:rPr>
          <w:t>Certification of Chief Financial Officer of Viad Corp pursuant to Section 302 of</w:t>
        </w:r>
      </w:hyperlink>
    </w:p>
    <w:p>
      <w:pPr>
        <w:spacing w:after="0" w:line="23" w:lineRule="exact"/>
        <w:rPr>
          <w:rFonts w:ascii="Arial" w:cs="Arial" w:eastAsia="Arial" w:hAnsi="Arial"/>
          <w:sz w:val="18"/>
          <w:szCs w:val="18"/>
          <w:u w:val="single" w:color="auto"/>
          <w:color w:val="0000EE"/>
        </w:rPr>
      </w:pPr>
    </w:p>
    <w:p>
      <w:pPr>
        <w:ind w:left="1140" w:hanging="138"/>
        <w:spacing w:after="0"/>
        <w:tabs>
          <w:tab w:leader="none" w:pos="1140" w:val="left"/>
        </w:tabs>
        <w:numPr>
          <w:ilvl w:val="0"/>
          <w:numId w:val="33"/>
        </w:numPr>
        <w:rPr>
          <w:rFonts w:ascii="Arial" w:cs="Arial" w:eastAsia="Arial" w:hAnsi="Arial"/>
          <w:sz w:val="18"/>
          <w:szCs w:val="18"/>
          <w:color w:val="auto"/>
        </w:rPr>
      </w:pPr>
      <w:r>
        <w:rPr>
          <w:rFonts w:ascii="Arial" w:cs="Arial" w:eastAsia="Arial" w:hAnsi="Arial"/>
          <w:sz w:val="18"/>
          <w:szCs w:val="18"/>
          <w:color w:val="auto"/>
        </w:rPr>
        <w:t xml:space="preserve">*  </w:t>
      </w:r>
      <w:hyperlink w:anchor="page50">
        <w:r>
          <w:rPr>
            <w:rFonts w:ascii="Arial" w:cs="Arial" w:eastAsia="Arial" w:hAnsi="Arial"/>
            <w:sz w:val="18"/>
            <w:szCs w:val="18"/>
            <w:u w:val="single" w:color="auto"/>
            <w:color w:val="0000EE"/>
          </w:rPr>
          <w:t>the Sarbanes-Oxley Act of 2002, for the period ended March 31, 2018.</w:t>
        </w:r>
      </w:hyperlink>
    </w:p>
    <w:p>
      <w:pPr>
        <w:spacing w:after="0" w:line="218" w:lineRule="exact"/>
        <w:rPr>
          <w:rFonts w:ascii="Arial" w:cs="Arial" w:eastAsia="Arial" w:hAnsi="Arial"/>
          <w:sz w:val="18"/>
          <w:szCs w:val="18"/>
          <w:u w:val="single" w:color="auto"/>
          <w:color w:val="0000EE"/>
        </w:rPr>
      </w:pPr>
    </w:p>
    <w:tbl>
      <w:tblPr>
        <w:tblLayout w:type="fixed"/>
        <w:tblInd w:w="0" w:type="dxa"/>
        <w:tblCellMar>
          <w:top w:w="0" w:type="dxa"/>
          <w:left w:w="0" w:type="dxa"/>
          <w:bottom w:w="0" w:type="dxa"/>
          <w:right w:w="0" w:type="dxa"/>
        </w:tblCellMar>
      </w:tblPr>
      <w:tr>
        <w:trPr>
          <w:trHeight w:val="207"/>
        </w:trPr>
        <w:tc>
          <w:tcPr>
            <w:tcW w:w="1420" w:type="dxa"/>
            <w:vAlign w:val="bottom"/>
          </w:tcPr>
          <w:p>
            <w:pPr>
              <w:jc w:val="right"/>
              <w:ind w:right="870"/>
              <w:spacing w:after="0"/>
              <w:rPr>
                <w:sz w:val="20"/>
                <w:szCs w:val="20"/>
                <w:color w:val="auto"/>
              </w:rPr>
            </w:pPr>
            <w:r>
              <w:rPr>
                <w:rFonts w:ascii="Arial" w:cs="Arial" w:eastAsia="Arial" w:hAnsi="Arial"/>
                <w:sz w:val="18"/>
                <w:szCs w:val="18"/>
                <w:color w:val="auto"/>
                <w:w w:val="93"/>
              </w:rPr>
              <w:t>32.1A</w:t>
            </w:r>
          </w:p>
        </w:tc>
        <w:tc>
          <w:tcPr>
            <w:tcW w:w="5720" w:type="dxa"/>
            <w:vAlign w:val="bottom"/>
            <w:gridSpan w:val="3"/>
          </w:tcPr>
          <w:p>
            <w:pPr>
              <w:spacing w:after="0"/>
              <w:rPr>
                <w:rFonts w:ascii="Arial" w:cs="Arial" w:eastAsia="Arial" w:hAnsi="Arial"/>
                <w:sz w:val="18"/>
                <w:szCs w:val="18"/>
                <w:color w:val="0000EE"/>
                <w:w w:val="96"/>
              </w:rPr>
            </w:pPr>
            <w:hyperlink r:id="rId140">
              <w:r>
                <w:rPr>
                  <w:rFonts w:ascii="Arial" w:cs="Arial" w:eastAsia="Arial" w:hAnsi="Arial"/>
                  <w:sz w:val="18"/>
                  <w:szCs w:val="18"/>
                  <w:color w:val="0000EE"/>
                  <w:w w:val="96"/>
                </w:rPr>
                <w:t>Certifications of Chief Executive Officer and Chief Financial Officer of Viad</w:t>
              </w:r>
            </w:hyperlink>
          </w:p>
        </w:tc>
      </w:tr>
      <w:tr>
        <w:trPr>
          <w:trHeight w:val="20"/>
        </w:trPr>
        <w:tc>
          <w:tcPr>
            <w:tcW w:w="1420" w:type="dxa"/>
            <w:vAlign w:val="bottom"/>
          </w:tcPr>
          <w:p>
            <w:pPr>
              <w:spacing w:after="0" w:line="20" w:lineRule="exact"/>
              <w:rPr>
                <w:sz w:val="1"/>
                <w:szCs w:val="1"/>
                <w:color w:val="auto"/>
              </w:rPr>
            </w:pPr>
          </w:p>
        </w:tc>
        <w:tc>
          <w:tcPr>
            <w:tcW w:w="1920" w:type="dxa"/>
            <w:vAlign w:val="bottom"/>
            <w:shd w:val="clear" w:color="auto" w:fill="0000EE"/>
          </w:tcPr>
          <w:p>
            <w:pPr>
              <w:spacing w:after="0" w:line="20" w:lineRule="exact"/>
              <w:rPr>
                <w:sz w:val="1"/>
                <w:szCs w:val="1"/>
                <w:color w:val="auto"/>
              </w:rPr>
            </w:pPr>
          </w:p>
        </w:tc>
        <w:tc>
          <w:tcPr>
            <w:tcW w:w="3600" w:type="dxa"/>
            <w:vAlign w:val="bottom"/>
            <w:shd w:val="clear" w:color="auto" w:fill="0000EE"/>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r>
      <w:tr>
        <w:trPr>
          <w:trHeight w:val="195"/>
        </w:trPr>
        <w:tc>
          <w:tcPr>
            <w:tcW w:w="1420" w:type="dxa"/>
            <w:vAlign w:val="bottom"/>
          </w:tcPr>
          <w:p>
            <w:pPr>
              <w:spacing w:after="0"/>
              <w:rPr>
                <w:sz w:val="16"/>
                <w:szCs w:val="16"/>
                <w:color w:val="auto"/>
              </w:rPr>
            </w:pPr>
          </w:p>
        </w:tc>
        <w:tc>
          <w:tcPr>
            <w:tcW w:w="5720" w:type="dxa"/>
            <w:vAlign w:val="bottom"/>
            <w:tcBorders>
              <w:bottom w:val="single" w:sz="8" w:color="0000EE"/>
            </w:tcBorders>
            <w:gridSpan w:val="3"/>
          </w:tcPr>
          <w:p>
            <w:pPr>
              <w:spacing w:after="0" w:line="195" w:lineRule="exact"/>
              <w:rPr>
                <w:rFonts w:ascii="Arial" w:cs="Arial" w:eastAsia="Arial" w:hAnsi="Arial"/>
                <w:sz w:val="18"/>
                <w:szCs w:val="18"/>
                <w:color w:val="0000EE"/>
                <w:w w:val="90"/>
              </w:rPr>
            </w:pPr>
            <w:hyperlink r:id="rId140">
              <w:r>
                <w:rPr>
                  <w:rFonts w:ascii="Arial" w:cs="Arial" w:eastAsia="Arial" w:hAnsi="Arial"/>
                  <w:sz w:val="18"/>
                  <w:szCs w:val="18"/>
                  <w:color w:val="0000EE"/>
                  <w:w w:val="90"/>
                </w:rPr>
                <w:t>Corp pursuant to Section 906 of the Sarbanes-Oxley Act of 2002, for the period</w:t>
              </w:r>
            </w:hyperlink>
          </w:p>
        </w:tc>
      </w:tr>
      <w:tr>
        <w:trPr>
          <w:trHeight w:val="195"/>
        </w:trPr>
        <w:tc>
          <w:tcPr>
            <w:tcW w:w="1420" w:type="dxa"/>
            <w:vAlign w:val="bottom"/>
          </w:tcPr>
          <w:p>
            <w:pPr>
              <w:jc w:val="right"/>
              <w:ind w:right="230"/>
              <w:spacing w:after="0" w:line="195" w:lineRule="exact"/>
              <w:rPr>
                <w:sz w:val="20"/>
                <w:szCs w:val="20"/>
                <w:color w:val="auto"/>
              </w:rPr>
            </w:pPr>
            <w:r>
              <w:rPr>
                <w:rFonts w:ascii="Arial" w:cs="Arial" w:eastAsia="Arial" w:hAnsi="Arial"/>
                <w:sz w:val="18"/>
                <w:szCs w:val="18"/>
                <w:color w:val="auto"/>
              </w:rPr>
              <w:t>#</w:t>
            </w:r>
          </w:p>
        </w:tc>
        <w:tc>
          <w:tcPr>
            <w:tcW w:w="5720" w:type="dxa"/>
            <w:vAlign w:val="bottom"/>
            <w:gridSpan w:val="3"/>
          </w:tcPr>
          <w:p>
            <w:pPr>
              <w:spacing w:after="0" w:line="195" w:lineRule="exact"/>
              <w:rPr>
                <w:rFonts w:ascii="Arial" w:cs="Arial" w:eastAsia="Arial" w:hAnsi="Arial"/>
                <w:sz w:val="18"/>
                <w:szCs w:val="18"/>
                <w:color w:val="0000EE"/>
              </w:rPr>
            </w:pPr>
            <w:hyperlink r:id="rId140">
              <w:r>
                <w:rPr>
                  <w:rFonts w:ascii="Arial" w:cs="Arial" w:eastAsia="Arial" w:hAnsi="Arial"/>
                  <w:sz w:val="18"/>
                  <w:szCs w:val="18"/>
                  <w:color w:val="0000EE"/>
                </w:rPr>
                <w:t>ended December 31, 2017.</w:t>
              </w:r>
            </w:hyperlink>
          </w:p>
        </w:tc>
      </w:tr>
      <w:tr>
        <w:trPr>
          <w:trHeight w:val="20"/>
        </w:trPr>
        <w:tc>
          <w:tcPr>
            <w:tcW w:w="1420" w:type="dxa"/>
            <w:vAlign w:val="bottom"/>
          </w:tcPr>
          <w:p>
            <w:pPr>
              <w:spacing w:after="0" w:line="20" w:lineRule="exact"/>
              <w:rPr>
                <w:sz w:val="1"/>
                <w:szCs w:val="1"/>
                <w:color w:val="auto"/>
              </w:rPr>
            </w:pPr>
          </w:p>
        </w:tc>
        <w:tc>
          <w:tcPr>
            <w:tcW w:w="1920" w:type="dxa"/>
            <w:vAlign w:val="bottom"/>
            <w:shd w:val="clear" w:color="auto" w:fill="0000EE"/>
          </w:tcPr>
          <w:p>
            <w:pPr>
              <w:spacing w:after="0" w:line="20" w:lineRule="exact"/>
              <w:rPr>
                <w:sz w:val="1"/>
                <w:szCs w:val="1"/>
                <w:color w:val="auto"/>
              </w:rPr>
            </w:pPr>
          </w:p>
        </w:tc>
        <w:tc>
          <w:tcPr>
            <w:tcW w:w="36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r>
    </w:tbl>
    <w:p>
      <w:pPr>
        <w:spacing w:after="0" w:line="255" w:lineRule="exact"/>
        <w:rPr>
          <w:sz w:val="20"/>
          <w:szCs w:val="20"/>
          <w:color w:val="auto"/>
        </w:rPr>
      </w:pPr>
    </w:p>
    <w:p>
      <w:pPr>
        <w:spacing w:after="0"/>
        <w:tabs>
          <w:tab w:leader="none" w:pos="1400" w:val="left"/>
        </w:tabs>
        <w:rPr>
          <w:rFonts w:ascii="Arial" w:cs="Arial" w:eastAsia="Arial" w:hAnsi="Arial"/>
          <w:sz w:val="16"/>
          <w:szCs w:val="16"/>
          <w:u w:val="single" w:color="auto"/>
          <w:color w:val="0000EE"/>
        </w:rPr>
      </w:pPr>
      <w:r>
        <w:rPr>
          <w:rFonts w:ascii="Arial" w:cs="Arial" w:eastAsia="Arial" w:hAnsi="Arial"/>
          <w:sz w:val="18"/>
          <w:szCs w:val="18"/>
          <w:color w:val="auto"/>
        </w:rPr>
        <w:t>32.1B</w:t>
      </w:r>
      <w:r>
        <w:rPr>
          <w:sz w:val="20"/>
          <w:szCs w:val="20"/>
          <w:color w:val="auto"/>
        </w:rPr>
        <w:tab/>
      </w:r>
      <w:hyperlink w:anchor="page51">
        <w:r>
          <w:rPr>
            <w:rFonts w:ascii="Arial" w:cs="Arial" w:eastAsia="Arial" w:hAnsi="Arial"/>
            <w:sz w:val="16"/>
            <w:szCs w:val="16"/>
            <w:u w:val="single" w:color="auto"/>
            <w:color w:val="0000EE"/>
          </w:rPr>
          <w:t>Certifications of Chief Executive Officer and Chief Financial Officer of Viad</w:t>
        </w:r>
      </w:hyperlink>
    </w:p>
    <w:p>
      <w:pPr>
        <w:spacing w:after="0" w:line="23" w:lineRule="exact"/>
        <w:rPr>
          <w:sz w:val="20"/>
          <w:szCs w:val="20"/>
          <w:color w:val="auto"/>
        </w:rPr>
      </w:pPr>
    </w:p>
    <w:p>
      <w:pPr>
        <w:ind w:left="1000" w:right="60" w:firstLine="2"/>
        <w:spacing w:after="0" w:line="258" w:lineRule="auto"/>
        <w:tabs>
          <w:tab w:leader="none" w:pos="1417" w:val="left"/>
        </w:tabs>
        <w:numPr>
          <w:ilvl w:val="0"/>
          <w:numId w:val="34"/>
        </w:numPr>
        <w:rPr>
          <w:rFonts w:ascii="Arial" w:cs="Arial" w:eastAsia="Arial" w:hAnsi="Arial"/>
          <w:sz w:val="18"/>
          <w:szCs w:val="18"/>
          <w:color w:val="000000"/>
        </w:rPr>
      </w:pPr>
      <w:hyperlink w:anchor="page51">
        <w:r>
          <w:rPr>
            <w:rFonts w:ascii="Arial" w:cs="Arial" w:eastAsia="Arial" w:hAnsi="Arial"/>
            <w:sz w:val="18"/>
            <w:szCs w:val="18"/>
            <w:u w:val="single" w:color="auto"/>
            <w:color w:val="0000EE"/>
          </w:rPr>
          <w:t>Corp pursuant to Section 906 of the Sarbanes-Oxley Act of 2002, for the period</w:t>
        </w:r>
      </w:hyperlink>
      <w:r>
        <w:rPr>
          <w:rFonts w:ascii="Arial" w:cs="Arial" w:eastAsia="Arial" w:hAnsi="Arial"/>
          <w:sz w:val="18"/>
          <w:szCs w:val="18"/>
          <w:u w:val="single" w:color="auto"/>
          <w:color w:val="0000EE"/>
        </w:rPr>
        <w:t xml:space="preserve"> </w:t>
      </w:r>
      <w:r>
        <w:rPr>
          <w:rFonts w:ascii="Arial" w:cs="Arial" w:eastAsia="Arial" w:hAnsi="Arial"/>
          <w:sz w:val="18"/>
          <w:szCs w:val="18"/>
          <w:color w:val="000000"/>
        </w:rPr>
        <w:t xml:space="preserve">** </w:t>
      </w:r>
      <w:hyperlink w:anchor="page51">
        <w:r>
          <w:rPr>
            <w:rFonts w:ascii="Arial" w:cs="Arial" w:eastAsia="Arial" w:hAnsi="Arial"/>
            <w:sz w:val="18"/>
            <w:szCs w:val="18"/>
            <w:u w:val="single" w:color="auto"/>
            <w:color w:val="0000EE"/>
          </w:rPr>
          <w:t>ended March 31, 2018.</w:t>
        </w:r>
      </w:hyperlink>
    </w:p>
    <w:p>
      <w:pPr>
        <w:spacing w:after="0" w:line="213" w:lineRule="exact"/>
        <w:rPr>
          <w:rFonts w:ascii="Arial" w:cs="Arial" w:eastAsia="Arial" w:hAnsi="Arial"/>
          <w:sz w:val="18"/>
          <w:szCs w:val="18"/>
          <w:color w:val="auto"/>
        </w:rPr>
      </w:pPr>
    </w:p>
    <w:tbl>
      <w:tblPr>
        <w:tblLayout w:type="fixed"/>
        <w:tblInd w:w="0" w:type="dxa"/>
        <w:tblCellMar>
          <w:top w:w="0" w:type="dxa"/>
          <w:left w:w="0" w:type="dxa"/>
          <w:bottom w:w="0" w:type="dxa"/>
          <w:right w:w="0" w:type="dxa"/>
        </w:tblCellMar>
      </w:tblPr>
      <w:tr>
        <w:trPr>
          <w:trHeight w:val="230"/>
        </w:trPr>
        <w:tc>
          <w:tcPr>
            <w:tcW w:w="840" w:type="dxa"/>
            <w:vAlign w:val="bottom"/>
          </w:tcPr>
          <w:p>
            <w:pPr>
              <w:spacing w:after="0"/>
              <w:rPr>
                <w:sz w:val="20"/>
                <w:szCs w:val="20"/>
                <w:color w:val="auto"/>
              </w:rPr>
            </w:pPr>
            <w:r>
              <w:rPr>
                <w:rFonts w:ascii="Arial" w:cs="Arial" w:eastAsia="Arial" w:hAnsi="Arial"/>
                <w:sz w:val="18"/>
                <w:szCs w:val="18"/>
                <w:color w:val="auto"/>
              </w:rPr>
              <w:t>101.INS</w:t>
            </w:r>
          </w:p>
        </w:tc>
        <w:tc>
          <w:tcPr>
            <w:tcW w:w="420" w:type="dxa"/>
            <w:vAlign w:val="bottom"/>
          </w:tcPr>
          <w:p>
            <w:pPr>
              <w:ind w:left="160"/>
              <w:spacing w:after="0"/>
              <w:rPr>
                <w:sz w:val="20"/>
                <w:szCs w:val="20"/>
                <w:color w:val="auto"/>
              </w:rPr>
            </w:pPr>
            <w:r>
              <w:rPr>
                <w:rFonts w:ascii="Arial" w:cs="Arial" w:eastAsia="Arial" w:hAnsi="Arial"/>
                <w:sz w:val="18"/>
                <w:szCs w:val="18"/>
                <w:color w:val="auto"/>
              </w:rPr>
              <w:t>*</w:t>
            </w:r>
          </w:p>
        </w:tc>
        <w:tc>
          <w:tcPr>
            <w:tcW w:w="4620" w:type="dxa"/>
            <w:vAlign w:val="bottom"/>
          </w:tcPr>
          <w:p>
            <w:pPr>
              <w:ind w:left="160"/>
              <w:spacing w:after="0"/>
              <w:rPr>
                <w:sz w:val="20"/>
                <w:szCs w:val="20"/>
                <w:color w:val="auto"/>
              </w:rPr>
            </w:pPr>
            <w:r>
              <w:rPr>
                <w:rFonts w:ascii="Arial" w:cs="Arial" w:eastAsia="Arial" w:hAnsi="Arial"/>
                <w:sz w:val="18"/>
                <w:szCs w:val="18"/>
                <w:color w:val="auto"/>
              </w:rPr>
              <w:t>XBRL Instance Document.</w:t>
            </w:r>
          </w:p>
        </w:tc>
      </w:tr>
      <w:tr>
        <w:trPr>
          <w:trHeight w:val="457"/>
        </w:trPr>
        <w:tc>
          <w:tcPr>
            <w:tcW w:w="840" w:type="dxa"/>
            <w:vAlign w:val="bottom"/>
          </w:tcPr>
          <w:p>
            <w:pPr>
              <w:spacing w:after="0"/>
              <w:rPr>
                <w:sz w:val="20"/>
                <w:szCs w:val="20"/>
                <w:color w:val="auto"/>
              </w:rPr>
            </w:pPr>
            <w:r>
              <w:rPr>
                <w:rFonts w:ascii="Arial" w:cs="Arial" w:eastAsia="Arial" w:hAnsi="Arial"/>
                <w:sz w:val="18"/>
                <w:szCs w:val="18"/>
                <w:color w:val="auto"/>
              </w:rPr>
              <w:t>101.SCH</w:t>
            </w:r>
          </w:p>
        </w:tc>
        <w:tc>
          <w:tcPr>
            <w:tcW w:w="5040" w:type="dxa"/>
            <w:vAlign w:val="bottom"/>
            <w:gridSpan w:val="2"/>
          </w:tcPr>
          <w:p>
            <w:pPr>
              <w:ind w:left="160"/>
              <w:spacing w:after="0"/>
              <w:rPr>
                <w:sz w:val="20"/>
                <w:szCs w:val="20"/>
                <w:color w:val="auto"/>
              </w:rPr>
            </w:pPr>
            <w:r>
              <w:rPr>
                <w:rFonts w:ascii="Arial" w:cs="Arial" w:eastAsia="Arial" w:hAnsi="Arial"/>
                <w:sz w:val="18"/>
                <w:szCs w:val="18"/>
                <w:color w:val="auto"/>
                <w:w w:val="91"/>
              </w:rPr>
              <w:t>*XBRL Taxonomy Extension Schema Document.</w:t>
            </w:r>
          </w:p>
        </w:tc>
      </w:tr>
      <w:tr>
        <w:trPr>
          <w:trHeight w:val="457"/>
        </w:trPr>
        <w:tc>
          <w:tcPr>
            <w:tcW w:w="840" w:type="dxa"/>
            <w:vAlign w:val="bottom"/>
          </w:tcPr>
          <w:p>
            <w:pPr>
              <w:spacing w:after="0"/>
              <w:rPr>
                <w:sz w:val="20"/>
                <w:szCs w:val="20"/>
                <w:color w:val="auto"/>
              </w:rPr>
            </w:pPr>
            <w:r>
              <w:rPr>
                <w:rFonts w:ascii="Arial" w:cs="Arial" w:eastAsia="Arial" w:hAnsi="Arial"/>
                <w:sz w:val="18"/>
                <w:szCs w:val="18"/>
                <w:color w:val="auto"/>
              </w:rPr>
              <w:t>101.CAL</w:t>
            </w:r>
          </w:p>
        </w:tc>
        <w:tc>
          <w:tcPr>
            <w:tcW w:w="420" w:type="dxa"/>
            <w:vAlign w:val="bottom"/>
          </w:tcPr>
          <w:p>
            <w:pPr>
              <w:ind w:left="160"/>
              <w:spacing w:after="0"/>
              <w:rPr>
                <w:sz w:val="20"/>
                <w:szCs w:val="20"/>
                <w:color w:val="auto"/>
              </w:rPr>
            </w:pPr>
            <w:r>
              <w:rPr>
                <w:rFonts w:ascii="Arial" w:cs="Arial" w:eastAsia="Arial" w:hAnsi="Arial"/>
                <w:sz w:val="18"/>
                <w:szCs w:val="18"/>
                <w:color w:val="auto"/>
              </w:rPr>
              <w:t>*</w:t>
            </w:r>
          </w:p>
        </w:tc>
        <w:tc>
          <w:tcPr>
            <w:tcW w:w="4620" w:type="dxa"/>
            <w:vAlign w:val="bottom"/>
          </w:tcPr>
          <w:p>
            <w:pPr>
              <w:ind w:left="160"/>
              <w:spacing w:after="0"/>
              <w:rPr>
                <w:sz w:val="20"/>
                <w:szCs w:val="20"/>
                <w:color w:val="auto"/>
              </w:rPr>
            </w:pPr>
            <w:r>
              <w:rPr>
                <w:rFonts w:ascii="Arial" w:cs="Arial" w:eastAsia="Arial" w:hAnsi="Arial"/>
                <w:sz w:val="18"/>
                <w:szCs w:val="18"/>
                <w:color w:val="auto"/>
                <w:w w:val="91"/>
              </w:rPr>
              <w:t>XBRL Taxonomy Extension Calculation Linkbase Document.</w:t>
            </w:r>
          </w:p>
        </w:tc>
      </w:tr>
      <w:tr>
        <w:trPr>
          <w:trHeight w:val="659"/>
        </w:trPr>
        <w:tc>
          <w:tcPr>
            <w:tcW w:w="8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4620" w:type="dxa"/>
            <w:vAlign w:val="bottom"/>
          </w:tcPr>
          <w:p>
            <w:pPr>
              <w:jc w:val="right"/>
              <w:spacing w:after="0"/>
              <w:rPr>
                <w:sz w:val="20"/>
                <w:szCs w:val="20"/>
                <w:color w:val="auto"/>
              </w:rPr>
            </w:pPr>
            <w:r>
              <w:rPr>
                <w:rFonts w:ascii="Arial" w:cs="Arial" w:eastAsia="Arial" w:hAnsi="Arial"/>
                <w:sz w:val="18"/>
                <w:szCs w:val="18"/>
                <w:color w:val="auto"/>
              </w:rPr>
              <w:t>43</w:t>
            </w:r>
          </w:p>
        </w:tc>
      </w:tr>
    </w:tbl>
    <w:p>
      <w:pPr>
        <w:spacing w:after="0" w:line="20" w:lineRule="exact"/>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column">
              <wp:posOffset>-6985</wp:posOffset>
            </wp:positionH>
            <wp:positionV relativeFrom="paragraph">
              <wp:posOffset>55245</wp:posOffset>
            </wp:positionV>
            <wp:extent cx="7289800" cy="4254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41">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pacing w:after="0" w:line="20" w:lineRule="exact"/>
        <w:rPr>
          <w:rFonts w:ascii="Arial" w:cs="Arial" w:eastAsia="Arial" w:hAnsi="Arial"/>
          <w:sz w:val="18"/>
          <w:szCs w:val="18"/>
          <w:color w:val="auto"/>
        </w:rPr>
      </w:pPr>
      <w:r>
        <w:rPr>
          <w:rFonts w:ascii="Arial" w:cs="Arial" w:eastAsia="Arial" w:hAnsi="Arial"/>
          <w:sz w:val="18"/>
          <w:szCs w:val="18"/>
          <w:color w:val="auto"/>
        </w:rPr>
        <w:br w:type="column"/>
      </w:r>
    </w:p>
    <w:p>
      <w:pPr>
        <w:spacing w:after="0" w:line="1" w:lineRule="exact"/>
        <w:rPr>
          <w:rFonts w:ascii="Arial" w:cs="Arial" w:eastAsia="Arial" w:hAnsi="Arial"/>
          <w:sz w:val="1"/>
          <w:szCs w:val="1"/>
          <w:color w:val="auto"/>
        </w:rPr>
      </w:pPr>
    </w:p>
    <w:tbl>
      <w:tblPr>
        <w:tblLayout w:type="fixed"/>
        <w:tblInd w:w="0" w:type="dxa"/>
        <w:tblCellMar>
          <w:top w:w="0" w:type="dxa"/>
          <w:left w:w="0" w:type="dxa"/>
          <w:bottom w:w="0" w:type="dxa"/>
          <w:right w:w="0" w:type="dxa"/>
        </w:tblCellMar>
      </w:tblPr>
      <w:tr>
        <w:trPr>
          <w:trHeight w:val="230"/>
        </w:trPr>
        <w:tc>
          <w:tcPr>
            <w:tcW w:w="620" w:type="dxa"/>
            <w:vAlign w:val="bottom"/>
          </w:tcPr>
          <w:p>
            <w:pPr>
              <w:jc w:val="right"/>
              <w:ind w:right="170"/>
              <w:spacing w:after="0"/>
              <w:rPr>
                <w:sz w:val="20"/>
                <w:szCs w:val="20"/>
                <w:color w:val="auto"/>
              </w:rPr>
            </w:pPr>
            <w:r>
              <w:rPr>
                <w:rFonts w:ascii="Arial" w:cs="Arial" w:eastAsia="Arial" w:hAnsi="Arial"/>
                <w:sz w:val="18"/>
                <w:szCs w:val="18"/>
                <w:color w:val="auto"/>
              </w:rPr>
              <w:t>8-K</w:t>
            </w:r>
          </w:p>
        </w:tc>
        <w:tc>
          <w:tcPr>
            <w:tcW w:w="1220" w:type="dxa"/>
            <w:vAlign w:val="bottom"/>
          </w:tcPr>
          <w:p>
            <w:pPr>
              <w:spacing w:after="0"/>
              <w:rPr>
                <w:sz w:val="19"/>
                <w:szCs w:val="19"/>
                <w:color w:val="auto"/>
              </w:rPr>
            </w:pPr>
          </w:p>
        </w:tc>
        <w:tc>
          <w:tcPr>
            <w:tcW w:w="900" w:type="dxa"/>
            <w:vAlign w:val="bottom"/>
          </w:tcPr>
          <w:p>
            <w:pPr>
              <w:jc w:val="right"/>
              <w:ind w:right="210"/>
              <w:spacing w:after="0"/>
              <w:rPr>
                <w:sz w:val="20"/>
                <w:szCs w:val="20"/>
                <w:color w:val="auto"/>
              </w:rPr>
            </w:pPr>
            <w:r>
              <w:rPr>
                <w:rFonts w:ascii="Arial" w:cs="Arial" w:eastAsia="Arial" w:hAnsi="Arial"/>
                <w:sz w:val="18"/>
                <w:szCs w:val="18"/>
                <w:color w:val="auto"/>
              </w:rPr>
              <w:t>10.E</w:t>
            </w:r>
          </w:p>
        </w:tc>
        <w:tc>
          <w:tcPr>
            <w:tcW w:w="1020" w:type="dxa"/>
            <w:vAlign w:val="bottom"/>
          </w:tcPr>
          <w:p>
            <w:pPr>
              <w:jc w:val="right"/>
              <w:spacing w:after="0"/>
              <w:rPr>
                <w:sz w:val="20"/>
                <w:szCs w:val="20"/>
                <w:color w:val="auto"/>
              </w:rPr>
            </w:pPr>
            <w:r>
              <w:rPr>
                <w:rFonts w:ascii="Arial" w:cs="Arial" w:eastAsia="Arial" w:hAnsi="Arial"/>
                <w:sz w:val="18"/>
                <w:szCs w:val="18"/>
                <w:color w:val="auto"/>
              </w:rPr>
              <w:t>3/5/2013</w:t>
            </w:r>
          </w:p>
        </w:tc>
      </w:tr>
      <w:tr>
        <w:trPr>
          <w:trHeight w:val="672"/>
        </w:trPr>
        <w:tc>
          <w:tcPr>
            <w:tcW w:w="620" w:type="dxa"/>
            <w:vAlign w:val="bottom"/>
          </w:tcPr>
          <w:p>
            <w:pPr>
              <w:jc w:val="right"/>
              <w:ind w:right="170"/>
              <w:spacing w:after="0"/>
              <w:rPr>
                <w:sz w:val="20"/>
                <w:szCs w:val="20"/>
                <w:color w:val="auto"/>
              </w:rPr>
            </w:pPr>
            <w:r>
              <w:rPr>
                <w:rFonts w:ascii="Arial" w:cs="Arial" w:eastAsia="Arial" w:hAnsi="Arial"/>
                <w:sz w:val="18"/>
                <w:szCs w:val="18"/>
                <w:color w:val="auto"/>
              </w:rPr>
              <w:t>8-K</w:t>
            </w:r>
          </w:p>
        </w:tc>
        <w:tc>
          <w:tcPr>
            <w:tcW w:w="1220" w:type="dxa"/>
            <w:vAlign w:val="bottom"/>
          </w:tcPr>
          <w:p>
            <w:pPr>
              <w:spacing w:after="0"/>
              <w:rPr>
                <w:sz w:val="24"/>
                <w:szCs w:val="24"/>
                <w:color w:val="auto"/>
              </w:rPr>
            </w:pPr>
          </w:p>
        </w:tc>
        <w:tc>
          <w:tcPr>
            <w:tcW w:w="900" w:type="dxa"/>
            <w:vAlign w:val="bottom"/>
          </w:tcPr>
          <w:p>
            <w:pPr>
              <w:jc w:val="right"/>
              <w:ind w:right="210"/>
              <w:spacing w:after="0"/>
              <w:rPr>
                <w:sz w:val="20"/>
                <w:szCs w:val="20"/>
                <w:color w:val="auto"/>
              </w:rPr>
            </w:pPr>
            <w:r>
              <w:rPr>
                <w:rFonts w:ascii="Arial" w:cs="Arial" w:eastAsia="Arial" w:hAnsi="Arial"/>
                <w:sz w:val="18"/>
                <w:szCs w:val="18"/>
                <w:color w:val="auto"/>
              </w:rPr>
              <w:t>10.A</w:t>
            </w:r>
          </w:p>
        </w:tc>
        <w:tc>
          <w:tcPr>
            <w:tcW w:w="1020" w:type="dxa"/>
            <w:vAlign w:val="bottom"/>
          </w:tcPr>
          <w:p>
            <w:pPr>
              <w:jc w:val="right"/>
              <w:spacing w:after="0"/>
              <w:rPr>
                <w:sz w:val="20"/>
                <w:szCs w:val="20"/>
                <w:color w:val="auto"/>
              </w:rPr>
            </w:pPr>
            <w:r>
              <w:rPr>
                <w:rFonts w:ascii="Arial" w:cs="Arial" w:eastAsia="Arial" w:hAnsi="Arial"/>
                <w:sz w:val="18"/>
                <w:szCs w:val="18"/>
                <w:color w:val="auto"/>
              </w:rPr>
              <w:t>2/13/2007</w:t>
            </w:r>
          </w:p>
        </w:tc>
      </w:tr>
      <w:tr>
        <w:trPr>
          <w:trHeight w:val="457"/>
        </w:trPr>
        <w:tc>
          <w:tcPr>
            <w:tcW w:w="620" w:type="dxa"/>
            <w:vAlign w:val="bottom"/>
          </w:tcPr>
          <w:p>
            <w:pPr>
              <w:jc w:val="right"/>
              <w:ind w:right="170"/>
              <w:spacing w:after="0"/>
              <w:rPr>
                <w:sz w:val="20"/>
                <w:szCs w:val="20"/>
                <w:color w:val="auto"/>
              </w:rPr>
            </w:pPr>
            <w:r>
              <w:rPr>
                <w:rFonts w:ascii="Arial" w:cs="Arial" w:eastAsia="Arial" w:hAnsi="Arial"/>
                <w:sz w:val="18"/>
                <w:szCs w:val="18"/>
                <w:color w:val="auto"/>
                <w:w w:val="89"/>
              </w:rPr>
              <w:t>10-K</w:t>
            </w:r>
          </w:p>
        </w:tc>
        <w:tc>
          <w:tcPr>
            <w:tcW w:w="1220" w:type="dxa"/>
            <w:vAlign w:val="bottom"/>
          </w:tcPr>
          <w:p>
            <w:pPr>
              <w:jc w:val="right"/>
              <w:ind w:right="50"/>
              <w:spacing w:after="0"/>
              <w:rPr>
                <w:sz w:val="20"/>
                <w:szCs w:val="20"/>
                <w:color w:val="auto"/>
              </w:rPr>
            </w:pPr>
            <w:r>
              <w:rPr>
                <w:rFonts w:ascii="Arial" w:cs="Arial" w:eastAsia="Arial" w:hAnsi="Arial"/>
                <w:sz w:val="18"/>
                <w:szCs w:val="18"/>
                <w:color w:val="auto"/>
              </w:rPr>
              <w:t>12/31/2017</w:t>
            </w:r>
          </w:p>
        </w:tc>
        <w:tc>
          <w:tcPr>
            <w:tcW w:w="900" w:type="dxa"/>
            <w:vAlign w:val="bottom"/>
          </w:tcPr>
          <w:p>
            <w:pPr>
              <w:jc w:val="right"/>
              <w:ind w:right="210"/>
              <w:spacing w:after="0"/>
              <w:rPr>
                <w:sz w:val="20"/>
                <w:szCs w:val="20"/>
                <w:color w:val="auto"/>
              </w:rPr>
            </w:pPr>
            <w:r>
              <w:rPr>
                <w:rFonts w:ascii="Arial" w:cs="Arial" w:eastAsia="Arial" w:hAnsi="Arial"/>
                <w:sz w:val="18"/>
                <w:szCs w:val="18"/>
                <w:color w:val="auto"/>
              </w:rPr>
              <w:t>10.H1</w:t>
            </w:r>
          </w:p>
        </w:tc>
        <w:tc>
          <w:tcPr>
            <w:tcW w:w="1020" w:type="dxa"/>
            <w:vAlign w:val="bottom"/>
          </w:tcPr>
          <w:p>
            <w:pPr>
              <w:jc w:val="right"/>
              <w:spacing w:after="0"/>
              <w:rPr>
                <w:sz w:val="20"/>
                <w:szCs w:val="20"/>
                <w:color w:val="auto"/>
              </w:rPr>
            </w:pPr>
            <w:r>
              <w:rPr>
                <w:rFonts w:ascii="Arial" w:cs="Arial" w:eastAsia="Arial" w:hAnsi="Arial"/>
                <w:sz w:val="18"/>
                <w:szCs w:val="18"/>
                <w:color w:val="auto"/>
              </w:rPr>
              <w:t>2/28/2018</w:t>
            </w:r>
          </w:p>
        </w:tc>
      </w:tr>
      <w:tr>
        <w:trPr>
          <w:trHeight w:val="457"/>
        </w:trPr>
        <w:tc>
          <w:tcPr>
            <w:tcW w:w="620" w:type="dxa"/>
            <w:vAlign w:val="bottom"/>
          </w:tcPr>
          <w:p>
            <w:pPr>
              <w:jc w:val="right"/>
              <w:ind w:right="170"/>
              <w:spacing w:after="0"/>
              <w:rPr>
                <w:sz w:val="20"/>
                <w:szCs w:val="20"/>
                <w:color w:val="auto"/>
              </w:rPr>
            </w:pPr>
            <w:r>
              <w:rPr>
                <w:rFonts w:ascii="Arial" w:cs="Arial" w:eastAsia="Arial" w:hAnsi="Arial"/>
                <w:sz w:val="18"/>
                <w:szCs w:val="18"/>
                <w:color w:val="auto"/>
                <w:w w:val="89"/>
              </w:rPr>
              <w:t>10-K</w:t>
            </w:r>
          </w:p>
        </w:tc>
        <w:tc>
          <w:tcPr>
            <w:tcW w:w="1220" w:type="dxa"/>
            <w:vAlign w:val="bottom"/>
          </w:tcPr>
          <w:p>
            <w:pPr>
              <w:jc w:val="right"/>
              <w:ind w:right="50"/>
              <w:spacing w:after="0"/>
              <w:rPr>
                <w:sz w:val="20"/>
                <w:szCs w:val="20"/>
                <w:color w:val="auto"/>
              </w:rPr>
            </w:pPr>
            <w:r>
              <w:rPr>
                <w:rFonts w:ascii="Arial" w:cs="Arial" w:eastAsia="Arial" w:hAnsi="Arial"/>
                <w:sz w:val="18"/>
                <w:szCs w:val="18"/>
                <w:color w:val="auto"/>
              </w:rPr>
              <w:t>12/31/2008</w:t>
            </w:r>
          </w:p>
        </w:tc>
        <w:tc>
          <w:tcPr>
            <w:tcW w:w="900" w:type="dxa"/>
            <w:vAlign w:val="bottom"/>
          </w:tcPr>
          <w:p>
            <w:pPr>
              <w:jc w:val="right"/>
              <w:ind w:right="210"/>
              <w:spacing w:after="0"/>
              <w:rPr>
                <w:sz w:val="20"/>
                <w:szCs w:val="20"/>
                <w:color w:val="auto"/>
              </w:rPr>
            </w:pPr>
            <w:r>
              <w:rPr>
                <w:rFonts w:ascii="Arial" w:cs="Arial" w:eastAsia="Arial" w:hAnsi="Arial"/>
                <w:sz w:val="18"/>
                <w:szCs w:val="18"/>
                <w:color w:val="auto"/>
              </w:rPr>
              <w:t>10.1</w:t>
            </w:r>
          </w:p>
        </w:tc>
        <w:tc>
          <w:tcPr>
            <w:tcW w:w="1020" w:type="dxa"/>
            <w:vAlign w:val="bottom"/>
          </w:tcPr>
          <w:p>
            <w:pPr>
              <w:jc w:val="right"/>
              <w:spacing w:after="0"/>
              <w:rPr>
                <w:sz w:val="20"/>
                <w:szCs w:val="20"/>
                <w:color w:val="auto"/>
              </w:rPr>
            </w:pPr>
            <w:r>
              <w:rPr>
                <w:rFonts w:ascii="Arial" w:cs="Arial" w:eastAsia="Arial" w:hAnsi="Arial"/>
                <w:sz w:val="18"/>
                <w:szCs w:val="18"/>
                <w:color w:val="auto"/>
              </w:rPr>
              <w:t>2/27/2009</w:t>
            </w:r>
          </w:p>
        </w:tc>
      </w:tr>
      <w:tr>
        <w:trPr>
          <w:trHeight w:val="672"/>
        </w:trPr>
        <w:tc>
          <w:tcPr>
            <w:tcW w:w="620" w:type="dxa"/>
            <w:vAlign w:val="bottom"/>
          </w:tcPr>
          <w:p>
            <w:pPr>
              <w:jc w:val="right"/>
              <w:ind w:right="170"/>
              <w:spacing w:after="0"/>
              <w:rPr>
                <w:sz w:val="20"/>
                <w:szCs w:val="20"/>
                <w:color w:val="auto"/>
              </w:rPr>
            </w:pPr>
            <w:r>
              <w:rPr>
                <w:rFonts w:ascii="Arial" w:cs="Arial" w:eastAsia="Arial" w:hAnsi="Arial"/>
                <w:sz w:val="18"/>
                <w:szCs w:val="18"/>
                <w:color w:val="auto"/>
                <w:w w:val="89"/>
              </w:rPr>
              <w:t>10-K</w:t>
            </w:r>
          </w:p>
        </w:tc>
        <w:tc>
          <w:tcPr>
            <w:tcW w:w="1220" w:type="dxa"/>
            <w:vAlign w:val="bottom"/>
          </w:tcPr>
          <w:p>
            <w:pPr>
              <w:jc w:val="right"/>
              <w:ind w:right="50"/>
              <w:spacing w:after="0"/>
              <w:rPr>
                <w:sz w:val="20"/>
                <w:szCs w:val="20"/>
                <w:color w:val="auto"/>
              </w:rPr>
            </w:pPr>
            <w:r>
              <w:rPr>
                <w:rFonts w:ascii="Arial" w:cs="Arial" w:eastAsia="Arial" w:hAnsi="Arial"/>
                <w:sz w:val="18"/>
                <w:szCs w:val="18"/>
                <w:color w:val="auto"/>
              </w:rPr>
              <w:t>12/31/2015</w:t>
            </w:r>
          </w:p>
        </w:tc>
        <w:tc>
          <w:tcPr>
            <w:tcW w:w="900" w:type="dxa"/>
            <w:vAlign w:val="bottom"/>
          </w:tcPr>
          <w:p>
            <w:pPr>
              <w:jc w:val="right"/>
              <w:ind w:right="210"/>
              <w:spacing w:after="0"/>
              <w:rPr>
                <w:sz w:val="20"/>
                <w:szCs w:val="20"/>
                <w:color w:val="auto"/>
              </w:rPr>
            </w:pPr>
            <w:r>
              <w:rPr>
                <w:rFonts w:ascii="Arial" w:cs="Arial" w:eastAsia="Arial" w:hAnsi="Arial"/>
                <w:sz w:val="18"/>
                <w:szCs w:val="18"/>
                <w:color w:val="auto"/>
              </w:rPr>
              <w:t>10.K1</w:t>
            </w:r>
          </w:p>
        </w:tc>
        <w:tc>
          <w:tcPr>
            <w:tcW w:w="1020" w:type="dxa"/>
            <w:vAlign w:val="bottom"/>
          </w:tcPr>
          <w:p>
            <w:pPr>
              <w:jc w:val="right"/>
              <w:spacing w:after="0"/>
              <w:rPr>
                <w:sz w:val="20"/>
                <w:szCs w:val="20"/>
                <w:color w:val="auto"/>
              </w:rPr>
            </w:pPr>
            <w:r>
              <w:rPr>
                <w:rFonts w:ascii="Arial" w:cs="Arial" w:eastAsia="Arial" w:hAnsi="Arial"/>
                <w:sz w:val="18"/>
                <w:szCs w:val="18"/>
                <w:color w:val="auto"/>
              </w:rPr>
              <w:t>3/11/2016</w:t>
            </w:r>
          </w:p>
        </w:tc>
      </w:tr>
    </w:tbl>
    <w:p>
      <w:pPr>
        <w:spacing w:after="0" w:line="200" w:lineRule="exact"/>
        <w:rPr>
          <w:rFonts w:ascii="Arial" w:cs="Arial" w:eastAsia="Arial" w:hAnsi="Arial"/>
          <w:sz w:val="18"/>
          <w:szCs w:val="18"/>
          <w:color w:val="auto"/>
        </w:rPr>
      </w:pPr>
    </w:p>
    <w:p>
      <w:pPr>
        <w:spacing w:after="0" w:line="200" w:lineRule="exact"/>
        <w:rPr>
          <w:rFonts w:ascii="Arial" w:cs="Arial" w:eastAsia="Arial" w:hAnsi="Arial"/>
          <w:sz w:val="18"/>
          <w:szCs w:val="18"/>
          <w:color w:val="auto"/>
        </w:rPr>
      </w:pPr>
    </w:p>
    <w:p>
      <w:pPr>
        <w:spacing w:after="0" w:line="200" w:lineRule="exact"/>
        <w:rPr>
          <w:rFonts w:ascii="Arial" w:cs="Arial" w:eastAsia="Arial" w:hAnsi="Arial"/>
          <w:sz w:val="18"/>
          <w:szCs w:val="18"/>
          <w:color w:val="auto"/>
        </w:rPr>
      </w:pPr>
    </w:p>
    <w:p>
      <w:pPr>
        <w:spacing w:after="0" w:line="200" w:lineRule="exact"/>
        <w:rPr>
          <w:rFonts w:ascii="Arial" w:cs="Arial" w:eastAsia="Arial" w:hAnsi="Arial"/>
          <w:sz w:val="18"/>
          <w:szCs w:val="18"/>
          <w:color w:val="auto"/>
        </w:rPr>
      </w:pPr>
    </w:p>
    <w:p>
      <w:pPr>
        <w:spacing w:after="0" w:line="315" w:lineRule="exact"/>
        <w:rPr>
          <w:rFonts w:ascii="Arial" w:cs="Arial" w:eastAsia="Arial" w:hAnsi="Arial"/>
          <w:sz w:val="18"/>
          <w:szCs w:val="18"/>
          <w:color w:val="auto"/>
        </w:rPr>
      </w:pPr>
    </w:p>
    <w:tbl>
      <w:tblPr>
        <w:tblLayout w:type="fixed"/>
        <w:tblInd w:w="0" w:type="dxa"/>
        <w:tblCellMar>
          <w:top w:w="0" w:type="dxa"/>
          <w:left w:w="0" w:type="dxa"/>
          <w:bottom w:w="0" w:type="dxa"/>
          <w:right w:w="0" w:type="dxa"/>
        </w:tblCellMar>
      </w:tblPr>
      <w:tr>
        <w:trPr>
          <w:trHeight w:val="230"/>
        </w:trPr>
        <w:tc>
          <w:tcPr>
            <w:tcW w:w="620" w:type="dxa"/>
            <w:vAlign w:val="bottom"/>
          </w:tcPr>
          <w:p>
            <w:pPr>
              <w:spacing w:after="0"/>
              <w:rPr>
                <w:sz w:val="20"/>
                <w:szCs w:val="20"/>
                <w:color w:val="auto"/>
              </w:rPr>
            </w:pPr>
            <w:r>
              <w:rPr>
                <w:rFonts w:ascii="Arial" w:cs="Arial" w:eastAsia="Arial" w:hAnsi="Arial"/>
                <w:sz w:val="18"/>
                <w:szCs w:val="18"/>
                <w:color w:val="auto"/>
              </w:rPr>
              <w:t>10-K</w:t>
            </w:r>
          </w:p>
        </w:tc>
        <w:tc>
          <w:tcPr>
            <w:tcW w:w="1280" w:type="dxa"/>
            <w:vAlign w:val="bottom"/>
          </w:tcPr>
          <w:p>
            <w:pPr>
              <w:jc w:val="right"/>
              <w:ind w:right="110"/>
              <w:spacing w:after="0"/>
              <w:rPr>
                <w:sz w:val="20"/>
                <w:szCs w:val="20"/>
                <w:color w:val="auto"/>
              </w:rPr>
            </w:pPr>
            <w:r>
              <w:rPr>
                <w:rFonts w:ascii="Arial" w:cs="Arial" w:eastAsia="Arial" w:hAnsi="Arial"/>
                <w:sz w:val="18"/>
                <w:szCs w:val="18"/>
                <w:color w:val="auto"/>
              </w:rPr>
              <w:t>12/31/2017</w:t>
            </w:r>
          </w:p>
        </w:tc>
        <w:tc>
          <w:tcPr>
            <w:tcW w:w="840" w:type="dxa"/>
            <w:vAlign w:val="bottom"/>
          </w:tcPr>
          <w:p>
            <w:pPr>
              <w:jc w:val="right"/>
              <w:ind w:right="210"/>
              <w:spacing w:after="0"/>
              <w:rPr>
                <w:sz w:val="20"/>
                <w:szCs w:val="20"/>
                <w:color w:val="auto"/>
              </w:rPr>
            </w:pPr>
            <w:r>
              <w:rPr>
                <w:rFonts w:ascii="Arial" w:cs="Arial" w:eastAsia="Arial" w:hAnsi="Arial"/>
                <w:sz w:val="18"/>
                <w:szCs w:val="18"/>
                <w:color w:val="auto"/>
              </w:rPr>
              <w:t>21</w:t>
            </w:r>
          </w:p>
        </w:tc>
        <w:tc>
          <w:tcPr>
            <w:tcW w:w="1020" w:type="dxa"/>
            <w:vAlign w:val="bottom"/>
          </w:tcPr>
          <w:p>
            <w:pPr>
              <w:jc w:val="right"/>
              <w:spacing w:after="0"/>
              <w:rPr>
                <w:sz w:val="20"/>
                <w:szCs w:val="20"/>
                <w:color w:val="auto"/>
              </w:rPr>
            </w:pPr>
            <w:r>
              <w:rPr>
                <w:rFonts w:ascii="Arial" w:cs="Arial" w:eastAsia="Arial" w:hAnsi="Arial"/>
                <w:sz w:val="18"/>
                <w:szCs w:val="18"/>
                <w:color w:val="auto"/>
              </w:rPr>
              <w:t>2/28/2018</w:t>
            </w:r>
          </w:p>
        </w:tc>
      </w:tr>
      <w:tr>
        <w:trPr>
          <w:trHeight w:val="457"/>
        </w:trPr>
        <w:tc>
          <w:tcPr>
            <w:tcW w:w="620" w:type="dxa"/>
            <w:vAlign w:val="bottom"/>
          </w:tcPr>
          <w:p>
            <w:pPr>
              <w:spacing w:after="0"/>
              <w:rPr>
                <w:sz w:val="20"/>
                <w:szCs w:val="20"/>
                <w:color w:val="auto"/>
              </w:rPr>
            </w:pPr>
            <w:r>
              <w:rPr>
                <w:rFonts w:ascii="Arial" w:cs="Arial" w:eastAsia="Arial" w:hAnsi="Arial"/>
                <w:sz w:val="18"/>
                <w:szCs w:val="18"/>
                <w:color w:val="auto"/>
              </w:rPr>
              <w:t>10-K</w:t>
            </w:r>
          </w:p>
        </w:tc>
        <w:tc>
          <w:tcPr>
            <w:tcW w:w="1280" w:type="dxa"/>
            <w:vAlign w:val="bottom"/>
          </w:tcPr>
          <w:p>
            <w:pPr>
              <w:jc w:val="right"/>
              <w:ind w:right="110"/>
              <w:spacing w:after="0"/>
              <w:rPr>
                <w:sz w:val="20"/>
                <w:szCs w:val="20"/>
                <w:color w:val="auto"/>
              </w:rPr>
            </w:pPr>
            <w:r>
              <w:rPr>
                <w:rFonts w:ascii="Arial" w:cs="Arial" w:eastAsia="Arial" w:hAnsi="Arial"/>
                <w:sz w:val="18"/>
                <w:szCs w:val="18"/>
                <w:color w:val="auto"/>
              </w:rPr>
              <w:t>12/31/2017</w:t>
            </w:r>
          </w:p>
        </w:tc>
        <w:tc>
          <w:tcPr>
            <w:tcW w:w="840" w:type="dxa"/>
            <w:vAlign w:val="bottom"/>
          </w:tcPr>
          <w:p>
            <w:pPr>
              <w:jc w:val="right"/>
              <w:ind w:right="210"/>
              <w:spacing w:after="0"/>
              <w:rPr>
                <w:sz w:val="20"/>
                <w:szCs w:val="20"/>
                <w:color w:val="auto"/>
              </w:rPr>
            </w:pPr>
            <w:r>
              <w:rPr>
                <w:rFonts w:ascii="Arial" w:cs="Arial" w:eastAsia="Arial" w:hAnsi="Arial"/>
                <w:sz w:val="18"/>
                <w:szCs w:val="18"/>
                <w:color w:val="auto"/>
              </w:rPr>
              <w:t>23</w:t>
            </w:r>
          </w:p>
        </w:tc>
        <w:tc>
          <w:tcPr>
            <w:tcW w:w="1020" w:type="dxa"/>
            <w:vAlign w:val="bottom"/>
          </w:tcPr>
          <w:p>
            <w:pPr>
              <w:jc w:val="right"/>
              <w:spacing w:after="0"/>
              <w:rPr>
                <w:sz w:val="20"/>
                <w:szCs w:val="20"/>
                <w:color w:val="auto"/>
              </w:rPr>
            </w:pPr>
            <w:r>
              <w:rPr>
                <w:rFonts w:ascii="Arial" w:cs="Arial" w:eastAsia="Arial" w:hAnsi="Arial"/>
                <w:sz w:val="18"/>
                <w:szCs w:val="18"/>
                <w:color w:val="auto"/>
              </w:rPr>
              <w:t>2/28/2018</w:t>
            </w:r>
          </w:p>
        </w:tc>
      </w:tr>
      <w:tr>
        <w:trPr>
          <w:trHeight w:val="887"/>
        </w:trPr>
        <w:tc>
          <w:tcPr>
            <w:tcW w:w="620" w:type="dxa"/>
            <w:vAlign w:val="bottom"/>
          </w:tcPr>
          <w:p>
            <w:pPr>
              <w:spacing w:after="0"/>
              <w:rPr>
                <w:sz w:val="20"/>
                <w:szCs w:val="20"/>
                <w:color w:val="auto"/>
              </w:rPr>
            </w:pPr>
            <w:r>
              <w:rPr>
                <w:rFonts w:ascii="Arial" w:cs="Arial" w:eastAsia="Arial" w:hAnsi="Arial"/>
                <w:sz w:val="18"/>
                <w:szCs w:val="18"/>
                <w:color w:val="auto"/>
              </w:rPr>
              <w:t>10-K</w:t>
            </w:r>
          </w:p>
        </w:tc>
        <w:tc>
          <w:tcPr>
            <w:tcW w:w="1280" w:type="dxa"/>
            <w:vAlign w:val="bottom"/>
          </w:tcPr>
          <w:p>
            <w:pPr>
              <w:jc w:val="right"/>
              <w:ind w:right="110"/>
              <w:spacing w:after="0"/>
              <w:rPr>
                <w:sz w:val="20"/>
                <w:szCs w:val="20"/>
                <w:color w:val="auto"/>
              </w:rPr>
            </w:pPr>
            <w:r>
              <w:rPr>
                <w:rFonts w:ascii="Arial" w:cs="Arial" w:eastAsia="Arial" w:hAnsi="Arial"/>
                <w:sz w:val="18"/>
                <w:szCs w:val="18"/>
                <w:color w:val="auto"/>
              </w:rPr>
              <w:t>12/31/2017</w:t>
            </w:r>
          </w:p>
        </w:tc>
        <w:tc>
          <w:tcPr>
            <w:tcW w:w="840" w:type="dxa"/>
            <w:vAlign w:val="bottom"/>
          </w:tcPr>
          <w:p>
            <w:pPr>
              <w:jc w:val="right"/>
              <w:ind w:right="210"/>
              <w:spacing w:after="0"/>
              <w:rPr>
                <w:sz w:val="20"/>
                <w:szCs w:val="20"/>
                <w:color w:val="auto"/>
              </w:rPr>
            </w:pPr>
            <w:r>
              <w:rPr>
                <w:rFonts w:ascii="Arial" w:cs="Arial" w:eastAsia="Arial" w:hAnsi="Arial"/>
                <w:sz w:val="18"/>
                <w:szCs w:val="18"/>
                <w:color w:val="auto"/>
              </w:rPr>
              <w:t>24</w:t>
            </w:r>
          </w:p>
        </w:tc>
        <w:tc>
          <w:tcPr>
            <w:tcW w:w="1020" w:type="dxa"/>
            <w:vAlign w:val="bottom"/>
          </w:tcPr>
          <w:p>
            <w:pPr>
              <w:jc w:val="right"/>
              <w:spacing w:after="0"/>
              <w:rPr>
                <w:sz w:val="20"/>
                <w:szCs w:val="20"/>
                <w:color w:val="auto"/>
              </w:rPr>
            </w:pPr>
            <w:r>
              <w:rPr>
                <w:rFonts w:ascii="Arial" w:cs="Arial" w:eastAsia="Arial" w:hAnsi="Arial"/>
                <w:sz w:val="18"/>
                <w:szCs w:val="18"/>
                <w:color w:val="auto"/>
              </w:rPr>
              <w:t>2/28/2018</w:t>
            </w:r>
          </w:p>
        </w:tc>
      </w:tr>
      <w:tr>
        <w:trPr>
          <w:trHeight w:val="457"/>
        </w:trPr>
        <w:tc>
          <w:tcPr>
            <w:tcW w:w="620" w:type="dxa"/>
            <w:vAlign w:val="bottom"/>
          </w:tcPr>
          <w:p>
            <w:pPr>
              <w:spacing w:after="0"/>
              <w:rPr>
                <w:sz w:val="20"/>
                <w:szCs w:val="20"/>
                <w:color w:val="auto"/>
              </w:rPr>
            </w:pPr>
            <w:r>
              <w:rPr>
                <w:rFonts w:ascii="Arial" w:cs="Arial" w:eastAsia="Arial" w:hAnsi="Arial"/>
                <w:sz w:val="18"/>
                <w:szCs w:val="18"/>
                <w:color w:val="auto"/>
              </w:rPr>
              <w:t>10-K</w:t>
            </w:r>
          </w:p>
        </w:tc>
        <w:tc>
          <w:tcPr>
            <w:tcW w:w="1280" w:type="dxa"/>
            <w:vAlign w:val="bottom"/>
          </w:tcPr>
          <w:p>
            <w:pPr>
              <w:jc w:val="right"/>
              <w:ind w:right="110"/>
              <w:spacing w:after="0"/>
              <w:rPr>
                <w:sz w:val="20"/>
                <w:szCs w:val="20"/>
                <w:color w:val="auto"/>
              </w:rPr>
            </w:pPr>
            <w:r>
              <w:rPr>
                <w:rFonts w:ascii="Arial" w:cs="Arial" w:eastAsia="Arial" w:hAnsi="Arial"/>
                <w:sz w:val="18"/>
                <w:szCs w:val="18"/>
                <w:color w:val="auto"/>
              </w:rPr>
              <w:t>12/31/2017</w:t>
            </w:r>
          </w:p>
        </w:tc>
        <w:tc>
          <w:tcPr>
            <w:tcW w:w="840" w:type="dxa"/>
            <w:vAlign w:val="bottom"/>
          </w:tcPr>
          <w:p>
            <w:pPr>
              <w:jc w:val="right"/>
              <w:ind w:right="210"/>
              <w:spacing w:after="0"/>
              <w:rPr>
                <w:sz w:val="20"/>
                <w:szCs w:val="20"/>
                <w:color w:val="auto"/>
              </w:rPr>
            </w:pPr>
            <w:r>
              <w:rPr>
                <w:rFonts w:ascii="Arial" w:cs="Arial" w:eastAsia="Arial" w:hAnsi="Arial"/>
                <w:sz w:val="18"/>
                <w:szCs w:val="18"/>
                <w:color w:val="auto"/>
              </w:rPr>
              <w:t>31.1</w:t>
            </w:r>
          </w:p>
        </w:tc>
        <w:tc>
          <w:tcPr>
            <w:tcW w:w="1020" w:type="dxa"/>
            <w:vAlign w:val="bottom"/>
          </w:tcPr>
          <w:p>
            <w:pPr>
              <w:jc w:val="right"/>
              <w:spacing w:after="0"/>
              <w:rPr>
                <w:sz w:val="20"/>
                <w:szCs w:val="20"/>
                <w:color w:val="auto"/>
              </w:rPr>
            </w:pPr>
            <w:r>
              <w:rPr>
                <w:rFonts w:ascii="Arial" w:cs="Arial" w:eastAsia="Arial" w:hAnsi="Arial"/>
                <w:sz w:val="18"/>
                <w:szCs w:val="18"/>
                <w:color w:val="auto"/>
              </w:rPr>
              <w:t>2/28/2018</w:t>
            </w:r>
          </w:p>
        </w:tc>
      </w:tr>
    </w:tbl>
    <w:p>
      <w:pPr>
        <w:spacing w:after="0" w:line="200" w:lineRule="exact"/>
        <w:rPr>
          <w:rFonts w:ascii="Arial" w:cs="Arial" w:eastAsia="Arial" w:hAnsi="Arial"/>
          <w:sz w:val="18"/>
          <w:szCs w:val="18"/>
          <w:color w:val="auto"/>
        </w:rPr>
      </w:pPr>
    </w:p>
    <w:p>
      <w:pPr>
        <w:spacing w:after="0" w:line="200" w:lineRule="exact"/>
        <w:rPr>
          <w:rFonts w:ascii="Arial" w:cs="Arial" w:eastAsia="Arial" w:hAnsi="Arial"/>
          <w:sz w:val="18"/>
          <w:szCs w:val="18"/>
          <w:color w:val="auto"/>
        </w:rPr>
      </w:pPr>
    </w:p>
    <w:p>
      <w:pPr>
        <w:spacing w:after="0" w:line="200" w:lineRule="exact"/>
        <w:rPr>
          <w:rFonts w:ascii="Arial" w:cs="Arial" w:eastAsia="Arial" w:hAnsi="Arial"/>
          <w:sz w:val="18"/>
          <w:szCs w:val="18"/>
          <w:color w:val="auto"/>
        </w:rPr>
      </w:pPr>
    </w:p>
    <w:p>
      <w:pPr>
        <w:spacing w:after="0" w:line="200" w:lineRule="exact"/>
        <w:rPr>
          <w:rFonts w:ascii="Arial" w:cs="Arial" w:eastAsia="Arial" w:hAnsi="Arial"/>
          <w:sz w:val="18"/>
          <w:szCs w:val="18"/>
          <w:color w:val="auto"/>
        </w:rPr>
      </w:pPr>
    </w:p>
    <w:p>
      <w:pPr>
        <w:spacing w:after="0" w:line="315" w:lineRule="exact"/>
        <w:rPr>
          <w:rFonts w:ascii="Arial" w:cs="Arial" w:eastAsia="Arial" w:hAnsi="Arial"/>
          <w:sz w:val="18"/>
          <w:szCs w:val="18"/>
          <w:color w:val="auto"/>
        </w:rPr>
      </w:pPr>
    </w:p>
    <w:p>
      <w:pPr>
        <w:spacing w:after="0"/>
        <w:tabs>
          <w:tab w:leader="none" w:pos="860" w:val="left"/>
          <w:tab w:leader="none" w:pos="2100" w:val="left"/>
          <w:tab w:leader="none" w:pos="3020" w:val="left"/>
        </w:tabs>
        <w:rPr>
          <w:sz w:val="20"/>
          <w:szCs w:val="20"/>
          <w:color w:val="auto"/>
        </w:rPr>
      </w:pPr>
      <w:r>
        <w:rPr>
          <w:rFonts w:ascii="Arial" w:cs="Arial" w:eastAsia="Arial" w:hAnsi="Arial"/>
          <w:sz w:val="18"/>
          <w:szCs w:val="18"/>
          <w:color w:val="auto"/>
        </w:rPr>
        <w:t>10-K</w:t>
      </w:r>
      <w:r>
        <w:rPr>
          <w:sz w:val="20"/>
          <w:szCs w:val="20"/>
          <w:color w:val="auto"/>
        </w:rPr>
        <w:tab/>
      </w:r>
      <w:r>
        <w:rPr>
          <w:rFonts w:ascii="Arial" w:cs="Arial" w:eastAsia="Arial" w:hAnsi="Arial"/>
          <w:sz w:val="18"/>
          <w:szCs w:val="18"/>
          <w:color w:val="auto"/>
        </w:rPr>
        <w:t>12/31/2017</w:t>
      </w:r>
      <w:r>
        <w:rPr>
          <w:sz w:val="20"/>
          <w:szCs w:val="20"/>
          <w:color w:val="auto"/>
        </w:rPr>
        <w:tab/>
      </w:r>
      <w:r>
        <w:rPr>
          <w:rFonts w:ascii="Arial" w:cs="Arial" w:eastAsia="Arial" w:hAnsi="Arial"/>
          <w:sz w:val="18"/>
          <w:szCs w:val="18"/>
          <w:color w:val="auto"/>
        </w:rPr>
        <w:t>31.2</w:t>
      </w:r>
      <w:r>
        <w:rPr>
          <w:sz w:val="20"/>
          <w:szCs w:val="20"/>
          <w:color w:val="auto"/>
        </w:rPr>
        <w:tab/>
      </w:r>
      <w:r>
        <w:rPr>
          <w:rFonts w:ascii="Arial" w:cs="Arial" w:eastAsia="Arial" w:hAnsi="Arial"/>
          <w:sz w:val="16"/>
          <w:szCs w:val="16"/>
          <w:color w:val="auto"/>
        </w:rPr>
        <w:t>2/28/2018</w:t>
      </w:r>
    </w:p>
    <w:p>
      <w:pPr>
        <w:spacing w:after="0" w:line="200" w:lineRule="exact"/>
        <w:rPr>
          <w:rFonts w:ascii="Arial" w:cs="Arial" w:eastAsia="Arial" w:hAnsi="Arial"/>
          <w:sz w:val="18"/>
          <w:szCs w:val="18"/>
          <w:color w:val="auto"/>
        </w:rPr>
      </w:pPr>
    </w:p>
    <w:p>
      <w:pPr>
        <w:spacing w:after="0" w:line="200" w:lineRule="exact"/>
        <w:rPr>
          <w:rFonts w:ascii="Arial" w:cs="Arial" w:eastAsia="Arial" w:hAnsi="Arial"/>
          <w:sz w:val="18"/>
          <w:szCs w:val="18"/>
          <w:color w:val="auto"/>
        </w:rPr>
      </w:pPr>
    </w:p>
    <w:p>
      <w:pPr>
        <w:spacing w:after="0" w:line="200" w:lineRule="exact"/>
        <w:rPr>
          <w:rFonts w:ascii="Arial" w:cs="Arial" w:eastAsia="Arial" w:hAnsi="Arial"/>
          <w:sz w:val="18"/>
          <w:szCs w:val="18"/>
          <w:color w:val="auto"/>
        </w:rPr>
      </w:pPr>
    </w:p>
    <w:p>
      <w:pPr>
        <w:spacing w:after="0" w:line="200" w:lineRule="exact"/>
        <w:rPr>
          <w:rFonts w:ascii="Arial" w:cs="Arial" w:eastAsia="Arial" w:hAnsi="Arial"/>
          <w:sz w:val="18"/>
          <w:szCs w:val="18"/>
          <w:color w:val="auto"/>
        </w:rPr>
      </w:pPr>
    </w:p>
    <w:p>
      <w:pPr>
        <w:spacing w:after="0" w:line="337" w:lineRule="exact"/>
        <w:rPr>
          <w:rFonts w:ascii="Arial" w:cs="Arial" w:eastAsia="Arial" w:hAnsi="Arial"/>
          <w:sz w:val="18"/>
          <w:szCs w:val="18"/>
          <w:color w:val="auto"/>
        </w:rPr>
      </w:pPr>
    </w:p>
    <w:p>
      <w:pPr>
        <w:spacing w:after="0"/>
        <w:tabs>
          <w:tab w:leader="none" w:pos="860" w:val="left"/>
          <w:tab w:leader="none" w:pos="2100" w:val="left"/>
          <w:tab w:leader="none" w:pos="3020" w:val="left"/>
        </w:tabs>
        <w:rPr>
          <w:sz w:val="20"/>
          <w:szCs w:val="20"/>
          <w:color w:val="auto"/>
        </w:rPr>
      </w:pPr>
      <w:r>
        <w:rPr>
          <w:rFonts w:ascii="Arial" w:cs="Arial" w:eastAsia="Arial" w:hAnsi="Arial"/>
          <w:sz w:val="18"/>
          <w:szCs w:val="18"/>
          <w:color w:val="auto"/>
        </w:rPr>
        <w:t>10-K</w:t>
      </w:r>
      <w:r>
        <w:rPr>
          <w:sz w:val="20"/>
          <w:szCs w:val="20"/>
          <w:color w:val="auto"/>
        </w:rPr>
        <w:tab/>
      </w:r>
      <w:r>
        <w:rPr>
          <w:rFonts w:ascii="Arial" w:cs="Arial" w:eastAsia="Arial" w:hAnsi="Arial"/>
          <w:sz w:val="18"/>
          <w:szCs w:val="18"/>
          <w:color w:val="auto"/>
        </w:rPr>
        <w:t>12/31/2017</w:t>
      </w:r>
      <w:r>
        <w:rPr>
          <w:sz w:val="20"/>
          <w:szCs w:val="20"/>
          <w:color w:val="auto"/>
        </w:rPr>
        <w:tab/>
      </w:r>
      <w:r>
        <w:rPr>
          <w:rFonts w:ascii="Arial" w:cs="Arial" w:eastAsia="Arial" w:hAnsi="Arial"/>
          <w:sz w:val="18"/>
          <w:szCs w:val="18"/>
          <w:color w:val="auto"/>
        </w:rPr>
        <w:t>32.1</w:t>
      </w:r>
      <w:r>
        <w:rPr>
          <w:sz w:val="20"/>
          <w:szCs w:val="20"/>
          <w:color w:val="auto"/>
        </w:rPr>
        <w:tab/>
      </w:r>
      <w:r>
        <w:rPr>
          <w:rFonts w:ascii="Arial" w:cs="Arial" w:eastAsia="Arial" w:hAnsi="Arial"/>
          <w:sz w:val="16"/>
          <w:szCs w:val="16"/>
          <w:color w:val="auto"/>
        </w:rPr>
        <w:t>2/28/2018</w:t>
      </w:r>
    </w:p>
    <w:p>
      <w:pPr>
        <w:sectPr>
          <w:pgSz w:w="11900" w:h="16838" w:orient="portrait"/>
          <w:cols w:equalWidth="0" w:num="2">
            <w:col w:w="7200" w:space="440"/>
            <w:col w:w="3760"/>
          </w:cols>
          <w:pgMar w:left="240" w:top="336" w:right="259" w:bottom="1440" w:gutter="0" w:footer="0" w:header="0"/>
        </w:sectPr>
      </w:pPr>
    </w:p>
    <w:bookmarkStart w:id="45" w:name="page46"/>
    <w:bookmarkEnd w:id="45"/>
    <w:tbl>
      <w:tblPr>
        <w:tblLayout w:type="fixed"/>
        <w:tblInd w:w="0" w:type="dxa"/>
        <w:tblCellMar>
          <w:top w:w="0" w:type="dxa"/>
          <w:left w:w="0" w:type="dxa"/>
          <w:bottom w:w="0" w:type="dxa"/>
          <w:right w:w="0" w:type="dxa"/>
        </w:tblCellMar>
      </w:tblPr>
      <w:tr>
        <w:trPr>
          <w:trHeight w:val="230"/>
        </w:trPr>
        <w:tc>
          <w:tcPr>
            <w:tcW w:w="840" w:type="dxa"/>
            <w:vAlign w:val="bottom"/>
          </w:tcPr>
          <w:p>
            <w:pPr>
              <w:spacing w:after="0"/>
              <w:rPr>
                <w:sz w:val="20"/>
                <w:szCs w:val="20"/>
                <w:color w:val="auto"/>
              </w:rPr>
            </w:pPr>
            <w:r>
              <w:rPr>
                <w:rFonts w:ascii="Arial" w:cs="Arial" w:eastAsia="Arial" w:hAnsi="Arial"/>
                <w:sz w:val="18"/>
                <w:szCs w:val="18"/>
                <w:color w:val="auto"/>
              </w:rPr>
              <w:t>101.DEF</w:t>
            </w:r>
          </w:p>
        </w:tc>
        <w:tc>
          <w:tcPr>
            <w:tcW w:w="5100" w:type="dxa"/>
            <w:vAlign w:val="bottom"/>
            <w:gridSpan w:val="2"/>
          </w:tcPr>
          <w:p>
            <w:pPr>
              <w:ind w:left="160"/>
              <w:spacing w:after="0"/>
              <w:rPr>
                <w:sz w:val="20"/>
                <w:szCs w:val="20"/>
                <w:color w:val="auto"/>
              </w:rPr>
            </w:pPr>
            <w:r>
              <w:rPr>
                <w:rFonts w:ascii="Arial" w:cs="Arial" w:eastAsia="Arial" w:hAnsi="Arial"/>
                <w:sz w:val="18"/>
                <w:szCs w:val="18"/>
                <w:color w:val="auto"/>
                <w:w w:val="92"/>
              </w:rPr>
              <w:t>*XBRL Taxonomy Extension Definition Linkbase Document.</w:t>
            </w:r>
          </w:p>
        </w:tc>
      </w:tr>
      <w:tr>
        <w:trPr>
          <w:trHeight w:val="457"/>
        </w:trPr>
        <w:tc>
          <w:tcPr>
            <w:tcW w:w="840" w:type="dxa"/>
            <w:vAlign w:val="bottom"/>
          </w:tcPr>
          <w:p>
            <w:pPr>
              <w:spacing w:after="0"/>
              <w:rPr>
                <w:sz w:val="20"/>
                <w:szCs w:val="20"/>
                <w:color w:val="auto"/>
              </w:rPr>
            </w:pPr>
            <w:r>
              <w:rPr>
                <w:rFonts w:ascii="Arial" w:cs="Arial" w:eastAsia="Arial" w:hAnsi="Arial"/>
                <w:sz w:val="18"/>
                <w:szCs w:val="18"/>
                <w:color w:val="auto"/>
              </w:rPr>
              <w:t>101.LAB</w:t>
            </w:r>
          </w:p>
        </w:tc>
        <w:tc>
          <w:tcPr>
            <w:tcW w:w="420" w:type="dxa"/>
            <w:vAlign w:val="bottom"/>
          </w:tcPr>
          <w:p>
            <w:pPr>
              <w:ind w:left="160"/>
              <w:spacing w:after="0"/>
              <w:rPr>
                <w:sz w:val="20"/>
                <w:szCs w:val="20"/>
                <w:color w:val="auto"/>
              </w:rPr>
            </w:pPr>
            <w:r>
              <w:rPr>
                <w:rFonts w:ascii="Arial" w:cs="Arial" w:eastAsia="Arial" w:hAnsi="Arial"/>
                <w:sz w:val="18"/>
                <w:szCs w:val="18"/>
                <w:color w:val="auto"/>
              </w:rPr>
              <w:t>*</w:t>
            </w:r>
          </w:p>
        </w:tc>
        <w:tc>
          <w:tcPr>
            <w:tcW w:w="4680" w:type="dxa"/>
            <w:vAlign w:val="bottom"/>
          </w:tcPr>
          <w:p>
            <w:pPr>
              <w:ind w:left="160"/>
              <w:spacing w:after="0"/>
              <w:rPr>
                <w:sz w:val="20"/>
                <w:szCs w:val="20"/>
                <w:color w:val="auto"/>
              </w:rPr>
            </w:pPr>
            <w:r>
              <w:rPr>
                <w:rFonts w:ascii="Arial" w:cs="Arial" w:eastAsia="Arial" w:hAnsi="Arial"/>
                <w:sz w:val="18"/>
                <w:szCs w:val="18"/>
                <w:color w:val="auto"/>
              </w:rPr>
              <w:t>XBRL Taxonomy Extension Label Linkbase Document.</w:t>
            </w:r>
          </w:p>
        </w:tc>
      </w:tr>
      <w:tr>
        <w:trPr>
          <w:trHeight w:val="457"/>
        </w:trPr>
        <w:tc>
          <w:tcPr>
            <w:tcW w:w="840" w:type="dxa"/>
            <w:vAlign w:val="bottom"/>
          </w:tcPr>
          <w:p>
            <w:pPr>
              <w:spacing w:after="0"/>
              <w:rPr>
                <w:sz w:val="20"/>
                <w:szCs w:val="20"/>
                <w:color w:val="auto"/>
              </w:rPr>
            </w:pPr>
            <w:r>
              <w:rPr>
                <w:rFonts w:ascii="Arial" w:cs="Arial" w:eastAsia="Arial" w:hAnsi="Arial"/>
                <w:sz w:val="18"/>
                <w:szCs w:val="18"/>
                <w:color w:val="auto"/>
              </w:rPr>
              <w:t>101.PRE</w:t>
            </w:r>
          </w:p>
        </w:tc>
        <w:tc>
          <w:tcPr>
            <w:tcW w:w="420" w:type="dxa"/>
            <w:vAlign w:val="bottom"/>
          </w:tcPr>
          <w:p>
            <w:pPr>
              <w:ind w:left="160"/>
              <w:spacing w:after="0"/>
              <w:rPr>
                <w:sz w:val="20"/>
                <w:szCs w:val="20"/>
                <w:color w:val="auto"/>
              </w:rPr>
            </w:pPr>
            <w:r>
              <w:rPr>
                <w:rFonts w:ascii="Arial" w:cs="Arial" w:eastAsia="Arial" w:hAnsi="Arial"/>
                <w:sz w:val="18"/>
                <w:szCs w:val="18"/>
                <w:color w:val="auto"/>
              </w:rPr>
              <w:t>*</w:t>
            </w:r>
          </w:p>
        </w:tc>
        <w:tc>
          <w:tcPr>
            <w:tcW w:w="4680" w:type="dxa"/>
            <w:vAlign w:val="bottom"/>
          </w:tcPr>
          <w:p>
            <w:pPr>
              <w:ind w:left="160"/>
              <w:spacing w:after="0"/>
              <w:rPr>
                <w:sz w:val="20"/>
                <w:szCs w:val="20"/>
                <w:color w:val="auto"/>
              </w:rPr>
            </w:pPr>
            <w:r>
              <w:rPr>
                <w:rFonts w:ascii="Arial" w:cs="Arial" w:eastAsia="Arial" w:hAnsi="Arial"/>
                <w:sz w:val="18"/>
                <w:szCs w:val="18"/>
                <w:color w:val="auto"/>
                <w:w w:val="90"/>
              </w:rPr>
              <w:t>XBRL Taxonomy Extension Presentation Linkbase Document.</w:t>
            </w:r>
          </w:p>
        </w:tc>
      </w:tr>
    </w:tbl>
    <w:p>
      <w:pPr>
        <w:spacing w:after="0" w:line="106" w:lineRule="exact"/>
        <w:rPr>
          <w:sz w:val="20"/>
          <w:szCs w:val="20"/>
          <w:color w:val="auto"/>
        </w:rPr>
      </w:pPr>
    </w:p>
    <w:p>
      <w:pPr>
        <w:ind w:left="380" w:hanging="372"/>
        <w:spacing w:after="0"/>
        <w:tabs>
          <w:tab w:leader="none" w:pos="380" w:val="left"/>
        </w:tabs>
        <w:numPr>
          <w:ilvl w:val="0"/>
          <w:numId w:val="35"/>
        </w:numPr>
        <w:rPr>
          <w:rFonts w:ascii="Arial" w:cs="Arial" w:eastAsia="Arial" w:hAnsi="Arial"/>
          <w:sz w:val="18"/>
          <w:szCs w:val="18"/>
          <w:color w:val="auto"/>
        </w:rPr>
      </w:pPr>
      <w:r>
        <w:rPr>
          <w:rFonts w:ascii="Arial" w:cs="Arial" w:eastAsia="Arial" w:hAnsi="Arial"/>
          <w:sz w:val="18"/>
          <w:szCs w:val="18"/>
          <w:color w:val="auto"/>
        </w:rPr>
        <w:t>Filed herewith.</w:t>
      </w:r>
    </w:p>
    <w:p>
      <w:pPr>
        <w:spacing w:after="0" w:line="23" w:lineRule="exact"/>
        <w:rPr>
          <w:sz w:val="20"/>
          <w:szCs w:val="20"/>
          <w:color w:val="auto"/>
        </w:rPr>
      </w:pPr>
    </w:p>
    <w:p>
      <w:pPr>
        <w:ind w:left="380" w:hanging="372"/>
        <w:spacing w:after="0"/>
        <w:tabs>
          <w:tab w:leader="none" w:pos="380" w:val="left"/>
        </w:tabs>
        <w:numPr>
          <w:ilvl w:val="0"/>
          <w:numId w:val="36"/>
        </w:numPr>
        <w:rPr>
          <w:rFonts w:ascii="Arial" w:cs="Arial" w:eastAsia="Arial" w:hAnsi="Arial"/>
          <w:sz w:val="18"/>
          <w:szCs w:val="18"/>
          <w:color w:val="auto"/>
        </w:rPr>
      </w:pPr>
      <w:r>
        <w:rPr>
          <w:rFonts w:ascii="Arial" w:cs="Arial" w:eastAsia="Arial" w:hAnsi="Arial"/>
          <w:sz w:val="18"/>
          <w:szCs w:val="18"/>
          <w:color w:val="auto"/>
        </w:rPr>
        <w:t>Furnished herewith.</w:t>
      </w:r>
    </w:p>
    <w:p>
      <w:pPr>
        <w:spacing w:after="0" w:line="8" w:lineRule="exact"/>
        <w:rPr>
          <w:sz w:val="20"/>
          <w:szCs w:val="20"/>
          <w:color w:val="auto"/>
        </w:rPr>
      </w:pPr>
    </w:p>
    <w:p>
      <w:pPr>
        <w:ind w:left="380" w:hanging="372"/>
        <w:spacing w:after="0"/>
        <w:tabs>
          <w:tab w:leader="none" w:pos="380" w:val="left"/>
        </w:tabs>
        <w:numPr>
          <w:ilvl w:val="0"/>
          <w:numId w:val="37"/>
        </w:numPr>
        <w:rPr>
          <w:rFonts w:ascii="Arial" w:cs="Arial" w:eastAsia="Arial" w:hAnsi="Arial"/>
          <w:sz w:val="18"/>
          <w:szCs w:val="18"/>
          <w:color w:val="auto"/>
        </w:rPr>
      </w:pPr>
      <w:r>
        <w:rPr>
          <w:rFonts w:ascii="Arial" w:cs="Arial" w:eastAsia="Arial" w:hAnsi="Arial"/>
          <w:sz w:val="18"/>
          <w:szCs w:val="18"/>
          <w:color w:val="auto"/>
        </w:rPr>
        <w:t>Management contract or compensation plan or arrangement.</w:t>
      </w:r>
    </w:p>
    <w:p>
      <w:pPr>
        <w:spacing w:after="0" w:line="8" w:lineRule="exact"/>
        <w:rPr>
          <w:sz w:val="20"/>
          <w:szCs w:val="20"/>
          <w:color w:val="auto"/>
        </w:rPr>
      </w:pPr>
    </w:p>
    <w:p>
      <w:pPr>
        <w:ind w:left="380" w:hanging="372"/>
        <w:spacing w:after="0"/>
        <w:tabs>
          <w:tab w:leader="none" w:pos="380" w:val="left"/>
        </w:tabs>
        <w:numPr>
          <w:ilvl w:val="0"/>
          <w:numId w:val="38"/>
        </w:numPr>
        <w:rPr>
          <w:rFonts w:ascii="Arial" w:cs="Arial" w:eastAsia="Arial" w:hAnsi="Arial"/>
          <w:sz w:val="16"/>
          <w:szCs w:val="16"/>
          <w:color w:val="auto"/>
        </w:rPr>
      </w:pPr>
      <w:r>
        <w:rPr>
          <w:rFonts w:ascii="Arial" w:cs="Arial" w:eastAsia="Arial" w:hAnsi="Arial"/>
          <w:sz w:val="16"/>
          <w:szCs w:val="16"/>
          <w:color w:val="auto"/>
        </w:rPr>
        <w:t>A signed original of this written statement has been provided to Viad Corp and will be retained by Viad Corp and furnished to the SEC upon request.</w:t>
      </w:r>
    </w:p>
    <w:p>
      <w:pPr>
        <w:spacing w:after="0" w:line="200" w:lineRule="exact"/>
        <w:rPr>
          <w:rFonts w:ascii="Arial" w:cs="Arial" w:eastAsia="Arial" w:hAnsi="Arial"/>
          <w:sz w:val="16"/>
          <w:szCs w:val="16"/>
          <w:color w:val="auto"/>
        </w:rPr>
      </w:pPr>
    </w:p>
    <w:p>
      <w:pPr>
        <w:spacing w:after="0" w:line="233" w:lineRule="exact"/>
        <w:rPr>
          <w:rFonts w:ascii="Arial" w:cs="Arial" w:eastAsia="Arial" w:hAnsi="Arial"/>
          <w:sz w:val="16"/>
          <w:szCs w:val="16"/>
          <w:color w:val="auto"/>
        </w:rPr>
      </w:pPr>
    </w:p>
    <w:p>
      <w:pPr>
        <w:ind w:left="5620"/>
        <w:spacing w:after="0"/>
        <w:rPr>
          <w:rFonts w:ascii="Arial" w:cs="Arial" w:eastAsia="Arial" w:hAnsi="Arial"/>
          <w:sz w:val="16"/>
          <w:szCs w:val="16"/>
          <w:color w:val="auto"/>
        </w:rPr>
      </w:pPr>
      <w:r>
        <w:rPr>
          <w:rFonts w:ascii="Arial" w:cs="Arial" w:eastAsia="Arial" w:hAnsi="Arial"/>
          <w:sz w:val="18"/>
          <w:szCs w:val="18"/>
          <w:color w:val="auto"/>
        </w:rPr>
        <w:t>44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69850</wp:posOffset>
            </wp:positionV>
            <wp:extent cx="7289800" cy="4254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42">
                      <a:extLst>
                        <a:ext uri="{28A0092B-C50C-407E-A947-70E740481C1C}"/>
                      </a:extLst>
                    </a:blip>
                    <a:srcRect/>
                    <a:stretch>
                      <a:fillRect/>
                    </a:stretch>
                  </pic:blipFill>
                  <pic:spPr bwMode="auto">
                    <a:xfrm>
                      <a:off x="0" y="0"/>
                      <a:ext cx="7289800" cy="42545"/>
                    </a:xfrm>
                    <a:prstGeom prst="rect">
                      <a:avLst/>
                    </a:prstGeom>
                    <a:noFill/>
                  </pic:spPr>
                </pic:pic>
              </a:graphicData>
            </a:graphic>
          </wp:anchor>
        </w:drawing>
      </w:r>
    </w:p>
    <w:p>
      <w:pPr>
        <w:sectPr>
          <w:pgSz w:w="11900" w:h="16838" w:orient="portrait"/>
          <w:cols w:equalWidth="0" w:num="1">
            <w:col w:w="11060"/>
          </w:cols>
          <w:pgMar w:left="240" w:top="354" w:right="599" w:bottom="1440" w:gutter="0" w:footer="0" w:header="0"/>
        </w:sectPr>
      </w:pPr>
    </w:p>
    <w:bookmarkStart w:id="46" w:name="page47"/>
    <w:bookmarkEnd w:id="46"/>
    <w:p>
      <w:pPr>
        <w:jc w:val="center"/>
        <w:ind w:right="-19"/>
        <w:spacing w:after="0"/>
        <w:rPr>
          <w:sz w:val="20"/>
          <w:szCs w:val="20"/>
          <w:color w:val="auto"/>
        </w:rPr>
      </w:pPr>
      <w:r>
        <w:rPr>
          <w:rFonts w:ascii="Arial" w:cs="Arial" w:eastAsia="Arial" w:hAnsi="Arial"/>
          <w:sz w:val="18"/>
          <w:szCs w:val="18"/>
          <w:b w:val="1"/>
          <w:bCs w:val="1"/>
          <w:color w:val="auto"/>
        </w:rPr>
        <w:t>SIGNATURES</w:t>
      </w:r>
    </w:p>
    <w:p>
      <w:pPr>
        <w:spacing w:after="0" w:line="227" w:lineRule="exact"/>
        <w:rPr>
          <w:sz w:val="20"/>
          <w:szCs w:val="20"/>
          <w:color w:val="auto"/>
        </w:rPr>
      </w:pPr>
    </w:p>
    <w:p>
      <w:pPr>
        <w:spacing w:after="0" w:line="275" w:lineRule="auto"/>
        <w:rPr>
          <w:sz w:val="20"/>
          <w:szCs w:val="20"/>
          <w:color w:val="auto"/>
        </w:rPr>
      </w:pPr>
      <w:r>
        <w:rPr>
          <w:rFonts w:ascii="Arial" w:cs="Arial" w:eastAsia="Arial" w:hAnsi="Arial"/>
          <w:sz w:val="18"/>
          <w:szCs w:val="18"/>
          <w:color w:val="auto"/>
        </w:rPr>
        <w:t>Pursuant to the requirements of Section 13 or 15(d) of the Securities Exchange Act of 1934, the registrant has duly caused this report to be signed on its behalf by the undersigned, thereunto duly authorized.</w:t>
      </w:r>
    </w:p>
    <w:p>
      <w:pPr>
        <w:spacing w:after="0" w:line="167" w:lineRule="exact"/>
        <w:rPr>
          <w:sz w:val="20"/>
          <w:szCs w:val="20"/>
          <w:color w:val="auto"/>
        </w:rPr>
      </w:pPr>
    </w:p>
    <w:tbl>
      <w:tblPr>
        <w:tblLayout w:type="fixed"/>
        <w:tblInd w:w="40" w:type="dxa"/>
        <w:tblCellMar>
          <w:top w:w="0" w:type="dxa"/>
          <w:left w:w="0" w:type="dxa"/>
          <w:bottom w:w="0" w:type="dxa"/>
          <w:right w:w="0" w:type="dxa"/>
        </w:tblCellMar>
      </w:tblPr>
      <w:tr>
        <w:trPr>
          <w:trHeight w:val="219"/>
        </w:trPr>
        <w:tc>
          <w:tcPr>
            <w:tcW w:w="3740" w:type="dxa"/>
            <w:vAlign w:val="bottom"/>
          </w:tcPr>
          <w:p>
            <w:pPr>
              <w:spacing w:after="0"/>
              <w:rPr>
                <w:sz w:val="19"/>
                <w:szCs w:val="19"/>
                <w:color w:val="auto"/>
              </w:rPr>
            </w:pPr>
          </w:p>
        </w:tc>
        <w:tc>
          <w:tcPr>
            <w:tcW w:w="7600" w:type="dxa"/>
            <w:vAlign w:val="bottom"/>
            <w:gridSpan w:val="2"/>
          </w:tcPr>
          <w:p>
            <w:pPr>
              <w:ind w:left="2040"/>
              <w:spacing w:after="0"/>
              <w:rPr>
                <w:sz w:val="20"/>
                <w:szCs w:val="20"/>
                <w:color w:val="auto"/>
              </w:rPr>
            </w:pPr>
            <w:r>
              <w:rPr>
                <w:rFonts w:ascii="Arial" w:cs="Arial" w:eastAsia="Arial" w:hAnsi="Arial"/>
                <w:sz w:val="18"/>
                <w:szCs w:val="18"/>
                <w:b w:val="1"/>
                <w:bCs w:val="1"/>
                <w:color w:val="auto"/>
              </w:rPr>
              <w:t>VIAD CORP</w:t>
            </w:r>
          </w:p>
        </w:tc>
      </w:tr>
      <w:tr>
        <w:trPr>
          <w:trHeight w:val="230"/>
        </w:trPr>
        <w:tc>
          <w:tcPr>
            <w:tcW w:w="3740" w:type="dxa"/>
            <w:vAlign w:val="bottom"/>
          </w:tcPr>
          <w:p>
            <w:pPr>
              <w:spacing w:after="0"/>
              <w:rPr>
                <w:sz w:val="19"/>
                <w:szCs w:val="19"/>
                <w:color w:val="auto"/>
              </w:rPr>
            </w:pPr>
          </w:p>
        </w:tc>
        <w:tc>
          <w:tcPr>
            <w:tcW w:w="7600" w:type="dxa"/>
            <w:vAlign w:val="bottom"/>
            <w:gridSpan w:val="2"/>
          </w:tcPr>
          <w:p>
            <w:pPr>
              <w:ind w:left="2040"/>
              <w:spacing w:after="0"/>
              <w:rPr>
                <w:sz w:val="20"/>
                <w:szCs w:val="20"/>
                <w:color w:val="auto"/>
              </w:rPr>
            </w:pPr>
            <w:r>
              <w:rPr>
                <w:rFonts w:ascii="Arial" w:cs="Arial" w:eastAsia="Arial" w:hAnsi="Arial"/>
                <w:sz w:val="18"/>
                <w:szCs w:val="18"/>
                <w:color w:val="auto"/>
              </w:rPr>
              <w:t>(Registrant)</w:t>
            </w:r>
          </w:p>
        </w:tc>
      </w:tr>
      <w:tr>
        <w:trPr>
          <w:trHeight w:val="457"/>
        </w:trPr>
        <w:tc>
          <w:tcPr>
            <w:tcW w:w="3740" w:type="dxa"/>
            <w:vAlign w:val="bottom"/>
          </w:tcPr>
          <w:p>
            <w:pPr>
              <w:jc w:val="center"/>
              <w:spacing w:after="0"/>
              <w:rPr>
                <w:sz w:val="20"/>
                <w:szCs w:val="20"/>
                <w:color w:val="auto"/>
              </w:rPr>
            </w:pPr>
            <w:r>
              <w:rPr>
                <w:rFonts w:ascii="Arial" w:cs="Arial" w:eastAsia="Arial" w:hAnsi="Arial"/>
                <w:sz w:val="18"/>
                <w:szCs w:val="18"/>
                <w:color w:val="auto"/>
                <w:w w:val="92"/>
              </w:rPr>
              <w:t>May 9, 2018</w:t>
            </w:r>
          </w:p>
        </w:tc>
        <w:tc>
          <w:tcPr>
            <w:tcW w:w="7600" w:type="dxa"/>
            <w:vAlign w:val="bottom"/>
            <w:gridSpan w:val="2"/>
          </w:tcPr>
          <w:p>
            <w:pPr>
              <w:ind w:left="2040"/>
              <w:spacing w:after="0"/>
              <w:rPr>
                <w:sz w:val="20"/>
                <w:szCs w:val="20"/>
                <w:color w:val="auto"/>
              </w:rPr>
            </w:pPr>
            <w:r>
              <w:rPr>
                <w:rFonts w:ascii="Arial" w:cs="Arial" w:eastAsia="Arial" w:hAnsi="Arial"/>
                <w:sz w:val="18"/>
                <w:szCs w:val="18"/>
                <w:color w:val="auto"/>
              </w:rPr>
              <w:t>By:   /s/ Leslie S. Striedel</w:t>
            </w:r>
          </w:p>
        </w:tc>
      </w:tr>
      <w:tr>
        <w:trPr>
          <w:trHeight w:val="194"/>
        </w:trPr>
        <w:tc>
          <w:tcPr>
            <w:tcW w:w="3740" w:type="dxa"/>
            <w:vAlign w:val="bottom"/>
            <w:tcBorders>
              <w:top w:val="single" w:sz="8" w:color="auto"/>
            </w:tcBorders>
          </w:tcPr>
          <w:p>
            <w:pPr>
              <w:jc w:val="center"/>
              <w:spacing w:after="0" w:line="195" w:lineRule="exact"/>
              <w:rPr>
                <w:sz w:val="20"/>
                <w:szCs w:val="20"/>
                <w:color w:val="auto"/>
              </w:rPr>
            </w:pPr>
            <w:r>
              <w:rPr>
                <w:rFonts w:ascii="Arial" w:cs="Arial" w:eastAsia="Arial" w:hAnsi="Arial"/>
                <w:sz w:val="18"/>
                <w:szCs w:val="18"/>
                <w:color w:val="auto"/>
                <w:w w:val="91"/>
              </w:rPr>
              <w:t>(Date)</w:t>
            </w:r>
          </w:p>
        </w:tc>
        <w:tc>
          <w:tcPr>
            <w:tcW w:w="2440" w:type="dxa"/>
            <w:vAlign w:val="bottom"/>
          </w:tcPr>
          <w:p>
            <w:pPr>
              <w:spacing w:after="0"/>
              <w:rPr>
                <w:sz w:val="16"/>
                <w:szCs w:val="16"/>
                <w:color w:val="auto"/>
              </w:rPr>
            </w:pPr>
          </w:p>
        </w:tc>
        <w:tc>
          <w:tcPr>
            <w:tcW w:w="5160" w:type="dxa"/>
            <w:vAlign w:val="bottom"/>
            <w:tcBorders>
              <w:top w:val="single" w:sz="8" w:color="auto"/>
            </w:tcBorders>
          </w:tcPr>
          <w:p>
            <w:pPr>
              <w:ind w:left="100"/>
              <w:spacing w:after="0" w:line="195" w:lineRule="exact"/>
              <w:rPr>
                <w:sz w:val="20"/>
                <w:szCs w:val="20"/>
                <w:color w:val="auto"/>
              </w:rPr>
            </w:pPr>
            <w:r>
              <w:rPr>
                <w:rFonts w:ascii="Arial" w:cs="Arial" w:eastAsia="Arial" w:hAnsi="Arial"/>
                <w:sz w:val="18"/>
                <w:szCs w:val="18"/>
                <w:color w:val="auto"/>
              </w:rPr>
              <w:t>Leslie S. Striedel</w:t>
            </w:r>
          </w:p>
        </w:tc>
      </w:tr>
      <w:tr>
        <w:trPr>
          <w:trHeight w:val="230"/>
        </w:trPr>
        <w:tc>
          <w:tcPr>
            <w:tcW w:w="3740" w:type="dxa"/>
            <w:vAlign w:val="bottom"/>
          </w:tcPr>
          <w:p>
            <w:pPr>
              <w:spacing w:after="0"/>
              <w:rPr>
                <w:sz w:val="19"/>
                <w:szCs w:val="19"/>
                <w:color w:val="auto"/>
              </w:rPr>
            </w:pPr>
          </w:p>
        </w:tc>
        <w:tc>
          <w:tcPr>
            <w:tcW w:w="2440" w:type="dxa"/>
            <w:vAlign w:val="bottom"/>
          </w:tcPr>
          <w:p>
            <w:pPr>
              <w:spacing w:after="0"/>
              <w:rPr>
                <w:sz w:val="19"/>
                <w:szCs w:val="19"/>
                <w:color w:val="auto"/>
              </w:rPr>
            </w:pPr>
          </w:p>
        </w:tc>
        <w:tc>
          <w:tcPr>
            <w:tcW w:w="5160" w:type="dxa"/>
            <w:vAlign w:val="bottom"/>
          </w:tcPr>
          <w:p>
            <w:pPr>
              <w:ind w:left="100"/>
              <w:spacing w:after="0"/>
              <w:rPr>
                <w:sz w:val="20"/>
                <w:szCs w:val="20"/>
                <w:color w:val="auto"/>
              </w:rPr>
            </w:pPr>
            <w:r>
              <w:rPr>
                <w:rFonts w:ascii="Arial" w:cs="Arial" w:eastAsia="Arial" w:hAnsi="Arial"/>
                <w:sz w:val="18"/>
                <w:szCs w:val="18"/>
                <w:color w:val="auto"/>
              </w:rPr>
              <w:t>Chief Accounting Officer</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45</w:t>
      </w:r>
    </w:p>
    <w:p>
      <w:pPr>
        <w:sectPr>
          <w:pgSz w:w="11900" w:h="16838" w:orient="portrait"/>
          <w:cols w:equalWidth="0" w:num="1">
            <w:col w:w="11420"/>
          </w:cols>
          <w:pgMar w:left="240" w:top="336" w:right="239" w:bottom="1440" w:gutter="0" w:footer="0" w:header="0"/>
        </w:sectPr>
      </w:pPr>
    </w:p>
    <w:bookmarkStart w:id="47" w:name="page48"/>
    <w:bookmarkEnd w:id="47"/>
    <w:p>
      <w:pPr>
        <w:jc w:val="right"/>
        <w:spacing w:after="0"/>
        <w:rPr>
          <w:sz w:val="20"/>
          <w:szCs w:val="20"/>
          <w:color w:val="auto"/>
        </w:rPr>
      </w:pPr>
      <w:r>
        <w:rPr>
          <w:rFonts w:ascii="Arial" w:cs="Arial" w:eastAsia="Arial" w:hAnsi="Arial"/>
          <w:sz w:val="18"/>
          <w:szCs w:val="18"/>
          <w:b w:val="1"/>
          <w:bCs w:val="1"/>
          <w:color w:val="auto"/>
        </w:rPr>
        <w:t>Exhibit 10.J1</w:t>
      </w:r>
    </w:p>
    <w:p>
      <w:pPr>
        <w:spacing w:after="0" w:line="223" w:lineRule="exact"/>
        <w:rPr>
          <w:sz w:val="20"/>
          <w:szCs w:val="20"/>
          <w:color w:val="auto"/>
        </w:rPr>
      </w:pPr>
    </w:p>
    <w:tbl>
      <w:tblPr>
        <w:tblLayout w:type="fixed"/>
        <w:tblInd w:w="10" w:type="dxa"/>
        <w:tblCellMar>
          <w:top w:w="0" w:type="dxa"/>
          <w:left w:w="0" w:type="dxa"/>
          <w:bottom w:w="0" w:type="dxa"/>
          <w:right w:w="0" w:type="dxa"/>
        </w:tblCellMar>
      </w:tblPr>
      <w:tr>
        <w:trPr>
          <w:trHeight w:val="215"/>
        </w:trPr>
        <w:tc>
          <w:tcPr>
            <w:tcW w:w="9720" w:type="dxa"/>
            <w:vAlign w:val="bottom"/>
          </w:tcPr>
          <w:p>
            <w:pPr>
              <w:jc w:val="center"/>
              <w:ind w:left="1611"/>
              <w:spacing w:after="0"/>
              <w:rPr>
                <w:sz w:val="20"/>
                <w:szCs w:val="20"/>
                <w:color w:val="auto"/>
              </w:rPr>
            </w:pPr>
            <w:r>
              <w:rPr>
                <w:rFonts w:ascii="Arial" w:cs="Arial" w:eastAsia="Arial" w:hAnsi="Arial"/>
                <w:sz w:val="18"/>
                <w:szCs w:val="18"/>
                <w:b w:val="1"/>
                <w:bCs w:val="1"/>
                <w:color w:val="auto"/>
              </w:rPr>
              <w:t>VIAD CORP</w:t>
            </w:r>
          </w:p>
        </w:tc>
        <w:tc>
          <w:tcPr>
            <w:tcW w:w="1700" w:type="dxa"/>
            <w:vAlign w:val="bottom"/>
          </w:tcPr>
          <w:p>
            <w:pPr>
              <w:spacing w:after="0"/>
              <w:rPr>
                <w:sz w:val="18"/>
                <w:szCs w:val="18"/>
                <w:color w:val="auto"/>
              </w:rPr>
            </w:pPr>
          </w:p>
        </w:tc>
      </w:tr>
      <w:tr>
        <w:trPr>
          <w:trHeight w:val="215"/>
        </w:trPr>
        <w:tc>
          <w:tcPr>
            <w:tcW w:w="9720" w:type="dxa"/>
            <w:vAlign w:val="bottom"/>
          </w:tcPr>
          <w:p>
            <w:pPr>
              <w:jc w:val="center"/>
              <w:ind w:left="1611"/>
              <w:spacing w:after="0"/>
              <w:rPr>
                <w:sz w:val="20"/>
                <w:szCs w:val="20"/>
                <w:color w:val="auto"/>
              </w:rPr>
            </w:pPr>
            <w:r>
              <w:rPr>
                <w:rFonts w:ascii="Arial" w:cs="Arial" w:eastAsia="Arial" w:hAnsi="Arial"/>
                <w:sz w:val="18"/>
                <w:szCs w:val="18"/>
                <w:b w:val="1"/>
                <w:bCs w:val="1"/>
                <w:color w:val="auto"/>
              </w:rPr>
              <w:t>SUMMARY OF COMPENSATION PROGRAM FOR</w:t>
            </w:r>
          </w:p>
        </w:tc>
        <w:tc>
          <w:tcPr>
            <w:tcW w:w="1700" w:type="dxa"/>
            <w:vAlign w:val="bottom"/>
          </w:tcPr>
          <w:p>
            <w:pPr>
              <w:spacing w:after="0"/>
              <w:rPr>
                <w:sz w:val="18"/>
                <w:szCs w:val="18"/>
                <w:color w:val="auto"/>
              </w:rPr>
            </w:pPr>
          </w:p>
        </w:tc>
      </w:tr>
      <w:tr>
        <w:trPr>
          <w:trHeight w:val="215"/>
        </w:trPr>
        <w:tc>
          <w:tcPr>
            <w:tcW w:w="9720" w:type="dxa"/>
            <w:vAlign w:val="bottom"/>
          </w:tcPr>
          <w:p>
            <w:pPr>
              <w:jc w:val="center"/>
              <w:ind w:left="1611"/>
              <w:spacing w:after="0"/>
              <w:rPr>
                <w:sz w:val="20"/>
                <w:szCs w:val="20"/>
                <w:color w:val="auto"/>
              </w:rPr>
            </w:pPr>
            <w:r>
              <w:rPr>
                <w:rFonts w:ascii="Arial" w:cs="Arial" w:eastAsia="Arial" w:hAnsi="Arial"/>
                <w:sz w:val="18"/>
                <w:szCs w:val="18"/>
                <w:b w:val="1"/>
                <w:bCs w:val="1"/>
                <w:color w:val="auto"/>
              </w:rPr>
              <w:t>NON-EMPLOYEE DIRECTORS</w:t>
            </w:r>
          </w:p>
        </w:tc>
        <w:tc>
          <w:tcPr>
            <w:tcW w:w="1700" w:type="dxa"/>
            <w:vAlign w:val="bottom"/>
          </w:tcPr>
          <w:p>
            <w:pPr>
              <w:spacing w:after="0"/>
              <w:rPr>
                <w:sz w:val="18"/>
                <w:szCs w:val="18"/>
                <w:color w:val="auto"/>
              </w:rPr>
            </w:pPr>
          </w:p>
        </w:tc>
      </w:tr>
      <w:tr>
        <w:trPr>
          <w:trHeight w:val="234"/>
        </w:trPr>
        <w:tc>
          <w:tcPr>
            <w:tcW w:w="9720" w:type="dxa"/>
            <w:vAlign w:val="bottom"/>
          </w:tcPr>
          <w:p>
            <w:pPr>
              <w:jc w:val="center"/>
              <w:ind w:left="1611"/>
              <w:spacing w:after="0"/>
              <w:rPr>
                <w:sz w:val="20"/>
                <w:szCs w:val="20"/>
                <w:color w:val="auto"/>
              </w:rPr>
            </w:pPr>
            <w:r>
              <w:rPr>
                <w:rFonts w:ascii="Arial" w:cs="Arial" w:eastAsia="Arial" w:hAnsi="Arial"/>
                <w:sz w:val="18"/>
                <w:szCs w:val="18"/>
                <w:b w:val="1"/>
                <w:bCs w:val="1"/>
                <w:color w:val="auto"/>
                <w:w w:val="94"/>
              </w:rPr>
              <w:t>AS OF FEBRUARY 27, 2018</w:t>
            </w:r>
          </w:p>
        </w:tc>
        <w:tc>
          <w:tcPr>
            <w:tcW w:w="1700" w:type="dxa"/>
            <w:vAlign w:val="bottom"/>
          </w:tcPr>
          <w:p>
            <w:pPr>
              <w:spacing w:after="0"/>
              <w:rPr>
                <w:sz w:val="20"/>
                <w:szCs w:val="20"/>
                <w:color w:val="auto"/>
              </w:rPr>
            </w:pPr>
          </w:p>
        </w:tc>
      </w:tr>
      <w:tr>
        <w:trPr>
          <w:trHeight w:val="215"/>
        </w:trPr>
        <w:tc>
          <w:tcPr>
            <w:tcW w:w="9720" w:type="dxa"/>
            <w:vAlign w:val="bottom"/>
            <w:tcBorders>
              <w:bottom w:val="single" w:sz="8" w:color="auto"/>
            </w:tcBorders>
          </w:tcPr>
          <w:p>
            <w:pPr>
              <w:spacing w:after="0"/>
              <w:rPr>
                <w:sz w:val="18"/>
                <w:szCs w:val="18"/>
                <w:color w:val="auto"/>
              </w:rPr>
            </w:pPr>
          </w:p>
        </w:tc>
        <w:tc>
          <w:tcPr>
            <w:tcW w:w="1700" w:type="dxa"/>
            <w:vAlign w:val="bottom"/>
            <w:tcBorders>
              <w:bottom w:val="single" w:sz="8" w:color="auto"/>
            </w:tcBorders>
          </w:tcPr>
          <w:p>
            <w:pPr>
              <w:spacing w:after="0"/>
              <w:rPr>
                <w:sz w:val="18"/>
                <w:szCs w:val="18"/>
                <w:color w:val="auto"/>
              </w:rPr>
            </w:pPr>
          </w:p>
        </w:tc>
      </w:tr>
      <w:tr>
        <w:trPr>
          <w:trHeight w:val="209"/>
        </w:trPr>
        <w:tc>
          <w:tcPr>
            <w:tcW w:w="9720" w:type="dxa"/>
            <w:vAlign w:val="bottom"/>
            <w:tcBorders>
              <w:left w:val="single" w:sz="8" w:color="auto"/>
              <w:bottom w:val="single" w:sz="8" w:color="auto"/>
              <w:right w:val="single" w:sz="8" w:color="auto"/>
            </w:tcBorders>
          </w:tcPr>
          <w:p>
            <w:pPr>
              <w:ind w:left="20"/>
              <w:spacing w:after="0"/>
              <w:rPr>
                <w:sz w:val="20"/>
                <w:szCs w:val="20"/>
                <w:color w:val="auto"/>
              </w:rPr>
            </w:pPr>
            <w:r>
              <w:rPr>
                <w:rFonts w:ascii="Arial" w:cs="Arial" w:eastAsia="Arial" w:hAnsi="Arial"/>
                <w:sz w:val="18"/>
                <w:szCs w:val="18"/>
                <w:color w:val="auto"/>
              </w:rPr>
              <w:t>Board of Directors</w:t>
            </w:r>
          </w:p>
        </w:tc>
        <w:tc>
          <w:tcPr>
            <w:tcW w:w="1700" w:type="dxa"/>
            <w:vAlign w:val="bottom"/>
            <w:tcBorders>
              <w:bottom w:val="single" w:sz="8" w:color="auto"/>
              <w:right w:val="single" w:sz="8" w:color="auto"/>
            </w:tcBorders>
          </w:tcPr>
          <w:p>
            <w:pPr>
              <w:spacing w:after="0"/>
              <w:rPr>
                <w:sz w:val="18"/>
                <w:szCs w:val="18"/>
                <w:color w:val="auto"/>
              </w:rPr>
            </w:pPr>
          </w:p>
        </w:tc>
      </w:tr>
      <w:tr>
        <w:trPr>
          <w:trHeight w:val="209"/>
        </w:trPr>
        <w:tc>
          <w:tcPr>
            <w:tcW w:w="9720" w:type="dxa"/>
            <w:vAlign w:val="bottom"/>
            <w:tcBorders>
              <w:left w:val="single" w:sz="8" w:color="auto"/>
              <w:bottom w:val="single" w:sz="8" w:color="auto"/>
              <w:right w:val="single" w:sz="8" w:color="auto"/>
            </w:tcBorders>
          </w:tcPr>
          <w:p>
            <w:pPr>
              <w:ind w:left="240"/>
              <w:spacing w:after="0"/>
              <w:rPr>
                <w:sz w:val="20"/>
                <w:szCs w:val="20"/>
                <w:color w:val="auto"/>
              </w:rPr>
            </w:pPr>
            <w:r>
              <w:rPr>
                <w:rFonts w:ascii="Arial" w:cs="Arial" w:eastAsia="Arial" w:hAnsi="Arial"/>
                <w:sz w:val="18"/>
                <w:szCs w:val="18"/>
                <w:color w:val="auto"/>
              </w:rPr>
              <w:t>Annual Retainer</w:t>
            </w:r>
          </w:p>
        </w:tc>
        <w:tc>
          <w:tcPr>
            <w:tcW w:w="1700" w:type="dxa"/>
            <w:vAlign w:val="bottom"/>
            <w:tcBorders>
              <w:bottom w:val="single" w:sz="8" w:color="auto"/>
              <w:right w:val="single" w:sz="8" w:color="auto"/>
            </w:tcBorders>
          </w:tcPr>
          <w:p>
            <w:pPr>
              <w:jc w:val="right"/>
              <w:spacing w:after="0"/>
              <w:rPr>
                <w:sz w:val="20"/>
                <w:szCs w:val="20"/>
                <w:color w:val="auto"/>
              </w:rPr>
            </w:pPr>
            <w:r>
              <w:rPr>
                <w:rFonts w:ascii="Arial" w:cs="Arial" w:eastAsia="Arial" w:hAnsi="Arial"/>
                <w:sz w:val="18"/>
                <w:szCs w:val="18"/>
                <w:color w:val="auto"/>
              </w:rPr>
              <w:t>$45,000</w:t>
            </w:r>
          </w:p>
        </w:tc>
      </w:tr>
      <w:tr>
        <w:trPr>
          <w:trHeight w:val="209"/>
        </w:trPr>
        <w:tc>
          <w:tcPr>
            <w:tcW w:w="9720" w:type="dxa"/>
            <w:vAlign w:val="bottom"/>
            <w:tcBorders>
              <w:left w:val="single" w:sz="8" w:color="auto"/>
              <w:bottom w:val="single" w:sz="8" w:color="auto"/>
              <w:right w:val="single" w:sz="8" w:color="auto"/>
            </w:tcBorders>
          </w:tcPr>
          <w:p>
            <w:pPr>
              <w:ind w:left="240"/>
              <w:spacing w:after="0"/>
              <w:rPr>
                <w:sz w:val="20"/>
                <w:szCs w:val="20"/>
                <w:color w:val="auto"/>
              </w:rPr>
            </w:pPr>
            <w:r>
              <w:rPr>
                <w:rFonts w:ascii="Arial" w:cs="Arial" w:eastAsia="Arial" w:hAnsi="Arial"/>
                <w:sz w:val="18"/>
                <w:szCs w:val="18"/>
                <w:color w:val="auto"/>
              </w:rPr>
              <w:t>Per Meeting Attendance Fee</w:t>
            </w:r>
          </w:p>
        </w:tc>
        <w:tc>
          <w:tcPr>
            <w:tcW w:w="1700" w:type="dxa"/>
            <w:vAlign w:val="bottom"/>
            <w:tcBorders>
              <w:bottom w:val="single" w:sz="8" w:color="auto"/>
              <w:right w:val="single" w:sz="8" w:color="auto"/>
            </w:tcBorders>
          </w:tcPr>
          <w:p>
            <w:pPr>
              <w:jc w:val="right"/>
              <w:spacing w:after="0"/>
              <w:rPr>
                <w:sz w:val="20"/>
                <w:szCs w:val="20"/>
                <w:color w:val="auto"/>
              </w:rPr>
            </w:pPr>
            <w:r>
              <w:rPr>
                <w:rFonts w:ascii="Arial" w:cs="Arial" w:eastAsia="Arial" w:hAnsi="Arial"/>
                <w:sz w:val="18"/>
                <w:szCs w:val="18"/>
                <w:color w:val="auto"/>
              </w:rPr>
              <w:t>$1,600</w:t>
            </w:r>
          </w:p>
        </w:tc>
      </w:tr>
      <w:tr>
        <w:trPr>
          <w:trHeight w:val="209"/>
        </w:trPr>
        <w:tc>
          <w:tcPr>
            <w:tcW w:w="9720" w:type="dxa"/>
            <w:vAlign w:val="bottom"/>
            <w:tcBorders>
              <w:left w:val="single" w:sz="8" w:color="auto"/>
              <w:bottom w:val="single" w:sz="8" w:color="auto"/>
              <w:right w:val="single" w:sz="8" w:color="auto"/>
            </w:tcBorders>
          </w:tcPr>
          <w:p>
            <w:pPr>
              <w:ind w:left="240"/>
              <w:spacing w:after="0" w:line="209" w:lineRule="exact"/>
              <w:rPr>
                <w:sz w:val="20"/>
                <w:szCs w:val="20"/>
                <w:color w:val="auto"/>
              </w:rPr>
            </w:pPr>
            <w:r>
              <w:rPr>
                <w:rFonts w:ascii="Arial" w:cs="Arial" w:eastAsia="Arial" w:hAnsi="Arial"/>
                <w:sz w:val="17"/>
                <w:szCs w:val="17"/>
                <w:color w:val="auto"/>
              </w:rPr>
              <w:t>Annual Restricted Stock Grant</w:t>
            </w:r>
            <w:r>
              <w:rPr>
                <w:rFonts w:ascii="Arial" w:cs="Arial" w:eastAsia="Arial" w:hAnsi="Arial"/>
                <w:sz w:val="24"/>
                <w:szCs w:val="24"/>
                <w:color w:val="auto"/>
                <w:vertAlign w:val="superscript"/>
              </w:rPr>
              <w:t>1</w:t>
            </w:r>
            <w:r>
              <w:rPr>
                <w:rFonts w:ascii="Arial" w:cs="Arial" w:eastAsia="Arial" w:hAnsi="Arial"/>
                <w:sz w:val="17"/>
                <w:szCs w:val="17"/>
                <w:color w:val="auto"/>
              </w:rPr>
              <w:t xml:space="preserve"> Value</w:t>
            </w:r>
          </w:p>
        </w:tc>
        <w:tc>
          <w:tcPr>
            <w:tcW w:w="1700" w:type="dxa"/>
            <w:vAlign w:val="bottom"/>
            <w:tcBorders>
              <w:bottom w:val="single" w:sz="8" w:color="auto"/>
              <w:right w:val="single" w:sz="8" w:color="auto"/>
            </w:tcBorders>
          </w:tcPr>
          <w:p>
            <w:pPr>
              <w:jc w:val="right"/>
              <w:spacing w:after="0"/>
              <w:rPr>
                <w:sz w:val="20"/>
                <w:szCs w:val="20"/>
                <w:color w:val="auto"/>
              </w:rPr>
            </w:pPr>
            <w:r>
              <w:rPr>
                <w:rFonts w:ascii="Arial" w:cs="Arial" w:eastAsia="Arial" w:hAnsi="Arial"/>
                <w:sz w:val="18"/>
                <w:szCs w:val="18"/>
                <w:color w:val="auto"/>
              </w:rPr>
              <w:t>$115,000</w:t>
            </w:r>
          </w:p>
        </w:tc>
      </w:tr>
      <w:tr>
        <w:trPr>
          <w:trHeight w:val="209"/>
        </w:trPr>
        <w:tc>
          <w:tcPr>
            <w:tcW w:w="9720" w:type="dxa"/>
            <w:vAlign w:val="bottom"/>
            <w:tcBorders>
              <w:left w:val="single" w:sz="8" w:color="auto"/>
              <w:bottom w:val="single" w:sz="8" w:color="auto"/>
              <w:right w:val="single" w:sz="8" w:color="auto"/>
            </w:tcBorders>
          </w:tcPr>
          <w:p>
            <w:pPr>
              <w:spacing w:after="0"/>
              <w:rPr>
                <w:sz w:val="18"/>
                <w:szCs w:val="18"/>
                <w:color w:val="auto"/>
              </w:rPr>
            </w:pPr>
          </w:p>
        </w:tc>
        <w:tc>
          <w:tcPr>
            <w:tcW w:w="1700" w:type="dxa"/>
            <w:vAlign w:val="bottom"/>
            <w:tcBorders>
              <w:bottom w:val="single" w:sz="8" w:color="auto"/>
              <w:right w:val="single" w:sz="8" w:color="auto"/>
            </w:tcBorders>
          </w:tcPr>
          <w:p>
            <w:pPr>
              <w:spacing w:after="0"/>
              <w:rPr>
                <w:sz w:val="18"/>
                <w:szCs w:val="18"/>
                <w:color w:val="auto"/>
              </w:rPr>
            </w:pPr>
          </w:p>
        </w:tc>
      </w:tr>
      <w:tr>
        <w:trPr>
          <w:trHeight w:val="209"/>
        </w:trPr>
        <w:tc>
          <w:tcPr>
            <w:tcW w:w="9720" w:type="dxa"/>
            <w:vAlign w:val="bottom"/>
            <w:tcBorders>
              <w:left w:val="single" w:sz="8" w:color="auto"/>
              <w:bottom w:val="single" w:sz="8" w:color="auto"/>
              <w:right w:val="single" w:sz="8" w:color="auto"/>
            </w:tcBorders>
          </w:tcPr>
          <w:p>
            <w:pPr>
              <w:ind w:left="20"/>
              <w:spacing w:after="0"/>
              <w:rPr>
                <w:sz w:val="20"/>
                <w:szCs w:val="20"/>
                <w:color w:val="auto"/>
              </w:rPr>
            </w:pPr>
            <w:r>
              <w:rPr>
                <w:rFonts w:ascii="Arial" w:cs="Arial" w:eastAsia="Arial" w:hAnsi="Arial"/>
                <w:sz w:val="18"/>
                <w:szCs w:val="18"/>
                <w:color w:val="auto"/>
              </w:rPr>
              <w:t>Independent Chairman of Board of Directors</w:t>
            </w:r>
          </w:p>
        </w:tc>
        <w:tc>
          <w:tcPr>
            <w:tcW w:w="1700" w:type="dxa"/>
            <w:vAlign w:val="bottom"/>
            <w:tcBorders>
              <w:bottom w:val="single" w:sz="8" w:color="auto"/>
              <w:right w:val="single" w:sz="8" w:color="auto"/>
            </w:tcBorders>
          </w:tcPr>
          <w:p>
            <w:pPr>
              <w:spacing w:after="0"/>
              <w:rPr>
                <w:sz w:val="18"/>
                <w:szCs w:val="18"/>
                <w:color w:val="auto"/>
              </w:rPr>
            </w:pPr>
          </w:p>
        </w:tc>
      </w:tr>
      <w:tr>
        <w:trPr>
          <w:trHeight w:val="209"/>
        </w:trPr>
        <w:tc>
          <w:tcPr>
            <w:tcW w:w="9720" w:type="dxa"/>
            <w:vAlign w:val="bottom"/>
            <w:tcBorders>
              <w:left w:val="single" w:sz="8" w:color="auto"/>
              <w:bottom w:val="single" w:sz="8" w:color="auto"/>
              <w:right w:val="single" w:sz="8" w:color="auto"/>
            </w:tcBorders>
          </w:tcPr>
          <w:p>
            <w:pPr>
              <w:ind w:left="240"/>
              <w:spacing w:after="0"/>
              <w:rPr>
                <w:sz w:val="20"/>
                <w:szCs w:val="20"/>
                <w:color w:val="auto"/>
              </w:rPr>
            </w:pPr>
            <w:r>
              <w:rPr>
                <w:rFonts w:ascii="Arial" w:cs="Arial" w:eastAsia="Arial" w:hAnsi="Arial"/>
                <w:sz w:val="18"/>
                <w:szCs w:val="18"/>
                <w:color w:val="auto"/>
              </w:rPr>
              <w:t>Annual Retainer</w:t>
            </w:r>
          </w:p>
        </w:tc>
        <w:tc>
          <w:tcPr>
            <w:tcW w:w="1700" w:type="dxa"/>
            <w:vAlign w:val="bottom"/>
            <w:tcBorders>
              <w:bottom w:val="single" w:sz="8" w:color="auto"/>
              <w:right w:val="single" w:sz="8" w:color="auto"/>
            </w:tcBorders>
          </w:tcPr>
          <w:p>
            <w:pPr>
              <w:jc w:val="right"/>
              <w:spacing w:after="0"/>
              <w:rPr>
                <w:sz w:val="20"/>
                <w:szCs w:val="20"/>
                <w:color w:val="auto"/>
              </w:rPr>
            </w:pPr>
            <w:r>
              <w:rPr>
                <w:rFonts w:ascii="Arial" w:cs="Arial" w:eastAsia="Arial" w:hAnsi="Arial"/>
                <w:sz w:val="18"/>
                <w:szCs w:val="18"/>
                <w:color w:val="auto"/>
              </w:rPr>
              <w:t>$100,000</w:t>
            </w:r>
          </w:p>
        </w:tc>
      </w:tr>
      <w:tr>
        <w:trPr>
          <w:trHeight w:val="209"/>
        </w:trPr>
        <w:tc>
          <w:tcPr>
            <w:tcW w:w="9720" w:type="dxa"/>
            <w:vAlign w:val="bottom"/>
            <w:tcBorders>
              <w:left w:val="single" w:sz="8" w:color="auto"/>
              <w:bottom w:val="single" w:sz="8" w:color="auto"/>
              <w:right w:val="single" w:sz="8" w:color="auto"/>
            </w:tcBorders>
          </w:tcPr>
          <w:p>
            <w:pPr>
              <w:spacing w:after="0"/>
              <w:rPr>
                <w:sz w:val="18"/>
                <w:szCs w:val="18"/>
                <w:color w:val="auto"/>
              </w:rPr>
            </w:pPr>
          </w:p>
        </w:tc>
        <w:tc>
          <w:tcPr>
            <w:tcW w:w="1700" w:type="dxa"/>
            <w:vAlign w:val="bottom"/>
            <w:tcBorders>
              <w:bottom w:val="single" w:sz="8" w:color="auto"/>
              <w:right w:val="single" w:sz="8" w:color="auto"/>
            </w:tcBorders>
          </w:tcPr>
          <w:p>
            <w:pPr>
              <w:spacing w:after="0"/>
              <w:rPr>
                <w:sz w:val="18"/>
                <w:szCs w:val="18"/>
                <w:color w:val="auto"/>
              </w:rPr>
            </w:pPr>
          </w:p>
        </w:tc>
      </w:tr>
      <w:tr>
        <w:trPr>
          <w:trHeight w:val="209"/>
        </w:trPr>
        <w:tc>
          <w:tcPr>
            <w:tcW w:w="9720" w:type="dxa"/>
            <w:vAlign w:val="bottom"/>
            <w:tcBorders>
              <w:left w:val="single" w:sz="8" w:color="auto"/>
              <w:bottom w:val="single" w:sz="8" w:color="auto"/>
              <w:right w:val="single" w:sz="8" w:color="auto"/>
            </w:tcBorders>
          </w:tcPr>
          <w:p>
            <w:pPr>
              <w:ind w:left="20"/>
              <w:spacing w:after="0"/>
              <w:rPr>
                <w:sz w:val="20"/>
                <w:szCs w:val="20"/>
                <w:color w:val="auto"/>
              </w:rPr>
            </w:pPr>
            <w:r>
              <w:rPr>
                <w:rFonts w:ascii="Arial" w:cs="Arial" w:eastAsia="Arial" w:hAnsi="Arial"/>
                <w:sz w:val="18"/>
                <w:szCs w:val="18"/>
                <w:color w:val="auto"/>
              </w:rPr>
              <w:t>Audit Committee</w:t>
            </w:r>
          </w:p>
        </w:tc>
        <w:tc>
          <w:tcPr>
            <w:tcW w:w="1700" w:type="dxa"/>
            <w:vAlign w:val="bottom"/>
            <w:tcBorders>
              <w:bottom w:val="single" w:sz="8" w:color="auto"/>
              <w:right w:val="single" w:sz="8" w:color="auto"/>
            </w:tcBorders>
          </w:tcPr>
          <w:p>
            <w:pPr>
              <w:spacing w:after="0"/>
              <w:rPr>
                <w:sz w:val="18"/>
                <w:szCs w:val="18"/>
                <w:color w:val="auto"/>
              </w:rPr>
            </w:pPr>
          </w:p>
        </w:tc>
      </w:tr>
      <w:tr>
        <w:trPr>
          <w:trHeight w:val="209"/>
        </w:trPr>
        <w:tc>
          <w:tcPr>
            <w:tcW w:w="9720" w:type="dxa"/>
            <w:vAlign w:val="bottom"/>
            <w:tcBorders>
              <w:left w:val="single" w:sz="8" w:color="auto"/>
              <w:bottom w:val="single" w:sz="8" w:color="auto"/>
              <w:right w:val="single" w:sz="8" w:color="auto"/>
            </w:tcBorders>
          </w:tcPr>
          <w:p>
            <w:pPr>
              <w:ind w:left="240"/>
              <w:spacing w:after="0"/>
              <w:rPr>
                <w:sz w:val="20"/>
                <w:szCs w:val="20"/>
                <w:color w:val="auto"/>
              </w:rPr>
            </w:pPr>
            <w:r>
              <w:rPr>
                <w:rFonts w:ascii="Arial" w:cs="Arial" w:eastAsia="Arial" w:hAnsi="Arial"/>
                <w:sz w:val="18"/>
                <w:szCs w:val="18"/>
                <w:color w:val="auto"/>
              </w:rPr>
              <w:t>Per Meeting Attendance Fee</w:t>
            </w:r>
          </w:p>
        </w:tc>
        <w:tc>
          <w:tcPr>
            <w:tcW w:w="1700" w:type="dxa"/>
            <w:vAlign w:val="bottom"/>
            <w:tcBorders>
              <w:bottom w:val="single" w:sz="8" w:color="auto"/>
              <w:right w:val="single" w:sz="8" w:color="auto"/>
            </w:tcBorders>
          </w:tcPr>
          <w:p>
            <w:pPr>
              <w:jc w:val="right"/>
              <w:spacing w:after="0"/>
              <w:rPr>
                <w:sz w:val="20"/>
                <w:szCs w:val="20"/>
                <w:color w:val="auto"/>
              </w:rPr>
            </w:pPr>
            <w:r>
              <w:rPr>
                <w:rFonts w:ascii="Arial" w:cs="Arial" w:eastAsia="Arial" w:hAnsi="Arial"/>
                <w:sz w:val="18"/>
                <w:szCs w:val="18"/>
                <w:color w:val="auto"/>
              </w:rPr>
              <w:t>$1,500</w:t>
            </w:r>
          </w:p>
        </w:tc>
      </w:tr>
      <w:tr>
        <w:trPr>
          <w:trHeight w:val="209"/>
        </w:trPr>
        <w:tc>
          <w:tcPr>
            <w:tcW w:w="9720" w:type="dxa"/>
            <w:vAlign w:val="bottom"/>
            <w:tcBorders>
              <w:left w:val="single" w:sz="8" w:color="auto"/>
              <w:bottom w:val="single" w:sz="8" w:color="auto"/>
              <w:right w:val="single" w:sz="8" w:color="auto"/>
            </w:tcBorders>
          </w:tcPr>
          <w:p>
            <w:pPr>
              <w:ind w:left="240"/>
              <w:spacing w:after="0"/>
              <w:rPr>
                <w:sz w:val="20"/>
                <w:szCs w:val="20"/>
                <w:color w:val="auto"/>
              </w:rPr>
            </w:pPr>
            <w:r>
              <w:rPr>
                <w:rFonts w:ascii="Arial" w:cs="Arial" w:eastAsia="Arial" w:hAnsi="Arial"/>
                <w:sz w:val="18"/>
                <w:szCs w:val="18"/>
                <w:color w:val="auto"/>
              </w:rPr>
              <w:t>Committee Chairman Annual Retainer</w:t>
            </w:r>
          </w:p>
        </w:tc>
        <w:tc>
          <w:tcPr>
            <w:tcW w:w="1700" w:type="dxa"/>
            <w:vAlign w:val="bottom"/>
            <w:tcBorders>
              <w:bottom w:val="single" w:sz="8" w:color="auto"/>
              <w:right w:val="single" w:sz="8" w:color="auto"/>
            </w:tcBorders>
          </w:tcPr>
          <w:p>
            <w:pPr>
              <w:jc w:val="right"/>
              <w:spacing w:after="0"/>
              <w:rPr>
                <w:sz w:val="20"/>
                <w:szCs w:val="20"/>
                <w:color w:val="auto"/>
              </w:rPr>
            </w:pPr>
            <w:r>
              <w:rPr>
                <w:rFonts w:ascii="Arial" w:cs="Arial" w:eastAsia="Arial" w:hAnsi="Arial"/>
                <w:sz w:val="18"/>
                <w:szCs w:val="18"/>
                <w:color w:val="auto"/>
              </w:rPr>
              <w:t>$20,000</w:t>
            </w:r>
          </w:p>
        </w:tc>
      </w:tr>
      <w:tr>
        <w:trPr>
          <w:trHeight w:val="209"/>
        </w:trPr>
        <w:tc>
          <w:tcPr>
            <w:tcW w:w="9720" w:type="dxa"/>
            <w:vAlign w:val="bottom"/>
            <w:tcBorders>
              <w:left w:val="single" w:sz="8" w:color="auto"/>
              <w:bottom w:val="single" w:sz="8" w:color="auto"/>
              <w:right w:val="single" w:sz="8" w:color="auto"/>
            </w:tcBorders>
          </w:tcPr>
          <w:p>
            <w:pPr>
              <w:spacing w:after="0"/>
              <w:rPr>
                <w:sz w:val="18"/>
                <w:szCs w:val="18"/>
                <w:color w:val="auto"/>
              </w:rPr>
            </w:pPr>
          </w:p>
        </w:tc>
        <w:tc>
          <w:tcPr>
            <w:tcW w:w="1700" w:type="dxa"/>
            <w:vAlign w:val="bottom"/>
            <w:tcBorders>
              <w:bottom w:val="single" w:sz="8" w:color="auto"/>
              <w:right w:val="single" w:sz="8" w:color="auto"/>
            </w:tcBorders>
          </w:tcPr>
          <w:p>
            <w:pPr>
              <w:spacing w:after="0"/>
              <w:rPr>
                <w:sz w:val="18"/>
                <w:szCs w:val="18"/>
                <w:color w:val="auto"/>
              </w:rPr>
            </w:pPr>
          </w:p>
        </w:tc>
      </w:tr>
      <w:tr>
        <w:trPr>
          <w:trHeight w:val="209"/>
        </w:trPr>
        <w:tc>
          <w:tcPr>
            <w:tcW w:w="9720" w:type="dxa"/>
            <w:vAlign w:val="bottom"/>
            <w:tcBorders>
              <w:left w:val="single" w:sz="8" w:color="auto"/>
              <w:bottom w:val="single" w:sz="8" w:color="auto"/>
              <w:right w:val="single" w:sz="8" w:color="auto"/>
            </w:tcBorders>
          </w:tcPr>
          <w:p>
            <w:pPr>
              <w:ind w:left="20"/>
              <w:spacing w:after="0"/>
              <w:rPr>
                <w:sz w:val="20"/>
                <w:szCs w:val="20"/>
                <w:color w:val="auto"/>
              </w:rPr>
            </w:pPr>
            <w:r>
              <w:rPr>
                <w:rFonts w:ascii="Arial" w:cs="Arial" w:eastAsia="Arial" w:hAnsi="Arial"/>
                <w:sz w:val="18"/>
                <w:szCs w:val="18"/>
                <w:color w:val="auto"/>
              </w:rPr>
              <w:t>Corporate Governance and Nominating Committee</w:t>
            </w:r>
          </w:p>
        </w:tc>
        <w:tc>
          <w:tcPr>
            <w:tcW w:w="1700" w:type="dxa"/>
            <w:vAlign w:val="bottom"/>
            <w:tcBorders>
              <w:bottom w:val="single" w:sz="8" w:color="auto"/>
              <w:right w:val="single" w:sz="8" w:color="auto"/>
            </w:tcBorders>
          </w:tcPr>
          <w:p>
            <w:pPr>
              <w:spacing w:after="0"/>
              <w:rPr>
                <w:sz w:val="18"/>
                <w:szCs w:val="18"/>
                <w:color w:val="auto"/>
              </w:rPr>
            </w:pPr>
          </w:p>
        </w:tc>
      </w:tr>
      <w:tr>
        <w:trPr>
          <w:trHeight w:val="209"/>
        </w:trPr>
        <w:tc>
          <w:tcPr>
            <w:tcW w:w="9720" w:type="dxa"/>
            <w:vAlign w:val="bottom"/>
            <w:tcBorders>
              <w:left w:val="single" w:sz="8" w:color="auto"/>
              <w:bottom w:val="single" w:sz="8" w:color="auto"/>
              <w:right w:val="single" w:sz="8" w:color="auto"/>
            </w:tcBorders>
          </w:tcPr>
          <w:p>
            <w:pPr>
              <w:ind w:left="240"/>
              <w:spacing w:after="0"/>
              <w:rPr>
                <w:sz w:val="20"/>
                <w:szCs w:val="20"/>
                <w:color w:val="auto"/>
              </w:rPr>
            </w:pPr>
            <w:r>
              <w:rPr>
                <w:rFonts w:ascii="Arial" w:cs="Arial" w:eastAsia="Arial" w:hAnsi="Arial"/>
                <w:sz w:val="18"/>
                <w:szCs w:val="18"/>
                <w:color w:val="auto"/>
              </w:rPr>
              <w:t>Per Meeting Attendance Fee</w:t>
            </w:r>
          </w:p>
        </w:tc>
        <w:tc>
          <w:tcPr>
            <w:tcW w:w="1700" w:type="dxa"/>
            <w:vAlign w:val="bottom"/>
            <w:tcBorders>
              <w:bottom w:val="single" w:sz="8" w:color="auto"/>
              <w:right w:val="single" w:sz="8" w:color="auto"/>
            </w:tcBorders>
          </w:tcPr>
          <w:p>
            <w:pPr>
              <w:jc w:val="right"/>
              <w:spacing w:after="0"/>
              <w:rPr>
                <w:sz w:val="20"/>
                <w:szCs w:val="20"/>
                <w:color w:val="auto"/>
              </w:rPr>
            </w:pPr>
            <w:r>
              <w:rPr>
                <w:rFonts w:ascii="Arial" w:cs="Arial" w:eastAsia="Arial" w:hAnsi="Arial"/>
                <w:sz w:val="18"/>
                <w:szCs w:val="18"/>
                <w:color w:val="auto"/>
              </w:rPr>
              <w:t>$1,500</w:t>
            </w:r>
          </w:p>
        </w:tc>
      </w:tr>
      <w:tr>
        <w:trPr>
          <w:trHeight w:val="209"/>
        </w:trPr>
        <w:tc>
          <w:tcPr>
            <w:tcW w:w="9720" w:type="dxa"/>
            <w:vAlign w:val="bottom"/>
            <w:tcBorders>
              <w:left w:val="single" w:sz="8" w:color="auto"/>
              <w:bottom w:val="single" w:sz="8" w:color="auto"/>
              <w:right w:val="single" w:sz="8" w:color="auto"/>
            </w:tcBorders>
          </w:tcPr>
          <w:p>
            <w:pPr>
              <w:ind w:left="240"/>
              <w:spacing w:after="0"/>
              <w:rPr>
                <w:sz w:val="20"/>
                <w:szCs w:val="20"/>
                <w:color w:val="auto"/>
              </w:rPr>
            </w:pPr>
            <w:r>
              <w:rPr>
                <w:rFonts w:ascii="Arial" w:cs="Arial" w:eastAsia="Arial" w:hAnsi="Arial"/>
                <w:sz w:val="18"/>
                <w:szCs w:val="18"/>
                <w:color w:val="auto"/>
              </w:rPr>
              <w:t>Committee Chairman Annual Retainer</w:t>
            </w:r>
          </w:p>
        </w:tc>
        <w:tc>
          <w:tcPr>
            <w:tcW w:w="1700" w:type="dxa"/>
            <w:vAlign w:val="bottom"/>
            <w:tcBorders>
              <w:bottom w:val="single" w:sz="8" w:color="auto"/>
              <w:right w:val="single" w:sz="8" w:color="auto"/>
            </w:tcBorders>
          </w:tcPr>
          <w:p>
            <w:pPr>
              <w:jc w:val="right"/>
              <w:spacing w:after="0"/>
              <w:rPr>
                <w:sz w:val="20"/>
                <w:szCs w:val="20"/>
                <w:color w:val="auto"/>
              </w:rPr>
            </w:pPr>
            <w:r>
              <w:rPr>
                <w:rFonts w:ascii="Arial" w:cs="Arial" w:eastAsia="Arial" w:hAnsi="Arial"/>
                <w:sz w:val="18"/>
                <w:szCs w:val="18"/>
                <w:color w:val="auto"/>
              </w:rPr>
              <w:t>$10,000</w:t>
            </w:r>
          </w:p>
        </w:tc>
      </w:tr>
      <w:tr>
        <w:trPr>
          <w:trHeight w:val="209"/>
        </w:trPr>
        <w:tc>
          <w:tcPr>
            <w:tcW w:w="9720" w:type="dxa"/>
            <w:vAlign w:val="bottom"/>
            <w:tcBorders>
              <w:left w:val="single" w:sz="8" w:color="auto"/>
              <w:bottom w:val="single" w:sz="8" w:color="auto"/>
              <w:right w:val="single" w:sz="8" w:color="auto"/>
            </w:tcBorders>
          </w:tcPr>
          <w:p>
            <w:pPr>
              <w:spacing w:after="0"/>
              <w:rPr>
                <w:sz w:val="18"/>
                <w:szCs w:val="18"/>
                <w:color w:val="auto"/>
              </w:rPr>
            </w:pPr>
          </w:p>
        </w:tc>
        <w:tc>
          <w:tcPr>
            <w:tcW w:w="1700" w:type="dxa"/>
            <w:vAlign w:val="bottom"/>
            <w:tcBorders>
              <w:bottom w:val="single" w:sz="8" w:color="auto"/>
              <w:right w:val="single" w:sz="8" w:color="auto"/>
            </w:tcBorders>
          </w:tcPr>
          <w:p>
            <w:pPr>
              <w:spacing w:after="0"/>
              <w:rPr>
                <w:sz w:val="18"/>
                <w:szCs w:val="18"/>
                <w:color w:val="auto"/>
              </w:rPr>
            </w:pPr>
          </w:p>
        </w:tc>
      </w:tr>
      <w:tr>
        <w:trPr>
          <w:trHeight w:val="209"/>
        </w:trPr>
        <w:tc>
          <w:tcPr>
            <w:tcW w:w="9720" w:type="dxa"/>
            <w:vAlign w:val="bottom"/>
            <w:tcBorders>
              <w:left w:val="single" w:sz="8" w:color="auto"/>
              <w:bottom w:val="single" w:sz="8" w:color="auto"/>
              <w:right w:val="single" w:sz="8" w:color="auto"/>
            </w:tcBorders>
          </w:tcPr>
          <w:p>
            <w:pPr>
              <w:ind w:left="20"/>
              <w:spacing w:after="0"/>
              <w:rPr>
                <w:sz w:val="20"/>
                <w:szCs w:val="20"/>
                <w:color w:val="auto"/>
              </w:rPr>
            </w:pPr>
            <w:r>
              <w:rPr>
                <w:rFonts w:ascii="Arial" w:cs="Arial" w:eastAsia="Arial" w:hAnsi="Arial"/>
                <w:sz w:val="18"/>
                <w:szCs w:val="18"/>
                <w:color w:val="auto"/>
              </w:rPr>
              <w:t>Human Resources Committee</w:t>
            </w:r>
          </w:p>
        </w:tc>
        <w:tc>
          <w:tcPr>
            <w:tcW w:w="1700" w:type="dxa"/>
            <w:vAlign w:val="bottom"/>
            <w:tcBorders>
              <w:bottom w:val="single" w:sz="8" w:color="auto"/>
              <w:right w:val="single" w:sz="8" w:color="auto"/>
            </w:tcBorders>
          </w:tcPr>
          <w:p>
            <w:pPr>
              <w:spacing w:after="0"/>
              <w:rPr>
                <w:sz w:val="18"/>
                <w:szCs w:val="18"/>
                <w:color w:val="auto"/>
              </w:rPr>
            </w:pPr>
          </w:p>
        </w:tc>
      </w:tr>
      <w:tr>
        <w:trPr>
          <w:trHeight w:val="209"/>
        </w:trPr>
        <w:tc>
          <w:tcPr>
            <w:tcW w:w="9720" w:type="dxa"/>
            <w:vAlign w:val="bottom"/>
            <w:tcBorders>
              <w:left w:val="single" w:sz="8" w:color="auto"/>
              <w:bottom w:val="single" w:sz="8" w:color="auto"/>
              <w:right w:val="single" w:sz="8" w:color="auto"/>
            </w:tcBorders>
          </w:tcPr>
          <w:p>
            <w:pPr>
              <w:ind w:left="240"/>
              <w:spacing w:after="0"/>
              <w:rPr>
                <w:sz w:val="20"/>
                <w:szCs w:val="20"/>
                <w:color w:val="auto"/>
              </w:rPr>
            </w:pPr>
            <w:r>
              <w:rPr>
                <w:rFonts w:ascii="Arial" w:cs="Arial" w:eastAsia="Arial" w:hAnsi="Arial"/>
                <w:sz w:val="18"/>
                <w:szCs w:val="18"/>
                <w:color w:val="auto"/>
              </w:rPr>
              <w:t>Per Meeting Attendance Fee</w:t>
            </w:r>
          </w:p>
        </w:tc>
        <w:tc>
          <w:tcPr>
            <w:tcW w:w="1700" w:type="dxa"/>
            <w:vAlign w:val="bottom"/>
            <w:tcBorders>
              <w:bottom w:val="single" w:sz="8" w:color="auto"/>
              <w:right w:val="single" w:sz="8" w:color="auto"/>
            </w:tcBorders>
          </w:tcPr>
          <w:p>
            <w:pPr>
              <w:jc w:val="right"/>
              <w:spacing w:after="0"/>
              <w:rPr>
                <w:sz w:val="20"/>
                <w:szCs w:val="20"/>
                <w:color w:val="auto"/>
              </w:rPr>
            </w:pPr>
            <w:r>
              <w:rPr>
                <w:rFonts w:ascii="Arial" w:cs="Arial" w:eastAsia="Arial" w:hAnsi="Arial"/>
                <w:sz w:val="18"/>
                <w:szCs w:val="18"/>
                <w:color w:val="auto"/>
              </w:rPr>
              <w:t>$1,500</w:t>
            </w:r>
          </w:p>
        </w:tc>
      </w:tr>
      <w:tr>
        <w:trPr>
          <w:trHeight w:val="209"/>
        </w:trPr>
        <w:tc>
          <w:tcPr>
            <w:tcW w:w="9720" w:type="dxa"/>
            <w:vAlign w:val="bottom"/>
            <w:tcBorders>
              <w:left w:val="single" w:sz="8" w:color="auto"/>
              <w:bottom w:val="single" w:sz="8" w:color="auto"/>
              <w:right w:val="single" w:sz="8" w:color="auto"/>
            </w:tcBorders>
          </w:tcPr>
          <w:p>
            <w:pPr>
              <w:ind w:left="240"/>
              <w:spacing w:after="0"/>
              <w:rPr>
                <w:sz w:val="20"/>
                <w:szCs w:val="20"/>
                <w:color w:val="auto"/>
              </w:rPr>
            </w:pPr>
            <w:r>
              <w:rPr>
                <w:rFonts w:ascii="Arial" w:cs="Arial" w:eastAsia="Arial" w:hAnsi="Arial"/>
                <w:sz w:val="18"/>
                <w:szCs w:val="18"/>
                <w:color w:val="auto"/>
              </w:rPr>
              <w:t>Committee Chairman Annual Retainer</w:t>
            </w:r>
          </w:p>
        </w:tc>
        <w:tc>
          <w:tcPr>
            <w:tcW w:w="1700" w:type="dxa"/>
            <w:vAlign w:val="bottom"/>
            <w:tcBorders>
              <w:bottom w:val="single" w:sz="8" w:color="auto"/>
              <w:right w:val="single" w:sz="8" w:color="auto"/>
            </w:tcBorders>
          </w:tcPr>
          <w:p>
            <w:pPr>
              <w:jc w:val="right"/>
              <w:spacing w:after="0"/>
              <w:rPr>
                <w:sz w:val="20"/>
                <w:szCs w:val="20"/>
                <w:color w:val="auto"/>
              </w:rPr>
            </w:pPr>
            <w:r>
              <w:rPr>
                <w:rFonts w:ascii="Arial" w:cs="Arial" w:eastAsia="Arial" w:hAnsi="Arial"/>
                <w:sz w:val="18"/>
                <w:szCs w:val="18"/>
                <w:color w:val="auto"/>
              </w:rPr>
              <w:t>$17,500</w:t>
            </w:r>
          </w:p>
        </w:tc>
      </w:tr>
    </w:tbl>
    <w:p>
      <w:pPr>
        <w:spacing w:after="0" w:line="201" w:lineRule="exact"/>
        <w:rPr>
          <w:sz w:val="20"/>
          <w:szCs w:val="20"/>
          <w:color w:val="auto"/>
        </w:rPr>
      </w:pPr>
    </w:p>
    <w:p>
      <w:pPr>
        <w:spacing w:after="0"/>
        <w:rPr>
          <w:sz w:val="20"/>
          <w:szCs w:val="20"/>
          <w:color w:val="auto"/>
        </w:rPr>
      </w:pPr>
      <w:r>
        <w:rPr>
          <w:rFonts w:ascii="Arial" w:cs="Arial" w:eastAsia="Arial" w:hAnsi="Arial"/>
          <w:sz w:val="18"/>
          <w:szCs w:val="18"/>
          <w:color w:val="auto"/>
        </w:rPr>
        <w:t>Additional Benefits</w:t>
      </w:r>
      <w:r>
        <w:rPr>
          <w:rFonts w:ascii="Arial" w:cs="Arial" w:eastAsia="Arial" w:hAnsi="Arial"/>
          <w:sz w:val="25"/>
          <w:szCs w:val="25"/>
          <w:color w:val="auto"/>
          <w:vertAlign w:val="superscript"/>
        </w:rPr>
        <w:t>2</w:t>
      </w:r>
    </w:p>
    <w:p>
      <w:pPr>
        <w:spacing w:after="0" w:line="170" w:lineRule="exact"/>
        <w:rPr>
          <w:sz w:val="20"/>
          <w:szCs w:val="20"/>
          <w:color w:val="auto"/>
        </w:rPr>
      </w:pPr>
    </w:p>
    <w:p>
      <w:pPr>
        <w:jc w:val="both"/>
        <w:ind w:left="600" w:hanging="592"/>
        <w:spacing w:after="0" w:line="228" w:lineRule="auto"/>
        <w:tabs>
          <w:tab w:leader="none" w:pos="600" w:val="left"/>
        </w:tabs>
        <w:numPr>
          <w:ilvl w:val="0"/>
          <w:numId w:val="39"/>
        </w:numPr>
        <w:rPr>
          <w:rFonts w:ascii="Arial" w:cs="Arial" w:eastAsia="Arial" w:hAnsi="Arial"/>
          <w:sz w:val="26"/>
          <w:szCs w:val="26"/>
          <w:color w:val="auto"/>
          <w:vertAlign w:val="superscript"/>
        </w:rPr>
      </w:pPr>
      <w:r>
        <w:rPr>
          <w:rFonts w:ascii="Arial" w:cs="Arial" w:eastAsia="Arial" w:hAnsi="Arial"/>
          <w:sz w:val="18"/>
          <w:szCs w:val="18"/>
          <w:color w:val="auto"/>
        </w:rPr>
        <w:t>The annual restricted stock grant occurs in February of each year and vests 100% one year from the date of the grant, in accordance with the terms and conditions of the form of Restricted Stock Agreement for Outside Directors, effective as of February 27, 2018, pursuant to the 2017 Viad Corp Omnibus Incentive Plan, filed as Exhibit 10.B1 to Viad Corp’s Form 8-K filed May 23, 2017, or the successor form of such restricted stock agreement filed thereafter.</w:t>
      </w:r>
    </w:p>
    <w:p>
      <w:pPr>
        <w:spacing w:after="0" w:line="201" w:lineRule="exact"/>
        <w:rPr>
          <w:sz w:val="20"/>
          <w:szCs w:val="20"/>
          <w:color w:val="auto"/>
        </w:rPr>
      </w:pPr>
    </w:p>
    <w:p>
      <w:pPr>
        <w:jc w:val="both"/>
        <w:ind w:left="600" w:hanging="592"/>
        <w:spacing w:after="0" w:line="262" w:lineRule="auto"/>
        <w:tabs>
          <w:tab w:leader="none" w:pos="600" w:val="left"/>
        </w:tabs>
        <w:numPr>
          <w:ilvl w:val="0"/>
          <w:numId w:val="40"/>
        </w:numPr>
        <w:rPr>
          <w:rFonts w:ascii="Arial" w:cs="Arial" w:eastAsia="Arial" w:hAnsi="Arial"/>
          <w:sz w:val="23"/>
          <w:szCs w:val="23"/>
          <w:color w:val="auto"/>
          <w:vertAlign w:val="superscript"/>
        </w:rPr>
      </w:pPr>
      <w:r>
        <w:rPr>
          <w:rFonts w:ascii="Arial" w:cs="Arial" w:eastAsia="Arial" w:hAnsi="Arial"/>
          <w:sz w:val="16"/>
          <w:szCs w:val="16"/>
          <w:color w:val="auto"/>
        </w:rPr>
        <w:t>Non-employee directors may participate in the Directors' Matching Gift Program, which provides for corporate matching of charitable contributions made by non-employee directors, on a dollar-for-dollar basis, up to an aggregate maximum of $5,000 per year to qualified non-profit organizations having tax exempt status under Section 501(c)(3) of the Internal Revenue Code. Viad Corp also provides non-employee directors with accidental death and dismemberment insurance benefits of $300,000 and travel accident insurance benefits of $300,000 when they are traveling on corporate business.</w:t>
      </w:r>
    </w:p>
    <w:p>
      <w:pPr>
        <w:sectPr>
          <w:pgSz w:w="11900" w:h="16838" w:orient="portrait"/>
          <w:cols w:equalWidth="0" w:num="1">
            <w:col w:w="11420"/>
          </w:cols>
          <w:pgMar w:left="240" w:top="121" w:right="239" w:bottom="1440" w:gutter="0" w:footer="0" w:header="0"/>
        </w:sectPr>
      </w:pPr>
    </w:p>
    <w:bookmarkStart w:id="48" w:name="page49"/>
    <w:bookmarkEnd w:id="48"/>
    <w:p>
      <w:pPr>
        <w:jc w:val="right"/>
        <w:spacing w:after="0"/>
        <w:rPr>
          <w:sz w:val="20"/>
          <w:szCs w:val="20"/>
          <w:color w:val="auto"/>
        </w:rPr>
      </w:pPr>
      <w:r>
        <w:rPr>
          <w:rFonts w:ascii="Arial" w:cs="Arial" w:eastAsia="Arial" w:hAnsi="Arial"/>
          <w:sz w:val="18"/>
          <w:szCs w:val="18"/>
          <w:b w:val="1"/>
          <w:bCs w:val="1"/>
          <w:color w:val="auto"/>
        </w:rPr>
        <w:t>Exhibit 31.1B</w:t>
      </w:r>
    </w:p>
    <w:p>
      <w:pPr>
        <w:spacing w:after="0" w:line="22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w:t>
      </w:r>
    </w:p>
    <w:p>
      <w:pPr>
        <w:spacing w:after="0" w:line="227" w:lineRule="exact"/>
        <w:rPr>
          <w:sz w:val="20"/>
          <w:szCs w:val="20"/>
          <w:color w:val="auto"/>
        </w:rPr>
      </w:pPr>
    </w:p>
    <w:p>
      <w:pPr>
        <w:spacing w:after="0"/>
        <w:rPr>
          <w:sz w:val="20"/>
          <w:szCs w:val="20"/>
          <w:color w:val="auto"/>
        </w:rPr>
      </w:pPr>
      <w:r>
        <w:rPr>
          <w:rFonts w:ascii="Arial" w:cs="Arial" w:eastAsia="Arial" w:hAnsi="Arial"/>
          <w:sz w:val="18"/>
          <w:szCs w:val="18"/>
          <w:color w:val="auto"/>
        </w:rPr>
        <w:t>I, Steven W. Moster, certify that:</w:t>
      </w:r>
    </w:p>
    <w:p>
      <w:pPr>
        <w:spacing w:after="0" w:line="223" w:lineRule="exact"/>
        <w:rPr>
          <w:sz w:val="20"/>
          <w:szCs w:val="20"/>
          <w:color w:val="auto"/>
        </w:rPr>
      </w:pPr>
    </w:p>
    <w:p>
      <w:pPr>
        <w:ind w:left="320" w:hanging="312"/>
        <w:spacing w:after="0"/>
        <w:tabs>
          <w:tab w:leader="none" w:pos="320" w:val="left"/>
        </w:tabs>
        <w:numPr>
          <w:ilvl w:val="0"/>
          <w:numId w:val="41"/>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of Viad Corp;</w:t>
      </w:r>
    </w:p>
    <w:p>
      <w:pPr>
        <w:spacing w:after="0" w:line="223" w:lineRule="exact"/>
        <w:rPr>
          <w:rFonts w:ascii="Arial" w:cs="Arial" w:eastAsia="Arial" w:hAnsi="Arial"/>
          <w:sz w:val="18"/>
          <w:szCs w:val="18"/>
          <w:color w:val="auto"/>
        </w:rPr>
      </w:pPr>
    </w:p>
    <w:p>
      <w:pPr>
        <w:ind w:right="500" w:firstLine="8"/>
        <w:spacing w:after="0" w:line="340" w:lineRule="auto"/>
        <w:tabs>
          <w:tab w:leader="none" w:pos="313" w:val="left"/>
        </w:tabs>
        <w:numPr>
          <w:ilvl w:val="0"/>
          <w:numId w:val="41"/>
        </w:numPr>
        <w:rPr>
          <w:rFonts w:ascii="Arial" w:cs="Arial" w:eastAsia="Arial" w:hAnsi="Arial"/>
          <w:sz w:val="16"/>
          <w:szCs w:val="16"/>
          <w:color w:val="auto"/>
        </w:rPr>
      </w:pPr>
      <w:r>
        <w:rPr>
          <w:rFonts w:ascii="Arial" w:cs="Arial" w:eastAsia="Arial" w:hAnsi="Arial"/>
          <w:sz w:val="16"/>
          <w:szCs w:val="16"/>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23" w:lineRule="exact"/>
        <w:rPr>
          <w:rFonts w:ascii="Arial" w:cs="Arial" w:eastAsia="Arial" w:hAnsi="Arial"/>
          <w:sz w:val="16"/>
          <w:szCs w:val="16"/>
          <w:color w:val="auto"/>
        </w:rPr>
      </w:pPr>
    </w:p>
    <w:p>
      <w:pPr>
        <w:ind w:right="640" w:firstLine="8"/>
        <w:spacing w:after="0" w:line="275" w:lineRule="auto"/>
        <w:tabs>
          <w:tab w:leader="none" w:pos="313" w:val="left"/>
        </w:tabs>
        <w:numPr>
          <w:ilvl w:val="0"/>
          <w:numId w:val="41"/>
        </w:numPr>
        <w:rPr>
          <w:rFonts w:ascii="Arial" w:cs="Arial" w:eastAsia="Arial" w:hAnsi="Arial"/>
          <w:sz w:val="18"/>
          <w:szCs w:val="18"/>
          <w:color w:val="auto"/>
        </w:rPr>
      </w:pPr>
      <w:r>
        <w:rPr>
          <w:rFonts w:ascii="Arial" w:cs="Arial" w:eastAsia="Arial" w:hAnsi="Arial"/>
          <w:sz w:val="18"/>
          <w:szCs w:val="18"/>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70" w:lineRule="exact"/>
        <w:rPr>
          <w:rFonts w:ascii="Arial" w:cs="Arial" w:eastAsia="Arial" w:hAnsi="Arial"/>
          <w:sz w:val="18"/>
          <w:szCs w:val="18"/>
          <w:color w:val="auto"/>
        </w:rPr>
      </w:pPr>
    </w:p>
    <w:p>
      <w:pPr>
        <w:jc w:val="both"/>
        <w:ind w:right="80" w:firstLine="8"/>
        <w:spacing w:after="0" w:line="262" w:lineRule="auto"/>
        <w:tabs>
          <w:tab w:leader="none" w:pos="310" w:val="left"/>
        </w:tabs>
        <w:numPr>
          <w:ilvl w:val="0"/>
          <w:numId w:val="41"/>
        </w:numPr>
        <w:rPr>
          <w:rFonts w:ascii="Arial" w:cs="Arial" w:eastAsia="Arial" w:hAnsi="Arial"/>
          <w:sz w:val="18"/>
          <w:szCs w:val="18"/>
          <w:color w:val="auto"/>
        </w:rPr>
      </w:pPr>
      <w:r>
        <w:rPr>
          <w:rFonts w:ascii="Arial" w:cs="Arial" w:eastAsia="Arial" w:hAnsi="Arial"/>
          <w:sz w:val="18"/>
          <w:szCs w:val="18"/>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182" w:lineRule="exact"/>
        <w:rPr>
          <w:rFonts w:ascii="Arial" w:cs="Arial" w:eastAsia="Arial" w:hAnsi="Arial"/>
          <w:sz w:val="18"/>
          <w:szCs w:val="18"/>
          <w:color w:val="auto"/>
        </w:rPr>
      </w:pPr>
    </w:p>
    <w:p>
      <w:pPr>
        <w:ind w:right="120" w:firstLine="309"/>
        <w:spacing w:after="0" w:line="262" w:lineRule="auto"/>
        <w:tabs>
          <w:tab w:leader="none" w:pos="619" w:val="left"/>
        </w:tabs>
        <w:numPr>
          <w:ilvl w:val="1"/>
          <w:numId w:val="41"/>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82" w:lineRule="exact"/>
        <w:rPr>
          <w:rFonts w:ascii="Arial" w:cs="Arial" w:eastAsia="Arial" w:hAnsi="Arial"/>
          <w:sz w:val="18"/>
          <w:szCs w:val="18"/>
          <w:color w:val="auto"/>
        </w:rPr>
      </w:pPr>
    </w:p>
    <w:p>
      <w:pPr>
        <w:jc w:val="both"/>
        <w:ind w:right="100" w:firstLine="309"/>
        <w:spacing w:after="0" w:line="262" w:lineRule="auto"/>
        <w:tabs>
          <w:tab w:leader="none" w:pos="630" w:val="left"/>
        </w:tabs>
        <w:numPr>
          <w:ilvl w:val="1"/>
          <w:numId w:val="41"/>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82" w:lineRule="exact"/>
        <w:rPr>
          <w:rFonts w:ascii="Arial" w:cs="Arial" w:eastAsia="Arial" w:hAnsi="Arial"/>
          <w:sz w:val="18"/>
          <w:szCs w:val="18"/>
          <w:color w:val="auto"/>
        </w:rPr>
      </w:pPr>
    </w:p>
    <w:p>
      <w:pPr>
        <w:ind w:right="160" w:firstLine="309"/>
        <w:spacing w:after="0" w:line="275" w:lineRule="auto"/>
        <w:tabs>
          <w:tab w:leader="none" w:pos="619" w:val="left"/>
        </w:tabs>
        <w:numPr>
          <w:ilvl w:val="1"/>
          <w:numId w:val="41"/>
        </w:numPr>
        <w:rPr>
          <w:rFonts w:ascii="Arial" w:cs="Arial" w:eastAsia="Arial" w:hAnsi="Arial"/>
          <w:sz w:val="18"/>
          <w:szCs w:val="18"/>
          <w:color w:val="auto"/>
        </w:rPr>
      </w:pPr>
      <w:r>
        <w:rPr>
          <w:rFonts w:ascii="Arial" w:cs="Arial" w:eastAsia="Arial" w:hAnsi="Arial"/>
          <w:sz w:val="18"/>
          <w:szCs w:val="18"/>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70" w:lineRule="exact"/>
        <w:rPr>
          <w:rFonts w:ascii="Arial" w:cs="Arial" w:eastAsia="Arial" w:hAnsi="Arial"/>
          <w:sz w:val="18"/>
          <w:szCs w:val="18"/>
          <w:color w:val="auto"/>
        </w:rPr>
      </w:pPr>
    </w:p>
    <w:p>
      <w:pPr>
        <w:ind w:right="180" w:firstLine="309"/>
        <w:spacing w:after="0" w:line="262" w:lineRule="auto"/>
        <w:tabs>
          <w:tab w:leader="none" w:pos="630" w:val="left"/>
        </w:tabs>
        <w:numPr>
          <w:ilvl w:val="1"/>
          <w:numId w:val="41"/>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82" w:lineRule="exact"/>
        <w:rPr>
          <w:rFonts w:ascii="Arial" w:cs="Arial" w:eastAsia="Arial" w:hAnsi="Arial"/>
          <w:sz w:val="18"/>
          <w:szCs w:val="18"/>
          <w:color w:val="auto"/>
        </w:rPr>
      </w:pPr>
    </w:p>
    <w:p>
      <w:pPr>
        <w:ind w:right="560" w:firstLine="8"/>
        <w:spacing w:after="0" w:line="306" w:lineRule="auto"/>
        <w:tabs>
          <w:tab w:leader="none" w:pos="310" w:val="left"/>
        </w:tabs>
        <w:numPr>
          <w:ilvl w:val="0"/>
          <w:numId w:val="41"/>
        </w:numPr>
        <w:rPr>
          <w:rFonts w:ascii="Arial" w:cs="Arial" w:eastAsia="Arial" w:hAnsi="Arial"/>
          <w:sz w:val="17"/>
          <w:szCs w:val="17"/>
          <w:color w:val="auto"/>
        </w:rPr>
      </w:pPr>
      <w:r>
        <w:rPr>
          <w:rFonts w:ascii="Arial" w:cs="Arial" w:eastAsia="Arial" w:hAnsi="Arial"/>
          <w:sz w:val="17"/>
          <w:szCs w:val="17"/>
          <w:color w:val="auto"/>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p>
      <w:pPr>
        <w:spacing w:after="0" w:line="146" w:lineRule="exact"/>
        <w:rPr>
          <w:rFonts w:ascii="Arial" w:cs="Arial" w:eastAsia="Arial" w:hAnsi="Arial"/>
          <w:sz w:val="17"/>
          <w:szCs w:val="17"/>
          <w:color w:val="auto"/>
        </w:rPr>
      </w:pPr>
    </w:p>
    <w:p>
      <w:pPr>
        <w:ind w:right="80" w:firstLine="309"/>
        <w:spacing w:after="0" w:line="275" w:lineRule="auto"/>
        <w:tabs>
          <w:tab w:leader="none" w:pos="610" w:val="left"/>
        </w:tabs>
        <w:numPr>
          <w:ilvl w:val="1"/>
          <w:numId w:val="41"/>
        </w:numPr>
        <w:rPr>
          <w:rFonts w:ascii="Arial" w:cs="Arial" w:eastAsia="Arial" w:hAnsi="Arial"/>
          <w:sz w:val="18"/>
          <w:szCs w:val="18"/>
          <w:color w:val="auto"/>
        </w:rPr>
      </w:pPr>
      <w:r>
        <w:rPr>
          <w:rFonts w:ascii="Arial" w:cs="Arial" w:eastAsia="Arial" w:hAnsi="Arial"/>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70" w:lineRule="exact"/>
        <w:rPr>
          <w:rFonts w:ascii="Arial" w:cs="Arial" w:eastAsia="Arial" w:hAnsi="Arial"/>
          <w:sz w:val="18"/>
          <w:szCs w:val="18"/>
          <w:color w:val="auto"/>
        </w:rPr>
      </w:pPr>
    </w:p>
    <w:p>
      <w:pPr>
        <w:ind w:right="120" w:firstLine="309"/>
        <w:spacing w:after="0" w:line="275" w:lineRule="auto"/>
        <w:tabs>
          <w:tab w:leader="none" w:pos="620" w:val="left"/>
        </w:tabs>
        <w:numPr>
          <w:ilvl w:val="1"/>
          <w:numId w:val="41"/>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225" w:lineRule="exact"/>
        <w:rPr>
          <w:sz w:val="20"/>
          <w:szCs w:val="20"/>
          <w:color w:val="auto"/>
        </w:rPr>
      </w:pPr>
    </w:p>
    <w:p>
      <w:pPr>
        <w:spacing w:after="0"/>
        <w:tabs>
          <w:tab w:leader="none" w:pos="7400" w:val="left"/>
        </w:tabs>
        <w:rPr>
          <w:sz w:val="20"/>
          <w:szCs w:val="20"/>
          <w:color w:val="auto"/>
        </w:rPr>
      </w:pPr>
      <w:r>
        <w:rPr>
          <w:rFonts w:ascii="Arial" w:cs="Arial" w:eastAsia="Arial" w:hAnsi="Arial"/>
          <w:sz w:val="18"/>
          <w:szCs w:val="18"/>
          <w:color w:val="auto"/>
        </w:rPr>
        <w:t>Date: May 9, 2018</w:t>
      </w:r>
      <w:r>
        <w:rPr>
          <w:sz w:val="20"/>
          <w:szCs w:val="20"/>
          <w:color w:val="auto"/>
        </w:rPr>
        <w:tab/>
      </w:r>
      <w:r>
        <w:rPr>
          <w:rFonts w:ascii="Arial" w:cs="Arial" w:eastAsia="Arial" w:hAnsi="Arial"/>
          <w:sz w:val="16"/>
          <w:szCs w:val="16"/>
          <w:color w:val="auto"/>
        </w:rPr>
        <w:t>By: /s/ Steven W. Moster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4716780</wp:posOffset>
            </wp:positionH>
            <wp:positionV relativeFrom="paragraph">
              <wp:posOffset>13970</wp:posOffset>
            </wp:positionV>
            <wp:extent cx="2535555" cy="8255"/>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43">
                      <a:extLst>
                        <a:ext uri="{28A0092B-C50C-407E-A947-70E740481C1C}"/>
                      </a:extLst>
                    </a:blip>
                    <a:srcRect/>
                    <a:stretch>
                      <a:fillRect/>
                    </a:stretch>
                  </pic:blipFill>
                  <pic:spPr bwMode="auto">
                    <a:xfrm>
                      <a:off x="0" y="0"/>
                      <a:ext cx="2535555" cy="8255"/>
                    </a:xfrm>
                    <a:prstGeom prst="rect">
                      <a:avLst/>
                    </a:prstGeom>
                    <a:noFill/>
                  </pic:spPr>
                </pic:pic>
              </a:graphicData>
            </a:graphic>
          </wp:anchor>
        </w:drawing>
      </w:r>
    </w:p>
    <w:p>
      <w:pPr>
        <w:spacing w:after="0" w:line="28" w:lineRule="exact"/>
        <w:rPr>
          <w:sz w:val="20"/>
          <w:szCs w:val="20"/>
          <w:color w:val="auto"/>
        </w:rPr>
      </w:pPr>
    </w:p>
    <w:p>
      <w:pPr>
        <w:ind w:left="7420"/>
        <w:spacing w:after="0"/>
        <w:rPr>
          <w:sz w:val="20"/>
          <w:szCs w:val="20"/>
          <w:color w:val="auto"/>
        </w:rPr>
      </w:pPr>
      <w:r>
        <w:rPr>
          <w:rFonts w:ascii="Arial" w:cs="Arial" w:eastAsia="Arial" w:hAnsi="Arial"/>
          <w:sz w:val="18"/>
          <w:szCs w:val="18"/>
          <w:color w:val="auto"/>
        </w:rPr>
        <w:t>Steven W. Moster</w:t>
      </w:r>
    </w:p>
    <w:p>
      <w:pPr>
        <w:spacing w:after="0" w:line="35" w:lineRule="exact"/>
        <w:rPr>
          <w:sz w:val="20"/>
          <w:szCs w:val="20"/>
          <w:color w:val="auto"/>
        </w:rPr>
      </w:pPr>
    </w:p>
    <w:p>
      <w:pPr>
        <w:ind w:left="7420"/>
        <w:spacing w:after="0"/>
        <w:rPr>
          <w:sz w:val="20"/>
          <w:szCs w:val="20"/>
          <w:color w:val="auto"/>
        </w:rPr>
      </w:pPr>
      <w:r>
        <w:rPr>
          <w:rFonts w:ascii="Arial" w:cs="Arial" w:eastAsia="Arial" w:hAnsi="Arial"/>
          <w:sz w:val="18"/>
          <w:szCs w:val="18"/>
          <w:color w:val="auto"/>
        </w:rPr>
        <w:t>President and Chief Executive Officer</w:t>
      </w:r>
    </w:p>
    <w:p>
      <w:pPr>
        <w:sectPr>
          <w:pgSz w:w="11900" w:h="16838" w:orient="portrait"/>
          <w:cols w:equalWidth="0" w:num="1">
            <w:col w:w="11420"/>
          </w:cols>
          <w:pgMar w:left="240" w:top="121" w:right="239" w:bottom="1440" w:gutter="0" w:footer="0" w:header="0"/>
        </w:sectPr>
      </w:pPr>
    </w:p>
    <w:bookmarkStart w:id="49" w:name="page50"/>
    <w:bookmarkEnd w:id="49"/>
    <w:p>
      <w:pPr>
        <w:jc w:val="right"/>
        <w:spacing w:after="0"/>
        <w:rPr>
          <w:sz w:val="20"/>
          <w:szCs w:val="20"/>
          <w:color w:val="auto"/>
        </w:rPr>
      </w:pPr>
      <w:r>
        <w:rPr>
          <w:rFonts w:ascii="Arial" w:cs="Arial" w:eastAsia="Arial" w:hAnsi="Arial"/>
          <w:sz w:val="18"/>
          <w:szCs w:val="18"/>
          <w:b w:val="1"/>
          <w:bCs w:val="1"/>
          <w:color w:val="auto"/>
        </w:rPr>
        <w:t>Exhibit 31.2B</w:t>
      </w:r>
    </w:p>
    <w:p>
      <w:pPr>
        <w:spacing w:after="0" w:line="22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w:t>
      </w:r>
    </w:p>
    <w:p>
      <w:pPr>
        <w:spacing w:after="0" w:line="227" w:lineRule="exact"/>
        <w:rPr>
          <w:sz w:val="20"/>
          <w:szCs w:val="20"/>
          <w:color w:val="auto"/>
        </w:rPr>
      </w:pPr>
    </w:p>
    <w:p>
      <w:pPr>
        <w:spacing w:after="0"/>
        <w:rPr>
          <w:sz w:val="20"/>
          <w:szCs w:val="20"/>
          <w:color w:val="auto"/>
        </w:rPr>
      </w:pPr>
      <w:r>
        <w:rPr>
          <w:rFonts w:ascii="Arial" w:cs="Arial" w:eastAsia="Arial" w:hAnsi="Arial"/>
          <w:sz w:val="18"/>
          <w:szCs w:val="18"/>
          <w:color w:val="auto"/>
        </w:rPr>
        <w:t>I, Ellen M. Ingersoll, certify that:</w:t>
      </w:r>
    </w:p>
    <w:p>
      <w:pPr>
        <w:spacing w:after="0" w:line="223" w:lineRule="exact"/>
        <w:rPr>
          <w:sz w:val="20"/>
          <w:szCs w:val="20"/>
          <w:color w:val="auto"/>
        </w:rPr>
      </w:pPr>
    </w:p>
    <w:p>
      <w:pPr>
        <w:ind w:left="320" w:hanging="312"/>
        <w:spacing w:after="0"/>
        <w:tabs>
          <w:tab w:leader="none" w:pos="320" w:val="left"/>
        </w:tabs>
        <w:numPr>
          <w:ilvl w:val="0"/>
          <w:numId w:val="42"/>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of Viad Corp;</w:t>
      </w:r>
    </w:p>
    <w:p>
      <w:pPr>
        <w:spacing w:after="0" w:line="223" w:lineRule="exact"/>
        <w:rPr>
          <w:rFonts w:ascii="Arial" w:cs="Arial" w:eastAsia="Arial" w:hAnsi="Arial"/>
          <w:sz w:val="18"/>
          <w:szCs w:val="18"/>
          <w:color w:val="auto"/>
        </w:rPr>
      </w:pPr>
    </w:p>
    <w:p>
      <w:pPr>
        <w:ind w:right="500" w:firstLine="8"/>
        <w:spacing w:after="0" w:line="340" w:lineRule="auto"/>
        <w:tabs>
          <w:tab w:leader="none" w:pos="313" w:val="left"/>
        </w:tabs>
        <w:numPr>
          <w:ilvl w:val="0"/>
          <w:numId w:val="42"/>
        </w:numPr>
        <w:rPr>
          <w:rFonts w:ascii="Arial" w:cs="Arial" w:eastAsia="Arial" w:hAnsi="Arial"/>
          <w:sz w:val="16"/>
          <w:szCs w:val="16"/>
          <w:color w:val="auto"/>
        </w:rPr>
      </w:pPr>
      <w:r>
        <w:rPr>
          <w:rFonts w:ascii="Arial" w:cs="Arial" w:eastAsia="Arial" w:hAnsi="Arial"/>
          <w:sz w:val="16"/>
          <w:szCs w:val="16"/>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23" w:lineRule="exact"/>
        <w:rPr>
          <w:rFonts w:ascii="Arial" w:cs="Arial" w:eastAsia="Arial" w:hAnsi="Arial"/>
          <w:sz w:val="16"/>
          <w:szCs w:val="16"/>
          <w:color w:val="auto"/>
        </w:rPr>
      </w:pPr>
    </w:p>
    <w:p>
      <w:pPr>
        <w:ind w:right="640" w:firstLine="8"/>
        <w:spacing w:after="0" w:line="275" w:lineRule="auto"/>
        <w:tabs>
          <w:tab w:leader="none" w:pos="313" w:val="left"/>
        </w:tabs>
        <w:numPr>
          <w:ilvl w:val="0"/>
          <w:numId w:val="42"/>
        </w:numPr>
        <w:rPr>
          <w:rFonts w:ascii="Arial" w:cs="Arial" w:eastAsia="Arial" w:hAnsi="Arial"/>
          <w:sz w:val="18"/>
          <w:szCs w:val="18"/>
          <w:color w:val="auto"/>
        </w:rPr>
      </w:pPr>
      <w:r>
        <w:rPr>
          <w:rFonts w:ascii="Arial" w:cs="Arial" w:eastAsia="Arial" w:hAnsi="Arial"/>
          <w:sz w:val="18"/>
          <w:szCs w:val="18"/>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70" w:lineRule="exact"/>
        <w:rPr>
          <w:rFonts w:ascii="Arial" w:cs="Arial" w:eastAsia="Arial" w:hAnsi="Arial"/>
          <w:sz w:val="18"/>
          <w:szCs w:val="18"/>
          <w:color w:val="auto"/>
        </w:rPr>
      </w:pPr>
    </w:p>
    <w:p>
      <w:pPr>
        <w:jc w:val="both"/>
        <w:ind w:right="80" w:firstLine="8"/>
        <w:spacing w:after="0" w:line="262" w:lineRule="auto"/>
        <w:tabs>
          <w:tab w:leader="none" w:pos="310" w:val="left"/>
        </w:tabs>
        <w:numPr>
          <w:ilvl w:val="0"/>
          <w:numId w:val="42"/>
        </w:numPr>
        <w:rPr>
          <w:rFonts w:ascii="Arial" w:cs="Arial" w:eastAsia="Arial" w:hAnsi="Arial"/>
          <w:sz w:val="18"/>
          <w:szCs w:val="18"/>
          <w:color w:val="auto"/>
        </w:rPr>
      </w:pPr>
      <w:r>
        <w:rPr>
          <w:rFonts w:ascii="Arial" w:cs="Arial" w:eastAsia="Arial" w:hAnsi="Arial"/>
          <w:sz w:val="18"/>
          <w:szCs w:val="18"/>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182" w:lineRule="exact"/>
        <w:rPr>
          <w:rFonts w:ascii="Arial" w:cs="Arial" w:eastAsia="Arial" w:hAnsi="Arial"/>
          <w:sz w:val="18"/>
          <w:szCs w:val="18"/>
          <w:color w:val="auto"/>
        </w:rPr>
      </w:pPr>
    </w:p>
    <w:p>
      <w:pPr>
        <w:ind w:right="120" w:firstLine="309"/>
        <w:spacing w:after="0" w:line="262" w:lineRule="auto"/>
        <w:tabs>
          <w:tab w:leader="none" w:pos="619" w:val="left"/>
        </w:tabs>
        <w:numPr>
          <w:ilvl w:val="1"/>
          <w:numId w:val="42"/>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82" w:lineRule="exact"/>
        <w:rPr>
          <w:rFonts w:ascii="Arial" w:cs="Arial" w:eastAsia="Arial" w:hAnsi="Arial"/>
          <w:sz w:val="18"/>
          <w:szCs w:val="18"/>
          <w:color w:val="auto"/>
        </w:rPr>
      </w:pPr>
    </w:p>
    <w:p>
      <w:pPr>
        <w:jc w:val="both"/>
        <w:ind w:right="100" w:firstLine="309"/>
        <w:spacing w:after="0" w:line="262" w:lineRule="auto"/>
        <w:tabs>
          <w:tab w:leader="none" w:pos="630" w:val="left"/>
        </w:tabs>
        <w:numPr>
          <w:ilvl w:val="1"/>
          <w:numId w:val="42"/>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82" w:lineRule="exact"/>
        <w:rPr>
          <w:rFonts w:ascii="Arial" w:cs="Arial" w:eastAsia="Arial" w:hAnsi="Arial"/>
          <w:sz w:val="18"/>
          <w:szCs w:val="18"/>
          <w:color w:val="auto"/>
        </w:rPr>
      </w:pPr>
    </w:p>
    <w:p>
      <w:pPr>
        <w:ind w:right="160" w:firstLine="309"/>
        <w:spacing w:after="0" w:line="275" w:lineRule="auto"/>
        <w:tabs>
          <w:tab w:leader="none" w:pos="619" w:val="left"/>
        </w:tabs>
        <w:numPr>
          <w:ilvl w:val="1"/>
          <w:numId w:val="42"/>
        </w:numPr>
        <w:rPr>
          <w:rFonts w:ascii="Arial" w:cs="Arial" w:eastAsia="Arial" w:hAnsi="Arial"/>
          <w:sz w:val="18"/>
          <w:szCs w:val="18"/>
          <w:color w:val="auto"/>
        </w:rPr>
      </w:pPr>
      <w:r>
        <w:rPr>
          <w:rFonts w:ascii="Arial" w:cs="Arial" w:eastAsia="Arial" w:hAnsi="Arial"/>
          <w:sz w:val="18"/>
          <w:szCs w:val="18"/>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70" w:lineRule="exact"/>
        <w:rPr>
          <w:rFonts w:ascii="Arial" w:cs="Arial" w:eastAsia="Arial" w:hAnsi="Arial"/>
          <w:sz w:val="18"/>
          <w:szCs w:val="18"/>
          <w:color w:val="auto"/>
        </w:rPr>
      </w:pPr>
    </w:p>
    <w:p>
      <w:pPr>
        <w:ind w:right="180" w:firstLine="309"/>
        <w:spacing w:after="0" w:line="262" w:lineRule="auto"/>
        <w:tabs>
          <w:tab w:leader="none" w:pos="630" w:val="left"/>
        </w:tabs>
        <w:numPr>
          <w:ilvl w:val="1"/>
          <w:numId w:val="42"/>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82" w:lineRule="exact"/>
        <w:rPr>
          <w:rFonts w:ascii="Arial" w:cs="Arial" w:eastAsia="Arial" w:hAnsi="Arial"/>
          <w:sz w:val="18"/>
          <w:szCs w:val="18"/>
          <w:color w:val="auto"/>
        </w:rPr>
      </w:pPr>
    </w:p>
    <w:p>
      <w:pPr>
        <w:ind w:right="560" w:firstLine="8"/>
        <w:spacing w:after="0" w:line="306" w:lineRule="auto"/>
        <w:tabs>
          <w:tab w:leader="none" w:pos="310" w:val="left"/>
        </w:tabs>
        <w:numPr>
          <w:ilvl w:val="0"/>
          <w:numId w:val="42"/>
        </w:numPr>
        <w:rPr>
          <w:rFonts w:ascii="Arial" w:cs="Arial" w:eastAsia="Arial" w:hAnsi="Arial"/>
          <w:sz w:val="17"/>
          <w:szCs w:val="17"/>
          <w:color w:val="auto"/>
        </w:rPr>
      </w:pPr>
      <w:r>
        <w:rPr>
          <w:rFonts w:ascii="Arial" w:cs="Arial" w:eastAsia="Arial" w:hAnsi="Arial"/>
          <w:sz w:val="17"/>
          <w:szCs w:val="17"/>
          <w:color w:val="auto"/>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p>
      <w:pPr>
        <w:spacing w:after="0" w:line="146" w:lineRule="exact"/>
        <w:rPr>
          <w:rFonts w:ascii="Arial" w:cs="Arial" w:eastAsia="Arial" w:hAnsi="Arial"/>
          <w:sz w:val="17"/>
          <w:szCs w:val="17"/>
          <w:color w:val="auto"/>
        </w:rPr>
      </w:pPr>
    </w:p>
    <w:p>
      <w:pPr>
        <w:ind w:right="80" w:firstLine="309"/>
        <w:spacing w:after="0" w:line="275" w:lineRule="auto"/>
        <w:tabs>
          <w:tab w:leader="none" w:pos="610" w:val="left"/>
        </w:tabs>
        <w:numPr>
          <w:ilvl w:val="1"/>
          <w:numId w:val="42"/>
        </w:numPr>
        <w:rPr>
          <w:rFonts w:ascii="Arial" w:cs="Arial" w:eastAsia="Arial" w:hAnsi="Arial"/>
          <w:sz w:val="18"/>
          <w:szCs w:val="18"/>
          <w:color w:val="auto"/>
        </w:rPr>
      </w:pPr>
      <w:r>
        <w:rPr>
          <w:rFonts w:ascii="Arial" w:cs="Arial" w:eastAsia="Arial" w:hAnsi="Arial"/>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70" w:lineRule="exact"/>
        <w:rPr>
          <w:rFonts w:ascii="Arial" w:cs="Arial" w:eastAsia="Arial" w:hAnsi="Arial"/>
          <w:sz w:val="18"/>
          <w:szCs w:val="18"/>
          <w:color w:val="auto"/>
        </w:rPr>
      </w:pPr>
    </w:p>
    <w:p>
      <w:pPr>
        <w:ind w:right="120" w:firstLine="309"/>
        <w:spacing w:after="0" w:line="275" w:lineRule="auto"/>
        <w:tabs>
          <w:tab w:leader="none" w:pos="620" w:val="left"/>
        </w:tabs>
        <w:numPr>
          <w:ilvl w:val="1"/>
          <w:numId w:val="42"/>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225" w:lineRule="exact"/>
        <w:rPr>
          <w:sz w:val="20"/>
          <w:szCs w:val="20"/>
          <w:color w:val="auto"/>
        </w:rPr>
      </w:pPr>
    </w:p>
    <w:p>
      <w:pPr>
        <w:spacing w:after="0"/>
        <w:tabs>
          <w:tab w:leader="none" w:pos="7400" w:val="left"/>
        </w:tabs>
        <w:rPr>
          <w:sz w:val="20"/>
          <w:szCs w:val="20"/>
          <w:color w:val="auto"/>
        </w:rPr>
      </w:pPr>
      <w:r>
        <w:rPr>
          <w:rFonts w:ascii="Arial" w:cs="Arial" w:eastAsia="Arial" w:hAnsi="Arial"/>
          <w:sz w:val="18"/>
          <w:szCs w:val="18"/>
          <w:color w:val="auto"/>
        </w:rPr>
        <w:t>Date: May 9, 2018</w:t>
      </w:r>
      <w:r>
        <w:rPr>
          <w:sz w:val="20"/>
          <w:szCs w:val="20"/>
          <w:color w:val="auto"/>
        </w:rPr>
        <w:tab/>
      </w:r>
      <w:r>
        <w:rPr>
          <w:rFonts w:ascii="Arial" w:cs="Arial" w:eastAsia="Arial" w:hAnsi="Arial"/>
          <w:sz w:val="17"/>
          <w:szCs w:val="17"/>
          <w:color w:val="auto"/>
        </w:rPr>
        <w:t>By: /s/ Ellen M. Ingersoll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4716780</wp:posOffset>
            </wp:positionH>
            <wp:positionV relativeFrom="paragraph">
              <wp:posOffset>13970</wp:posOffset>
            </wp:positionV>
            <wp:extent cx="2535555" cy="8255"/>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44">
                      <a:extLst>
                        <a:ext uri="{28A0092B-C50C-407E-A947-70E740481C1C}"/>
                      </a:extLst>
                    </a:blip>
                    <a:srcRect/>
                    <a:stretch>
                      <a:fillRect/>
                    </a:stretch>
                  </pic:blipFill>
                  <pic:spPr bwMode="auto">
                    <a:xfrm>
                      <a:off x="0" y="0"/>
                      <a:ext cx="2535555" cy="8255"/>
                    </a:xfrm>
                    <a:prstGeom prst="rect">
                      <a:avLst/>
                    </a:prstGeom>
                    <a:noFill/>
                  </pic:spPr>
                </pic:pic>
              </a:graphicData>
            </a:graphic>
          </wp:anchor>
        </w:drawing>
      </w:r>
    </w:p>
    <w:p>
      <w:pPr>
        <w:spacing w:after="0" w:line="28" w:lineRule="exact"/>
        <w:rPr>
          <w:sz w:val="20"/>
          <w:szCs w:val="20"/>
          <w:color w:val="auto"/>
        </w:rPr>
      </w:pPr>
    </w:p>
    <w:p>
      <w:pPr>
        <w:ind w:left="7420"/>
        <w:spacing w:after="0"/>
        <w:rPr>
          <w:sz w:val="20"/>
          <w:szCs w:val="20"/>
          <w:color w:val="auto"/>
        </w:rPr>
      </w:pPr>
      <w:r>
        <w:rPr>
          <w:rFonts w:ascii="Arial" w:cs="Arial" w:eastAsia="Arial" w:hAnsi="Arial"/>
          <w:sz w:val="18"/>
          <w:szCs w:val="18"/>
          <w:color w:val="auto"/>
        </w:rPr>
        <w:t>Ellen M. Ingersoll</w:t>
      </w:r>
    </w:p>
    <w:p>
      <w:pPr>
        <w:spacing w:after="0" w:line="35" w:lineRule="exact"/>
        <w:rPr>
          <w:sz w:val="20"/>
          <w:szCs w:val="20"/>
          <w:color w:val="auto"/>
        </w:rPr>
      </w:pPr>
    </w:p>
    <w:p>
      <w:pPr>
        <w:ind w:left="7420"/>
        <w:spacing w:after="0"/>
        <w:rPr>
          <w:sz w:val="20"/>
          <w:szCs w:val="20"/>
          <w:color w:val="auto"/>
        </w:rPr>
      </w:pPr>
      <w:r>
        <w:rPr>
          <w:rFonts w:ascii="Arial" w:cs="Arial" w:eastAsia="Arial" w:hAnsi="Arial"/>
          <w:sz w:val="18"/>
          <w:szCs w:val="18"/>
          <w:color w:val="auto"/>
        </w:rPr>
        <w:t>Chief Financial Officer</w:t>
      </w:r>
    </w:p>
    <w:p>
      <w:pPr>
        <w:sectPr>
          <w:pgSz w:w="11900" w:h="16838" w:orient="portrait"/>
          <w:cols w:equalWidth="0" w:num="1">
            <w:col w:w="11420"/>
          </w:cols>
          <w:pgMar w:left="240" w:top="121" w:right="239" w:bottom="1440" w:gutter="0" w:footer="0" w:header="0"/>
        </w:sectPr>
      </w:pPr>
    </w:p>
    <w:bookmarkStart w:id="50" w:name="page51"/>
    <w:bookmarkEnd w:id="50"/>
    <w:p>
      <w:pPr>
        <w:jc w:val="right"/>
        <w:spacing w:after="0"/>
        <w:rPr>
          <w:sz w:val="20"/>
          <w:szCs w:val="20"/>
          <w:color w:val="auto"/>
        </w:rPr>
      </w:pPr>
      <w:r>
        <w:rPr>
          <w:rFonts w:ascii="Arial" w:cs="Arial" w:eastAsia="Arial" w:hAnsi="Arial"/>
          <w:sz w:val="18"/>
          <w:szCs w:val="18"/>
          <w:b w:val="1"/>
          <w:bCs w:val="1"/>
          <w:color w:val="auto"/>
        </w:rPr>
        <w:t>Exhibit 32.1B</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Certifications of</w:t>
      </w:r>
    </w:p>
    <w:p>
      <w:pPr>
        <w:spacing w:after="0" w:line="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Chief Executive Officer and Chief Financial Officer</w:t>
      </w:r>
    </w:p>
    <w:p>
      <w:pPr>
        <w:spacing w:after="0" w:line="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Pursuant To 18 U.S.C. Section 1350, As Adopted Pursuant To Section 906 of the</w:t>
      </w:r>
    </w:p>
    <w:p>
      <w:pPr>
        <w:spacing w:after="0" w:line="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Sarbanes-Oxley Act of 2002</w:t>
      </w:r>
    </w:p>
    <w:p>
      <w:pPr>
        <w:spacing w:after="0" w:line="209" w:lineRule="exact"/>
        <w:rPr>
          <w:sz w:val="20"/>
          <w:szCs w:val="20"/>
          <w:color w:val="auto"/>
        </w:rPr>
      </w:pPr>
    </w:p>
    <w:p>
      <w:pPr>
        <w:ind w:right="40"/>
        <w:spacing w:after="0" w:line="258" w:lineRule="auto"/>
        <w:rPr>
          <w:sz w:val="20"/>
          <w:szCs w:val="20"/>
          <w:color w:val="auto"/>
        </w:rPr>
      </w:pPr>
      <w:r>
        <w:rPr>
          <w:rFonts w:ascii="Arial" w:cs="Arial" w:eastAsia="Arial" w:hAnsi="Arial"/>
          <w:sz w:val="18"/>
          <w:szCs w:val="18"/>
          <w:color w:val="auto"/>
        </w:rPr>
        <w:t>I, Steven W. Moster, Chief Executive Officer of Viad Corp, certify, pursuant to 18 U.S.C. Section 1350, as adopted pursuant to Section 906 of the Sarbanes-Oxley Act of 2002, that Viad Corp’s Quarterly Report on Form 10-Q for the three months ended March 31, 2018, fully complies with the requirements of Section 13(a) or 15(d) of the Securities Exchange Act of 1934 and the information contained in Viad Corp’s Quarterly Report on Form 10-Q fairly presents, in all material respects, Viad Corp’s financial condition and results of operations.</w:t>
      </w:r>
    </w:p>
    <w:p>
      <w:pPr>
        <w:spacing w:after="0" w:line="212" w:lineRule="exact"/>
        <w:rPr>
          <w:sz w:val="20"/>
          <w:szCs w:val="20"/>
          <w:color w:val="auto"/>
        </w:rPr>
      </w:pPr>
    </w:p>
    <w:tbl>
      <w:tblPr>
        <w:tblLayout w:type="fixed"/>
        <w:tblInd w:w="0" w:type="dxa"/>
        <w:tblCellMar>
          <w:top w:w="0" w:type="dxa"/>
          <w:left w:w="0" w:type="dxa"/>
          <w:bottom w:w="0" w:type="dxa"/>
          <w:right w:w="0" w:type="dxa"/>
        </w:tblCellMar>
      </w:tblPr>
      <w:tr>
        <w:trPr>
          <w:trHeight w:val="229"/>
        </w:trPr>
        <w:tc>
          <w:tcPr>
            <w:tcW w:w="6860" w:type="dxa"/>
            <w:vAlign w:val="bottom"/>
          </w:tcPr>
          <w:p>
            <w:pPr>
              <w:spacing w:after="0"/>
              <w:rPr>
                <w:sz w:val="20"/>
                <w:szCs w:val="20"/>
                <w:color w:val="auto"/>
              </w:rPr>
            </w:pPr>
            <w:r>
              <w:rPr>
                <w:rFonts w:ascii="Arial" w:cs="Arial" w:eastAsia="Arial" w:hAnsi="Arial"/>
                <w:sz w:val="18"/>
                <w:szCs w:val="18"/>
                <w:color w:val="auto"/>
              </w:rPr>
              <w:t>Date: May 9, 2018</w:t>
            </w:r>
          </w:p>
        </w:tc>
        <w:tc>
          <w:tcPr>
            <w:tcW w:w="456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By: /s/ Steven W. Moster</w:t>
            </w:r>
          </w:p>
        </w:tc>
      </w:tr>
      <w:tr>
        <w:trPr>
          <w:trHeight w:val="194"/>
        </w:trPr>
        <w:tc>
          <w:tcPr>
            <w:tcW w:w="6860" w:type="dxa"/>
            <w:vAlign w:val="bottom"/>
          </w:tcPr>
          <w:p>
            <w:pPr>
              <w:spacing w:after="0"/>
              <w:rPr>
                <w:sz w:val="16"/>
                <w:szCs w:val="16"/>
                <w:color w:val="auto"/>
              </w:rPr>
            </w:pPr>
          </w:p>
        </w:tc>
        <w:tc>
          <w:tcPr>
            <w:tcW w:w="4560" w:type="dxa"/>
            <w:vAlign w:val="bottom"/>
          </w:tcPr>
          <w:p>
            <w:pPr>
              <w:spacing w:after="0" w:line="195" w:lineRule="exact"/>
              <w:rPr>
                <w:sz w:val="20"/>
                <w:szCs w:val="20"/>
                <w:color w:val="auto"/>
              </w:rPr>
            </w:pPr>
            <w:r>
              <w:rPr>
                <w:rFonts w:ascii="Arial" w:cs="Arial" w:eastAsia="Arial" w:hAnsi="Arial"/>
                <w:sz w:val="18"/>
                <w:szCs w:val="18"/>
                <w:color w:val="auto"/>
              </w:rPr>
              <w:t>Steven W. Moster</w:t>
            </w:r>
          </w:p>
        </w:tc>
      </w:tr>
      <w:tr>
        <w:trPr>
          <w:trHeight w:val="230"/>
        </w:trPr>
        <w:tc>
          <w:tcPr>
            <w:tcW w:w="6860" w:type="dxa"/>
            <w:vAlign w:val="bottom"/>
          </w:tcPr>
          <w:p>
            <w:pPr>
              <w:spacing w:after="0"/>
              <w:rPr>
                <w:sz w:val="19"/>
                <w:szCs w:val="19"/>
                <w:color w:val="auto"/>
              </w:rPr>
            </w:pPr>
          </w:p>
        </w:tc>
        <w:tc>
          <w:tcPr>
            <w:tcW w:w="4560" w:type="dxa"/>
            <w:vAlign w:val="bottom"/>
          </w:tcPr>
          <w:p>
            <w:pPr>
              <w:spacing w:after="0"/>
              <w:rPr>
                <w:sz w:val="20"/>
                <w:szCs w:val="20"/>
                <w:color w:val="auto"/>
              </w:rPr>
            </w:pPr>
            <w:r>
              <w:rPr>
                <w:rFonts w:ascii="Arial" w:cs="Arial" w:eastAsia="Arial" w:hAnsi="Arial"/>
                <w:sz w:val="18"/>
                <w:szCs w:val="18"/>
                <w:color w:val="auto"/>
              </w:rPr>
              <w:t>President and Chief Executive Officer</w:t>
            </w:r>
          </w:p>
        </w:tc>
      </w:tr>
    </w:tbl>
    <w:p>
      <w:pPr>
        <w:spacing w:after="0" w:line="200" w:lineRule="exact"/>
        <w:rPr>
          <w:sz w:val="20"/>
          <w:szCs w:val="20"/>
          <w:color w:val="auto"/>
        </w:rPr>
      </w:pPr>
    </w:p>
    <w:p>
      <w:pPr>
        <w:spacing w:after="0" w:line="216" w:lineRule="exact"/>
        <w:rPr>
          <w:sz w:val="20"/>
          <w:szCs w:val="20"/>
          <w:color w:val="auto"/>
        </w:rPr>
      </w:pPr>
    </w:p>
    <w:p>
      <w:pPr>
        <w:ind w:right="40"/>
        <w:spacing w:after="0" w:line="258" w:lineRule="auto"/>
        <w:rPr>
          <w:sz w:val="20"/>
          <w:szCs w:val="20"/>
          <w:color w:val="auto"/>
        </w:rPr>
      </w:pPr>
      <w:r>
        <w:rPr>
          <w:rFonts w:ascii="Arial" w:cs="Arial" w:eastAsia="Arial" w:hAnsi="Arial"/>
          <w:sz w:val="18"/>
          <w:szCs w:val="18"/>
          <w:color w:val="auto"/>
        </w:rPr>
        <w:t>I, Ellen M. Ingersoll, Chief Financial Officer of Viad Corp, certify, pursuant to 18 U.S.C. Section 1350, as adopted pursuant to Section 906 of the Sarbanes-Oxley Act of 2002, that Viad Corp’s Quarterly Report on Form 10-Q for the three months ended March 31, 2018, fully complies with the requirements of Section 13(a) or 15(d) of the Securities Exchange Act of 1934 and the information contained in Viad Corp’s Quarterly Report on Form 10-Q fairly presents, in all material respects, Viad Corp’s financial condition and results of operations.</w:t>
      </w:r>
    </w:p>
    <w:p>
      <w:pPr>
        <w:spacing w:after="0" w:line="185" w:lineRule="exact"/>
        <w:rPr>
          <w:sz w:val="20"/>
          <w:szCs w:val="20"/>
          <w:color w:val="auto"/>
        </w:rPr>
      </w:pPr>
    </w:p>
    <w:tbl>
      <w:tblPr>
        <w:tblLayout w:type="fixed"/>
        <w:tblInd w:w="0" w:type="dxa"/>
        <w:tblCellMar>
          <w:top w:w="0" w:type="dxa"/>
          <w:left w:w="0" w:type="dxa"/>
          <w:bottom w:w="0" w:type="dxa"/>
          <w:right w:w="0" w:type="dxa"/>
        </w:tblCellMar>
      </w:tblPr>
      <w:tr>
        <w:trPr>
          <w:trHeight w:val="229"/>
        </w:trPr>
        <w:tc>
          <w:tcPr>
            <w:tcW w:w="6860" w:type="dxa"/>
            <w:vAlign w:val="bottom"/>
          </w:tcPr>
          <w:p>
            <w:pPr>
              <w:spacing w:after="0"/>
              <w:rPr>
                <w:sz w:val="20"/>
                <w:szCs w:val="20"/>
                <w:color w:val="auto"/>
              </w:rPr>
            </w:pPr>
            <w:r>
              <w:rPr>
                <w:rFonts w:ascii="Arial" w:cs="Arial" w:eastAsia="Arial" w:hAnsi="Arial"/>
                <w:sz w:val="18"/>
                <w:szCs w:val="18"/>
                <w:color w:val="auto"/>
              </w:rPr>
              <w:t>Date: May 9, 2018</w:t>
            </w:r>
          </w:p>
        </w:tc>
        <w:tc>
          <w:tcPr>
            <w:tcW w:w="456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By: /s/ Ellen M. Ingersoll</w:t>
            </w:r>
          </w:p>
        </w:tc>
      </w:tr>
      <w:tr>
        <w:trPr>
          <w:trHeight w:val="194"/>
        </w:trPr>
        <w:tc>
          <w:tcPr>
            <w:tcW w:w="6860" w:type="dxa"/>
            <w:vAlign w:val="bottom"/>
          </w:tcPr>
          <w:p>
            <w:pPr>
              <w:spacing w:after="0"/>
              <w:rPr>
                <w:sz w:val="16"/>
                <w:szCs w:val="16"/>
                <w:color w:val="auto"/>
              </w:rPr>
            </w:pPr>
          </w:p>
        </w:tc>
        <w:tc>
          <w:tcPr>
            <w:tcW w:w="4560" w:type="dxa"/>
            <w:vAlign w:val="bottom"/>
          </w:tcPr>
          <w:p>
            <w:pPr>
              <w:spacing w:after="0" w:line="195" w:lineRule="exact"/>
              <w:rPr>
                <w:sz w:val="20"/>
                <w:szCs w:val="20"/>
                <w:color w:val="auto"/>
              </w:rPr>
            </w:pPr>
            <w:r>
              <w:rPr>
                <w:rFonts w:ascii="Arial" w:cs="Arial" w:eastAsia="Arial" w:hAnsi="Arial"/>
                <w:sz w:val="18"/>
                <w:szCs w:val="18"/>
                <w:color w:val="auto"/>
              </w:rPr>
              <w:t>Ellen M. Ingersoll</w:t>
            </w:r>
          </w:p>
        </w:tc>
      </w:tr>
      <w:tr>
        <w:trPr>
          <w:trHeight w:val="230"/>
        </w:trPr>
        <w:tc>
          <w:tcPr>
            <w:tcW w:w="6860" w:type="dxa"/>
            <w:vAlign w:val="bottom"/>
          </w:tcPr>
          <w:p>
            <w:pPr>
              <w:spacing w:after="0"/>
              <w:rPr>
                <w:sz w:val="19"/>
                <w:szCs w:val="19"/>
                <w:color w:val="auto"/>
              </w:rPr>
            </w:pPr>
          </w:p>
        </w:tc>
        <w:tc>
          <w:tcPr>
            <w:tcW w:w="4560" w:type="dxa"/>
            <w:vAlign w:val="bottom"/>
          </w:tcPr>
          <w:p>
            <w:pPr>
              <w:spacing w:after="0"/>
              <w:rPr>
                <w:sz w:val="20"/>
                <w:szCs w:val="20"/>
                <w:color w:val="auto"/>
              </w:rPr>
            </w:pPr>
            <w:r>
              <w:rPr>
                <w:rFonts w:ascii="Arial" w:cs="Arial" w:eastAsia="Arial" w:hAnsi="Arial"/>
                <w:sz w:val="18"/>
                <w:szCs w:val="18"/>
                <w:color w:val="auto"/>
              </w:rPr>
              <w:t>Chief Financial Officer</w:t>
            </w:r>
          </w:p>
        </w:tc>
      </w:tr>
    </w:tbl>
    <w:p>
      <w:pPr>
        <w:spacing w:after="0" w:line="1" w:lineRule="exact"/>
        <w:rPr>
          <w:sz w:val="20"/>
          <w:szCs w:val="20"/>
          <w:color w:val="auto"/>
        </w:rPr>
      </w:pPr>
    </w:p>
    <w:sectPr>
      <w:pgSz w:w="11900" w:h="16838" w:orient="portrait"/>
      <w:cols w:equalWidth="0" w:num="1">
        <w:col w:w="11420"/>
      </w:cols>
      <w:pgMar w:left="240" w:top="121"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333AB105"/>
    <w:multiLevelType w:val="hybridMultilevel"/>
    <w:lvl w:ilvl="0">
      <w:lvlJc w:val="left"/>
      <w:lvlText w:val="☒"/>
      <w:numFmt w:val="bullet"/>
      <w:start w:val="1"/>
    </w:lvl>
  </w:abstractNum>
  <w:abstractNum w:abstractNumId="1">
    <w:nsid w:val="721DA317"/>
    <w:multiLevelType w:val="hybridMultilevel"/>
    <w:lvl w:ilvl="0">
      <w:lvlJc w:val="left"/>
      <w:lvlText w:val="☐"/>
      <w:numFmt w:val="bullet"/>
      <w:start w:val="1"/>
    </w:lvl>
  </w:abstractNum>
  <w:abstractNum w:abstractNumId="2">
    <w:nsid w:val="2443A858"/>
    <w:multiLevelType w:val="hybridMultilevel"/>
    <w:lvl w:ilvl="0">
      <w:lvlJc w:val="left"/>
      <w:lvlText w:val="•"/>
      <w:numFmt w:val="bullet"/>
      <w:start w:val="1"/>
    </w:lvl>
  </w:abstractNum>
  <w:abstractNum w:abstractNumId="3">
    <w:nsid w:val="2D1D5AE9"/>
    <w:multiLevelType w:val="hybridMultilevel"/>
    <w:lvl w:ilvl="0">
      <w:lvlJc w:val="left"/>
      <w:lvlText w:val="•"/>
      <w:numFmt w:val="bullet"/>
      <w:start w:val="1"/>
    </w:lvl>
  </w:abstractNum>
  <w:abstractNum w:abstractNumId="4">
    <w:nsid w:val="6763845E"/>
    <w:multiLevelType w:val="hybridMultilevel"/>
    <w:lvl w:ilvl="0">
      <w:lvlJc w:val="left"/>
      <w:lvlText w:val="•"/>
      <w:numFmt w:val="bullet"/>
      <w:start w:val="1"/>
    </w:lvl>
  </w:abstractNum>
  <w:abstractNum w:abstractNumId="5">
    <w:nsid w:val="75A2A8D4"/>
    <w:multiLevelType w:val="hybridMultilevel"/>
    <w:lvl w:ilvl="0">
      <w:lvlJc w:val="left"/>
      <w:lvlText w:val="o"/>
      <w:numFmt w:val="bullet"/>
      <w:start w:val="1"/>
    </w:lvl>
  </w:abstractNum>
  <w:abstractNum w:abstractNumId="6">
    <w:nsid w:val="8EDBDAB"/>
    <w:multiLevelType w:val="hybridMultilevel"/>
    <w:lvl w:ilvl="0">
      <w:lvlJc w:val="left"/>
      <w:lvlText w:val="(%1)"/>
      <w:numFmt w:val="decimal"/>
      <w:start w:val="1"/>
    </w:lvl>
  </w:abstractNum>
  <w:abstractNum w:abstractNumId="7">
    <w:nsid w:val="79838CB2"/>
    <w:multiLevelType w:val="hybridMultilevel"/>
    <w:lvl w:ilvl="0">
      <w:lvlJc w:val="left"/>
      <w:lvlText w:val="(%1)"/>
      <w:numFmt w:val="decimal"/>
      <w:start w:val="1"/>
    </w:lvl>
  </w:abstractNum>
  <w:abstractNum w:abstractNumId="8">
    <w:nsid w:val="4353D0CD"/>
    <w:multiLevelType w:val="hybridMultilevel"/>
    <w:lvl w:ilvl="0">
      <w:lvlJc w:val="left"/>
      <w:lvlText w:val="(%1)"/>
      <w:numFmt w:val="decimal"/>
      <w:start w:val="1"/>
    </w:lvl>
  </w:abstractNum>
  <w:abstractNum w:abstractNumId="9">
    <w:nsid w:val="B03E0C6"/>
    <w:multiLevelType w:val="hybridMultilevel"/>
    <w:lvl w:ilvl="0">
      <w:lvlJc w:val="left"/>
      <w:lvlText w:val="(%1)"/>
      <w:numFmt w:val="decimal"/>
      <w:start w:val="1"/>
    </w:lvl>
  </w:abstractNum>
  <w:abstractNum w:abstractNumId="10">
    <w:nsid w:val="189A769B"/>
    <w:multiLevelType w:val="hybridMultilevel"/>
    <w:lvl w:ilvl="0">
      <w:lvlJc w:val="left"/>
      <w:lvlText w:val="(%1)"/>
      <w:numFmt w:val="decimal"/>
      <w:start w:val="1"/>
    </w:lvl>
  </w:abstractNum>
  <w:abstractNum w:abstractNumId="11">
    <w:nsid w:val="54E49EB4"/>
    <w:multiLevelType w:val="hybridMultilevel"/>
    <w:lvl w:ilvl="0">
      <w:lvlJc w:val="left"/>
      <w:lvlText w:val="(%1)"/>
      <w:numFmt w:val="decimal"/>
      <w:start w:val="1"/>
    </w:lvl>
  </w:abstractNum>
  <w:abstractNum w:abstractNumId="12">
    <w:nsid w:val="71F32454"/>
    <w:multiLevelType w:val="hybridMultilevel"/>
    <w:lvl w:ilvl="0">
      <w:lvlJc w:val="left"/>
      <w:lvlText w:val="(%1)"/>
      <w:numFmt w:val="decimal"/>
      <w:start w:val="1"/>
    </w:lvl>
  </w:abstractNum>
  <w:abstractNum w:abstractNumId="13">
    <w:nsid w:val="2CA88611"/>
    <w:multiLevelType w:val="hybridMultilevel"/>
    <w:lvl w:ilvl="0">
      <w:lvlJc w:val="left"/>
      <w:lvlText w:val="(%1)"/>
      <w:numFmt w:val="decimal"/>
      <w:start w:val="1"/>
    </w:lvl>
  </w:abstractNum>
  <w:abstractNum w:abstractNumId="14">
    <w:nsid w:val="836C40E"/>
    <w:multiLevelType w:val="hybridMultilevel"/>
    <w:lvl w:ilvl="0">
      <w:lvlJc w:val="left"/>
      <w:lvlText w:val="(%1)"/>
      <w:numFmt w:val="decimal"/>
      <w:start w:val="1"/>
    </w:lvl>
  </w:abstractNum>
  <w:abstractNum w:abstractNumId="15">
    <w:nsid w:val="2901D82"/>
    <w:multiLevelType w:val="hybridMultilevel"/>
    <w:lvl w:ilvl="0">
      <w:lvlJc w:val="left"/>
      <w:lvlText w:val="•"/>
      <w:numFmt w:val="bullet"/>
      <w:start w:val="1"/>
    </w:lvl>
  </w:abstractNum>
  <w:abstractNum w:abstractNumId="16">
    <w:nsid w:val="3A95F874"/>
    <w:multiLevelType w:val="hybridMultilevel"/>
    <w:lvl w:ilvl="0">
      <w:lvlJc w:val="left"/>
      <w:lvlText w:val="**"/>
      <w:numFmt w:val="bullet"/>
      <w:start w:val="1"/>
    </w:lvl>
    <w:lvl w:ilvl="1">
      <w:lvlJc w:val="left"/>
      <w:lvlText w:val="•"/>
      <w:numFmt w:val="bullet"/>
      <w:start w:val="1"/>
    </w:lvl>
  </w:abstractNum>
  <w:abstractNum w:abstractNumId="17">
    <w:nsid w:val="8138641"/>
    <w:multiLevelType w:val="hybridMultilevel"/>
    <w:lvl w:ilvl="0">
      <w:lvlJc w:val="left"/>
      <w:lvlText w:val="(%1)"/>
      <w:numFmt w:val="decimal"/>
      <w:start w:val="1"/>
    </w:lvl>
  </w:abstractNum>
  <w:abstractNum w:abstractNumId="18">
    <w:nsid w:val="1E7FF521"/>
    <w:multiLevelType w:val="hybridMultilevel"/>
    <w:lvl w:ilvl="0">
      <w:lvlJc w:val="left"/>
      <w:lvlText w:val="(%1)"/>
      <w:numFmt w:val="decimal"/>
      <w:start w:val="1"/>
    </w:lvl>
  </w:abstractNum>
  <w:abstractNum w:abstractNumId="19">
    <w:nsid w:val="7C3DBD3D"/>
    <w:multiLevelType w:val="hybridMultilevel"/>
    <w:lvl w:ilvl="0">
      <w:lvlJc w:val="left"/>
      <w:lvlText w:val="*"/>
      <w:numFmt w:val="bullet"/>
      <w:start w:val="1"/>
    </w:lvl>
  </w:abstractNum>
  <w:abstractNum w:abstractNumId="20">
    <w:nsid w:val="737B8DDC"/>
    <w:multiLevelType w:val="hybridMultilevel"/>
    <w:lvl w:ilvl="0">
      <w:lvlJc w:val="left"/>
      <w:lvlText w:val="(%1)"/>
      <w:numFmt w:val="decimal"/>
      <w:start w:val="1"/>
    </w:lvl>
  </w:abstractNum>
  <w:abstractNum w:abstractNumId="21">
    <w:nsid w:val="6CEAF087"/>
    <w:multiLevelType w:val="hybridMultilevel"/>
    <w:lvl w:ilvl="0">
      <w:lvlJc w:val="left"/>
      <w:lvlText w:val="*"/>
      <w:numFmt w:val="bullet"/>
      <w:start w:val="1"/>
    </w:lvl>
  </w:abstractNum>
  <w:abstractNum w:abstractNumId="22">
    <w:nsid w:val="22221A70"/>
    <w:multiLevelType w:val="hybridMultilevel"/>
    <w:lvl w:ilvl="0">
      <w:lvlJc w:val="left"/>
      <w:lvlText w:val="•"/>
      <w:numFmt w:val="bullet"/>
      <w:start w:val="1"/>
    </w:lvl>
  </w:abstractNum>
  <w:abstractNum w:abstractNumId="23">
    <w:nsid w:val="4516DDE9"/>
    <w:multiLevelType w:val="hybridMultilevel"/>
    <w:lvl w:ilvl="0">
      <w:lvlJc w:val="left"/>
      <w:lvlText w:val="•"/>
      <w:numFmt w:val="bullet"/>
      <w:start w:val="1"/>
    </w:lvl>
  </w:abstractNum>
  <w:abstractNum w:abstractNumId="24">
    <w:nsid w:val="3006C83E"/>
    <w:multiLevelType w:val="hybridMultilevel"/>
    <w:lvl w:ilvl="0">
      <w:lvlJc w:val="left"/>
      <w:lvlText w:val="(%1)"/>
      <w:numFmt w:val="decimal"/>
      <w:start w:val="1"/>
    </w:lvl>
  </w:abstractNum>
  <w:abstractNum w:abstractNumId="25">
    <w:nsid w:val="614FD4A1"/>
    <w:multiLevelType w:val="hybridMultilevel"/>
    <w:lvl w:ilvl="0">
      <w:lvlJc w:val="left"/>
      <w:lvlText w:val="\endash "/>
      <w:numFmt w:val="bullet"/>
      <w:start w:val="1"/>
    </w:lvl>
  </w:abstractNum>
  <w:abstractNum w:abstractNumId="26">
    <w:nsid w:val="419AC241"/>
    <w:multiLevelType w:val="hybridMultilevel"/>
    <w:lvl w:ilvl="0">
      <w:lvlJc w:val="left"/>
      <w:lvlText w:val="•"/>
      <w:numFmt w:val="bullet"/>
      <w:start w:val="1"/>
    </w:lvl>
  </w:abstractNum>
  <w:abstractNum w:abstractNumId="27">
    <w:nsid w:val="5577F8E1"/>
    <w:multiLevelType w:val="hybridMultilevel"/>
    <w:lvl w:ilvl="0">
      <w:lvlJc w:val="left"/>
      <w:lvlText w:val="%1"/>
      <w:numFmt w:val="decimal"/>
      <w:start w:val="21"/>
    </w:lvl>
  </w:abstractNum>
  <w:abstractNum w:abstractNumId="28">
    <w:nsid w:val="440BADFC"/>
    <w:multiLevelType w:val="hybridMultilevel"/>
    <w:lvl w:ilvl="0">
      <w:lvlJc w:val="left"/>
      <w:lvlText w:val="%1"/>
      <w:numFmt w:val="decimal"/>
      <w:start w:val="23"/>
    </w:lvl>
  </w:abstractNum>
  <w:abstractNum w:abstractNumId="29">
    <w:nsid w:val="5072367"/>
    <w:multiLevelType w:val="hybridMultilevel"/>
    <w:lvl w:ilvl="0">
      <w:lvlJc w:val="left"/>
      <w:lvlText w:val="#"/>
      <w:numFmt w:val="bullet"/>
      <w:start w:val="1"/>
    </w:lvl>
  </w:abstractNum>
  <w:abstractNum w:abstractNumId="30">
    <w:nsid w:val="3804823E"/>
    <w:multiLevelType w:val="hybridMultilevel"/>
    <w:lvl w:ilvl="0">
      <w:lvlJc w:val="left"/>
      <w:lvlText w:val="#"/>
      <w:numFmt w:val="bullet"/>
      <w:start w:val="1"/>
    </w:lvl>
  </w:abstractNum>
  <w:abstractNum w:abstractNumId="31">
    <w:nsid w:val="77465F01"/>
    <w:multiLevelType w:val="hybridMultilevel"/>
    <w:lvl w:ilvl="0">
      <w:lvlJc w:val="left"/>
      <w:lvlText w:val="#"/>
      <w:numFmt w:val="bullet"/>
      <w:start w:val="1"/>
    </w:lvl>
  </w:abstractNum>
  <w:abstractNum w:abstractNumId="32">
    <w:nsid w:val="7724C67E"/>
    <w:multiLevelType w:val="hybridMultilevel"/>
    <w:lvl w:ilvl="0">
      <w:lvlJc w:val="left"/>
      <w:lvlText w:val="#"/>
      <w:numFmt w:val="bullet"/>
      <w:start w:val="1"/>
    </w:lvl>
  </w:abstractNum>
  <w:abstractNum w:abstractNumId="33">
    <w:nsid w:val="5C482A97"/>
    <w:multiLevelType w:val="hybridMultilevel"/>
    <w:lvl w:ilvl="0">
      <w:lvlJc w:val="left"/>
      <w:lvlText w:val="#"/>
      <w:numFmt w:val="bullet"/>
      <w:start w:val="1"/>
    </w:lvl>
  </w:abstractNum>
  <w:abstractNum w:abstractNumId="34">
    <w:nsid w:val="2463B9EA"/>
    <w:multiLevelType w:val="hybridMultilevel"/>
    <w:lvl w:ilvl="0">
      <w:lvlJc w:val="left"/>
      <w:lvlText w:val="*"/>
      <w:numFmt w:val="bullet"/>
      <w:start w:val="1"/>
    </w:lvl>
  </w:abstractNum>
  <w:abstractNum w:abstractNumId="35">
    <w:nsid w:val="5E884ADC"/>
    <w:multiLevelType w:val="hybridMultilevel"/>
    <w:lvl w:ilvl="0">
      <w:lvlJc w:val="left"/>
      <w:lvlText w:val="**"/>
      <w:numFmt w:val="bullet"/>
      <w:start w:val="1"/>
    </w:lvl>
  </w:abstractNum>
  <w:abstractNum w:abstractNumId="36">
    <w:nsid w:val="51EAD36B"/>
    <w:multiLevelType w:val="hybridMultilevel"/>
    <w:lvl w:ilvl="0">
      <w:lvlJc w:val="left"/>
      <w:lvlText w:val="+"/>
      <w:numFmt w:val="bullet"/>
      <w:start w:val="1"/>
    </w:lvl>
  </w:abstractNum>
  <w:abstractNum w:abstractNumId="37">
    <w:nsid w:val="2D517796"/>
    <w:multiLevelType w:val="hybridMultilevel"/>
    <w:lvl w:ilvl="0">
      <w:lvlJc w:val="left"/>
      <w:lvlText w:val="#"/>
      <w:numFmt w:val="bullet"/>
      <w:start w:val="1"/>
    </w:lvl>
  </w:abstractNum>
  <w:abstractNum w:abstractNumId="38">
    <w:nsid w:val="580BD78F"/>
    <w:multiLevelType w:val="hybridMultilevel"/>
    <w:lvl w:ilvl="0">
      <w:lvlJc w:val="left"/>
      <w:lvlText w:val="1"/>
      <w:numFmt w:val="bullet"/>
      <w:start w:val="1"/>
    </w:lvl>
  </w:abstractNum>
  <w:abstractNum w:abstractNumId="39">
    <w:nsid w:val="153EA438"/>
    <w:multiLevelType w:val="hybridMultilevel"/>
    <w:lvl w:ilvl="0">
      <w:lvlJc w:val="left"/>
      <w:lvlText w:val="2"/>
      <w:numFmt w:val="bullet"/>
      <w:start w:val="1"/>
    </w:lvl>
  </w:abstractNum>
  <w:abstractNum w:abstractNumId="40">
    <w:nsid w:val="3855585C"/>
    <w:multiLevelType w:val="hybridMultilevel"/>
    <w:lvl w:ilvl="0">
      <w:lvlJc w:val="left"/>
      <w:lvlText w:val="%1."/>
      <w:numFmt w:val="decimal"/>
      <w:start w:val="1"/>
    </w:lvl>
    <w:lvl w:ilvl="1">
      <w:lvlJc w:val="left"/>
      <w:lvlText w:val="%2)"/>
      <w:numFmt w:val="lowerLetter"/>
      <w:start w:val="1"/>
    </w:lvl>
  </w:abstractNum>
  <w:abstractNum w:abstractNumId="41">
    <w:nsid w:val="70A64E2A"/>
    <w:multiLevelType w:val="hybridMultilevel"/>
    <w:lvl w:ilvl="0">
      <w:lvlJc w:val="left"/>
      <w:lvlText w:val="%1."/>
      <w:numFmt w:val="decimal"/>
      <w:start w:val="1"/>
    </w:lvl>
    <w:lvl w:ilvl="1">
      <w:lvlJc w:val="left"/>
      <w:lvlText w:val="%2)"/>
      <w:numFmt w:val="lowerLetter"/>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jpe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png"/><Relationship Id="rId82" Type="http://schemas.openxmlformats.org/officeDocument/2006/relationships/image" Target="media/image75.png"/><Relationship Id="rId83" Type="http://schemas.openxmlformats.org/officeDocument/2006/relationships/image" Target="media/image76.png"/><Relationship Id="rId84" Type="http://schemas.openxmlformats.org/officeDocument/2006/relationships/image" Target="media/image77.png"/><Relationship Id="rId96" Type="http://schemas.openxmlformats.org/officeDocument/2006/relationships/image" Target="media/image78.png"/><Relationship Id="rId97" Type="http://schemas.openxmlformats.org/officeDocument/2006/relationships/image" Target="media/image79.png"/><Relationship Id="rId112" Type="http://schemas.openxmlformats.org/officeDocument/2006/relationships/image" Target="media/image80.png"/><Relationship Id="rId129" Type="http://schemas.openxmlformats.org/officeDocument/2006/relationships/image" Target="media/image81.png"/><Relationship Id="rId141" Type="http://schemas.openxmlformats.org/officeDocument/2006/relationships/image" Target="media/image82.png"/><Relationship Id="rId142" Type="http://schemas.openxmlformats.org/officeDocument/2006/relationships/image" Target="media/image83.png"/><Relationship Id="rId143" Type="http://schemas.openxmlformats.org/officeDocument/2006/relationships/image" Target="media/image84.png"/><Relationship Id="rId144" Type="http://schemas.openxmlformats.org/officeDocument/2006/relationships/image" Target="media/image85.png"/><Relationship Id="rId85" Type="http://schemas.openxmlformats.org/officeDocument/2006/relationships/hyperlink" Target="http://www.sec.gov/Archives/edgar/data/884219/000095015304001910/p69402exv3wa.txt" TargetMode="External"/><Relationship Id="rId86" Type="http://schemas.openxmlformats.org/officeDocument/2006/relationships/hyperlink" Target="http://www.sec.gov/Archives/edgar/data/884219/000129993313002110/exhibit1.htm" TargetMode="External"/><Relationship Id="rId87" Type="http://schemas.openxmlformats.org/officeDocument/2006/relationships/hyperlink" Target="http://www.sec.gov/Archives/edgar/data/884219/000088421914000039/creditagreement2014conform.htm" TargetMode="External"/><Relationship Id="rId88" Type="http://schemas.openxmlformats.org/officeDocument/2006/relationships/hyperlink" Target="http://www.sec.gov/Archives/edgar/data/884219/000156459016013818/vvi-ex4_6.htm" TargetMode="External"/><Relationship Id="rId89" Type="http://schemas.openxmlformats.org/officeDocument/2006/relationships/hyperlink" Target="http://www.sec.gov/Archives/edgar/data/884219/000156459016024878/vvi-ex4a_6.htm" TargetMode="External"/><Relationship Id="rId90" Type="http://schemas.openxmlformats.org/officeDocument/2006/relationships/hyperlink" Target="http://www.sec.gov/Archives/edgar/data/884219/000156459016024878/vvi-ex4b_7.htm" TargetMode="External"/><Relationship Id="rId91" Type="http://schemas.openxmlformats.org/officeDocument/2006/relationships/hyperlink" Target="http://www.sec.gov/Archives/edgar/data/884219/000156459017015584/vvi-ex41_81.htm" TargetMode="External"/><Relationship Id="rId92" Type="http://schemas.openxmlformats.org/officeDocument/2006/relationships/hyperlink" Target="http://www.sec.gov/Archives/edgar/data/884219/000156459017015584/vvi-ex42_82.htm" TargetMode="External"/><Relationship Id="rId93" Type="http://schemas.openxmlformats.org/officeDocument/2006/relationships/hyperlink" Target="http://www.sec.gov/Archives/edgar/data/884219/000156459017000007/vvi-ex4_6.htm" TargetMode="External"/><Relationship Id="rId94" Type="http://schemas.openxmlformats.org/officeDocument/2006/relationships/hyperlink" Target="http://www.sec.gov/Archives/edgar/data/884219/000156459017021682/vvi-ex41_104.htm" TargetMode="External"/><Relationship Id="rId95" Type="http://schemas.openxmlformats.org/officeDocument/2006/relationships/hyperlink" Target="http://www.sec.gov/Archives/edgar/data/884219/000156459017024926/vvi-ex41_6.htm" TargetMode="External"/><Relationship Id="rId98" Type="http://schemas.openxmlformats.org/officeDocument/2006/relationships/hyperlink" Target="http://www.sec.gov/Archives/edgar/data/884219/000119312512162353/d315057ddef14a.htm" TargetMode="External"/><Relationship Id="rId99" Type="http://schemas.openxmlformats.org/officeDocument/2006/relationships/hyperlink" Target="http://www.sec.gov/Archives/edgar/data/884219/000088421914000005/a10a.htm" TargetMode="External"/><Relationship Id="rId100" Type="http://schemas.openxmlformats.org/officeDocument/2006/relationships/hyperlink" Target="http://www.sec.gov/Archives/edgar/data/884219/000088421914000005/a10b.htm" TargetMode="External"/><Relationship Id="rId101" Type="http://schemas.openxmlformats.org/officeDocument/2006/relationships/hyperlink" Target="http://www.sec.gov/Archives/edgar/data/884219/000129993308001103/exhibit6.htm" TargetMode="External"/><Relationship Id="rId102" Type="http://schemas.openxmlformats.org/officeDocument/2006/relationships/hyperlink" Target="http://www.sec.gov/Archives/edgar/data/884219/000129993310000827/exhibit2.htm" TargetMode="External"/><Relationship Id="rId103" Type="http://schemas.openxmlformats.org/officeDocument/2006/relationships/hyperlink" Target="http://www.sec.gov/Archives/edgar/data/884219/000129993310000827/exhibit1.htm" TargetMode="External"/><Relationship Id="rId104" Type="http://schemas.openxmlformats.org/officeDocument/2006/relationships/hyperlink" Target="http://www.sec.gov/Archives/edgar/data/884219/000129993313000435/exhibit3.htm" TargetMode="External"/><Relationship Id="rId105" Type="http://schemas.openxmlformats.org/officeDocument/2006/relationships/hyperlink" Target="http://www.sec.gov/Archives/edgar/data/884219/000129993313000435/exhibit4.htm" TargetMode="External"/><Relationship Id="rId106" Type="http://schemas.openxmlformats.org/officeDocument/2006/relationships/hyperlink" Target="http://www.sec.gov/Archives/edgar/data/884219/000156459016013818/vvi-ex10b_8.htm" TargetMode="External"/><Relationship Id="rId107" Type="http://schemas.openxmlformats.org/officeDocument/2006/relationships/hyperlink" Target="http://www.sec.gov/Archives/edgar/data/884219/000088421914000005/a10c.htm" TargetMode="External"/><Relationship Id="rId108" Type="http://schemas.openxmlformats.org/officeDocument/2006/relationships/hyperlink" Target="http://www.sec.gov/Archives/edgar/data/884219/000156459016013818/vvi-ex10a_7.htm" TargetMode="External"/><Relationship Id="rId109" Type="http://schemas.openxmlformats.org/officeDocument/2006/relationships/hyperlink" Target="http://www.sec.gov/Archives/edgar/data/884219/000156459017011537/vvi-ex101_8.htm" TargetMode="External"/><Relationship Id="rId110" Type="http://schemas.openxmlformats.org/officeDocument/2006/relationships/hyperlink" Target="http://www.sec.gov/Archives/edgar/data/884219/000156459017011537/vvi-ex103_7.htm" TargetMode="External"/><Relationship Id="rId111" Type="http://schemas.openxmlformats.org/officeDocument/2006/relationships/hyperlink" Target="http://www.sec.gov/Archives/edgar/data/884219/000156459017011537/vvi-ex104_9.htm" TargetMode="External"/><Relationship Id="rId113" Type="http://schemas.openxmlformats.org/officeDocument/2006/relationships/hyperlink" Target="http://www.sec.gov/Archives/edgar/data/884219/000156459018003850/vvi-ex10b4_639.htm" TargetMode="External"/><Relationship Id="rId114" Type="http://schemas.openxmlformats.org/officeDocument/2006/relationships/hyperlink" Target="http://www.sec.gov/Archives/edgar/data/884219/000156459018003850/vvi-ex10b5_640.htm" TargetMode="External"/><Relationship Id="rId115" Type="http://schemas.openxmlformats.org/officeDocument/2006/relationships/hyperlink" Target="http://www.sec.gov/Archives/edgar/data/884219/000156459018003850/vvi-ex10b6_641.htm" TargetMode="External"/><Relationship Id="rId116" Type="http://schemas.openxmlformats.org/officeDocument/2006/relationships/hyperlink" Target="http://www.sec.gov/Archives/edgar/data/884219/000156459018003850/vvi-ex10b7_642.htm" TargetMode="External"/><Relationship Id="rId117" Type="http://schemas.openxmlformats.org/officeDocument/2006/relationships/hyperlink" Target="http://www.sec.gov/Archives/edgar/data/884219/000156459018003850/vvi-ex10b8_643.htm" TargetMode="External"/><Relationship Id="rId118" Type="http://schemas.openxmlformats.org/officeDocument/2006/relationships/hyperlink" Target="http://www.sec.gov/Archives/edgar/data/884219/000156459017011537/vvi-ex102_6.htm" TargetMode="External"/><Relationship Id="rId119" Type="http://schemas.openxmlformats.org/officeDocument/2006/relationships/hyperlink" Target="http://www.sec.gov/Archives/edgar/data/884219/000156459018003850/vvi-ex10b10_638.htm" TargetMode="External"/><Relationship Id="rId120" Type="http://schemas.openxmlformats.org/officeDocument/2006/relationships/hyperlink" Target="http://www.sec.gov/Archives/edgar/data/884219/000095015307001893/p74309exv10wb.htm" TargetMode="External"/><Relationship Id="rId121" Type="http://schemas.openxmlformats.org/officeDocument/2006/relationships/hyperlink" Target="http://www.sec.gov/Archives/edgar/data/884219/000129993313000435/exhibit2.htm" TargetMode="External"/><Relationship Id="rId122" Type="http://schemas.openxmlformats.org/officeDocument/2006/relationships/hyperlink" Target="http://www.sec.gov/Archives/edgar/data/884219/000129993314000340/exhibit1.htm" TargetMode="External"/><Relationship Id="rId123" Type="http://schemas.openxmlformats.org/officeDocument/2006/relationships/hyperlink" Target="http://www.sec.gov/Archives/edgar/data/884219/000088421914000037/exhibit10b.htm" TargetMode="External"/><Relationship Id="rId124" Type="http://schemas.openxmlformats.org/officeDocument/2006/relationships/hyperlink" Target="http://www.sec.gov/Archives/edgar/data/884219/000156459016014544/vvi-ex10h4_1146.htm" TargetMode="External"/><Relationship Id="rId125" Type="http://schemas.openxmlformats.org/officeDocument/2006/relationships/hyperlink" Target="http://www.sec.gov/Archives/edgar/data/884219/000114420416095851/v437724_ex10.htm" TargetMode="External"/><Relationship Id="rId126" Type="http://schemas.openxmlformats.org/officeDocument/2006/relationships/hyperlink" Target="http://www.sec.gov/Archives/edgar/data/884219/000156459017024439/vvi-ex101_6.htm" TargetMode="External"/><Relationship Id="rId127" Type="http://schemas.openxmlformats.org/officeDocument/2006/relationships/hyperlink" Target="http://www.sec.gov/Archives/edgar/data/884219/000095015307001893/p74309exv10we.htm" TargetMode="External"/><Relationship Id="rId128" Type="http://schemas.openxmlformats.org/officeDocument/2006/relationships/hyperlink" Target="http://www.sec.gov/Archives/edgar/data/884219/000095015307001893/p74309exv10wa.htm" TargetMode="External"/><Relationship Id="rId130" Type="http://schemas.openxmlformats.org/officeDocument/2006/relationships/hyperlink" Target="http://www.sec.gov/Archives/edgar/data/884219/000129993313000435/exhibit5.htm" TargetMode="External"/><Relationship Id="rId131" Type="http://schemas.openxmlformats.org/officeDocument/2006/relationships/hyperlink" Target="http://www.sec.gov/Archives/edgar/data/884219/000095015307000287/p73464exv10wa.htm" TargetMode="External"/><Relationship Id="rId132" Type="http://schemas.openxmlformats.org/officeDocument/2006/relationships/hyperlink" Target="http://www.sec.gov/Archives/edgar/data/884219/000156459018003850/vvi-ex10h1_637.htm" TargetMode="External"/><Relationship Id="rId133" Type="http://schemas.openxmlformats.org/officeDocument/2006/relationships/hyperlink" Target="http://www.sec.gov/Archives/edgar/data/884219/000095015309000167/p14087exv10w1.htm" TargetMode="External"/><Relationship Id="rId134" Type="http://schemas.openxmlformats.org/officeDocument/2006/relationships/hyperlink" Target="http://www.sec.gov/Archives/edgar/data/884219/000156459016014544/vvi-ex10k1_789.htm" TargetMode="External"/><Relationship Id="rId135" Type="http://schemas.openxmlformats.org/officeDocument/2006/relationships/hyperlink" Target="http://www.sec.gov/Archives/edgar/data/884219/000156459018003850/vvi-ex21_6.htm" TargetMode="External"/><Relationship Id="rId136" Type="http://schemas.openxmlformats.org/officeDocument/2006/relationships/hyperlink" Target="http://www.sec.gov/Archives/edgar/data/884219/000156459018003850/vvi-ex23_11.htm" TargetMode="External"/><Relationship Id="rId137" Type="http://schemas.openxmlformats.org/officeDocument/2006/relationships/hyperlink" Target="http://www.sec.gov/Archives/edgar/data/884219/000156459018003850/vvi-ex24_8.htm" TargetMode="External"/><Relationship Id="rId138" Type="http://schemas.openxmlformats.org/officeDocument/2006/relationships/hyperlink" Target="http://www.sec.gov/Archives/edgar/data/884219/000156459018003850/vvi-ex311_9.htm" TargetMode="External"/><Relationship Id="rId139" Type="http://schemas.openxmlformats.org/officeDocument/2006/relationships/hyperlink" Target="http://www.sec.gov/Archives/edgar/data/884219/000156459018003850/vvi-ex312_7.htm" TargetMode="External"/><Relationship Id="rId140" Type="http://schemas.openxmlformats.org/officeDocument/2006/relationships/hyperlink" Target="http://www.sec.gov/Archives/edgar/data/884219/000156459018003850/vvi-ex321_12.ht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2020-01-15T10:07:56Z</dcterms:created>
  <dcterms:modified xsi:type="dcterms:W3CDTF">2020-01-15T10:07:56Z</dcterms:modified>
</cp:coreProperties>
</file>