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MUNZENRIDER ROBERT 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1850 N. CENTRAL AVE., SUITE 1900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VIAD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VVI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08/26/2015</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85004-4565</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60" w:type="dxa"/>
            <w:vAlign w:val="bottom"/>
            <w:gridSpan w:val="2"/>
          </w:tcPr>
          <w:p>
            <w:pPr>
              <w:ind w:left="4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4"/>
                <w:szCs w:val="14"/>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0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48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8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60" w:type="dxa"/>
            <w:vAlign w:val="bottom"/>
            <w:gridSpan w:val="2"/>
          </w:tcPr>
          <w:p>
            <w:pPr>
              <w:ind w:left="48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0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0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84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5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0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0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580"/>
              <w:spacing w:after="0"/>
              <w:rPr>
                <w:sz w:val="20"/>
                <w:szCs w:val="20"/>
                <w:color w:val="auto"/>
              </w:rPr>
            </w:pPr>
            <w:r>
              <w:rPr>
                <w:rFonts w:ascii="Arial" w:cs="Arial" w:eastAsia="Arial" w:hAnsi="Arial"/>
                <w:sz w:val="18"/>
                <w:szCs w:val="18"/>
                <w:color w:val="0000FF"/>
              </w:rPr>
              <w:t>08/26/2015</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S</w:t>
            </w: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rPr>
              <w:t>2,730</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940" w:type="dxa"/>
            <w:vAlign w:val="bottom"/>
            <w:tcBorders>
              <w:bottom w:val="single" w:sz="8" w:color="2C2C2C"/>
            </w:tcBorders>
            <w:gridSpan w:val="3"/>
          </w:tcPr>
          <w:p>
            <w:pPr>
              <w:ind w:left="8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27.1062</w:t>
            </w:r>
            <w:r>
              <w:rPr>
                <w:rFonts w:ascii="Arial" w:cs="Arial" w:eastAsia="Arial" w:hAnsi="Arial"/>
                <w:sz w:val="22"/>
                <w:szCs w:val="22"/>
                <w:color w:val="008000"/>
                <w:w w:val="90"/>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21,219</w:t>
            </w:r>
          </w:p>
        </w:tc>
        <w:tc>
          <w:tcPr>
            <w:tcW w:w="9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4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9"/>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0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and 4)</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2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the weighted average price. The shares were sold in 18 separate transactions ranging from $27.00 to $27.20, inclusive. The reporting person undertakes to provide to any security holder of Viad Corp or the staff of the Securities and Exchange Commission, upon request, full information regarding the number of shares sold at each separate price within the ranges set forth in this footnote (1) to this Form 4.</w:t>
      </w:r>
    </w:p>
    <w:p>
      <w:pPr>
        <w:spacing w:after="0" w:line="37"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By: Deborah J. DePaoli For:</w:t>
            </w:r>
          </w:p>
        </w:tc>
        <w:tc>
          <w:tcPr>
            <w:tcW w:w="140" w:type="dxa"/>
            <w:vAlign w:val="bottom"/>
          </w:tcPr>
          <w:p>
            <w:pPr>
              <w:spacing w:after="0"/>
              <w:rPr>
                <w:sz w:val="18"/>
                <w:szCs w:val="18"/>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8"/>
                <w:szCs w:val="18"/>
                <w:color w:val="0000FF"/>
                <w:w w:val="86"/>
              </w:rPr>
              <w:t>08/28/2015</w:t>
            </w:r>
          </w:p>
        </w:tc>
        <w:tc>
          <w:tcPr>
            <w:tcW w:w="0" w:type="dxa"/>
            <w:vAlign w:val="bottom"/>
          </w:tcPr>
          <w:p>
            <w:pPr>
              <w:spacing w:after="0"/>
              <w:rPr>
                <w:sz w:val="1"/>
                <w:szCs w:val="1"/>
                <w:color w:val="auto"/>
              </w:rPr>
            </w:pPr>
          </w:p>
        </w:tc>
      </w:tr>
      <w:tr>
        <w:trPr>
          <w:trHeight w:val="88"/>
        </w:trPr>
        <w:tc>
          <w:tcPr>
            <w:tcW w:w="1640" w:type="dxa"/>
            <w:vAlign w:val="bottom"/>
            <w:vMerge w:val="restart"/>
          </w:tcPr>
          <w:p>
            <w:pPr>
              <w:spacing w:after="0" w:line="196" w:lineRule="exact"/>
              <w:rPr>
                <w:sz w:val="20"/>
                <w:szCs w:val="20"/>
                <w:color w:val="auto"/>
              </w:rPr>
            </w:pPr>
            <w:r>
              <w:rPr>
                <w:rFonts w:ascii="Arial" w:cs="Arial" w:eastAsia="Arial" w:hAnsi="Arial"/>
                <w:sz w:val="18"/>
                <w:szCs w:val="18"/>
                <w:color w:val="0000FF"/>
                <w:w w:val="89"/>
              </w:rPr>
              <w:t>Robert E. Munzenrider</w:t>
            </w:r>
          </w:p>
        </w:tc>
        <w:tc>
          <w:tcPr>
            <w:tcW w:w="520" w:type="dxa"/>
            <w:vAlign w:val="bottom"/>
            <w:gridSpan w:val="2"/>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640" w:type="dxa"/>
            <w:vAlign w:val="bottom"/>
            <w:tcBorders>
              <w:bottom w:val="single" w:sz="8" w:color="auto"/>
            </w:tcBorders>
            <w:vMerge w:val="continue"/>
          </w:tcPr>
          <w:p>
            <w:pPr>
              <w:spacing w:after="0"/>
              <w:rPr>
                <w:sz w:val="7"/>
                <w:szCs w:val="7"/>
                <w:color w:val="auto"/>
              </w:rPr>
            </w:pPr>
          </w:p>
        </w:tc>
        <w:tc>
          <w:tcPr>
            <w:tcW w:w="52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6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44325" TargetMode="External"/><Relationship Id="rId13"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2020-01-22T10:17:06Z</dcterms:created>
  <dcterms:modified xsi:type="dcterms:W3CDTF">2020-01-22T10:17:06Z</dcterms:modified>
</cp:coreProperties>
</file>