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Schechter Joshua</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1850 N. CENTRAL AVE., SUITE 1900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VIAD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VVI</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05/04/2015</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3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85004-4565</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560" w:type="dxa"/>
            <w:vAlign w:val="bottom"/>
            <w:gridSpan w:val="2"/>
          </w:tcPr>
          <w:p>
            <w:pPr>
              <w:ind w:left="4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4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4"/>
                <w:szCs w:val="14"/>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0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480"/>
              <w:spacing w:after="0" w:line="133"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8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560" w:type="dxa"/>
            <w:vAlign w:val="bottom"/>
            <w:gridSpan w:val="2"/>
          </w:tcPr>
          <w:p>
            <w:pPr>
              <w:ind w:left="48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0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0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0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840" w:type="dxa"/>
            <w:vAlign w:val="bottom"/>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5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0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0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580"/>
              <w:spacing w:after="0"/>
              <w:rPr>
                <w:sz w:val="20"/>
                <w:szCs w:val="20"/>
                <w:color w:val="auto"/>
              </w:rPr>
            </w:pPr>
            <w:r>
              <w:rPr>
                <w:rFonts w:ascii="Arial" w:cs="Arial" w:eastAsia="Arial" w:hAnsi="Arial"/>
                <w:sz w:val="18"/>
                <w:szCs w:val="18"/>
                <w:color w:val="0000FF"/>
              </w:rPr>
              <w:t>05/04/2015</w:t>
            </w: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P</w:t>
            </w: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rPr>
              <w:t>2,000</w:t>
            </w:r>
          </w:p>
        </w:tc>
        <w:tc>
          <w:tcPr>
            <w:tcW w:w="50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A</w:t>
            </w:r>
          </w:p>
        </w:tc>
        <w:tc>
          <w:tcPr>
            <w:tcW w:w="940" w:type="dxa"/>
            <w:vAlign w:val="bottom"/>
            <w:tcBorders>
              <w:bottom w:val="single" w:sz="8" w:color="2C2C2C"/>
            </w:tcBorders>
            <w:gridSpan w:val="3"/>
          </w:tcPr>
          <w:p>
            <w:pPr>
              <w:ind w:left="8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26.7894</w:t>
            </w:r>
            <w:r>
              <w:rPr>
                <w:rFonts w:ascii="Arial" w:cs="Arial" w:eastAsia="Arial" w:hAnsi="Arial"/>
                <w:sz w:val="22"/>
                <w:szCs w:val="22"/>
                <w:color w:val="008000"/>
                <w:w w:val="90"/>
                <w:vertAlign w:val="superscript"/>
              </w:rPr>
              <w:t>(1)</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15,726</w:t>
            </w:r>
          </w:p>
        </w:tc>
        <w:tc>
          <w:tcPr>
            <w:tcW w:w="90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140" w:type="dxa"/>
            <w:vAlign w:val="bottom"/>
            <w:tcBorders>
              <w:top w:val="single" w:sz="8" w:color="2C2C2C"/>
            </w:tcBorders>
            <w:gridSpan w:val="13"/>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0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80" w:type="dxa"/>
            <w:vAlign w:val="bottom"/>
            <w:gridSpan w:val="9"/>
          </w:tcPr>
          <w:p>
            <w:pPr>
              <w:ind w:left="58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3"/>
          </w:tcPr>
          <w:p>
            <w:pPr>
              <w:ind w:left="80"/>
              <w:spacing w:after="0"/>
              <w:rPr>
                <w:sz w:val="20"/>
                <w:szCs w:val="20"/>
                <w:color w:val="auto"/>
              </w:rPr>
            </w:pPr>
            <w:r>
              <w:rPr>
                <w:rFonts w:ascii="Arial" w:cs="Arial" w:eastAsia="Arial" w:hAnsi="Arial"/>
                <w:sz w:val="12"/>
                <w:szCs w:val="12"/>
                <w:b w:val="1"/>
                <w:bCs w:val="1"/>
                <w:color w:val="auto"/>
              </w:rPr>
              <w:t>7. Title and</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00" w:type="dxa"/>
            <w:vAlign w:val="bottom"/>
          </w:tcPr>
          <w:p>
            <w:pPr>
              <w:ind w:left="20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 Date</w:t>
            </w: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Underlying</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Acquired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 or</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Disposed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and 4)</w:t>
            </w: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 (D)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 4</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0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6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6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40" w:type="dxa"/>
            <w:vAlign w:val="bottom"/>
          </w:tcPr>
          <w:p>
            <w:pPr>
              <w:ind w:left="140"/>
              <w:spacing w:after="0"/>
              <w:rPr>
                <w:sz w:val="20"/>
                <w:szCs w:val="20"/>
                <w:color w:val="auto"/>
              </w:rPr>
            </w:pPr>
            <w:r>
              <w:rPr>
                <w:rFonts w:ascii="Arial" w:cs="Arial" w:eastAsia="Arial" w:hAnsi="Arial"/>
                <w:sz w:val="12"/>
                <w:szCs w:val="12"/>
                <w:b w:val="1"/>
                <w:bCs w:val="1"/>
                <w:color w:val="auto"/>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2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in Column 4 is the weighted average price. The shares were sold in 3 separate transactions ranging from $26.787 to $26.79, inclusive. The reporting person undertakes to provide to any security holder of Viad Corp or the staff of the Securities and Exchange Commission, upon request, full information regarding the number of shares sold at each separate price within the ranges set forth in this footnote (1) to this Form 4.</w:t>
      </w:r>
    </w:p>
    <w:p>
      <w:pPr>
        <w:spacing w:after="0" w:line="37"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0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By: Deborah J. DePaoli For:</w:t>
            </w:r>
          </w:p>
        </w:tc>
        <w:tc>
          <w:tcPr>
            <w:tcW w:w="140" w:type="dxa"/>
            <w:vAlign w:val="bottom"/>
          </w:tcPr>
          <w:p>
            <w:pPr>
              <w:spacing w:after="0"/>
              <w:rPr>
                <w:sz w:val="18"/>
                <w:szCs w:val="18"/>
                <w:color w:val="auto"/>
              </w:rPr>
            </w:pPr>
          </w:p>
        </w:tc>
        <w:tc>
          <w:tcPr>
            <w:tcW w:w="940" w:type="dxa"/>
            <w:vAlign w:val="bottom"/>
            <w:gridSpan w:val="2"/>
            <w:vMerge w:val="restart"/>
          </w:tcPr>
          <w:p>
            <w:pPr>
              <w:ind w:left="140"/>
              <w:spacing w:after="0"/>
              <w:rPr>
                <w:sz w:val="20"/>
                <w:szCs w:val="20"/>
                <w:color w:val="auto"/>
              </w:rPr>
            </w:pPr>
            <w:r>
              <w:rPr>
                <w:rFonts w:ascii="Arial" w:cs="Arial" w:eastAsia="Arial" w:hAnsi="Arial"/>
                <w:sz w:val="18"/>
                <w:szCs w:val="18"/>
                <w:color w:val="0000FF"/>
                <w:w w:val="86"/>
              </w:rPr>
              <w:t>05/06/2015</w:t>
            </w:r>
          </w:p>
        </w:tc>
        <w:tc>
          <w:tcPr>
            <w:tcW w:w="0" w:type="dxa"/>
            <w:vAlign w:val="bottom"/>
          </w:tcPr>
          <w:p>
            <w:pPr>
              <w:spacing w:after="0"/>
              <w:rPr>
                <w:sz w:val="1"/>
                <w:szCs w:val="1"/>
                <w:color w:val="auto"/>
              </w:rPr>
            </w:pPr>
          </w:p>
        </w:tc>
      </w:tr>
      <w:tr>
        <w:trPr>
          <w:trHeight w:val="88"/>
        </w:trPr>
        <w:tc>
          <w:tcPr>
            <w:tcW w:w="1420" w:type="dxa"/>
            <w:vAlign w:val="bottom"/>
            <w:vMerge w:val="restart"/>
          </w:tcPr>
          <w:p>
            <w:pPr>
              <w:spacing w:after="0" w:line="196" w:lineRule="exact"/>
              <w:rPr>
                <w:sz w:val="20"/>
                <w:szCs w:val="20"/>
                <w:color w:val="auto"/>
              </w:rPr>
            </w:pPr>
            <w:r>
              <w:rPr>
                <w:rFonts w:ascii="Arial" w:cs="Arial" w:eastAsia="Arial" w:hAnsi="Arial"/>
                <w:sz w:val="18"/>
                <w:szCs w:val="18"/>
                <w:color w:val="0000FF"/>
                <w:w w:val="84"/>
              </w:rPr>
              <w:t>Joshua E. Schechter</w:t>
            </w:r>
          </w:p>
        </w:tc>
        <w:tc>
          <w:tcPr>
            <w:tcW w:w="740" w:type="dxa"/>
            <w:vAlign w:val="bottom"/>
            <w:gridSpan w:val="2"/>
            <w:vMerge w:val="restart"/>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1420" w:type="dxa"/>
            <w:vAlign w:val="bottom"/>
            <w:tcBorders>
              <w:bottom w:val="single" w:sz="8" w:color="auto"/>
            </w:tcBorders>
            <w:vMerge w:val="continue"/>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6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40" w:type="dxa"/>
            <w:vAlign w:val="bottom"/>
            <w:gridSpan w:val="2"/>
          </w:tcPr>
          <w:p>
            <w:pPr>
              <w:ind w:left="14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36601" TargetMode="External"/><Relationship Id="rId13" Type="http://schemas.openxmlformats.org/officeDocument/2006/relationships/hyperlink" Target="http://www.sec.gov/cgi-bin/browse-edgar?action=getcompany&amp;CIK=00008842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2020-01-22T08:11:59Z</dcterms:created>
  <dcterms:modified xsi:type="dcterms:W3CDTF">2020-01-22T08:11:59Z</dcterms:modified>
</cp:coreProperties>
</file>