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480"/>
        <w:spacing w:after="0"/>
        <w:rPr>
          <w:sz w:val="20"/>
          <w:szCs w:val="20"/>
          <w:color w:val="auto"/>
        </w:rPr>
      </w:pPr>
      <w:r>
        <w:rPr>
          <w:rFonts w:ascii="Arial" w:cs="Arial" w:eastAsia="Arial" w:hAnsi="Arial"/>
          <w:sz w:val="14"/>
          <w:szCs w:val="14"/>
          <w:b w:val="1"/>
          <w:bCs w:val="1"/>
          <w:color w:val="auto"/>
        </w:rPr>
        <w:t>As filed with the U.S. Securities and Exchange Commission on June 23, 2017.</w:t>
      </w:r>
    </w:p>
    <w:p>
      <w:pPr>
        <w:jc w:val="right"/>
        <w:spacing w:after="0"/>
        <w:tabs>
          <w:tab w:leader="none" w:pos="600" w:val="left"/>
        </w:tabs>
        <w:rPr>
          <w:sz w:val="20"/>
          <w:szCs w:val="20"/>
          <w:color w:val="auto"/>
        </w:rPr>
      </w:pPr>
      <w:r>
        <w:rPr>
          <w:rFonts w:ascii="Arial" w:cs="Arial" w:eastAsia="Arial" w:hAnsi="Arial"/>
          <w:sz w:val="14"/>
          <w:szCs w:val="14"/>
          <w:b w:val="1"/>
          <w:bCs w:val="1"/>
          <w:color w:val="auto"/>
        </w:rPr>
        <w:t>Registration No.</w:t>
      </w:r>
      <w:r>
        <w:rPr>
          <w:sz w:val="20"/>
          <w:szCs w:val="20"/>
          <w:color w:val="auto"/>
        </w:rPr>
        <w:tab/>
      </w:r>
      <w:r>
        <w:rPr>
          <w:rFonts w:ascii="Arial" w:cs="Arial" w:eastAsia="Arial" w:hAnsi="Arial"/>
          <w:sz w:val="12"/>
          <w:szCs w:val="12"/>
          <w:b w:val="1"/>
          <w:bCs w:val="1"/>
          <w:color w:val="auto"/>
        </w:rPr>
        <w:t>333-35231</w:t>
      </w:r>
    </w:p>
    <w:p>
      <w:pPr>
        <w:jc w:val="right"/>
        <w:spacing w:after="0"/>
        <w:tabs>
          <w:tab w:leader="none" w:pos="600" w:val="left"/>
        </w:tabs>
        <w:rPr>
          <w:sz w:val="20"/>
          <w:szCs w:val="20"/>
          <w:color w:val="auto"/>
        </w:rPr>
      </w:pPr>
      <w:r>
        <w:rPr>
          <w:rFonts w:ascii="Arial" w:cs="Arial" w:eastAsia="Arial" w:hAnsi="Arial"/>
          <w:sz w:val="14"/>
          <w:szCs w:val="14"/>
          <w:b w:val="1"/>
          <w:bCs w:val="1"/>
          <w:color w:val="auto"/>
        </w:rPr>
        <w:t>Registration No.</w:t>
      </w:r>
      <w:r>
        <w:rPr>
          <w:sz w:val="20"/>
          <w:szCs w:val="20"/>
          <w:color w:val="auto"/>
        </w:rPr>
        <w:tab/>
      </w:r>
      <w:r>
        <w:rPr>
          <w:rFonts w:ascii="Arial" w:cs="Arial" w:eastAsia="Arial" w:hAnsi="Arial"/>
          <w:sz w:val="12"/>
          <w:szCs w:val="12"/>
          <w:b w:val="1"/>
          <w:bCs w:val="1"/>
          <w:color w:val="auto"/>
        </w:rPr>
        <w:t>333-99239</w:t>
      </w:r>
    </w:p>
    <w:p>
      <w:pPr>
        <w:jc w:val="right"/>
        <w:spacing w:after="0"/>
        <w:rPr>
          <w:sz w:val="20"/>
          <w:szCs w:val="20"/>
          <w:color w:val="auto"/>
        </w:rPr>
      </w:pPr>
      <w:r>
        <w:rPr>
          <w:rFonts w:ascii="Arial" w:cs="Arial" w:eastAsia="Arial" w:hAnsi="Arial"/>
          <w:sz w:val="14"/>
          <w:szCs w:val="14"/>
          <w:b w:val="1"/>
          <w:bCs w:val="1"/>
          <w:color w:val="auto"/>
        </w:rPr>
        <w:t>Registration No.  333-130175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116205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133350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79" w:lineRule="exact"/>
        <w:rPr>
          <w:sz w:val="24"/>
          <w:szCs w:val="24"/>
          <w:color w:val="auto"/>
        </w:rPr>
      </w:pPr>
    </w:p>
    <w:p>
      <w:pPr>
        <w:jc w:val="center"/>
        <w:spacing w:after="0"/>
        <w:rPr>
          <w:sz w:val="20"/>
          <w:szCs w:val="20"/>
          <w:color w:val="auto"/>
        </w:rPr>
      </w:pPr>
      <w:r>
        <w:rPr>
          <w:rFonts w:ascii="Arial" w:cs="Arial" w:eastAsia="Arial" w:hAnsi="Arial"/>
          <w:sz w:val="27"/>
          <w:szCs w:val="27"/>
          <w:b w:val="1"/>
          <w:bCs w:val="1"/>
          <w:color w:val="auto"/>
        </w:rPr>
        <w:t>UNITED STATES</w:t>
      </w:r>
    </w:p>
    <w:p>
      <w:pPr>
        <w:spacing w:after="0" w:line="30" w:lineRule="exact"/>
        <w:rPr>
          <w:sz w:val="24"/>
          <w:szCs w:val="24"/>
          <w:color w:val="auto"/>
        </w:rPr>
      </w:pPr>
    </w:p>
    <w:p>
      <w:pPr>
        <w:jc w:val="center"/>
        <w:spacing w:after="0"/>
        <w:rPr>
          <w:sz w:val="20"/>
          <w:szCs w:val="20"/>
          <w:color w:val="auto"/>
        </w:rPr>
      </w:pPr>
      <w:r>
        <w:rPr>
          <w:rFonts w:ascii="Arial" w:cs="Arial" w:eastAsia="Arial" w:hAnsi="Arial"/>
          <w:sz w:val="27"/>
          <w:szCs w:val="27"/>
          <w:b w:val="1"/>
          <w:bCs w:val="1"/>
          <w:color w:val="auto"/>
        </w:rPr>
        <w:t>SECURITIES AND EXCHANGE COMMISSION</w:t>
      </w: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0" w:lineRule="exact"/>
        <w:rPr>
          <w:sz w:val="24"/>
          <w:szCs w:val="24"/>
          <w:color w:val="auto"/>
        </w:rPr>
      </w:pPr>
    </w:p>
    <w:p>
      <w:pPr>
        <w:spacing w:after="0" w:line="35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POST-EFFECTIVE AMENDMENT NO. 1 TO:</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S-8 REGISTRATION STATEMENT NO. 333-35231</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S-8 REGISTRATION STATEMENT NO. 333-99239</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S-8 REGISTRATION STATEMENT NO. 333-130175</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i w:val="1"/>
          <w:iCs w:val="1"/>
          <w:color w:val="auto"/>
        </w:rPr>
        <w:t>UNDER</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i w:val="1"/>
          <w:iCs w:val="1"/>
          <w:color w:val="auto"/>
        </w:rPr>
        <w:t>THE SECURITIES ACT OF 1933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3109595</wp:posOffset>
            </wp:positionH>
            <wp:positionV relativeFrom="paragraph">
              <wp:posOffset>306070</wp:posOffset>
            </wp:positionV>
            <wp:extent cx="1037590" cy="5403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037590" cy="54038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0" w:lineRule="exact"/>
        <w:rPr>
          <w:sz w:val="24"/>
          <w:szCs w:val="24"/>
          <w:color w:val="auto"/>
        </w:rPr>
      </w:pPr>
    </w:p>
    <w:p>
      <w:pPr>
        <w:jc w:val="center"/>
        <w:spacing w:after="0"/>
        <w:rPr>
          <w:sz w:val="20"/>
          <w:szCs w:val="20"/>
          <w:color w:val="auto"/>
        </w:rPr>
      </w:pPr>
      <w:r>
        <w:rPr>
          <w:rFonts w:ascii="Arial" w:cs="Arial" w:eastAsia="Arial" w:hAnsi="Arial"/>
          <w:sz w:val="36"/>
          <w:szCs w:val="36"/>
          <w:b w:val="1"/>
          <w:bCs w:val="1"/>
          <w:color w:val="auto"/>
        </w:rPr>
        <w:t>VIAD CORP</w:t>
      </w:r>
    </w:p>
    <w:p>
      <w:pPr>
        <w:spacing w:after="0" w:line="42" w:lineRule="exact"/>
        <w:rPr>
          <w:sz w:val="24"/>
          <w:szCs w:val="24"/>
          <w:color w:val="auto"/>
        </w:rPr>
      </w:pPr>
    </w:p>
    <w:p>
      <w:pPr>
        <w:jc w:val="center"/>
        <w:spacing w:after="0"/>
        <w:rPr>
          <w:sz w:val="20"/>
          <w:szCs w:val="20"/>
          <w:color w:val="auto"/>
        </w:rPr>
      </w:pPr>
      <w:r>
        <w:rPr>
          <w:rFonts w:ascii="Arial" w:cs="Arial" w:eastAsia="Arial" w:hAnsi="Arial"/>
          <w:sz w:val="15"/>
          <w:szCs w:val="15"/>
          <w:b w:val="1"/>
          <w:bCs w:val="1"/>
          <w:color w:val="auto"/>
        </w:rPr>
        <w:t>(Exact Name of Registrant as Specified in its Charter)</w:t>
      </w:r>
    </w:p>
    <w:p>
      <w:pPr>
        <w:spacing w:after="0" w:line="200" w:lineRule="exact"/>
        <w:rPr>
          <w:sz w:val="24"/>
          <w:szCs w:val="24"/>
          <w:color w:val="auto"/>
        </w:rPr>
      </w:pPr>
    </w:p>
    <w:p>
      <w:pPr>
        <w:spacing w:after="0" w:line="233" w:lineRule="exact"/>
        <w:rPr>
          <w:sz w:val="24"/>
          <w:szCs w:val="24"/>
          <w:color w:val="auto"/>
        </w:rPr>
      </w:pPr>
    </w:p>
    <w:tbl>
      <w:tblPr>
        <w:tblLayout w:type="fixed"/>
        <w:tblInd w:w="2400" w:type="dxa"/>
        <w:tblCellMar>
          <w:top w:w="0" w:type="dxa"/>
          <w:left w:w="0" w:type="dxa"/>
          <w:bottom w:w="0" w:type="dxa"/>
          <w:right w:w="0" w:type="dxa"/>
        </w:tblCellMar>
      </w:tblPr>
      <w:tr>
        <w:trPr>
          <w:trHeight w:val="161"/>
        </w:trPr>
        <w:tc>
          <w:tcPr>
            <w:tcW w:w="3660" w:type="dxa"/>
            <w:vAlign w:val="bottom"/>
          </w:tcPr>
          <w:p>
            <w:pPr>
              <w:jc w:val="center"/>
              <w:ind w:right="1173"/>
              <w:spacing w:after="0"/>
              <w:rPr>
                <w:sz w:val="20"/>
                <w:szCs w:val="20"/>
                <w:color w:val="auto"/>
              </w:rPr>
            </w:pPr>
            <w:r>
              <w:rPr>
                <w:rFonts w:ascii="Arial" w:cs="Arial" w:eastAsia="Arial" w:hAnsi="Arial"/>
                <w:sz w:val="14"/>
                <w:szCs w:val="14"/>
                <w:b w:val="1"/>
                <w:bCs w:val="1"/>
                <w:color w:val="auto"/>
                <w:w w:val="94"/>
              </w:rPr>
              <w:t>Delaware</w:t>
            </w:r>
          </w:p>
        </w:tc>
        <w:tc>
          <w:tcPr>
            <w:tcW w:w="2260" w:type="dxa"/>
            <w:vAlign w:val="bottom"/>
          </w:tcPr>
          <w:p>
            <w:pPr>
              <w:jc w:val="center"/>
              <w:ind w:left="1193"/>
              <w:spacing w:after="0"/>
              <w:rPr>
                <w:sz w:val="20"/>
                <w:szCs w:val="20"/>
                <w:color w:val="auto"/>
              </w:rPr>
            </w:pPr>
            <w:r>
              <w:rPr>
                <w:rFonts w:ascii="Arial" w:cs="Arial" w:eastAsia="Arial" w:hAnsi="Arial"/>
                <w:sz w:val="14"/>
                <w:szCs w:val="14"/>
                <w:b w:val="1"/>
                <w:bCs w:val="1"/>
                <w:color w:val="auto"/>
                <w:w w:val="90"/>
              </w:rPr>
              <w:t>36-1169950</w:t>
            </w:r>
          </w:p>
        </w:tc>
        <w:tc>
          <w:tcPr>
            <w:tcW w:w="0" w:type="dxa"/>
            <w:vAlign w:val="bottom"/>
          </w:tcPr>
          <w:p>
            <w:pPr>
              <w:spacing w:after="0"/>
              <w:rPr>
                <w:sz w:val="1"/>
                <w:szCs w:val="1"/>
                <w:color w:val="auto"/>
              </w:rPr>
            </w:pPr>
          </w:p>
        </w:tc>
      </w:tr>
      <w:tr>
        <w:trPr>
          <w:trHeight w:val="135"/>
        </w:trPr>
        <w:tc>
          <w:tcPr>
            <w:tcW w:w="3660" w:type="dxa"/>
            <w:vAlign w:val="bottom"/>
          </w:tcPr>
          <w:p>
            <w:pPr>
              <w:jc w:val="center"/>
              <w:ind w:right="1173"/>
              <w:spacing w:after="0" w:line="135" w:lineRule="exact"/>
              <w:rPr>
                <w:sz w:val="20"/>
                <w:szCs w:val="20"/>
                <w:color w:val="auto"/>
              </w:rPr>
            </w:pPr>
            <w:r>
              <w:rPr>
                <w:rFonts w:ascii="Arial" w:cs="Arial" w:eastAsia="Arial" w:hAnsi="Arial"/>
                <w:sz w:val="13"/>
                <w:szCs w:val="13"/>
                <w:b w:val="1"/>
                <w:bCs w:val="1"/>
                <w:color w:val="auto"/>
                <w:w w:val="87"/>
              </w:rPr>
              <w:t>(State or Other Jurisdiction of</w:t>
            </w:r>
          </w:p>
        </w:tc>
        <w:tc>
          <w:tcPr>
            <w:tcW w:w="2260" w:type="dxa"/>
            <w:vAlign w:val="bottom"/>
          </w:tcPr>
          <w:p>
            <w:pPr>
              <w:jc w:val="center"/>
              <w:ind w:left="1193"/>
              <w:spacing w:after="0" w:line="135" w:lineRule="exact"/>
              <w:rPr>
                <w:sz w:val="20"/>
                <w:szCs w:val="20"/>
                <w:color w:val="auto"/>
              </w:rPr>
            </w:pPr>
            <w:r>
              <w:rPr>
                <w:rFonts w:ascii="Arial" w:cs="Arial" w:eastAsia="Arial" w:hAnsi="Arial"/>
                <w:sz w:val="13"/>
                <w:szCs w:val="13"/>
                <w:b w:val="1"/>
                <w:bCs w:val="1"/>
                <w:color w:val="auto"/>
                <w:w w:val="92"/>
              </w:rPr>
              <w:t>(I.R.S. Employer</w:t>
            </w:r>
          </w:p>
        </w:tc>
        <w:tc>
          <w:tcPr>
            <w:tcW w:w="0" w:type="dxa"/>
            <w:vAlign w:val="bottom"/>
          </w:tcPr>
          <w:p>
            <w:pPr>
              <w:spacing w:after="0"/>
              <w:rPr>
                <w:sz w:val="1"/>
                <w:szCs w:val="1"/>
                <w:color w:val="auto"/>
              </w:rPr>
            </w:pPr>
          </w:p>
        </w:tc>
      </w:tr>
      <w:tr>
        <w:trPr>
          <w:trHeight w:val="164"/>
        </w:trPr>
        <w:tc>
          <w:tcPr>
            <w:tcW w:w="3660" w:type="dxa"/>
            <w:vAlign w:val="bottom"/>
          </w:tcPr>
          <w:p>
            <w:pPr>
              <w:jc w:val="center"/>
              <w:ind w:right="1173"/>
              <w:spacing w:after="0"/>
              <w:rPr>
                <w:sz w:val="20"/>
                <w:szCs w:val="20"/>
                <w:color w:val="auto"/>
              </w:rPr>
            </w:pPr>
            <w:r>
              <w:rPr>
                <w:rFonts w:ascii="Arial" w:cs="Arial" w:eastAsia="Arial" w:hAnsi="Arial"/>
                <w:sz w:val="13"/>
                <w:szCs w:val="13"/>
                <w:b w:val="1"/>
                <w:bCs w:val="1"/>
                <w:color w:val="auto"/>
                <w:w w:val="90"/>
              </w:rPr>
              <w:t>Incorporation or Organization)</w:t>
            </w:r>
          </w:p>
        </w:tc>
        <w:tc>
          <w:tcPr>
            <w:tcW w:w="2260" w:type="dxa"/>
            <w:vAlign w:val="bottom"/>
          </w:tcPr>
          <w:p>
            <w:pPr>
              <w:jc w:val="center"/>
              <w:ind w:left="1193"/>
              <w:spacing w:after="0"/>
              <w:rPr>
                <w:sz w:val="20"/>
                <w:szCs w:val="20"/>
                <w:color w:val="auto"/>
              </w:rPr>
            </w:pPr>
            <w:r>
              <w:rPr>
                <w:rFonts w:ascii="Arial" w:cs="Arial" w:eastAsia="Arial" w:hAnsi="Arial"/>
                <w:sz w:val="13"/>
                <w:szCs w:val="13"/>
                <w:b w:val="1"/>
                <w:bCs w:val="1"/>
                <w:color w:val="auto"/>
                <w:w w:val="91"/>
              </w:rPr>
              <w:t>Identification No.)</w:t>
            </w:r>
          </w:p>
        </w:tc>
        <w:tc>
          <w:tcPr>
            <w:tcW w:w="0" w:type="dxa"/>
            <w:vAlign w:val="bottom"/>
          </w:tcPr>
          <w:p>
            <w:pPr>
              <w:spacing w:after="0"/>
              <w:rPr>
                <w:sz w:val="1"/>
                <w:szCs w:val="1"/>
                <w:color w:val="auto"/>
              </w:rPr>
            </w:pPr>
          </w:p>
        </w:tc>
      </w:tr>
      <w:tr>
        <w:trPr>
          <w:trHeight w:val="277"/>
        </w:trPr>
        <w:tc>
          <w:tcPr>
            <w:tcW w:w="3660" w:type="dxa"/>
            <w:vAlign w:val="bottom"/>
          </w:tcPr>
          <w:p>
            <w:pPr>
              <w:jc w:val="center"/>
              <w:ind w:right="1193"/>
              <w:spacing w:after="0"/>
              <w:rPr>
                <w:sz w:val="20"/>
                <w:szCs w:val="20"/>
                <w:color w:val="auto"/>
              </w:rPr>
            </w:pPr>
            <w:r>
              <w:rPr>
                <w:rFonts w:ascii="Arial" w:cs="Arial" w:eastAsia="Arial" w:hAnsi="Arial"/>
                <w:sz w:val="14"/>
                <w:szCs w:val="14"/>
                <w:b w:val="1"/>
                <w:bCs w:val="1"/>
                <w:color w:val="auto"/>
                <w:w w:val="93"/>
              </w:rPr>
              <w:t>1850 North Central Avenue, Suite 1900</w:t>
            </w:r>
          </w:p>
        </w:tc>
        <w:tc>
          <w:tcPr>
            <w:tcW w:w="2260" w:type="dxa"/>
            <w:vAlign w:val="bottom"/>
            <w:vMerge w:val="restart"/>
          </w:tcPr>
          <w:p>
            <w:pPr>
              <w:jc w:val="center"/>
              <w:ind w:left="1193"/>
              <w:spacing w:after="0"/>
              <w:rPr>
                <w:sz w:val="20"/>
                <w:szCs w:val="20"/>
                <w:color w:val="auto"/>
              </w:rPr>
            </w:pPr>
            <w:r>
              <w:rPr>
                <w:rFonts w:ascii="Arial" w:cs="Arial" w:eastAsia="Arial" w:hAnsi="Arial"/>
                <w:sz w:val="14"/>
                <w:szCs w:val="14"/>
                <w:b w:val="1"/>
                <w:bCs w:val="1"/>
                <w:color w:val="auto"/>
                <w:w w:val="90"/>
              </w:rPr>
              <w:t>85004-4565</w:t>
            </w:r>
          </w:p>
        </w:tc>
        <w:tc>
          <w:tcPr>
            <w:tcW w:w="0" w:type="dxa"/>
            <w:vAlign w:val="bottom"/>
          </w:tcPr>
          <w:p>
            <w:pPr>
              <w:spacing w:after="0"/>
              <w:rPr>
                <w:sz w:val="1"/>
                <w:szCs w:val="1"/>
                <w:color w:val="auto"/>
              </w:rPr>
            </w:pPr>
          </w:p>
        </w:tc>
      </w:tr>
      <w:tr>
        <w:trPr>
          <w:trHeight w:val="153"/>
        </w:trPr>
        <w:tc>
          <w:tcPr>
            <w:tcW w:w="3660" w:type="dxa"/>
            <w:vAlign w:val="bottom"/>
          </w:tcPr>
          <w:p>
            <w:pPr>
              <w:jc w:val="center"/>
              <w:ind w:right="1173"/>
              <w:spacing w:after="0" w:line="153" w:lineRule="exact"/>
              <w:rPr>
                <w:sz w:val="20"/>
                <w:szCs w:val="20"/>
                <w:color w:val="auto"/>
              </w:rPr>
            </w:pPr>
            <w:r>
              <w:rPr>
                <w:rFonts w:ascii="Arial" w:cs="Arial" w:eastAsia="Arial" w:hAnsi="Arial"/>
                <w:sz w:val="14"/>
                <w:szCs w:val="14"/>
                <w:b w:val="1"/>
                <w:bCs w:val="1"/>
                <w:color w:val="auto"/>
                <w:w w:val="93"/>
              </w:rPr>
              <w:t>Phoenix, Arizona</w:t>
            </w:r>
          </w:p>
        </w:tc>
        <w:tc>
          <w:tcPr>
            <w:tcW w:w="226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4"/>
        </w:trPr>
        <w:tc>
          <w:tcPr>
            <w:tcW w:w="3660" w:type="dxa"/>
            <w:vAlign w:val="bottom"/>
          </w:tcPr>
          <w:p>
            <w:pPr>
              <w:jc w:val="center"/>
              <w:ind w:right="1173"/>
              <w:spacing w:after="0"/>
              <w:rPr>
                <w:sz w:val="20"/>
                <w:szCs w:val="20"/>
                <w:color w:val="auto"/>
              </w:rPr>
            </w:pPr>
            <w:r>
              <w:rPr>
                <w:rFonts w:ascii="Arial" w:cs="Arial" w:eastAsia="Arial" w:hAnsi="Arial"/>
                <w:sz w:val="13"/>
                <w:szCs w:val="13"/>
                <w:b w:val="1"/>
                <w:bCs w:val="1"/>
                <w:color w:val="auto"/>
                <w:w w:val="86"/>
              </w:rPr>
              <w:t>(Address of Principal Executive Offices)</w:t>
            </w:r>
          </w:p>
        </w:tc>
        <w:tc>
          <w:tcPr>
            <w:tcW w:w="2260" w:type="dxa"/>
            <w:vAlign w:val="bottom"/>
          </w:tcPr>
          <w:p>
            <w:pPr>
              <w:jc w:val="center"/>
              <w:ind w:left="1193"/>
              <w:spacing w:after="0"/>
              <w:rPr>
                <w:sz w:val="20"/>
                <w:szCs w:val="20"/>
                <w:color w:val="auto"/>
              </w:rPr>
            </w:pPr>
            <w:r>
              <w:rPr>
                <w:rFonts w:ascii="Arial" w:cs="Arial" w:eastAsia="Arial" w:hAnsi="Arial"/>
                <w:sz w:val="13"/>
                <w:szCs w:val="13"/>
                <w:b w:val="1"/>
                <w:bCs w:val="1"/>
                <w:color w:val="auto"/>
                <w:w w:val="93"/>
              </w:rPr>
              <w:t>(Zip Code)</w:t>
            </w:r>
          </w:p>
        </w:tc>
        <w:tc>
          <w:tcPr>
            <w:tcW w:w="0" w:type="dxa"/>
            <w:vAlign w:val="bottom"/>
          </w:tcPr>
          <w:p>
            <w:pPr>
              <w:spacing w:after="0"/>
              <w:rPr>
                <w:sz w:val="1"/>
                <w:szCs w:val="1"/>
                <w:color w:val="auto"/>
              </w:rPr>
            </w:pPr>
          </w:p>
        </w:tc>
      </w:tr>
    </w:tbl>
    <w:p>
      <w:pPr>
        <w:spacing w:after="0" w:line="169"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1997 VIAD CORP OMNIBUS INCENTIVE PLAN, AS AMENDED</w:t>
      </w:r>
    </w:p>
    <w:p>
      <w:pPr>
        <w:spacing w:after="0" w:line="6"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(Full Title of the Plan)</w:t>
      </w:r>
    </w:p>
    <w:p>
      <w:pPr>
        <w:spacing w:after="0" w:line="129"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Deborah J. DePaoli</w:t>
      </w:r>
    </w:p>
    <w:p>
      <w:pPr>
        <w:jc w:val="center"/>
        <w:spacing w:after="0" w:line="226" w:lineRule="auto"/>
        <w:rPr>
          <w:sz w:val="20"/>
          <w:szCs w:val="20"/>
          <w:color w:val="auto"/>
        </w:rPr>
      </w:pPr>
      <w:r>
        <w:rPr>
          <w:rFonts w:ascii="Arial" w:cs="Arial" w:eastAsia="Arial" w:hAnsi="Arial"/>
          <w:sz w:val="14"/>
          <w:szCs w:val="14"/>
          <w:b w:val="1"/>
          <w:bCs w:val="1"/>
          <w:color w:val="auto"/>
        </w:rPr>
        <w:t>General Counsel and Secretary</w:t>
      </w:r>
    </w:p>
    <w:p>
      <w:pPr>
        <w:jc w:val="center"/>
        <w:spacing w:after="0" w:line="222" w:lineRule="auto"/>
        <w:rPr>
          <w:sz w:val="20"/>
          <w:szCs w:val="20"/>
          <w:color w:val="auto"/>
        </w:rPr>
      </w:pPr>
      <w:r>
        <w:rPr>
          <w:rFonts w:ascii="Arial" w:cs="Arial" w:eastAsia="Arial" w:hAnsi="Arial"/>
          <w:sz w:val="14"/>
          <w:szCs w:val="14"/>
          <w:b w:val="1"/>
          <w:bCs w:val="1"/>
          <w:color w:val="auto"/>
        </w:rPr>
        <w:t>Viad Corp</w:t>
      </w:r>
    </w:p>
    <w:p>
      <w:pPr>
        <w:jc w:val="center"/>
        <w:spacing w:after="0" w:line="221" w:lineRule="auto"/>
        <w:rPr>
          <w:sz w:val="20"/>
          <w:szCs w:val="20"/>
          <w:color w:val="auto"/>
        </w:rPr>
      </w:pPr>
      <w:r>
        <w:rPr>
          <w:rFonts w:ascii="Arial" w:cs="Arial" w:eastAsia="Arial" w:hAnsi="Arial"/>
          <w:sz w:val="14"/>
          <w:szCs w:val="14"/>
          <w:b w:val="1"/>
          <w:bCs w:val="1"/>
          <w:color w:val="auto"/>
        </w:rPr>
        <w:t>1850 North Central Avenue, Suite 1900</w:t>
      </w:r>
    </w:p>
    <w:p>
      <w:pPr>
        <w:jc w:val="center"/>
        <w:spacing w:after="0" w:line="222" w:lineRule="auto"/>
        <w:rPr>
          <w:sz w:val="20"/>
          <w:szCs w:val="20"/>
          <w:color w:val="auto"/>
        </w:rPr>
      </w:pPr>
      <w:r>
        <w:rPr>
          <w:rFonts w:ascii="Arial" w:cs="Arial" w:eastAsia="Arial" w:hAnsi="Arial"/>
          <w:sz w:val="14"/>
          <w:szCs w:val="14"/>
          <w:b w:val="1"/>
          <w:bCs w:val="1"/>
          <w:color w:val="auto"/>
        </w:rPr>
        <w:t>Phoenix, AZ 85004-4565</w:t>
      </w:r>
    </w:p>
    <w:p>
      <w:pPr>
        <w:jc w:val="center"/>
        <w:spacing w:after="0" w:line="225" w:lineRule="auto"/>
        <w:rPr>
          <w:sz w:val="20"/>
          <w:szCs w:val="20"/>
          <w:color w:val="auto"/>
        </w:rPr>
      </w:pPr>
      <w:r>
        <w:rPr>
          <w:rFonts w:ascii="Arial" w:cs="Arial" w:eastAsia="Arial" w:hAnsi="Arial"/>
          <w:sz w:val="14"/>
          <w:szCs w:val="14"/>
          <w:b w:val="1"/>
          <w:bCs w:val="1"/>
          <w:color w:val="auto"/>
        </w:rPr>
        <w:t>(602) 207-1000</w:t>
      </w:r>
    </w:p>
    <w:p>
      <w:pPr>
        <w:jc w:val="center"/>
        <w:spacing w:after="0" w:line="217" w:lineRule="auto"/>
        <w:rPr>
          <w:sz w:val="20"/>
          <w:szCs w:val="20"/>
          <w:color w:val="auto"/>
        </w:rPr>
      </w:pPr>
      <w:r>
        <w:rPr>
          <w:rFonts w:ascii="Arial" w:cs="Arial" w:eastAsia="Arial" w:hAnsi="Arial"/>
          <w:sz w:val="13"/>
          <w:szCs w:val="13"/>
          <w:b w:val="1"/>
          <w:bCs w:val="1"/>
          <w:color w:val="auto"/>
        </w:rPr>
        <w:t>(Name, Address, and Telephone Number,</w:t>
      </w:r>
    </w:p>
    <w:p>
      <w:pPr>
        <w:jc w:val="center"/>
        <w:spacing w:after="0"/>
        <w:rPr>
          <w:sz w:val="20"/>
          <w:szCs w:val="20"/>
          <w:color w:val="auto"/>
        </w:rPr>
      </w:pPr>
      <w:r>
        <w:rPr>
          <w:rFonts w:ascii="Arial" w:cs="Arial" w:eastAsia="Arial" w:hAnsi="Arial"/>
          <w:sz w:val="13"/>
          <w:szCs w:val="13"/>
          <w:b w:val="1"/>
          <w:bCs w:val="1"/>
          <w:color w:val="auto"/>
        </w:rPr>
        <w:t>Including Area Code, of Agent for Service)</w:t>
      </w:r>
    </w:p>
    <w:p>
      <w:pPr>
        <w:spacing w:after="0" w:line="200" w:lineRule="exact"/>
        <w:rPr>
          <w:sz w:val="24"/>
          <w:szCs w:val="24"/>
          <w:color w:val="auto"/>
        </w:rPr>
      </w:pPr>
    </w:p>
    <w:p>
      <w:pPr>
        <w:spacing w:after="0" w:line="244" w:lineRule="exact"/>
        <w:rPr>
          <w:sz w:val="24"/>
          <w:szCs w:val="24"/>
          <w:color w:val="auto"/>
        </w:rPr>
      </w:pPr>
    </w:p>
    <w:p>
      <w:pPr>
        <w:ind w:right="620"/>
        <w:spacing w:after="0" w:line="253" w:lineRule="auto"/>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106" w:lineRule="exact"/>
        <w:rPr>
          <w:sz w:val="24"/>
          <w:szCs w:val="24"/>
          <w:color w:val="auto"/>
        </w:rPr>
      </w:pPr>
    </w:p>
    <w:tbl>
      <w:tblPr>
        <w:tblLayout w:type="fixed"/>
        <w:tblInd w:w="0" w:type="dxa"/>
        <w:tblCellMar>
          <w:top w:w="0" w:type="dxa"/>
          <w:left w:w="0" w:type="dxa"/>
          <w:bottom w:w="0" w:type="dxa"/>
          <w:right w:w="0" w:type="dxa"/>
        </w:tblCellMar>
      </w:tblPr>
      <w:tr>
        <w:trPr>
          <w:trHeight w:val="226"/>
        </w:trPr>
        <w:tc>
          <w:tcPr>
            <w:tcW w:w="2100" w:type="dxa"/>
            <w:vAlign w:val="bottom"/>
          </w:tcPr>
          <w:p>
            <w:pPr>
              <w:spacing w:after="0"/>
              <w:rPr>
                <w:sz w:val="20"/>
                <w:szCs w:val="20"/>
                <w:color w:val="auto"/>
              </w:rPr>
            </w:pPr>
            <w:r>
              <w:rPr>
                <w:rFonts w:ascii="Arial" w:cs="Arial" w:eastAsia="Arial" w:hAnsi="Arial"/>
                <w:sz w:val="14"/>
                <w:szCs w:val="14"/>
                <w:color w:val="auto"/>
              </w:rPr>
              <w:t>Large accelerated filer</w:t>
            </w:r>
          </w:p>
        </w:tc>
        <w:tc>
          <w:tcPr>
            <w:tcW w:w="4900" w:type="dxa"/>
            <w:vAlign w:val="bottom"/>
          </w:tcPr>
          <w:p>
            <w:pPr>
              <w:ind w:left="780"/>
              <w:spacing w:after="0" w:line="141" w:lineRule="exact"/>
              <w:rPr>
                <w:sz w:val="20"/>
                <w:szCs w:val="20"/>
                <w:color w:val="auto"/>
              </w:rPr>
            </w:pPr>
            <w:r>
              <w:rPr>
                <w:rFonts w:ascii="MS PGothic" w:cs="MS PGothic" w:eastAsia="MS PGothic" w:hAnsi="MS PGothic"/>
                <w:sz w:val="14"/>
                <w:szCs w:val="14"/>
                <w:color w:val="auto"/>
              </w:rPr>
              <w:t>☐</w:t>
            </w:r>
          </w:p>
        </w:tc>
        <w:tc>
          <w:tcPr>
            <w:tcW w:w="3420" w:type="dxa"/>
            <w:vAlign w:val="bottom"/>
          </w:tcPr>
          <w:p>
            <w:pPr>
              <w:ind w:left="1200"/>
              <w:spacing w:after="0"/>
              <w:rPr>
                <w:sz w:val="20"/>
                <w:szCs w:val="20"/>
                <w:color w:val="auto"/>
              </w:rPr>
            </w:pPr>
            <w:r>
              <w:rPr>
                <w:rFonts w:ascii="Arial" w:cs="Arial" w:eastAsia="Arial" w:hAnsi="Arial"/>
                <w:sz w:val="14"/>
                <w:szCs w:val="14"/>
                <w:color w:val="auto"/>
              </w:rPr>
              <w:t>Accelerated filer</w:t>
            </w:r>
          </w:p>
        </w:tc>
        <w:tc>
          <w:tcPr>
            <w:tcW w:w="800" w:type="dxa"/>
            <w:vAlign w:val="bottom"/>
          </w:tcPr>
          <w:p>
            <w:pPr>
              <w:ind w:left="660"/>
              <w:spacing w:after="0" w:line="141" w:lineRule="exact"/>
              <w:rPr>
                <w:sz w:val="20"/>
                <w:szCs w:val="20"/>
                <w:color w:val="auto"/>
              </w:rPr>
            </w:pPr>
            <w:r>
              <w:rPr>
                <w:rFonts w:ascii="MS PGothic" w:cs="MS PGothic" w:eastAsia="MS PGothic" w:hAnsi="MS PGothic"/>
                <w:sz w:val="14"/>
                <w:szCs w:val="14"/>
                <w:color w:val="auto"/>
                <w:w w:val="85"/>
              </w:rPr>
              <w:t>☒</w:t>
            </w:r>
          </w:p>
        </w:tc>
      </w:tr>
      <w:tr>
        <w:trPr>
          <w:trHeight w:val="324"/>
        </w:trPr>
        <w:tc>
          <w:tcPr>
            <w:tcW w:w="2100" w:type="dxa"/>
            <w:vAlign w:val="bottom"/>
          </w:tcPr>
          <w:p>
            <w:pPr>
              <w:spacing w:after="0"/>
              <w:rPr>
                <w:sz w:val="20"/>
                <w:szCs w:val="20"/>
                <w:color w:val="auto"/>
              </w:rPr>
            </w:pPr>
            <w:r>
              <w:rPr>
                <w:rFonts w:ascii="Arial" w:cs="Arial" w:eastAsia="Arial" w:hAnsi="Arial"/>
                <w:sz w:val="14"/>
                <w:szCs w:val="14"/>
                <w:color w:val="auto"/>
              </w:rPr>
              <w:t>Non-accelerated filer</w:t>
            </w:r>
          </w:p>
        </w:tc>
        <w:tc>
          <w:tcPr>
            <w:tcW w:w="4900" w:type="dxa"/>
            <w:vAlign w:val="bottom"/>
          </w:tcPr>
          <w:p>
            <w:pPr>
              <w:ind w:left="780"/>
              <w:spacing w:after="0" w:line="161" w:lineRule="exact"/>
              <w:rPr>
                <w:sz w:val="20"/>
                <w:szCs w:val="20"/>
                <w:color w:val="auto"/>
              </w:rPr>
            </w:pPr>
            <w:r>
              <w:rPr>
                <w:rFonts w:ascii="MS PGothic" w:cs="MS PGothic" w:eastAsia="MS PGothic" w:hAnsi="MS PGothic"/>
                <w:sz w:val="14"/>
                <w:szCs w:val="14"/>
                <w:color w:val="auto"/>
              </w:rPr>
              <w:t>☐</w:t>
            </w:r>
            <w:r>
              <w:rPr>
                <w:rFonts w:ascii="Arial" w:cs="Arial" w:eastAsia="Arial" w:hAnsi="Arial"/>
                <w:sz w:val="14"/>
                <w:szCs w:val="14"/>
                <w:color w:val="auto"/>
              </w:rPr>
              <w:t xml:space="preserve"> (Do not check if a smaller reporting company)</w:t>
            </w:r>
          </w:p>
        </w:tc>
        <w:tc>
          <w:tcPr>
            <w:tcW w:w="3420" w:type="dxa"/>
            <w:vAlign w:val="bottom"/>
          </w:tcPr>
          <w:p>
            <w:pPr>
              <w:ind w:left="1200"/>
              <w:spacing w:after="0"/>
              <w:rPr>
                <w:sz w:val="20"/>
                <w:szCs w:val="20"/>
                <w:color w:val="auto"/>
              </w:rPr>
            </w:pPr>
            <w:r>
              <w:rPr>
                <w:rFonts w:ascii="Arial" w:cs="Arial" w:eastAsia="Arial" w:hAnsi="Arial"/>
                <w:sz w:val="14"/>
                <w:szCs w:val="14"/>
                <w:color w:val="auto"/>
              </w:rPr>
              <w:t>Smaller reporting company</w:t>
            </w:r>
          </w:p>
        </w:tc>
        <w:tc>
          <w:tcPr>
            <w:tcW w:w="800" w:type="dxa"/>
            <w:vAlign w:val="bottom"/>
          </w:tcPr>
          <w:p>
            <w:pPr>
              <w:ind w:left="660"/>
              <w:spacing w:after="0" w:line="141" w:lineRule="exact"/>
              <w:rPr>
                <w:sz w:val="20"/>
                <w:szCs w:val="20"/>
                <w:color w:val="auto"/>
              </w:rPr>
            </w:pPr>
            <w:r>
              <w:rPr>
                <w:rFonts w:ascii="MS PGothic" w:cs="MS PGothic" w:eastAsia="MS PGothic" w:hAnsi="MS PGothic"/>
                <w:sz w:val="14"/>
                <w:szCs w:val="14"/>
                <w:color w:val="auto"/>
                <w:w w:val="85"/>
              </w:rPr>
              <w:t>☐</w:t>
            </w:r>
          </w:p>
        </w:tc>
      </w:tr>
      <w:tr>
        <w:trPr>
          <w:trHeight w:val="324"/>
        </w:trPr>
        <w:tc>
          <w:tcPr>
            <w:tcW w:w="2100" w:type="dxa"/>
            <w:vAlign w:val="bottom"/>
          </w:tcPr>
          <w:p>
            <w:pPr>
              <w:spacing w:after="0"/>
              <w:rPr>
                <w:sz w:val="24"/>
                <w:szCs w:val="24"/>
                <w:color w:val="auto"/>
              </w:rPr>
            </w:pPr>
          </w:p>
        </w:tc>
        <w:tc>
          <w:tcPr>
            <w:tcW w:w="4900" w:type="dxa"/>
            <w:vAlign w:val="bottom"/>
          </w:tcPr>
          <w:p>
            <w:pPr>
              <w:spacing w:after="0"/>
              <w:rPr>
                <w:sz w:val="24"/>
                <w:szCs w:val="24"/>
                <w:color w:val="auto"/>
              </w:rPr>
            </w:pPr>
          </w:p>
        </w:tc>
        <w:tc>
          <w:tcPr>
            <w:tcW w:w="3420" w:type="dxa"/>
            <w:vAlign w:val="bottom"/>
          </w:tcPr>
          <w:p>
            <w:pPr>
              <w:ind w:left="1200"/>
              <w:spacing w:after="0"/>
              <w:rPr>
                <w:sz w:val="20"/>
                <w:szCs w:val="20"/>
                <w:color w:val="auto"/>
              </w:rPr>
            </w:pPr>
            <w:r>
              <w:rPr>
                <w:rFonts w:ascii="Arial" w:cs="Arial" w:eastAsia="Arial" w:hAnsi="Arial"/>
                <w:sz w:val="14"/>
                <w:szCs w:val="14"/>
                <w:color w:val="auto"/>
              </w:rPr>
              <w:t>Emerging growth company</w:t>
            </w:r>
          </w:p>
        </w:tc>
        <w:tc>
          <w:tcPr>
            <w:tcW w:w="800" w:type="dxa"/>
            <w:vAlign w:val="bottom"/>
          </w:tcPr>
          <w:p>
            <w:pPr>
              <w:ind w:left="660"/>
              <w:spacing w:after="0" w:line="141" w:lineRule="exact"/>
              <w:rPr>
                <w:sz w:val="20"/>
                <w:szCs w:val="20"/>
                <w:color w:val="auto"/>
              </w:rPr>
            </w:pPr>
            <w:r>
              <w:rPr>
                <w:rFonts w:ascii="MS PGothic" w:cs="MS PGothic" w:eastAsia="MS PGothic" w:hAnsi="MS PGothic"/>
                <w:sz w:val="14"/>
                <w:szCs w:val="14"/>
                <w:color w:val="auto"/>
                <w:w w:val="85"/>
              </w:rPr>
              <w:t>☐</w:t>
            </w:r>
          </w:p>
        </w:tc>
      </w:tr>
    </w:tbl>
    <w:p>
      <w:pPr>
        <w:spacing w:after="0" w:line="72" w:lineRule="exact"/>
        <w:rPr>
          <w:sz w:val="24"/>
          <w:szCs w:val="24"/>
          <w:color w:val="auto"/>
        </w:rPr>
      </w:pPr>
    </w:p>
    <w:p>
      <w:pPr>
        <w:ind w:right="160"/>
        <w:spacing w:after="0" w:line="180" w:lineRule="exact"/>
        <w:rPr>
          <w:sz w:val="20"/>
          <w:szCs w:val="20"/>
          <w:color w:val="auto"/>
        </w:rPr>
      </w:pPr>
      <w:r>
        <w:rPr>
          <w:rFonts w:ascii="Arial" w:cs="Arial" w:eastAsia="Arial" w:hAnsi="Arial"/>
          <w:sz w:val="14"/>
          <w:szCs w:val="14"/>
          <w:color w:val="auto"/>
        </w:rPr>
        <w:t xml:space="preserve">If an emerging growth company, indicate by check mark if the registrant has elected not to use the extended transition period for complying with any new or revised financial accounting standards provided pursuant to Section 7(a)(2)(B) of the Securities Act. </w:t>
      </w:r>
      <w:r>
        <w:rPr>
          <w:rFonts w:ascii="MS PGothic" w:cs="MS PGothic" w:eastAsia="MS PGothic" w:hAnsi="MS PGothic"/>
          <w:sz w:val="14"/>
          <w:szCs w:val="14"/>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482600</wp:posOffset>
            </wp:positionV>
            <wp:extent cx="7289165"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441" w:right="239" w:bottom="1440" w:gutter="0" w:footer="0" w:header="0"/>
        </w:sectPr>
      </w:pPr>
    </w:p>
    <w:bookmarkStart w:id="1" w:name="page2"/>
    <w:bookmarkEnd w:id="1"/>
    <w:p>
      <w:pPr>
        <w:jc w:val="center"/>
        <w:ind w:right="-19"/>
        <w:spacing w:after="0"/>
        <w:rPr>
          <w:sz w:val="20"/>
          <w:szCs w:val="20"/>
          <w:color w:val="auto"/>
        </w:rPr>
      </w:pPr>
      <w:r>
        <w:rPr>
          <w:rFonts w:ascii="Arial" w:cs="Arial" w:eastAsia="Arial" w:hAnsi="Arial"/>
          <w:sz w:val="18"/>
          <w:szCs w:val="18"/>
          <w:b w:val="1"/>
          <w:bCs w:val="1"/>
          <w:color w:val="auto"/>
        </w:rPr>
        <w:t>EXPLANATORY NOTE</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DEREGISTRATION OF SECURITIES</w:t>
      </w:r>
    </w:p>
    <w:p>
      <w:pPr>
        <w:spacing w:after="0" w:line="229" w:lineRule="exact"/>
        <w:rPr>
          <w:sz w:val="20"/>
          <w:szCs w:val="20"/>
          <w:color w:val="auto"/>
        </w:rPr>
      </w:pPr>
    </w:p>
    <w:p>
      <w:pPr>
        <w:jc w:val="both"/>
        <w:ind w:firstLine="877"/>
        <w:spacing w:after="0" w:line="264" w:lineRule="auto"/>
        <w:rPr>
          <w:sz w:val="20"/>
          <w:szCs w:val="20"/>
          <w:color w:val="auto"/>
        </w:rPr>
      </w:pPr>
      <w:r>
        <w:rPr>
          <w:rFonts w:ascii="Arial" w:cs="Arial" w:eastAsia="Arial" w:hAnsi="Arial"/>
          <w:sz w:val="18"/>
          <w:szCs w:val="18"/>
          <w:color w:val="auto"/>
        </w:rPr>
        <w:t>These post-effective amendments (these “Post-Effective Amendments”) relate to the following Registration Statements on Form S-8 (each, a “Registration Statement” and collectively, the “Registration Statements”), filed with the Securities and Exchange Commission (the “SEC”) by Viad Corp (the “Registrant”):</w:t>
      </w:r>
    </w:p>
    <w:p>
      <w:pPr>
        <w:spacing w:after="0" w:line="181" w:lineRule="exact"/>
        <w:rPr>
          <w:sz w:val="20"/>
          <w:szCs w:val="20"/>
          <w:color w:val="auto"/>
        </w:rPr>
      </w:pPr>
    </w:p>
    <w:p>
      <w:pPr>
        <w:jc w:val="both"/>
        <w:ind w:left="1760" w:hanging="442"/>
        <w:spacing w:after="0" w:line="312" w:lineRule="auto"/>
        <w:tabs>
          <w:tab w:leader="none" w:pos="1760" w:val="left"/>
        </w:tabs>
        <w:numPr>
          <w:ilvl w:val="0"/>
          <w:numId w:val="1"/>
        </w:numPr>
        <w:rPr>
          <w:rFonts w:ascii="Arial" w:cs="Arial" w:eastAsia="Arial" w:hAnsi="Arial"/>
          <w:sz w:val="16"/>
          <w:szCs w:val="16"/>
          <w:color w:val="auto"/>
        </w:rPr>
      </w:pPr>
      <w:r>
        <w:rPr>
          <w:rFonts w:ascii="Arial" w:cs="Arial" w:eastAsia="Arial" w:hAnsi="Arial"/>
          <w:sz w:val="16"/>
          <w:szCs w:val="16"/>
          <w:color w:val="auto"/>
        </w:rPr>
        <w:t>Registration Statement No. 333-35231, filed with the SEC on September 9, 1997, registering 3,000,000 shares of the Registrant’s common stock, par value $1.50 per share (“Common Stock”), pursuant to the Registrant’s 1997 Viad Corp Omnibus Incentive Plan, as amended, and related Rights to purchase shares of the Registrant’s Junior Participating Preferred Stock (“Rights”).</w:t>
      </w:r>
    </w:p>
    <w:p>
      <w:pPr>
        <w:spacing w:after="0" w:line="146" w:lineRule="exact"/>
        <w:rPr>
          <w:rFonts w:ascii="Arial" w:cs="Arial" w:eastAsia="Arial" w:hAnsi="Arial"/>
          <w:sz w:val="16"/>
          <w:szCs w:val="16"/>
          <w:color w:val="auto"/>
        </w:rPr>
      </w:pPr>
    </w:p>
    <w:p>
      <w:pPr>
        <w:ind w:left="1760" w:hanging="442"/>
        <w:spacing w:after="0" w:line="342" w:lineRule="auto"/>
        <w:tabs>
          <w:tab w:leader="none" w:pos="1760" w:val="left"/>
        </w:tabs>
        <w:numPr>
          <w:ilvl w:val="0"/>
          <w:numId w:val="1"/>
        </w:numPr>
        <w:rPr>
          <w:rFonts w:ascii="Arial" w:cs="Arial" w:eastAsia="Arial" w:hAnsi="Arial"/>
          <w:sz w:val="16"/>
          <w:szCs w:val="16"/>
          <w:color w:val="auto"/>
        </w:rPr>
      </w:pPr>
      <w:r>
        <w:rPr>
          <w:rFonts w:ascii="Arial" w:cs="Arial" w:eastAsia="Arial" w:hAnsi="Arial"/>
          <w:sz w:val="16"/>
          <w:szCs w:val="16"/>
          <w:color w:val="auto"/>
        </w:rPr>
        <w:t>Registration Statement No. 333-99239, filed with the SEC on September 6, 2002, registering 4,000,000 shares of Common Stock pursuant to the Registrant’s 1997 Viad Corp Omnibus Incentive Plan, as amended through May 14, 2002, and the related Rights.</w:t>
      </w:r>
    </w:p>
    <w:p>
      <w:pPr>
        <w:spacing w:after="0" w:line="123" w:lineRule="exact"/>
        <w:rPr>
          <w:rFonts w:ascii="Arial" w:cs="Arial" w:eastAsia="Arial" w:hAnsi="Arial"/>
          <w:sz w:val="16"/>
          <w:szCs w:val="16"/>
          <w:color w:val="auto"/>
        </w:rPr>
      </w:pPr>
    </w:p>
    <w:p>
      <w:pPr>
        <w:ind w:left="1760" w:right="20" w:hanging="442"/>
        <w:spacing w:after="0" w:line="342" w:lineRule="auto"/>
        <w:tabs>
          <w:tab w:leader="none" w:pos="1760" w:val="left"/>
        </w:tabs>
        <w:numPr>
          <w:ilvl w:val="0"/>
          <w:numId w:val="1"/>
        </w:numPr>
        <w:rPr>
          <w:rFonts w:ascii="Arial" w:cs="Arial" w:eastAsia="Arial" w:hAnsi="Arial"/>
          <w:sz w:val="16"/>
          <w:szCs w:val="16"/>
          <w:color w:val="auto"/>
        </w:rPr>
      </w:pPr>
      <w:r>
        <w:rPr>
          <w:rFonts w:ascii="Arial" w:cs="Arial" w:eastAsia="Arial" w:hAnsi="Arial"/>
          <w:sz w:val="16"/>
          <w:szCs w:val="16"/>
          <w:color w:val="auto"/>
        </w:rPr>
        <w:t>Registration Statement No. 333-130175, filed with the SEC on December 7, 2005, registering 1,000,000 shares of Common Stock pursuant to the Registrant’s 1997 Viad Corp Omnibus Incentive Plan, as amended through May 14, 2005, and the related Rights.</w:t>
      </w:r>
    </w:p>
    <w:p>
      <w:pPr>
        <w:spacing w:after="0" w:line="124" w:lineRule="exact"/>
        <w:rPr>
          <w:sz w:val="20"/>
          <w:szCs w:val="20"/>
          <w:color w:val="auto"/>
        </w:rPr>
      </w:pPr>
    </w:p>
    <w:p>
      <w:pPr>
        <w:jc w:val="both"/>
        <w:ind w:firstLine="877"/>
        <w:spacing w:after="0" w:line="259" w:lineRule="auto"/>
        <w:rPr>
          <w:sz w:val="20"/>
          <w:szCs w:val="20"/>
          <w:color w:val="auto"/>
        </w:rPr>
      </w:pPr>
      <w:r>
        <w:rPr>
          <w:rFonts w:ascii="Arial" w:cs="Arial" w:eastAsia="Arial" w:hAnsi="Arial"/>
          <w:sz w:val="18"/>
          <w:szCs w:val="18"/>
          <w:color w:val="auto"/>
        </w:rPr>
        <w:t>Pursuant to the undertakings contained in the Registration Statements to remove from registration by means of a post-effective amendment any of the securities registered in the Registration Statements that remain unsold at the termination of the offerings, the Registrant is filing these Post-Effective Amendments to the Registration Statements to deregister, and does hereby remove from registration, all the shares of Common Stock and Rights registered under such Registration Statements that remain unsold as of the date hereof, if 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200660</wp:posOffset>
            </wp:positionV>
            <wp:extent cx="7289165"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877" w:right="239" w:bottom="1440" w:gutter="0" w:footer="0" w:header="0"/>
        </w:sectPr>
      </w:pPr>
    </w:p>
    <w:bookmarkStart w:id="2" w:name="page3"/>
    <w:bookmarkEnd w:id="2"/>
    <w:p>
      <w:pPr>
        <w:jc w:val="center"/>
        <w:ind w:right="-39"/>
        <w:spacing w:after="0"/>
        <w:rPr>
          <w:sz w:val="20"/>
          <w:szCs w:val="20"/>
          <w:color w:val="auto"/>
        </w:rPr>
      </w:pPr>
      <w:r>
        <w:rPr>
          <w:rFonts w:ascii="Arial" w:cs="Arial" w:eastAsia="Arial" w:hAnsi="Arial"/>
          <w:sz w:val="18"/>
          <w:szCs w:val="18"/>
          <w:b w:val="1"/>
          <w:bCs w:val="1"/>
          <w:color w:val="auto"/>
        </w:rPr>
        <w:t>SIGNATURES</w:t>
      </w:r>
    </w:p>
    <w:p>
      <w:pPr>
        <w:spacing w:after="0" w:line="121" w:lineRule="exact"/>
        <w:rPr>
          <w:sz w:val="20"/>
          <w:szCs w:val="20"/>
          <w:color w:val="auto"/>
        </w:rPr>
      </w:pPr>
    </w:p>
    <w:p>
      <w:pPr>
        <w:jc w:val="both"/>
        <w:ind w:firstLine="877"/>
        <w:spacing w:after="0" w:line="264" w:lineRule="auto"/>
        <w:rPr>
          <w:sz w:val="20"/>
          <w:szCs w:val="20"/>
          <w:color w:val="auto"/>
        </w:rPr>
      </w:pPr>
      <w:r>
        <w:rPr>
          <w:rFonts w:ascii="Arial" w:cs="Arial" w:eastAsia="Arial" w:hAnsi="Arial"/>
          <w:sz w:val="18"/>
          <w:szCs w:val="18"/>
          <w:color w:val="auto"/>
        </w:rPr>
        <w:t>Pursuant to the requirements of the Securities Act of 1933, as amended, the Registrant certifies that it has reasonable grounds to believe that it meets all of the requirements for filing on Form S-8 and has duly caused these Post-Effective Amendments to the Registration Statements to be signed on its behalf by the undersigned, thereunto duly authorized, in the City of Phoenix, State of Arizona, on June 23, 2017.</w:t>
      </w:r>
    </w:p>
    <w:p>
      <w:pPr>
        <w:spacing w:after="0" w:line="174" w:lineRule="exact"/>
        <w:rPr>
          <w:sz w:val="20"/>
          <w:szCs w:val="20"/>
          <w:color w:val="auto"/>
        </w:rPr>
      </w:pPr>
    </w:p>
    <w:p>
      <w:pPr>
        <w:ind w:left="5800"/>
        <w:spacing w:after="0"/>
        <w:rPr>
          <w:sz w:val="20"/>
          <w:szCs w:val="20"/>
          <w:color w:val="auto"/>
        </w:rPr>
      </w:pPr>
      <w:r>
        <w:rPr>
          <w:rFonts w:ascii="Arial" w:cs="Arial" w:eastAsia="Arial" w:hAnsi="Arial"/>
          <w:sz w:val="22"/>
          <w:szCs w:val="22"/>
          <w:color w:val="auto"/>
        </w:rPr>
        <w:t>VIAD CORP</w:t>
      </w:r>
    </w:p>
    <w:p>
      <w:pPr>
        <w:spacing w:after="0" w:line="200" w:lineRule="exact"/>
        <w:rPr>
          <w:sz w:val="20"/>
          <w:szCs w:val="20"/>
          <w:color w:val="auto"/>
        </w:rPr>
      </w:pPr>
    </w:p>
    <w:p>
      <w:pPr>
        <w:spacing w:after="0" w:line="222" w:lineRule="exact"/>
        <w:rPr>
          <w:sz w:val="20"/>
          <w:szCs w:val="20"/>
          <w:color w:val="auto"/>
        </w:rPr>
      </w:pPr>
    </w:p>
    <w:p>
      <w:pPr>
        <w:ind w:left="5800"/>
        <w:spacing w:after="0"/>
        <w:tabs>
          <w:tab w:leader="none" w:pos="6300" w:val="left"/>
        </w:tabs>
        <w:rPr>
          <w:sz w:val="20"/>
          <w:szCs w:val="20"/>
          <w:color w:val="auto"/>
        </w:rPr>
      </w:pPr>
      <w:r>
        <w:rPr>
          <w:rFonts w:ascii="Arial" w:cs="Arial" w:eastAsia="Arial" w:hAnsi="Arial"/>
          <w:sz w:val="22"/>
          <w:szCs w:val="22"/>
          <w:color w:val="auto"/>
        </w:rPr>
        <w:t>By:</w:t>
        <w:tab/>
        <w:t>/s/ Deborah J. DePaoli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3949700</wp:posOffset>
            </wp:positionH>
            <wp:positionV relativeFrom="paragraph">
              <wp:posOffset>7620</wp:posOffset>
            </wp:positionV>
            <wp:extent cx="327596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275965" cy="8890"/>
                    </a:xfrm>
                    <a:prstGeom prst="rect">
                      <a:avLst/>
                    </a:prstGeom>
                    <a:noFill/>
                  </pic:spPr>
                </pic:pic>
              </a:graphicData>
            </a:graphic>
          </wp:anchor>
        </w:drawing>
      </w:r>
    </w:p>
    <w:p>
      <w:pPr>
        <w:ind w:left="6320"/>
        <w:spacing w:after="0"/>
        <w:rPr>
          <w:sz w:val="20"/>
          <w:szCs w:val="20"/>
          <w:color w:val="auto"/>
        </w:rPr>
      </w:pPr>
      <w:r>
        <w:rPr>
          <w:rFonts w:ascii="Arial" w:cs="Arial" w:eastAsia="Arial" w:hAnsi="Arial"/>
          <w:sz w:val="22"/>
          <w:szCs w:val="22"/>
          <w:color w:val="auto"/>
        </w:rPr>
        <w:t>Name: Deborah J. DePaoli</w:t>
      </w:r>
    </w:p>
    <w:p>
      <w:pPr>
        <w:ind w:left="6320"/>
        <w:spacing w:after="0"/>
        <w:rPr>
          <w:sz w:val="20"/>
          <w:szCs w:val="20"/>
          <w:color w:val="auto"/>
        </w:rPr>
      </w:pPr>
      <w:r>
        <w:rPr>
          <w:rFonts w:ascii="Arial" w:cs="Arial" w:eastAsia="Arial" w:hAnsi="Arial"/>
          <w:sz w:val="22"/>
          <w:szCs w:val="22"/>
          <w:color w:val="auto"/>
        </w:rPr>
        <w:t xml:space="preserve">Title: </w:t>
      </w:r>
      <w:r>
        <w:rPr>
          <w:rFonts w:ascii="Arial" w:cs="Arial" w:eastAsia="Arial" w:hAnsi="Arial"/>
          <w:sz w:val="19"/>
          <w:szCs w:val="19"/>
          <w:color w:val="auto"/>
        </w:rPr>
        <w:t>General Counsel and Secretary</w:t>
      </w: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ind w:firstLine="8"/>
        <w:spacing w:after="0" w:line="232" w:lineRule="auto"/>
        <w:tabs>
          <w:tab w:leader="none" w:pos="162" w:val="left"/>
        </w:tabs>
        <w:numPr>
          <w:ilvl w:val="0"/>
          <w:numId w:val="2"/>
        </w:numPr>
        <w:rPr>
          <w:rFonts w:ascii="Arial" w:cs="Arial" w:eastAsia="Arial" w:hAnsi="Arial"/>
          <w:sz w:val="22"/>
          <w:szCs w:val="22"/>
          <w:color w:val="auto"/>
        </w:rPr>
      </w:pPr>
      <w:r>
        <w:rPr>
          <w:rFonts w:ascii="Arial" w:cs="Arial" w:eastAsia="Arial" w:hAnsi="Arial"/>
          <w:sz w:val="18"/>
          <w:szCs w:val="18"/>
          <w:color w:val="auto"/>
        </w:rPr>
        <w:t>Pursuant to Rule 478 under the Securities Act of 1933, as amended, no other person is required to sign these Post-Effective Amendments to the Registration Statements.</w:t>
      </w:r>
    </w:p>
    <w:p>
      <w:pPr>
        <w:spacing w:after="0" w:line="200" w:lineRule="exact"/>
        <w:rPr>
          <w:sz w:val="20"/>
          <w:szCs w:val="20"/>
          <w:color w:val="auto"/>
        </w:rPr>
      </w:pPr>
    </w:p>
    <w:p>
      <w:pPr>
        <w:spacing w:after="0" w:line="213"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2</w:t>
      </w:r>
    </w:p>
    <w:sectPr>
      <w:pgSz w:w="11900" w:h="16838" w:orient="portrait"/>
      <w:cols w:equalWidth="0" w:num="1">
        <w:col w:w="11420"/>
      </w:cols>
      <w:pgMar w:left="240" w:top="66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2020-01-17T16:06:52Z</dcterms:created>
  <dcterms:modified xsi:type="dcterms:W3CDTF">2020-01-17T16:06:52Z</dcterms:modified>
</cp:coreProperties>
</file>