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SEC Form 4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36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-238760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6280" w:type="dxa"/>
            <w:vAlign w:val="bottom"/>
          </w:tcPr>
          <w:p>
            <w:pPr>
              <w:jc w:val="center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97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97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5255260</wp:posOffset>
            </wp:positionH>
            <wp:positionV relativeFrom="paragraph">
              <wp:posOffset>-620395</wp:posOffset>
            </wp:positionV>
            <wp:extent cx="57785" cy="6337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3973195</wp:posOffset>
            </wp:positionH>
            <wp:positionV relativeFrom="paragraph">
              <wp:posOffset>-620395</wp:posOffset>
            </wp:positionV>
            <wp:extent cx="57785" cy="6337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-1649095</wp:posOffset>
            </wp:positionH>
            <wp:positionV relativeFrom="paragraph">
              <wp:posOffset>22225</wp:posOffset>
            </wp:positionV>
            <wp:extent cx="6995160" cy="5794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579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340"/>
            <w:col w:w="850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Forsyth John</w:t>
        </w:r>
      </w:hyperlink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800 WEST 6TH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CIRRUS LOGIC, INC.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CRUS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02/06/2023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660"/>
        <w:spacing w:after="0" w:line="254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3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CEO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00" w:space="720"/>
            <w:col w:w="3360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9A9A9A"/>
            </w:tcBorders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10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AUSTIN</w:t>
            </w:r>
          </w:p>
        </w:tc>
        <w:tc>
          <w:tcPr>
            <w:tcW w:w="8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TX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78701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0" w:type="dxa"/>
            <w:vAlign w:val="bottom"/>
            <w:gridSpan w:val="10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19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gridSpan w:val="11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2C2C2C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Incentive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976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102.37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ind w:right="16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02/06/2023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2"/>
              </w:rPr>
              <w:t>976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02/06/2033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  <w:w w:val="98"/>
              </w:rPr>
              <w:t>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left="18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2"/>
              </w:rPr>
              <w:t>976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Non-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Qualified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102.37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02/06/2023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48,275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02/06/2033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48,275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  <w:w w:val="98"/>
              </w:rPr>
              <w:t>0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48,275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Performance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02/06/2023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15,239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15,239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  <w:w w:val="98"/>
              </w:rPr>
              <w:t>0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37,095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Shares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02/06/2023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21,166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(4)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21,166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  <w:w w:val="98"/>
              </w:rPr>
              <w:t>0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69,203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 Units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-3306445</wp:posOffset>
            </wp:positionV>
            <wp:extent cx="29210" cy="3311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31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Only vested shares can be exercised under this option. 25% of the shares will vest annually so that the option will be fully vested and exercisable on 2/6/27.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jc w:val="both"/>
        <w:ind w:left="40" w:right="520" w:firstLine="1"/>
        <w:spacing w:after="0" w:line="239" w:lineRule="auto"/>
        <w:tabs>
          <w:tab w:leader="none" w:pos="1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Each Performance-based Restricted Stock Unit (PBRSU) represents the right to receive, following vesting, up to 200% of one share of Cirrus Logic, Inc. common stock. The resulting number of shares of common stock acquired upon vesting of the PBRSUs is contingent upon the achievement of pre-established performance metrics, as approved by the Company's Compensation Committee, over a three-year performance period beginning on February 6, 2023, and ending on February 6, 2026.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Each restricted stock unit represents a contingent right to receive one share of Cirrus Logic common stock.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100% of the restricted stock units will vest on 2/6/26, the 3-year anniversary of the grant date.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By: Gregory Scott Thomas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-10160</wp:posOffset>
            </wp:positionV>
            <wp:extent cx="113982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For: John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02/08/2023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-17145</wp:posOffset>
            </wp:positionV>
            <wp:extent cx="18757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Forsyth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-17145</wp:posOffset>
            </wp:positionV>
            <wp:extent cx="32194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60" w:firstLine="1"/>
        <w:spacing w:after="0" w:line="333" w:lineRule="auto"/>
        <w:tabs>
          <w:tab w:leader="none" w:pos="175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78872" TargetMode="External"/><Relationship Id="rId13" Type="http://schemas.openxmlformats.org/officeDocument/2006/relationships/hyperlink" Target="http://www.sec.gov/cgi-bin/browse-edgar?action=getcompany&amp;CIK=000077240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2023-02-08T17:08:46Z</dcterms:created>
  <dcterms:modified xsi:type="dcterms:W3CDTF">2023-02-08T17:08:46Z</dcterms:modified>
</cp:coreProperties>
</file>