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3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-236220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632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5278120</wp:posOffset>
            </wp:positionH>
            <wp:positionV relativeFrom="paragraph">
              <wp:posOffset>-631190</wp:posOffset>
            </wp:positionV>
            <wp:extent cx="58420" cy="644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3998595</wp:posOffset>
            </wp:positionH>
            <wp:positionV relativeFrom="paragraph">
              <wp:posOffset>-631190</wp:posOffset>
            </wp:positionV>
            <wp:extent cx="58420" cy="644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-1622425</wp:posOffset>
            </wp:positionH>
            <wp:positionV relativeFrom="paragraph">
              <wp:posOffset>24130</wp:posOffset>
            </wp:positionV>
            <wp:extent cx="7045960" cy="46812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468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60"/>
            <w:col w:w="8540"/>
          </w:cols>
          <w:pgMar w:left="460" w:top="216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Tetlow Jacob</w:t>
        </w:r>
      </w:hyperlink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120" w:right="1020"/>
        <w:spacing w:after="0" w:line="3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>400 NORTH FIFTH STREET MAIL STATION 8602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PINNACLE WEST CAPITAL CORP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0000FF"/>
        </w:rPr>
        <w:t xml:space="preserve">PNW </w:t>
      </w:r>
      <w:r>
        <w:rPr>
          <w:rFonts w:ascii="Times New Roman" w:cs="Times New Roman" w:eastAsia="Times New Roman" w:hAnsi="Times New Roman"/>
          <w:sz w:val="20"/>
          <w:szCs w:val="20"/>
          <w:color w:val="000000"/>
        </w:rPr>
        <w:t>]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02/21/2023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-6" w:right="620" w:firstLine="6"/>
        <w:spacing w:after="0" w:line="260" w:lineRule="auto"/>
        <w:tabs>
          <w:tab w:leader="none" w:pos="139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53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9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105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EVP, Ops, APS</w:t>
      </w:r>
    </w:p>
    <w:p>
      <w:pPr>
        <w:spacing w:after="0" w:line="42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180" w:space="720"/>
            <w:col w:w="3280" w:space="546"/>
            <w:col w:w="3354"/>
          </w:cols>
          <w:pgMar w:left="460" w:top="216" w:right="359" w:bottom="1440" w:gutter="0" w:footer="0" w:header="0"/>
          <w:type w:val="continuous"/>
        </w:sectPr>
      </w:pPr>
    </w:p>
    <w:p>
      <w:pPr>
        <w:spacing w:after="0" w:line="24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0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85004</w:t>
            </w:r>
          </w:p>
        </w:tc>
      </w:tr>
      <w:tr>
        <w:trPr>
          <w:trHeight w:val="1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6" w:lineRule="auto"/>
        <w:tabs>
          <w:tab w:leader="none" w:pos="4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40" w:space="160"/>
            <w:col w:w="7180"/>
          </w:cols>
          <w:pgMar w:left="460" w:top="216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5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5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2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4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2"/>
        </w:trPr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4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Restricted</w:t>
            </w:r>
          </w:p>
        </w:tc>
        <w:tc>
          <w:tcPr>
            <w:tcW w:w="7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02/21/2023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4,960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4,960</w:t>
            </w:r>
          </w:p>
        </w:tc>
        <w:tc>
          <w:tcPr>
            <w:tcW w:w="7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4,960</w:t>
            </w:r>
          </w:p>
        </w:tc>
        <w:tc>
          <w:tcPr>
            <w:tcW w:w="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 Unit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40" w:right="200" w:firstLine="3"/>
        <w:spacing w:after="0" w:line="259" w:lineRule="auto"/>
        <w:tabs>
          <w:tab w:leader="none" w:pos="17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Each Restricted Stock Unit represents a contingent right to receive the economic equivalent of one share of the Company's common stock. The Restricted Stock Units will be settled either in 100% shares of common stock or 100% in cash with respect to Restricted Stock Units received in connection with the settlement of dividend equivalent rights.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Restricted Stock Units award was granted and was effective in February 2023, and vests in four equal, annual installments beginning on February 20, 2024.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7"/>
              </w:rPr>
              <w:t>/s/ Diane Wood, Attorney-in-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5"/>
              </w:rPr>
              <w:t>02/23/2023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200" w:type="dxa"/>
            <w:vAlign w:val="bottom"/>
            <w:gridSpan w:val="3"/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Fact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22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40" w:firstLine="3"/>
        <w:spacing w:after="0" w:line="339" w:lineRule="auto"/>
        <w:tabs>
          <w:tab w:leader="none" w:pos="177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862964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2023-02-23T18:47:54Z</dcterms:created>
  <dcterms:modified xsi:type="dcterms:W3CDTF">2023-02-23T18:47:54Z</dcterms:modified>
</cp:coreProperties>
</file>