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22" w:lineRule="exact"/>
        <w:rPr>
          <w:sz w:val="24"/>
          <w:szCs w:val="24"/>
          <w:color w:val="auto"/>
        </w:rPr>
      </w:pPr>
    </w:p>
    <w:p>
      <w:pPr>
        <w:jc w:val="center"/>
        <w:ind w:right="-279"/>
        <w:spacing w:after="0"/>
        <w:rPr>
          <w:sz w:val="20"/>
          <w:szCs w:val="20"/>
          <w:color w:val="auto"/>
        </w:rPr>
      </w:pPr>
      <w:r>
        <w:rPr>
          <w:rFonts w:ascii="Arial" w:cs="Arial" w:eastAsia="Arial" w:hAnsi="Arial"/>
          <w:sz w:val="18"/>
          <w:szCs w:val="18"/>
          <w:color w:val="auto"/>
        </w:rPr>
        <w:t>UNITED STATES</w:t>
      </w:r>
    </w:p>
    <w:p>
      <w:pPr>
        <w:spacing w:after="0" w:line="7" w:lineRule="exact"/>
        <w:rPr>
          <w:sz w:val="24"/>
          <w:szCs w:val="24"/>
          <w:color w:val="auto"/>
        </w:rPr>
      </w:pPr>
    </w:p>
    <w:p>
      <w:pPr>
        <w:jc w:val="center"/>
        <w:ind w:right="-279"/>
        <w:spacing w:after="0"/>
        <w:rPr>
          <w:sz w:val="20"/>
          <w:szCs w:val="20"/>
          <w:color w:val="auto"/>
        </w:rPr>
      </w:pPr>
      <w:r>
        <w:rPr>
          <w:rFonts w:ascii="Arial" w:cs="Arial" w:eastAsia="Arial" w:hAnsi="Arial"/>
          <w:sz w:val="18"/>
          <w:szCs w:val="18"/>
          <w:color w:val="auto"/>
        </w:rPr>
        <w:t>SECURITIES AND EXCHANGE COMMISSION</w:t>
      </w:r>
    </w:p>
    <w:p>
      <w:pPr>
        <w:jc w:val="center"/>
        <w:ind w:right="-279"/>
        <w:spacing w:after="0"/>
        <w:rPr>
          <w:sz w:val="20"/>
          <w:szCs w:val="20"/>
          <w:color w:val="auto"/>
        </w:rPr>
      </w:pPr>
      <w:r>
        <w:rPr>
          <w:rFonts w:ascii="Arial" w:cs="Arial" w:eastAsia="Arial" w:hAnsi="Arial"/>
          <w:sz w:val="18"/>
          <w:szCs w:val="18"/>
          <w:color w:val="auto"/>
        </w:rPr>
        <w:t>Washington, D.C. 20549</w:t>
      </w:r>
    </w:p>
    <w:p>
      <w:pPr>
        <w:spacing w:after="0" w:line="196" w:lineRule="exact"/>
        <w:rPr>
          <w:sz w:val="24"/>
          <w:szCs w:val="24"/>
          <w:color w:val="auto"/>
        </w:rPr>
      </w:pPr>
    </w:p>
    <w:p>
      <w:pPr>
        <w:jc w:val="center"/>
        <w:ind w:right="-279"/>
        <w:spacing w:after="0"/>
        <w:rPr>
          <w:sz w:val="20"/>
          <w:szCs w:val="20"/>
          <w:color w:val="auto"/>
        </w:rPr>
      </w:pPr>
      <w:r>
        <w:rPr>
          <w:rFonts w:ascii="Arial" w:cs="Arial" w:eastAsia="Arial" w:hAnsi="Arial"/>
          <w:sz w:val="18"/>
          <w:szCs w:val="18"/>
          <w:color w:val="auto"/>
        </w:rPr>
        <w:t>SCHEDULE 14A</w:t>
      </w:r>
    </w:p>
    <w:p>
      <w:pPr>
        <w:spacing w:after="0" w:line="212" w:lineRule="exact"/>
        <w:rPr>
          <w:sz w:val="24"/>
          <w:szCs w:val="24"/>
          <w:color w:val="auto"/>
        </w:rPr>
      </w:pPr>
    </w:p>
    <w:p>
      <w:pPr>
        <w:ind w:left="3680"/>
        <w:spacing w:after="0"/>
        <w:rPr>
          <w:sz w:val="20"/>
          <w:szCs w:val="20"/>
          <w:color w:val="auto"/>
        </w:rPr>
      </w:pPr>
      <w:r>
        <w:rPr>
          <w:rFonts w:ascii="Arial" w:cs="Arial" w:eastAsia="Arial" w:hAnsi="Arial"/>
          <w:sz w:val="18"/>
          <w:szCs w:val="18"/>
          <w:color w:val="auto"/>
        </w:rPr>
        <w:t>Proxy Statement Pursuant to Section 14(a) of the</w:t>
      </w:r>
    </w:p>
    <w:p>
      <w:pPr>
        <w:spacing w:after="0" w:line="12" w:lineRule="exact"/>
        <w:rPr>
          <w:sz w:val="24"/>
          <w:szCs w:val="24"/>
          <w:color w:val="auto"/>
        </w:rPr>
      </w:pPr>
    </w:p>
    <w:p>
      <w:pPr>
        <w:ind w:left="3620"/>
        <w:spacing w:after="0"/>
        <w:rPr>
          <w:sz w:val="20"/>
          <w:szCs w:val="20"/>
          <w:color w:val="auto"/>
        </w:rPr>
      </w:pPr>
      <w:r>
        <w:rPr>
          <w:rFonts w:ascii="Arial" w:cs="Arial" w:eastAsia="Arial" w:hAnsi="Arial"/>
          <w:sz w:val="18"/>
          <w:szCs w:val="18"/>
          <w:color w:val="auto"/>
        </w:rPr>
        <w:t>Securities Exchange Act of 1934 (Amendment No. )</w:t>
      </w:r>
    </w:p>
    <w:p>
      <w:pPr>
        <w:spacing w:after="0" w:line="147" w:lineRule="exact"/>
        <w:rPr>
          <w:sz w:val="24"/>
          <w:szCs w:val="24"/>
          <w:color w:val="auto"/>
        </w:rPr>
      </w:pPr>
    </w:p>
    <w:p>
      <w:pPr>
        <w:spacing w:after="0" w:line="242" w:lineRule="exact"/>
        <w:tabs>
          <w:tab w:leader="none" w:pos="7420" w:val="left"/>
        </w:tabs>
        <w:rPr>
          <w:sz w:val="20"/>
          <w:szCs w:val="20"/>
          <w:color w:val="auto"/>
        </w:rPr>
      </w:pPr>
      <w:r>
        <w:rPr>
          <w:rFonts w:ascii="MS PGothic" w:cs="MS PGothic" w:eastAsia="MS PGothic" w:hAnsi="MS PGothic"/>
          <w:sz w:val="21"/>
          <w:szCs w:val="21"/>
          <w:color w:val="auto"/>
        </w:rPr>
        <w:t>☑</w:t>
      </w:r>
      <w:r>
        <w:rPr>
          <w:rFonts w:ascii="Arial" w:cs="Arial" w:eastAsia="Arial" w:hAnsi="Arial"/>
          <w:sz w:val="18"/>
          <w:szCs w:val="18"/>
          <w:color w:val="auto"/>
        </w:rPr>
        <w:t xml:space="preserve"> Filed by the Registrant</w:t>
      </w:r>
      <w:r>
        <w:rPr>
          <w:sz w:val="20"/>
          <w:szCs w:val="20"/>
          <w:color w:val="auto"/>
        </w:rPr>
        <w:tab/>
      </w:r>
      <w:r>
        <w:rPr>
          <w:rFonts w:ascii="MS PGothic" w:cs="MS PGothic" w:eastAsia="MS PGothic" w:hAnsi="MS PGothic"/>
          <w:sz w:val="22"/>
          <w:szCs w:val="22"/>
          <w:color w:val="auto"/>
        </w:rPr>
        <w:t xml:space="preserve">☐ </w:t>
      </w:r>
      <w:r>
        <w:rPr>
          <w:rFonts w:ascii="Arial" w:cs="Arial" w:eastAsia="Arial" w:hAnsi="Arial"/>
          <w:sz w:val="17"/>
          <w:szCs w:val="17"/>
          <w:color w:val="auto"/>
        </w:rPr>
        <w:t>Filed by a party other than the Registrant</w:t>
      </w:r>
    </w:p>
    <w:p>
      <w:pPr>
        <w:spacing w:after="0" w:line="307" w:lineRule="exact"/>
        <w:rPr>
          <w:sz w:val="24"/>
          <w:szCs w:val="24"/>
          <w:color w:val="auto"/>
        </w:rPr>
      </w:pPr>
    </w:p>
    <w:p>
      <w:pPr>
        <w:ind w:left="80"/>
        <w:spacing w:after="0"/>
        <w:rPr>
          <w:sz w:val="20"/>
          <w:szCs w:val="20"/>
          <w:color w:val="auto"/>
        </w:rPr>
      </w:pPr>
      <w:r>
        <w:rPr>
          <w:rFonts w:ascii="Arial" w:cs="Arial" w:eastAsia="Arial" w:hAnsi="Arial"/>
          <w:sz w:val="18"/>
          <w:szCs w:val="18"/>
          <w:color w:val="auto"/>
        </w:rPr>
        <w:t>CHECK THE APPROPRIATE BOX:</w:t>
      </w:r>
    </w:p>
    <w:p>
      <w:pPr>
        <w:spacing w:after="0" w:line="50" w:lineRule="exact"/>
        <w:rPr>
          <w:sz w:val="24"/>
          <w:szCs w:val="24"/>
          <w:color w:val="auto"/>
        </w:rPr>
      </w:pPr>
    </w:p>
    <w:p>
      <w:pPr>
        <w:ind w:left="540" w:hanging="460"/>
        <w:spacing w:after="0"/>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Preliminary Proxy Statement</w:t>
      </w:r>
    </w:p>
    <w:p>
      <w:pPr>
        <w:spacing w:after="0" w:line="45" w:lineRule="exact"/>
        <w:rPr>
          <w:rFonts w:ascii="MS PGothic" w:cs="MS PGothic" w:eastAsia="MS PGothic" w:hAnsi="MS PGothic"/>
          <w:sz w:val="22"/>
          <w:szCs w:val="22"/>
          <w:color w:val="auto"/>
        </w:rPr>
      </w:pPr>
    </w:p>
    <w:p>
      <w:pPr>
        <w:ind w:left="80" w:right="4200"/>
        <w:spacing w:after="0" w:line="256" w:lineRule="exact"/>
        <w:tabs>
          <w:tab w:leader="none" w:pos="548"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 xml:space="preserve">Confidential, for Use of the Commission Only (as permitted by Rule 14a-6(e)(2)) </w:t>
      </w:r>
      <w:r>
        <w:rPr>
          <w:rFonts w:ascii="MS PGothic" w:cs="MS PGothic" w:eastAsia="MS PGothic" w:hAnsi="MS PGothic"/>
          <w:sz w:val="21"/>
          <w:szCs w:val="21"/>
          <w:color w:val="auto"/>
        </w:rPr>
        <w:t>☑</w:t>
      </w:r>
      <w:r>
        <w:rPr>
          <w:rFonts w:ascii="Arial" w:cs="Arial" w:eastAsia="Arial" w:hAnsi="Arial"/>
          <w:sz w:val="18"/>
          <w:szCs w:val="18"/>
          <w:color w:val="auto"/>
        </w:rPr>
        <w:t xml:space="preserve"> Definitive Proxy Statement</w:t>
      </w:r>
    </w:p>
    <w:p>
      <w:pPr>
        <w:spacing w:after="0" w:line="1" w:lineRule="exact"/>
        <w:rPr>
          <w:rFonts w:ascii="MS PGothic" w:cs="MS PGothic" w:eastAsia="MS PGothic" w:hAnsi="MS PGothic"/>
          <w:sz w:val="22"/>
          <w:szCs w:val="22"/>
          <w:color w:val="auto"/>
        </w:rPr>
      </w:pPr>
    </w:p>
    <w:p>
      <w:pPr>
        <w:ind w:left="540" w:hanging="460"/>
        <w:spacing w:after="0" w:line="226" w:lineRule="auto"/>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Definitive Additional Materials</w:t>
      </w:r>
    </w:p>
    <w:p>
      <w:pPr>
        <w:spacing w:after="0" w:line="42" w:lineRule="exact"/>
        <w:rPr>
          <w:rFonts w:ascii="MS PGothic" w:cs="MS PGothic" w:eastAsia="MS PGothic" w:hAnsi="MS PGothic"/>
          <w:sz w:val="22"/>
          <w:szCs w:val="22"/>
          <w:color w:val="auto"/>
        </w:rPr>
      </w:pPr>
    </w:p>
    <w:p>
      <w:pPr>
        <w:ind w:left="540" w:hanging="460"/>
        <w:spacing w:after="0" w:line="226" w:lineRule="auto"/>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Soliciting Material under §240.14a-12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-805815</wp:posOffset>
            </wp:positionV>
            <wp:extent cx="7132320" cy="8229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2960"/>
                    </a:xfrm>
                    <a:prstGeom prst="rect">
                      <a:avLst/>
                    </a:prstGeom>
                    <a:noFill/>
                  </pic:spPr>
                </pic:pic>
              </a:graphicData>
            </a:graphic>
          </wp:anchor>
        </w:drawing>
        <w:drawing>
          <wp:anchor simplePos="0" relativeHeight="251657728" behindDoc="1" locked="0" layoutInCell="0" allowOverlap="1">
            <wp:simplePos x="0" y="0"/>
            <wp:positionH relativeFrom="column">
              <wp:posOffset>2713990</wp:posOffset>
            </wp:positionH>
            <wp:positionV relativeFrom="paragraph">
              <wp:posOffset>153670</wp:posOffset>
            </wp:positionV>
            <wp:extent cx="1714500" cy="3511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714500" cy="35115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87" w:lineRule="exact"/>
        <w:rPr>
          <w:sz w:val="24"/>
          <w:szCs w:val="24"/>
          <w:color w:val="auto"/>
        </w:rPr>
      </w:pPr>
    </w:p>
    <w:p>
      <w:pPr>
        <w:jc w:val="center"/>
        <w:ind w:right="-279"/>
        <w:spacing w:after="0"/>
        <w:rPr>
          <w:sz w:val="20"/>
          <w:szCs w:val="20"/>
          <w:color w:val="auto"/>
        </w:rPr>
      </w:pPr>
      <w:r>
        <w:rPr>
          <w:rFonts w:ascii="Arial" w:cs="Arial" w:eastAsia="Arial" w:hAnsi="Arial"/>
          <w:sz w:val="22"/>
          <w:szCs w:val="22"/>
          <w:b w:val="1"/>
          <w:bCs w:val="1"/>
          <w:color w:val="auto"/>
        </w:rPr>
        <w:t>Pinnacle West Capital Corporation</w:t>
      </w:r>
    </w:p>
    <w:p>
      <w:pPr>
        <w:spacing w:after="0" w:line="222" w:lineRule="exact"/>
        <w:rPr>
          <w:sz w:val="24"/>
          <w:szCs w:val="24"/>
          <w:color w:val="auto"/>
        </w:rPr>
      </w:pPr>
    </w:p>
    <w:p>
      <w:pPr>
        <w:jc w:val="center"/>
        <w:ind w:right="-279"/>
        <w:spacing w:after="0"/>
        <w:rPr>
          <w:sz w:val="20"/>
          <w:szCs w:val="20"/>
          <w:color w:val="auto"/>
        </w:rPr>
      </w:pPr>
      <w:r>
        <w:rPr>
          <w:rFonts w:ascii="Arial" w:cs="Arial" w:eastAsia="Arial" w:hAnsi="Arial"/>
          <w:sz w:val="13"/>
          <w:szCs w:val="13"/>
          <w:color w:val="auto"/>
        </w:rPr>
        <w:t>(Name of Registrant as Specified In Its Charter)</w:t>
      </w:r>
    </w:p>
    <w:p>
      <w:pPr>
        <w:spacing w:after="0" w:line="11" w:lineRule="exact"/>
        <w:rPr>
          <w:sz w:val="24"/>
          <w:szCs w:val="24"/>
          <w:color w:val="auto"/>
        </w:rPr>
      </w:pPr>
    </w:p>
    <w:p>
      <w:pPr>
        <w:jc w:val="center"/>
        <w:ind w:right="-279"/>
        <w:spacing w:after="0"/>
        <w:rPr>
          <w:sz w:val="20"/>
          <w:szCs w:val="20"/>
          <w:color w:val="auto"/>
        </w:rPr>
      </w:pPr>
      <w:r>
        <w:rPr>
          <w:rFonts w:ascii="Arial" w:cs="Arial" w:eastAsia="Arial" w:hAnsi="Arial"/>
          <w:sz w:val="13"/>
          <w:szCs w:val="13"/>
          <w:color w:val="auto"/>
        </w:rPr>
        <w:t>(Name of Person(s) Filing Proxy Statement, if other than the Registrant)</w:t>
      </w:r>
    </w:p>
    <w:p>
      <w:pPr>
        <w:spacing w:after="0" w:line="216" w:lineRule="exact"/>
        <w:rPr>
          <w:sz w:val="24"/>
          <w:szCs w:val="24"/>
          <w:color w:val="auto"/>
        </w:rPr>
      </w:pPr>
    </w:p>
    <w:p>
      <w:pPr>
        <w:ind w:left="80"/>
        <w:spacing w:after="0"/>
        <w:rPr>
          <w:sz w:val="20"/>
          <w:szCs w:val="20"/>
          <w:color w:val="auto"/>
        </w:rPr>
      </w:pPr>
      <w:r>
        <w:rPr>
          <w:rFonts w:ascii="Arial" w:cs="Arial" w:eastAsia="Arial" w:hAnsi="Arial"/>
          <w:sz w:val="18"/>
          <w:szCs w:val="18"/>
          <w:color w:val="auto"/>
        </w:rPr>
        <w:t>PAYMENT OF FILING FEE (CHECK ALL BOXES THAT APPLY):</w:t>
      </w:r>
    </w:p>
    <w:p>
      <w:pPr>
        <w:spacing w:after="0" w:line="50" w:lineRule="exact"/>
        <w:rPr>
          <w:sz w:val="24"/>
          <w:szCs w:val="24"/>
          <w:color w:val="auto"/>
        </w:rPr>
      </w:pPr>
    </w:p>
    <w:p>
      <w:pPr>
        <w:ind w:left="540" w:hanging="460"/>
        <w:spacing w:after="0"/>
        <w:tabs>
          <w:tab w:leader="none" w:pos="540" w:val="left"/>
        </w:tabs>
        <w:numPr>
          <w:ilvl w:val="0"/>
          <w:numId w:val="2"/>
        </w:numPr>
        <w:rPr>
          <w:rFonts w:ascii="MS PGothic" w:cs="MS PGothic" w:eastAsia="MS PGothic" w:hAnsi="MS PGothic"/>
          <w:sz w:val="22"/>
          <w:szCs w:val="22"/>
          <w:color w:val="auto"/>
        </w:rPr>
      </w:pPr>
      <w:r>
        <w:rPr>
          <w:rFonts w:ascii="Arial" w:cs="Arial" w:eastAsia="Arial" w:hAnsi="Arial"/>
          <w:sz w:val="18"/>
          <w:szCs w:val="18"/>
          <w:color w:val="auto"/>
        </w:rPr>
        <w:t>No fee required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7132320" cy="4883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488315"/>
                    </a:xfrm>
                    <a:prstGeom prst="rect">
                      <a:avLst/>
                    </a:prstGeom>
                    <a:noFill/>
                  </pic:spPr>
                </pic:pic>
              </a:graphicData>
            </a:graphic>
          </wp:anchor>
        </w:drawing>
      </w:r>
    </w:p>
    <w:p>
      <w:pPr>
        <w:spacing w:after="0" w:line="9" w:lineRule="exact"/>
        <w:rPr>
          <w:sz w:val="24"/>
          <w:szCs w:val="24"/>
          <w:color w:val="auto"/>
        </w:rPr>
      </w:pPr>
    </w:p>
    <w:p>
      <w:pPr>
        <w:ind w:left="540" w:hanging="460"/>
        <w:spacing w:after="0"/>
        <w:tabs>
          <w:tab w:leader="none" w:pos="540" w:val="left"/>
        </w:tabs>
        <w:numPr>
          <w:ilvl w:val="0"/>
          <w:numId w:val="3"/>
        </w:numPr>
        <w:rPr>
          <w:rFonts w:ascii="MS PGothic" w:cs="MS PGothic" w:eastAsia="MS PGothic" w:hAnsi="MS PGothic"/>
          <w:sz w:val="22"/>
          <w:szCs w:val="22"/>
          <w:color w:val="auto"/>
        </w:rPr>
      </w:pPr>
      <w:r>
        <w:rPr>
          <w:rFonts w:ascii="Arial" w:cs="Arial" w:eastAsia="Arial" w:hAnsi="Arial"/>
          <w:sz w:val="18"/>
          <w:szCs w:val="18"/>
          <w:color w:val="auto"/>
        </w:rPr>
        <w:t>Fee paid previously with preliminary materials</w:t>
      </w:r>
    </w:p>
    <w:p>
      <w:pPr>
        <w:spacing w:after="0" w:line="45" w:lineRule="exact"/>
        <w:rPr>
          <w:rFonts w:ascii="MS PGothic" w:cs="MS PGothic" w:eastAsia="MS PGothic" w:hAnsi="MS PGothic"/>
          <w:sz w:val="22"/>
          <w:szCs w:val="22"/>
          <w:color w:val="auto"/>
        </w:rPr>
      </w:pPr>
    </w:p>
    <w:p>
      <w:pPr>
        <w:ind w:left="540" w:hanging="460"/>
        <w:spacing w:after="0" w:line="226" w:lineRule="auto"/>
        <w:tabs>
          <w:tab w:leader="none" w:pos="540" w:val="left"/>
        </w:tabs>
        <w:numPr>
          <w:ilvl w:val="0"/>
          <w:numId w:val="3"/>
        </w:numPr>
        <w:rPr>
          <w:rFonts w:ascii="MS PGothic" w:cs="MS PGothic" w:eastAsia="MS PGothic" w:hAnsi="MS PGothic"/>
          <w:sz w:val="22"/>
          <w:szCs w:val="22"/>
          <w:color w:val="auto"/>
        </w:rPr>
      </w:pPr>
      <w:r>
        <w:rPr>
          <w:rFonts w:ascii="Arial" w:cs="Arial" w:eastAsia="Arial" w:hAnsi="Arial"/>
          <w:sz w:val="18"/>
          <w:szCs w:val="18"/>
          <w:color w:val="auto"/>
        </w:rPr>
        <w:t>Fee computed on table in exhibit required by Item 25(b) per Exchange Act Rules 14a-6(i)(1) and 0-11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13232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237490</wp:posOffset>
            </wp:positionV>
            <wp:extent cx="7153275" cy="209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0960"/>
          </w:cols>
          <w:pgMar w:left="320" w:top="233" w:right="619" w:bottom="1440" w:gutter="0" w:footer="0" w:header="0"/>
        </w:sectPr>
      </w:pPr>
    </w:p>
    <w:bookmarkStart w:id="1" w:name="page2"/>
    <w:bookmarkEnd w:id="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149225</wp:posOffset>
            </wp:positionV>
            <wp:extent cx="7153275" cy="79571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53275" cy="7957185"/>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bookmarkStart w:id="2" w:name="page3"/>
    <w:bookmarkEnd w:id="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149225</wp:posOffset>
            </wp:positionV>
            <wp:extent cx="7153275" cy="8514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53275" cy="8514715"/>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bookmarkStart w:id="3" w:name="page4"/>
    <w:bookmarkEnd w:id="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527685</wp:posOffset>
            </wp:positionH>
            <wp:positionV relativeFrom="paragraph">
              <wp:posOffset>312420</wp:posOffset>
            </wp:positionV>
            <wp:extent cx="6086475" cy="79121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086475" cy="7912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400"/>
        <w:spacing w:after="0"/>
        <w:rPr>
          <w:sz w:val="20"/>
          <w:szCs w:val="20"/>
          <w:color w:val="auto"/>
        </w:rPr>
      </w:pPr>
      <w:r>
        <w:rPr>
          <w:rFonts w:ascii="Arial" w:cs="Arial" w:eastAsia="Arial" w:hAnsi="Arial"/>
          <w:sz w:val="47"/>
          <w:szCs w:val="47"/>
          <w:b w:val="1"/>
          <w:bCs w:val="1"/>
          <w:color w:val="FFFFFF"/>
        </w:rPr>
        <w:t>About Pinnacle West</w:t>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1400"/>
        <w:spacing w:after="0"/>
        <w:rPr>
          <w:sz w:val="20"/>
          <w:szCs w:val="20"/>
          <w:color w:val="auto"/>
        </w:rPr>
      </w:pPr>
      <w:r>
        <w:rPr>
          <w:rFonts w:ascii="Arial" w:cs="Arial" w:eastAsia="Arial" w:hAnsi="Arial"/>
          <w:sz w:val="32"/>
          <w:szCs w:val="32"/>
          <w:b w:val="1"/>
          <w:bCs w:val="1"/>
          <w:color w:val="FFFFFF"/>
        </w:rPr>
        <w:t>Who We Are</w:t>
      </w:r>
    </w:p>
    <w:p>
      <w:pPr>
        <w:spacing w:after="0" w:line="345" w:lineRule="exact"/>
        <w:rPr>
          <w:sz w:val="20"/>
          <w:szCs w:val="20"/>
          <w:color w:val="auto"/>
        </w:rPr>
      </w:pPr>
    </w:p>
    <w:p>
      <w:pPr>
        <w:ind w:left="1400" w:right="3139"/>
        <w:spacing w:after="0"/>
        <w:rPr>
          <w:sz w:val="20"/>
          <w:szCs w:val="20"/>
          <w:color w:val="auto"/>
        </w:rPr>
      </w:pPr>
      <w:r>
        <w:rPr>
          <w:rFonts w:ascii="Arial" w:cs="Arial" w:eastAsia="Arial" w:hAnsi="Arial"/>
          <w:sz w:val="18"/>
          <w:szCs w:val="18"/>
          <w:color w:val="FFFFFF"/>
        </w:rPr>
        <w:t>We are Pinnacle West Capital Corporation (“Pinnacle West,” “PNW” or the “Company”). We are an investor-owned electric utility holding company based in Phoenix, Arizona with consolidated assets of about $22 billion. For over 130 years, Pinnacle West, through our affiliates, has provided energy and energy-related products to people and businesses throughout Arizona. Our success enables us to reinvest in our home state’s growth and give back to our communities, enhancing Arizona’s continued economic and cultural vitality.</w:t>
      </w:r>
    </w:p>
    <w:p>
      <w:pPr>
        <w:spacing w:after="0" w:line="153" w:lineRule="exact"/>
        <w:rPr>
          <w:sz w:val="20"/>
          <w:szCs w:val="20"/>
          <w:color w:val="auto"/>
        </w:rPr>
      </w:pPr>
    </w:p>
    <w:p>
      <w:pPr>
        <w:ind w:left="1400"/>
        <w:spacing w:after="0"/>
        <w:rPr>
          <w:sz w:val="20"/>
          <w:szCs w:val="20"/>
          <w:color w:val="auto"/>
        </w:rPr>
      </w:pPr>
      <w:r>
        <w:rPr>
          <w:rFonts w:ascii="Arial" w:cs="Arial" w:eastAsia="Arial" w:hAnsi="Arial"/>
          <w:sz w:val="18"/>
          <w:szCs w:val="18"/>
          <w:color w:val="FFFFFF"/>
        </w:rPr>
        <w:t>Pinnacle West derives essentially all of our revenues and</w:t>
      </w:r>
    </w:p>
    <w:p>
      <w:pPr>
        <w:spacing w:after="0" w:line="9" w:lineRule="exact"/>
        <w:rPr>
          <w:sz w:val="20"/>
          <w:szCs w:val="20"/>
          <w:color w:val="auto"/>
        </w:rPr>
      </w:pPr>
    </w:p>
    <w:p>
      <w:pPr>
        <w:ind w:left="1400"/>
        <w:spacing w:after="0"/>
        <w:rPr>
          <w:sz w:val="20"/>
          <w:szCs w:val="20"/>
          <w:color w:val="auto"/>
        </w:rPr>
      </w:pPr>
      <w:r>
        <w:rPr>
          <w:rFonts w:ascii="Arial" w:cs="Arial" w:eastAsia="Arial" w:hAnsi="Arial"/>
          <w:sz w:val="18"/>
          <w:szCs w:val="18"/>
          <w:color w:val="FFFFFF"/>
        </w:rPr>
        <w:t>earnings from our principal subsidiary, Arizona Public</w:t>
      </w:r>
    </w:p>
    <w:p>
      <w:pPr>
        <w:ind w:left="1400"/>
        <w:spacing w:after="0" w:line="234" w:lineRule="auto"/>
        <w:rPr>
          <w:sz w:val="20"/>
          <w:szCs w:val="20"/>
          <w:color w:val="auto"/>
        </w:rPr>
      </w:pPr>
      <w:r>
        <w:rPr>
          <w:rFonts w:ascii="Arial" w:cs="Arial" w:eastAsia="Arial" w:hAnsi="Arial"/>
          <w:sz w:val="18"/>
          <w:szCs w:val="18"/>
          <w:color w:val="FFFFFF"/>
        </w:rPr>
        <w:t>Service Company (“APS”). APS is a wholly-owned, vertically-</w:t>
      </w:r>
    </w:p>
    <w:p>
      <w:pPr>
        <w:ind w:left="1400"/>
        <w:spacing w:after="0" w:line="235" w:lineRule="auto"/>
        <w:rPr>
          <w:sz w:val="20"/>
          <w:szCs w:val="20"/>
          <w:color w:val="auto"/>
        </w:rPr>
      </w:pPr>
      <w:r>
        <w:rPr>
          <w:rFonts w:ascii="Arial" w:cs="Arial" w:eastAsia="Arial" w:hAnsi="Arial"/>
          <w:sz w:val="18"/>
          <w:szCs w:val="18"/>
          <w:color w:val="FFFFFF"/>
        </w:rPr>
        <w:t>integrated electric utility that provides either retail or</w:t>
      </w:r>
    </w:p>
    <w:p>
      <w:pPr>
        <w:ind w:left="1400"/>
        <w:spacing w:after="0" w:line="235" w:lineRule="auto"/>
        <w:rPr>
          <w:sz w:val="20"/>
          <w:szCs w:val="20"/>
          <w:color w:val="auto"/>
        </w:rPr>
      </w:pPr>
      <w:r>
        <w:rPr>
          <w:rFonts w:ascii="Arial" w:cs="Arial" w:eastAsia="Arial" w:hAnsi="Arial"/>
          <w:sz w:val="18"/>
          <w:szCs w:val="18"/>
          <w:color w:val="FFFFFF"/>
        </w:rPr>
        <w:t>wholesale electric service to most of the State of Arizona.</w:t>
      </w:r>
    </w:p>
    <w:p>
      <w:pPr>
        <w:ind w:left="1400"/>
        <w:spacing w:after="0" w:line="235" w:lineRule="auto"/>
        <w:rPr>
          <w:sz w:val="20"/>
          <w:szCs w:val="20"/>
          <w:color w:val="auto"/>
        </w:rPr>
      </w:pPr>
      <w:r>
        <w:rPr>
          <w:rFonts w:ascii="Arial" w:cs="Arial" w:eastAsia="Arial" w:hAnsi="Arial"/>
          <w:sz w:val="18"/>
          <w:szCs w:val="18"/>
          <w:color w:val="FFFFFF"/>
        </w:rPr>
        <w:t>APS is also the operator and co-owner of the Palo Verde</w:t>
      </w:r>
    </w:p>
    <w:p>
      <w:pPr>
        <w:ind w:left="1400"/>
        <w:spacing w:after="0" w:line="235" w:lineRule="auto"/>
        <w:rPr>
          <w:sz w:val="20"/>
          <w:szCs w:val="20"/>
          <w:color w:val="auto"/>
        </w:rPr>
      </w:pPr>
      <w:r>
        <w:rPr>
          <w:rFonts w:ascii="Arial" w:cs="Arial" w:eastAsia="Arial" w:hAnsi="Arial"/>
          <w:sz w:val="18"/>
          <w:szCs w:val="18"/>
          <w:color w:val="FFFFFF"/>
        </w:rPr>
        <w:t>Generating Station – a primary source of electricity for the</w:t>
      </w:r>
    </w:p>
    <w:p>
      <w:pPr>
        <w:ind w:left="1400"/>
        <w:spacing w:after="0" w:line="234" w:lineRule="auto"/>
        <w:rPr>
          <w:sz w:val="20"/>
          <w:szCs w:val="20"/>
          <w:color w:val="auto"/>
        </w:rPr>
      </w:pPr>
      <w:r>
        <w:rPr>
          <w:rFonts w:ascii="Arial" w:cs="Arial" w:eastAsia="Arial" w:hAnsi="Arial"/>
          <w:sz w:val="18"/>
          <w:szCs w:val="18"/>
          <w:color w:val="FFFFFF"/>
        </w:rPr>
        <w:t>Southwest and the largest nuclear power plant in the United</w:t>
      </w:r>
    </w:p>
    <w:p>
      <w:pPr>
        <w:spacing w:after="0" w:line="1" w:lineRule="exact"/>
        <w:rPr>
          <w:sz w:val="20"/>
          <w:szCs w:val="20"/>
          <w:color w:val="auto"/>
        </w:rPr>
      </w:pPr>
    </w:p>
    <w:p>
      <w:pPr>
        <w:ind w:left="1400"/>
        <w:spacing w:after="0"/>
        <w:rPr>
          <w:sz w:val="20"/>
          <w:szCs w:val="20"/>
          <w:color w:val="auto"/>
        </w:rPr>
      </w:pPr>
      <w:r>
        <w:rPr>
          <w:rFonts w:ascii="Arial" w:cs="Arial" w:eastAsia="Arial" w:hAnsi="Arial"/>
          <w:sz w:val="18"/>
          <w:szCs w:val="18"/>
          <w:color w:val="FFFFFF"/>
        </w:rPr>
        <w:t>States.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400"/>
        <w:spacing w:after="0"/>
        <w:rPr>
          <w:sz w:val="20"/>
          <w:szCs w:val="20"/>
          <w:color w:val="auto"/>
        </w:rPr>
      </w:pPr>
      <w:r>
        <w:rPr>
          <w:rFonts w:ascii="Arial" w:cs="Arial" w:eastAsia="Arial" w:hAnsi="Arial"/>
          <w:sz w:val="14"/>
          <w:szCs w:val="14"/>
          <w:b w:val="1"/>
          <w:bCs w:val="1"/>
          <w:color w:val="FFFFFF"/>
        </w:rPr>
        <w:t xml:space="preserve">APS </w:t>
      </w:r>
      <w:r>
        <w:rPr>
          <w:rFonts w:ascii="Arial" w:cs="Arial" w:eastAsia="Arial" w:hAnsi="Arial"/>
          <w:sz w:val="14"/>
          <w:szCs w:val="14"/>
          <w:color w:val="FFFFFF"/>
        </w:rPr>
        <w:t>is Arizona’s largest and longest-serving electric</w:t>
      </w:r>
    </w:p>
    <w:p>
      <w:pPr>
        <w:spacing w:after="0" w:line="15" w:lineRule="exact"/>
        <w:rPr>
          <w:sz w:val="20"/>
          <w:szCs w:val="20"/>
          <w:color w:val="auto"/>
        </w:rPr>
      </w:pPr>
    </w:p>
    <w:p>
      <w:pPr>
        <w:ind w:left="1400"/>
        <w:spacing w:after="0"/>
        <w:rPr>
          <w:sz w:val="20"/>
          <w:szCs w:val="20"/>
          <w:color w:val="auto"/>
        </w:rPr>
      </w:pPr>
      <w:r>
        <w:rPr>
          <w:rFonts w:ascii="Arial" w:cs="Arial" w:eastAsia="Arial" w:hAnsi="Arial"/>
          <w:sz w:val="14"/>
          <w:szCs w:val="14"/>
          <w:color w:val="FFFFFF"/>
        </w:rPr>
        <w:t>company that generates safe, affordable and reliable</w:t>
      </w:r>
    </w:p>
    <w:p>
      <w:pPr>
        <w:spacing w:after="0" w:line="1" w:lineRule="exact"/>
        <w:rPr>
          <w:sz w:val="20"/>
          <w:szCs w:val="20"/>
          <w:color w:val="auto"/>
        </w:rPr>
      </w:pPr>
    </w:p>
    <w:p>
      <w:pPr>
        <w:ind w:left="1400"/>
        <w:spacing w:after="0"/>
        <w:rPr>
          <w:sz w:val="20"/>
          <w:szCs w:val="20"/>
          <w:color w:val="auto"/>
        </w:rPr>
      </w:pPr>
      <w:r>
        <w:rPr>
          <w:rFonts w:ascii="Arial" w:cs="Arial" w:eastAsia="Arial" w:hAnsi="Arial"/>
          <w:sz w:val="14"/>
          <w:szCs w:val="14"/>
          <w:color w:val="FFFFFF"/>
        </w:rPr>
        <w:t>electricity for approximately 1.3 million retail and</w:t>
      </w:r>
    </w:p>
    <w:p>
      <w:pPr>
        <w:spacing w:after="0" w:line="1" w:lineRule="exact"/>
        <w:rPr>
          <w:sz w:val="20"/>
          <w:szCs w:val="20"/>
          <w:color w:val="auto"/>
        </w:rPr>
      </w:pPr>
    </w:p>
    <w:p>
      <w:pPr>
        <w:ind w:left="1400"/>
        <w:spacing w:after="0"/>
        <w:rPr>
          <w:sz w:val="20"/>
          <w:szCs w:val="20"/>
          <w:color w:val="auto"/>
        </w:rPr>
      </w:pPr>
      <w:r>
        <w:rPr>
          <w:rFonts w:ascii="Arial" w:cs="Arial" w:eastAsia="Arial" w:hAnsi="Arial"/>
          <w:sz w:val="14"/>
          <w:szCs w:val="14"/>
          <w:color w:val="FFFFFF"/>
        </w:rPr>
        <w:t>residential customers in 11 of Arizona’s 15 counties.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2618740</wp:posOffset>
            </wp:positionV>
            <wp:extent cx="7153275" cy="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bookmarkStart w:id="4" w:name="page5"/>
    <w:bookmarkEnd w:id="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28371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2320" cy="2837180"/>
                    </a:xfrm>
                    <a:prstGeom prst="rect">
                      <a:avLst/>
                    </a:prstGeom>
                    <a:noFill/>
                  </pic:spPr>
                </pic:pic>
              </a:graphicData>
            </a:graphic>
          </wp:anchor>
        </w:drawing>
      </w:r>
    </w:p>
    <w:p>
      <w:pPr>
        <w:spacing w:after="0" w:line="257" w:lineRule="exact"/>
        <w:rPr>
          <w:sz w:val="20"/>
          <w:szCs w:val="20"/>
          <w:color w:val="auto"/>
        </w:rPr>
      </w:pPr>
    </w:p>
    <w:p>
      <w:pPr>
        <w:ind w:left="100" w:right="920"/>
        <w:spacing w:after="0" w:line="280" w:lineRule="auto"/>
        <w:rPr>
          <w:sz w:val="20"/>
          <w:szCs w:val="20"/>
          <w:color w:val="auto"/>
        </w:rPr>
      </w:pPr>
      <w:r>
        <w:rPr>
          <w:rFonts w:ascii="Arial" w:cs="Arial" w:eastAsia="Arial" w:hAnsi="Arial"/>
          <w:sz w:val="47"/>
          <w:szCs w:val="47"/>
          <w:b w:val="1"/>
          <w:bCs w:val="1"/>
          <w:color w:val="355675"/>
        </w:rPr>
        <w:t>A Message from Our Chairman, President and CEO</w:t>
      </w:r>
    </w:p>
    <w:p>
      <w:pPr>
        <w:spacing w:after="0" w:line="345" w:lineRule="exact"/>
        <w:rPr>
          <w:sz w:val="20"/>
          <w:szCs w:val="20"/>
          <w:color w:val="auto"/>
        </w:rPr>
      </w:pPr>
    </w:p>
    <w:p>
      <w:pPr>
        <w:ind w:left="100" w:right="3420"/>
        <w:spacing w:after="0"/>
        <w:rPr>
          <w:sz w:val="20"/>
          <w:szCs w:val="20"/>
          <w:color w:val="auto"/>
        </w:rPr>
      </w:pPr>
      <w:r>
        <w:rPr>
          <w:rFonts w:ascii="Arial" w:cs="Arial" w:eastAsia="Arial" w:hAnsi="Arial"/>
          <w:sz w:val="22"/>
          <w:szCs w:val="22"/>
          <w:color w:val="auto"/>
        </w:rPr>
        <w:t>“As we move forward into 2022, rest assured our leaders have a well-thought-out strategy to continue to deliver on our Clean Energy Commitment, improve our customer experience, focus on the development of our workforce and create long-term value for shareholders.”</w:t>
      </w:r>
    </w:p>
    <w:p>
      <w:pPr>
        <w:spacing w:after="0" w:line="200" w:lineRule="exact"/>
        <w:rPr>
          <w:sz w:val="20"/>
          <w:szCs w:val="20"/>
          <w:color w:val="auto"/>
        </w:rPr>
      </w:pPr>
    </w:p>
    <w:p>
      <w:pPr>
        <w:spacing w:after="0" w:line="204"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auto"/>
        </w:rPr>
        <w:t>JEFFREY B. GULDNER</w:t>
      </w:r>
    </w:p>
    <w:p>
      <w:pPr>
        <w:spacing w:after="0" w:line="13" w:lineRule="exact"/>
        <w:rPr>
          <w:sz w:val="20"/>
          <w:szCs w:val="20"/>
          <w:color w:val="auto"/>
        </w:rPr>
      </w:pPr>
    </w:p>
    <w:p>
      <w:pPr>
        <w:ind w:left="100"/>
        <w:spacing w:after="0"/>
        <w:rPr>
          <w:sz w:val="20"/>
          <w:szCs w:val="20"/>
          <w:color w:val="auto"/>
        </w:rPr>
      </w:pPr>
      <w:r>
        <w:rPr>
          <w:rFonts w:ascii="Arial" w:cs="Arial" w:eastAsia="Arial" w:hAnsi="Arial"/>
          <w:sz w:val="18"/>
          <w:szCs w:val="18"/>
          <w:color w:val="auto"/>
        </w:rPr>
        <w:t>Chairman of the Board, President</w:t>
      </w:r>
    </w:p>
    <w:p>
      <w:pPr>
        <w:ind w:left="100"/>
        <w:spacing w:after="0"/>
        <w:rPr>
          <w:sz w:val="20"/>
          <w:szCs w:val="20"/>
          <w:color w:val="auto"/>
        </w:rPr>
      </w:pPr>
      <w:r>
        <w:rPr>
          <w:rFonts w:ascii="Arial" w:cs="Arial" w:eastAsia="Arial" w:hAnsi="Arial"/>
          <w:sz w:val="18"/>
          <w:szCs w:val="18"/>
          <w:color w:val="auto"/>
        </w:rPr>
        <w:t>and Chief Executive Officer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To our Shareholders:</w:t>
      </w:r>
    </w:p>
    <w:p>
      <w:pPr>
        <w:spacing w:after="0" w:line="228" w:lineRule="exact"/>
        <w:rPr>
          <w:sz w:val="20"/>
          <w:szCs w:val="20"/>
          <w:color w:val="auto"/>
        </w:rPr>
      </w:pPr>
    </w:p>
    <w:p>
      <w:pPr>
        <w:ind w:right="140"/>
        <w:spacing w:after="0"/>
        <w:rPr>
          <w:sz w:val="20"/>
          <w:szCs w:val="20"/>
          <w:color w:val="auto"/>
        </w:rPr>
      </w:pPr>
      <w:r>
        <w:rPr>
          <w:rFonts w:ascii="Arial" w:cs="Arial" w:eastAsia="Arial" w:hAnsi="Arial"/>
          <w:sz w:val="22"/>
          <w:szCs w:val="22"/>
          <w:color w:val="auto"/>
        </w:rPr>
        <w:t>On behalf of our Board of Directors, management and employees, I invite you to participate in our 2022 Annual Meeting of Shareholders. The meeting will be held at 1:30 p.m. (EDT), Wednesday, May 18, 2022. Details regarding how to attend the meeting and the business to be conducted are in the accompanying Notice of Annual Meeting and Proxy Statement.</w:t>
      </w:r>
    </w:p>
    <w:p>
      <w:pPr>
        <w:sectPr>
          <w:pgSz w:w="11900" w:h="16838" w:orient="portrait"/>
          <w:cols w:equalWidth="0" w:num="1">
            <w:col w:w="11240"/>
          </w:cols>
          <w:pgMar w:left="320" w:top="125" w:right="339" w:bottom="1440" w:gutter="0" w:footer="0" w:header="0"/>
        </w:sectPr>
      </w:pPr>
    </w:p>
    <w:p>
      <w:pPr>
        <w:spacing w:after="0" w:line="178"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Reflections on 2021</w:t>
      </w:r>
    </w:p>
    <w:p>
      <w:pPr>
        <w:spacing w:after="0" w:line="36" w:lineRule="exact"/>
        <w:rPr>
          <w:sz w:val="20"/>
          <w:szCs w:val="20"/>
          <w:color w:val="auto"/>
        </w:rPr>
      </w:pPr>
    </w:p>
    <w:p>
      <w:pPr>
        <w:spacing w:after="0" w:line="248" w:lineRule="auto"/>
        <w:rPr>
          <w:sz w:val="20"/>
          <w:szCs w:val="20"/>
          <w:color w:val="auto"/>
        </w:rPr>
      </w:pPr>
      <w:r>
        <w:rPr>
          <w:rFonts w:ascii="Arial" w:cs="Arial" w:eastAsia="Arial" w:hAnsi="Arial"/>
          <w:sz w:val="16"/>
          <w:szCs w:val="16"/>
          <w:color w:val="auto"/>
        </w:rPr>
        <w:t>Last year presented a number of successes and opportunities as well as challenges and setbacks. Several of those are detailed in my letter in the 2021 Annual Report. A few highlights I would like to mention here include our Pinnacle West earnings of $618.7 million, or $5.47 per share, which surpassed our 2020 results of $550.6 million or $4.87 per share. We also progressed on our Clean Energy Commitment, procuring nearly 1,400 megawatts of additional clean energy and storage since our announcement in 2020 and we will begin to transition our Four Corners Power Plant to seasonal operations in 2023. We also acknowledge that the outcome of our 2019 rate case was a disappointment. We hope that we can find a better path forward with the Arizona Corporation Commission, one that will benefit our customers, our community, and our investors.</w:t>
      </w:r>
    </w:p>
    <w:p>
      <w:pPr>
        <w:spacing w:after="0" w:line="133" w:lineRule="exact"/>
        <w:rPr>
          <w:sz w:val="20"/>
          <w:szCs w:val="20"/>
          <w:color w:val="auto"/>
        </w:rPr>
      </w:pPr>
    </w:p>
    <w:p>
      <w:pPr>
        <w:spacing w:after="0" w:line="255" w:lineRule="auto"/>
        <w:rPr>
          <w:sz w:val="20"/>
          <w:szCs w:val="20"/>
          <w:color w:val="auto"/>
        </w:rPr>
      </w:pPr>
      <w:r>
        <w:rPr>
          <w:rFonts w:ascii="Arial" w:cs="Arial" w:eastAsia="Arial" w:hAnsi="Arial"/>
          <w:sz w:val="16"/>
          <w:szCs w:val="16"/>
          <w:color w:val="auto"/>
        </w:rPr>
        <w:t>In reflecting on 2021, I want to take this opportunity to thank our investment community, who recognized that, notwithstanding the outcome of our 2019 rate case, our Company remains a solid, long-term investment. I also want to thank our employees, who worked day in and day out to make sure we kept the lights on and the power flowing to our customers and communities.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605790</wp:posOffset>
            </wp:positionV>
            <wp:extent cx="1191260" cy="2311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58" w:lineRule="exact"/>
        <w:rPr>
          <w:sz w:val="20"/>
          <w:szCs w:val="20"/>
          <w:color w:val="auto"/>
        </w:rPr>
      </w:pPr>
    </w:p>
    <w:p>
      <w:pPr>
        <w:jc w:val="both"/>
        <w:ind w:right="220"/>
        <w:spacing w:after="0" w:line="258" w:lineRule="auto"/>
        <w:rPr>
          <w:sz w:val="20"/>
          <w:szCs w:val="20"/>
          <w:color w:val="auto"/>
        </w:rPr>
      </w:pPr>
      <w:r>
        <w:rPr>
          <w:rFonts w:ascii="Arial" w:cs="Arial" w:eastAsia="Arial" w:hAnsi="Arial"/>
          <w:sz w:val="25"/>
          <w:szCs w:val="25"/>
          <w:b w:val="1"/>
          <w:bCs w:val="1"/>
          <w:color w:val="355675"/>
        </w:rPr>
        <w:t>The APS Promise and the 10-Year Strategic Plan</w:t>
      </w:r>
    </w:p>
    <w:p>
      <w:pPr>
        <w:spacing w:after="0" w:line="2" w:lineRule="exact"/>
        <w:rPr>
          <w:sz w:val="20"/>
          <w:szCs w:val="20"/>
          <w:color w:val="auto"/>
        </w:rPr>
      </w:pPr>
    </w:p>
    <w:p>
      <w:pPr>
        <w:jc w:val="both"/>
        <w:ind w:right="220"/>
        <w:spacing w:after="0" w:line="256" w:lineRule="auto"/>
        <w:rPr>
          <w:sz w:val="20"/>
          <w:szCs w:val="20"/>
          <w:color w:val="auto"/>
        </w:rPr>
      </w:pPr>
      <w:r>
        <w:rPr>
          <w:rFonts w:ascii="Arial" w:cs="Arial" w:eastAsia="Arial" w:hAnsi="Arial"/>
          <w:sz w:val="16"/>
          <w:szCs w:val="16"/>
          <w:color w:val="auto"/>
        </w:rPr>
        <w:t>We introduced the APS Promise in 2020 and our 10-Year Strategic Plan (the “Plan”) in 2021. The APS Promise sets forth our purpose, our vision and our mission:</w:t>
      </w:r>
    </w:p>
    <w:p>
      <w:pPr>
        <w:spacing w:after="0" w:line="124" w:lineRule="exact"/>
        <w:rPr>
          <w:sz w:val="20"/>
          <w:szCs w:val="20"/>
          <w:color w:val="auto"/>
        </w:rPr>
      </w:pPr>
    </w:p>
    <w:p>
      <w:pPr>
        <w:ind w:left="200" w:right="240" w:hanging="191"/>
        <w:spacing w:after="0" w:line="286" w:lineRule="auto"/>
        <w:tabs>
          <w:tab w:leader="none" w:pos="200" w:val="left"/>
        </w:tabs>
        <w:numPr>
          <w:ilvl w:val="0"/>
          <w:numId w:val="4"/>
        </w:numPr>
        <w:rPr>
          <w:rFonts w:ascii="Arial" w:cs="Arial" w:eastAsia="Arial" w:hAnsi="Arial"/>
          <w:sz w:val="16"/>
          <w:szCs w:val="16"/>
          <w:b w:val="1"/>
          <w:bCs w:val="1"/>
          <w:color w:val="355675"/>
        </w:rPr>
      </w:pPr>
      <w:r>
        <w:rPr>
          <w:rFonts w:ascii="Arial" w:cs="Arial" w:eastAsia="Arial" w:hAnsi="Arial"/>
          <w:sz w:val="16"/>
          <w:szCs w:val="16"/>
          <w:color w:val="auto"/>
        </w:rPr>
        <w:t>Purpose: As Arizona stewards, we do what is right for the people and prosperity of our state.</w:t>
      </w:r>
    </w:p>
    <w:p>
      <w:pPr>
        <w:spacing w:after="0" w:line="128" w:lineRule="exact"/>
        <w:rPr>
          <w:rFonts w:ascii="Arial" w:cs="Arial" w:eastAsia="Arial" w:hAnsi="Arial"/>
          <w:sz w:val="16"/>
          <w:szCs w:val="16"/>
          <w:b w:val="1"/>
          <w:bCs w:val="1"/>
          <w:color w:val="355675"/>
        </w:rPr>
      </w:pPr>
    </w:p>
    <w:p>
      <w:pPr>
        <w:ind w:left="200" w:hanging="191"/>
        <w:spacing w:after="0"/>
        <w:tabs>
          <w:tab w:leader="none" w:pos="200" w:val="left"/>
        </w:tabs>
        <w:numPr>
          <w:ilvl w:val="0"/>
          <w:numId w:val="4"/>
        </w:numPr>
        <w:rPr>
          <w:rFonts w:ascii="Arial" w:cs="Arial" w:eastAsia="Arial" w:hAnsi="Arial"/>
          <w:sz w:val="16"/>
          <w:szCs w:val="16"/>
          <w:b w:val="1"/>
          <w:bCs w:val="1"/>
          <w:color w:val="355675"/>
        </w:rPr>
      </w:pPr>
      <w:r>
        <w:rPr>
          <w:rFonts w:ascii="Arial" w:cs="Arial" w:eastAsia="Arial" w:hAnsi="Arial"/>
          <w:sz w:val="16"/>
          <w:szCs w:val="16"/>
          <w:color w:val="auto"/>
        </w:rPr>
        <w:t>Vision: Create a sustainable energy future for Arizona.</w:t>
      </w:r>
    </w:p>
    <w:p>
      <w:pPr>
        <w:spacing w:after="0" w:line="194" w:lineRule="exact"/>
        <w:rPr>
          <w:rFonts w:ascii="Arial" w:cs="Arial" w:eastAsia="Arial" w:hAnsi="Arial"/>
          <w:sz w:val="16"/>
          <w:szCs w:val="16"/>
          <w:b w:val="1"/>
          <w:bCs w:val="1"/>
          <w:color w:val="355675"/>
        </w:rPr>
      </w:pPr>
    </w:p>
    <w:p>
      <w:pPr>
        <w:ind w:left="200" w:hanging="191"/>
        <w:spacing w:after="0"/>
        <w:tabs>
          <w:tab w:leader="none" w:pos="200" w:val="left"/>
        </w:tabs>
        <w:numPr>
          <w:ilvl w:val="0"/>
          <w:numId w:val="4"/>
        </w:numPr>
        <w:rPr>
          <w:rFonts w:ascii="Arial" w:cs="Arial" w:eastAsia="Arial" w:hAnsi="Arial"/>
          <w:sz w:val="16"/>
          <w:szCs w:val="16"/>
          <w:b w:val="1"/>
          <w:bCs w:val="1"/>
          <w:color w:val="355675"/>
        </w:rPr>
      </w:pPr>
      <w:r>
        <w:rPr>
          <w:rFonts w:ascii="Arial" w:cs="Arial" w:eastAsia="Arial" w:hAnsi="Arial"/>
          <w:sz w:val="16"/>
          <w:szCs w:val="16"/>
          <w:color w:val="auto"/>
        </w:rPr>
        <w:t>Mission: Serve our customers with clean, reliable and affordable energy.</w:t>
      </w:r>
    </w:p>
    <w:p>
      <w:pPr>
        <w:spacing w:after="0" w:line="167" w:lineRule="exact"/>
        <w:rPr>
          <w:sz w:val="20"/>
          <w:szCs w:val="20"/>
          <w:color w:val="auto"/>
        </w:rPr>
      </w:pPr>
    </w:p>
    <w:p>
      <w:pPr>
        <w:ind w:right="500"/>
        <w:spacing w:after="0" w:line="286" w:lineRule="auto"/>
        <w:rPr>
          <w:sz w:val="20"/>
          <w:szCs w:val="20"/>
          <w:color w:val="auto"/>
        </w:rPr>
      </w:pPr>
      <w:r>
        <w:rPr>
          <w:rFonts w:ascii="Arial" w:cs="Arial" w:eastAsia="Arial" w:hAnsi="Arial"/>
          <w:sz w:val="16"/>
          <w:szCs w:val="16"/>
          <w:color w:val="auto"/>
        </w:rPr>
        <w:t>You can read more about the APS Promise on page 35 of this Proxy Statement.</w:t>
      </w:r>
    </w:p>
    <w:p>
      <w:pPr>
        <w:spacing w:after="0" w:line="102" w:lineRule="exact"/>
        <w:rPr>
          <w:sz w:val="20"/>
          <w:szCs w:val="20"/>
          <w:color w:val="auto"/>
        </w:rPr>
      </w:pPr>
    </w:p>
    <w:p>
      <w:pPr>
        <w:spacing w:after="0" w:line="253" w:lineRule="auto"/>
        <w:rPr>
          <w:sz w:val="20"/>
          <w:szCs w:val="20"/>
          <w:color w:val="auto"/>
        </w:rPr>
      </w:pPr>
      <w:r>
        <w:rPr>
          <w:rFonts w:ascii="Arial" w:cs="Arial" w:eastAsia="Arial" w:hAnsi="Arial"/>
          <w:sz w:val="16"/>
          <w:szCs w:val="16"/>
          <w:color w:val="auto"/>
        </w:rPr>
        <w:t>The Plan outlines how we will deliver on the APS Promise. You can read more about the Plan on page 36 of this Proxy Statement. We will use the Plan to ensure employees and stakeholders are aware of and aligned to the Company’s long-range strategic objectives, to identify strategies and goals that guide resources and efforts to address our long-term issues, and guide business planning to develop measurable actions to achieve our vision. In 2021 the progress we made against the long-term strategic pillars</w:t>
      </w:r>
    </w:p>
    <w:p>
      <w:pPr>
        <w:spacing w:after="0" w:line="200" w:lineRule="exact"/>
        <w:rPr>
          <w:sz w:val="20"/>
          <w:szCs w:val="20"/>
          <w:color w:val="auto"/>
        </w:rPr>
      </w:pPr>
    </w:p>
    <w:p>
      <w:pPr>
        <w:sectPr>
          <w:pgSz w:w="11900" w:h="16838" w:orient="portrait"/>
          <w:cols w:equalWidth="0" w:num="2">
            <w:col w:w="5380" w:space="460"/>
            <w:col w:w="5400"/>
          </w:cols>
          <w:pgMar w:left="320" w:top="125" w:right="339" w:bottom="1440" w:gutter="0" w:footer="0" w:header="0"/>
          <w:type w:val="continuous"/>
        </w:sectPr>
      </w:pPr>
    </w:p>
    <w:p>
      <w:pPr>
        <w:spacing w:after="0" w:line="13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5" w:name="page6"/>
    <w:bookmarkEnd w:id="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spacing w:after="0" w:line="254" w:lineRule="auto"/>
        <w:rPr>
          <w:sz w:val="20"/>
          <w:szCs w:val="20"/>
          <w:color w:val="auto"/>
        </w:rPr>
      </w:pPr>
      <w:r>
        <w:rPr>
          <w:rFonts w:ascii="Arial" w:cs="Arial" w:eastAsia="Arial" w:hAnsi="Arial"/>
          <w:sz w:val="16"/>
          <w:szCs w:val="16"/>
          <w:color w:val="auto"/>
        </w:rPr>
        <w:t>outlined in the Plan included strengthening APS’s already diverse energy mix by increasing its investments in carbon-free resources and initiating an APS organization-wide customer experience strategy council designed to further drive a customer-oriented culture and improve customer satisfaction. You can read more about our advances in renewable energy and our customer satisfaction in our 2021 Annual Report.</w:t>
      </w:r>
    </w:p>
    <w:p>
      <w:pPr>
        <w:spacing w:after="0" w:line="128" w:lineRule="exact"/>
        <w:rPr>
          <w:sz w:val="20"/>
          <w:szCs w:val="20"/>
          <w:color w:val="auto"/>
        </w:rPr>
      </w:pPr>
    </w:p>
    <w:p>
      <w:pPr>
        <w:spacing w:after="0" w:line="254" w:lineRule="auto"/>
        <w:rPr>
          <w:sz w:val="20"/>
          <w:szCs w:val="20"/>
          <w:color w:val="auto"/>
        </w:rPr>
      </w:pPr>
      <w:r>
        <w:rPr>
          <w:rFonts w:ascii="Arial" w:cs="Arial" w:eastAsia="Arial" w:hAnsi="Arial"/>
          <w:sz w:val="16"/>
          <w:szCs w:val="16"/>
          <w:color w:val="auto"/>
        </w:rPr>
        <w:t>I see 2022 as full of opportunities. Arizona’s economy is growing rapidly, which translates into steady customer growth. Arizona’s economy is also diversifying. As we move forward in 2022, rest assured our leaders have a well-thought-out strategy to continue to deliver on our Clean Energy Commitment, improve our customer experience, focus on the development of our workforce and create long-term value for shareholders.</w:t>
      </w:r>
    </w:p>
    <w:p>
      <w:pPr>
        <w:spacing w:after="0" w:line="117" w:lineRule="exact"/>
        <w:rPr>
          <w:sz w:val="20"/>
          <w:szCs w:val="20"/>
          <w:color w:val="auto"/>
        </w:rPr>
      </w:pPr>
    </w:p>
    <w:p>
      <w:pPr>
        <w:ind w:right="680"/>
        <w:spacing w:after="0" w:line="258" w:lineRule="auto"/>
        <w:rPr>
          <w:sz w:val="20"/>
          <w:szCs w:val="20"/>
          <w:color w:val="auto"/>
        </w:rPr>
      </w:pPr>
      <w:r>
        <w:rPr>
          <w:rFonts w:ascii="Arial" w:cs="Arial" w:eastAsia="Arial" w:hAnsi="Arial"/>
          <w:sz w:val="25"/>
          <w:szCs w:val="25"/>
          <w:b w:val="1"/>
          <w:bCs w:val="1"/>
          <w:color w:val="355675"/>
        </w:rPr>
        <w:t>Environmental, Social and Governance (“ESG”)</w:t>
      </w:r>
    </w:p>
    <w:p>
      <w:pPr>
        <w:spacing w:after="0" w:line="2" w:lineRule="exact"/>
        <w:rPr>
          <w:sz w:val="20"/>
          <w:szCs w:val="20"/>
          <w:color w:val="auto"/>
        </w:rPr>
      </w:pPr>
    </w:p>
    <w:p>
      <w:pPr>
        <w:spacing w:after="0" w:line="251" w:lineRule="auto"/>
        <w:rPr>
          <w:sz w:val="20"/>
          <w:szCs w:val="20"/>
          <w:color w:val="auto"/>
        </w:rPr>
      </w:pPr>
      <w:r>
        <w:rPr>
          <w:rFonts w:ascii="Arial" w:cs="Arial" w:eastAsia="Arial" w:hAnsi="Arial"/>
          <w:sz w:val="16"/>
          <w:szCs w:val="16"/>
          <w:color w:val="auto"/>
        </w:rPr>
        <w:t>In 2021, APS remained focused on ESG trends. APS has adopted strong governance structures to effectively evaluate ESG issues impacting the Company. We continued to be focused on our Clean Energy Commitment and are evaluating ways to achieve the commitment through the promotion of supportive policies, economic advancement in our communities, innovative technologies in our industry, and collaboration with our stakeholders. In addition, we established a Social Issues Committee Framework to provide a process for considering emergent social issues.</w:t>
      </w:r>
    </w:p>
    <w:p>
      <w:pPr>
        <w:spacing w:after="0" w:line="186" w:lineRule="exact"/>
        <w:rPr>
          <w:sz w:val="20"/>
          <w:szCs w:val="20"/>
          <w:color w:val="auto"/>
        </w:rPr>
      </w:pPr>
    </w:p>
    <w:p>
      <w:pPr>
        <w:ind w:right="100"/>
        <w:spacing w:after="0" w:line="250" w:lineRule="auto"/>
        <w:rPr>
          <w:sz w:val="20"/>
          <w:szCs w:val="20"/>
          <w:color w:val="auto"/>
        </w:rPr>
      </w:pPr>
      <w:r>
        <w:rPr>
          <w:rFonts w:ascii="Arial" w:cs="Arial" w:eastAsia="Arial" w:hAnsi="Arial"/>
          <w:sz w:val="16"/>
          <w:szCs w:val="16"/>
          <w:color w:val="auto"/>
        </w:rPr>
        <w:t>You can read more about our advancements in ESG in the Proxy Statement Summary that begins on page 3 of the Proxy Statement. However, I want to highlight three awards we received in 2021. First, APS was honored by the Environmental Protection Agency with the ENERGY</w:t>
      </w:r>
    </w:p>
    <w:p>
      <w:pPr>
        <w:spacing w:after="0" w:line="3" w:lineRule="exact"/>
        <w:rPr>
          <w:sz w:val="20"/>
          <w:szCs w:val="20"/>
          <w:color w:val="auto"/>
        </w:rPr>
      </w:pPr>
    </w:p>
    <w:p>
      <w:pPr>
        <w:ind w:right="20"/>
        <w:spacing w:after="0" w:line="238" w:lineRule="auto"/>
        <w:rPr>
          <w:sz w:val="20"/>
          <w:szCs w:val="20"/>
          <w:color w:val="auto"/>
        </w:rPr>
      </w:pPr>
      <w:r>
        <w:rPr>
          <w:rFonts w:ascii="Arial" w:cs="Arial" w:eastAsia="Arial" w:hAnsi="Arial"/>
          <w:sz w:val="16"/>
          <w:szCs w:val="16"/>
          <w:color w:val="auto"/>
        </w:rPr>
        <w:t>STAR</w:t>
      </w:r>
      <w:r>
        <w:rPr>
          <w:rFonts w:ascii="Arial" w:cs="Arial" w:eastAsia="Arial" w:hAnsi="Arial"/>
          <w:sz w:val="26"/>
          <w:szCs w:val="26"/>
          <w:color w:val="auto"/>
          <w:vertAlign w:val="superscript"/>
        </w:rPr>
        <w:t>®</w:t>
      </w:r>
      <w:r>
        <w:rPr>
          <w:rFonts w:ascii="Arial" w:cs="Arial" w:eastAsia="Arial" w:hAnsi="Arial"/>
          <w:sz w:val="16"/>
          <w:szCs w:val="16"/>
          <w:color w:val="auto"/>
        </w:rPr>
        <w:t xml:space="preserve"> Partner of the Year Award for excellence in customer programs. Second, Pinnacle West was recognized by the global environmental non-profit CDP for leadership in corporate sustainability with an A- score for climate change and protecting water security. Pinnacle West is only one of two North American electric utility companies to achieve leadership scores in these areas. Last, APS received the 2021 Inclusive Workplace Award, a joint accolade from the Diversity Leadership Alliance and the Arizona Society of Human Resources Management. The award recognizes an Arizona corporation or organization that leads by example, creating an inclusive</w:t>
      </w:r>
    </w:p>
    <w:p>
      <w:pPr>
        <w:spacing w:after="0" w:line="20" w:lineRule="exact"/>
        <w:rPr>
          <w:sz w:val="20"/>
          <w:szCs w:val="20"/>
          <w:color w:val="auto"/>
        </w:rPr>
      </w:pPr>
      <w:r>
        <w:rPr>
          <w:sz w:val="20"/>
          <w:szCs w:val="20"/>
          <w:color w:val="auto"/>
        </w:rPr>
        <w:br w:type="column"/>
      </w:r>
    </w:p>
    <w:p>
      <w:pPr>
        <w:spacing w:after="0" w:line="380" w:lineRule="exact"/>
        <w:rPr>
          <w:sz w:val="20"/>
          <w:szCs w:val="20"/>
          <w:color w:val="auto"/>
        </w:rPr>
      </w:pPr>
    </w:p>
    <w:p>
      <w:pPr>
        <w:ind w:left="1040"/>
        <w:spacing w:after="0"/>
        <w:rPr>
          <w:sz w:val="20"/>
          <w:szCs w:val="20"/>
          <w:color w:val="auto"/>
        </w:rPr>
      </w:pPr>
      <w:r>
        <w:rPr>
          <w:rFonts w:ascii="Arial" w:cs="Arial" w:eastAsia="Arial" w:hAnsi="Arial"/>
          <w:sz w:val="17"/>
          <w:szCs w:val="17"/>
          <w:b w:val="1"/>
          <w:bCs w:val="1"/>
          <w:color w:val="355675"/>
        </w:rPr>
        <w:t>A Message from Our Chairman, President and CEO</w:t>
      </w:r>
    </w:p>
    <w:p>
      <w:pPr>
        <w:spacing w:after="0" w:line="349" w:lineRule="exact"/>
        <w:rPr>
          <w:sz w:val="20"/>
          <w:szCs w:val="20"/>
          <w:color w:val="auto"/>
        </w:rPr>
      </w:pPr>
    </w:p>
    <w:p>
      <w:pPr>
        <w:ind w:right="100"/>
        <w:spacing w:after="0" w:line="286" w:lineRule="auto"/>
        <w:rPr>
          <w:sz w:val="20"/>
          <w:szCs w:val="20"/>
          <w:color w:val="auto"/>
        </w:rPr>
      </w:pPr>
      <w:r>
        <w:rPr>
          <w:rFonts w:ascii="Arial" w:cs="Arial" w:eastAsia="Arial" w:hAnsi="Arial"/>
          <w:sz w:val="16"/>
          <w:szCs w:val="16"/>
          <w:color w:val="auto"/>
        </w:rPr>
        <w:t>environment where employees can be their genuine, authentic selves and partnering on community outreach efforts and support.</w:t>
      </w:r>
    </w:p>
    <w:p>
      <w:pPr>
        <w:spacing w:after="0" w:line="102" w:lineRule="exact"/>
        <w:rPr>
          <w:sz w:val="20"/>
          <w:szCs w:val="20"/>
          <w:color w:val="auto"/>
        </w:rPr>
      </w:pPr>
    </w:p>
    <w:p>
      <w:pPr>
        <w:ind w:right="60"/>
        <w:spacing w:after="0" w:line="286" w:lineRule="auto"/>
        <w:rPr>
          <w:sz w:val="20"/>
          <w:szCs w:val="20"/>
          <w:color w:val="auto"/>
        </w:rPr>
      </w:pPr>
      <w:r>
        <w:rPr>
          <w:rFonts w:ascii="Arial" w:cs="Arial" w:eastAsia="Arial" w:hAnsi="Arial"/>
          <w:sz w:val="16"/>
          <w:szCs w:val="16"/>
          <w:color w:val="auto"/>
        </w:rPr>
        <w:t>Congratulations to our employees for great work that has been recognized by these awards.</w:t>
      </w:r>
    </w:p>
    <w:p>
      <w:pPr>
        <w:spacing w:after="0" w:line="91"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Board of Directors</w:t>
      </w:r>
    </w:p>
    <w:p>
      <w:pPr>
        <w:spacing w:after="0" w:line="36" w:lineRule="exact"/>
        <w:rPr>
          <w:sz w:val="20"/>
          <w:szCs w:val="20"/>
          <w:color w:val="auto"/>
        </w:rPr>
      </w:pPr>
    </w:p>
    <w:p>
      <w:pPr>
        <w:ind w:right="140"/>
        <w:spacing w:after="0" w:line="250" w:lineRule="auto"/>
        <w:rPr>
          <w:sz w:val="20"/>
          <w:szCs w:val="20"/>
          <w:color w:val="auto"/>
        </w:rPr>
      </w:pPr>
      <w:r>
        <w:rPr>
          <w:rFonts w:ascii="Arial" w:cs="Arial" w:eastAsia="Arial" w:hAnsi="Arial"/>
          <w:sz w:val="16"/>
          <w:szCs w:val="16"/>
          <w:color w:val="auto"/>
        </w:rPr>
        <w:t>Our Board of Directors plays a vital role in establishing our corporate strategy. Their varied knowledge, experience and skills bring crucial insights to developing near- and long-term goals and, ultimately, overseeing our progress in building a more sustainable energy future and creating customer and shareholder value. I want to thank the Board of Directors for their outstanding support in 2021.</w:t>
      </w:r>
    </w:p>
    <w:p>
      <w:pPr>
        <w:spacing w:after="0" w:line="130" w:lineRule="exact"/>
        <w:rPr>
          <w:sz w:val="20"/>
          <w:szCs w:val="20"/>
          <w:color w:val="auto"/>
        </w:rPr>
      </w:pPr>
    </w:p>
    <w:p>
      <w:pPr>
        <w:ind w:right="80"/>
        <w:spacing w:after="0" w:line="259" w:lineRule="auto"/>
        <w:rPr>
          <w:sz w:val="20"/>
          <w:szCs w:val="20"/>
          <w:color w:val="auto"/>
        </w:rPr>
      </w:pPr>
      <w:r>
        <w:rPr>
          <w:rFonts w:ascii="Arial" w:cs="Arial" w:eastAsia="Arial" w:hAnsi="Arial"/>
          <w:sz w:val="16"/>
          <w:szCs w:val="16"/>
          <w:color w:val="auto"/>
        </w:rPr>
        <w:t>One of our outstanding Directors, Denis Cortese, will retire from the Board as of the 2022 Annual Meeting. We thank Denis for his many years of service. His deep knowledge of Arizona and valued counsel on important issues facing our Company will be missed.</w:t>
      </w:r>
    </w:p>
    <w:p>
      <w:pPr>
        <w:spacing w:after="0" w:line="124" w:lineRule="exact"/>
        <w:rPr>
          <w:sz w:val="20"/>
          <w:szCs w:val="20"/>
          <w:color w:val="auto"/>
        </w:rPr>
      </w:pPr>
    </w:p>
    <w:p>
      <w:pPr>
        <w:ind w:right="20"/>
        <w:spacing w:after="0" w:line="253" w:lineRule="auto"/>
        <w:rPr>
          <w:sz w:val="20"/>
          <w:szCs w:val="20"/>
          <w:color w:val="auto"/>
        </w:rPr>
      </w:pPr>
      <w:r>
        <w:rPr>
          <w:rFonts w:ascii="Arial" w:cs="Arial" w:eastAsia="Arial" w:hAnsi="Arial"/>
          <w:sz w:val="16"/>
          <w:szCs w:val="16"/>
          <w:color w:val="auto"/>
        </w:rPr>
        <w:t>In February of 2022 we added Gonzalo de la Melena, Jr. to the Board. Gonzalo is the Founder and CEO of Emerging Airport Ventures, LLC and the former President and CEO of the Arizona Hispanic Chamber of Commerce. Gonzalo is an Arizona resident, which will assist us in our continuing focus on our customers. He brings a unique combination of big and small business, civic association and entrepreneurial experience to the Board. I look forward to working with Gonzalo.</w:t>
      </w:r>
    </w:p>
    <w:p>
      <w:pPr>
        <w:spacing w:after="0" w:line="127" w:lineRule="exact"/>
        <w:rPr>
          <w:sz w:val="20"/>
          <w:szCs w:val="20"/>
          <w:color w:val="auto"/>
        </w:rPr>
      </w:pPr>
    </w:p>
    <w:p>
      <w:pPr>
        <w:ind w:right="100"/>
        <w:spacing w:after="0" w:line="259" w:lineRule="auto"/>
        <w:rPr>
          <w:sz w:val="20"/>
          <w:szCs w:val="20"/>
          <w:color w:val="auto"/>
        </w:rPr>
      </w:pPr>
      <w:r>
        <w:rPr>
          <w:rFonts w:ascii="Arial" w:cs="Arial" w:eastAsia="Arial" w:hAnsi="Arial"/>
          <w:sz w:val="16"/>
          <w:szCs w:val="16"/>
          <w:color w:val="auto"/>
        </w:rPr>
        <w:t>Finally, your vote is important to us. Whether or not you plan to participate in the Annual Meeting, we encourage you to vote promptly. You may vote on the internet; by telephone; or by completing, signing, dating and returning a proxy card or voting instruction form.</w:t>
      </w:r>
    </w:p>
    <w:p>
      <w:pPr>
        <w:spacing w:after="0" w:line="124" w:lineRule="exact"/>
        <w:rPr>
          <w:sz w:val="20"/>
          <w:szCs w:val="20"/>
          <w:color w:val="auto"/>
        </w:rPr>
      </w:pPr>
    </w:p>
    <w:p>
      <w:pPr>
        <w:ind w:right="260"/>
        <w:spacing w:after="0" w:line="497" w:lineRule="auto"/>
        <w:rPr>
          <w:sz w:val="20"/>
          <w:szCs w:val="20"/>
          <w:color w:val="auto"/>
        </w:rPr>
      </w:pPr>
      <w:r>
        <w:rPr>
          <w:rFonts w:ascii="Arial" w:cs="Arial" w:eastAsia="Arial" w:hAnsi="Arial"/>
          <w:sz w:val="16"/>
          <w:szCs w:val="16"/>
          <w:color w:val="auto"/>
        </w:rPr>
        <w:t>Thank you for your investment and continued support of Pinnacle West. 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-28575</wp:posOffset>
            </wp:positionV>
            <wp:extent cx="1560195" cy="4286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560195" cy="428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spacing w:after="0"/>
        <w:rPr>
          <w:sz w:val="20"/>
          <w:szCs w:val="20"/>
          <w:color w:val="auto"/>
        </w:rPr>
      </w:pPr>
      <w:r>
        <w:rPr>
          <w:rFonts w:ascii="Arial" w:cs="Arial" w:eastAsia="Arial" w:hAnsi="Arial"/>
          <w:sz w:val="22"/>
          <w:szCs w:val="22"/>
          <w:b w:val="1"/>
          <w:bCs w:val="1"/>
          <w:color w:val="355675"/>
        </w:rPr>
        <w:t>JEFFREY B. GULDNER</w:t>
      </w:r>
    </w:p>
    <w:p>
      <w:pPr>
        <w:spacing w:after="0" w:line="20" w:lineRule="exact"/>
        <w:rPr>
          <w:sz w:val="20"/>
          <w:szCs w:val="20"/>
          <w:color w:val="auto"/>
        </w:rPr>
      </w:pPr>
    </w:p>
    <w:p>
      <w:pPr>
        <w:spacing w:after="0"/>
        <w:rPr>
          <w:sz w:val="20"/>
          <w:szCs w:val="20"/>
          <w:color w:val="auto"/>
        </w:rPr>
      </w:pPr>
      <w:r>
        <w:rPr>
          <w:rFonts w:ascii="Arial" w:cs="Arial" w:eastAsia="Arial" w:hAnsi="Arial"/>
          <w:sz w:val="16"/>
          <w:szCs w:val="16"/>
          <w:color w:val="auto"/>
        </w:rPr>
        <w:t>Chairman of the Board, President</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and Chief Executive Officer</w:t>
      </w:r>
    </w:p>
    <w:p>
      <w:pPr>
        <w:spacing w:after="0" w:line="210" w:lineRule="exact"/>
        <w:rPr>
          <w:sz w:val="20"/>
          <w:szCs w:val="20"/>
          <w:color w:val="auto"/>
        </w:rPr>
      </w:pPr>
    </w:p>
    <w:p>
      <w:pPr>
        <w:jc w:val="right"/>
        <w:spacing w:after="0"/>
        <w:tabs>
          <w:tab w:leader="none" w:pos="10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-3704590</wp:posOffset>
            </wp:positionH>
            <wp:positionV relativeFrom="paragraph">
              <wp:posOffset>73025</wp:posOffset>
            </wp:positionV>
            <wp:extent cx="7153275" cy="209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2">
            <w:col w:w="5360" w:space="480"/>
            <w:col w:w="5400"/>
          </w:cols>
          <w:pgMar w:left="320" w:top="125" w:right="339" w:bottom="1440" w:gutter="0" w:footer="0" w:header="0"/>
        </w:sectPr>
      </w:pPr>
    </w:p>
    <w:bookmarkStart w:id="6" w:name="page7"/>
    <w:bookmarkEnd w:id="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25031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2320" cy="2503170"/>
                    </a:xfrm>
                    <a:prstGeom prst="rect">
                      <a:avLst/>
                    </a:prstGeom>
                    <a:noFill/>
                  </pic:spPr>
                </pic:pic>
              </a:graphicData>
            </a:graphic>
          </wp:anchor>
        </w:drawing>
      </w:r>
    </w:p>
    <w:p>
      <w:pPr>
        <w:spacing w:after="0" w:line="257" w:lineRule="exact"/>
        <w:rPr>
          <w:sz w:val="20"/>
          <w:szCs w:val="20"/>
          <w:color w:val="auto"/>
        </w:rPr>
      </w:pPr>
    </w:p>
    <w:p>
      <w:pPr>
        <w:ind w:left="100"/>
        <w:spacing w:after="0"/>
        <w:rPr>
          <w:sz w:val="20"/>
          <w:szCs w:val="20"/>
          <w:color w:val="auto"/>
        </w:rPr>
      </w:pPr>
      <w:r>
        <w:rPr>
          <w:rFonts w:ascii="Arial" w:cs="Arial" w:eastAsia="Arial" w:hAnsi="Arial"/>
          <w:sz w:val="47"/>
          <w:szCs w:val="47"/>
          <w:b w:val="1"/>
          <w:bCs w:val="1"/>
          <w:color w:val="355675"/>
        </w:rPr>
        <w:t>A Message from Our Lead Director</w:t>
      </w:r>
    </w:p>
    <w:p>
      <w:pPr>
        <w:spacing w:after="0" w:line="200" w:lineRule="exact"/>
        <w:rPr>
          <w:sz w:val="20"/>
          <w:szCs w:val="20"/>
          <w:color w:val="auto"/>
        </w:rPr>
      </w:pPr>
    </w:p>
    <w:p>
      <w:pPr>
        <w:spacing w:after="0" w:line="339" w:lineRule="exact"/>
        <w:rPr>
          <w:sz w:val="20"/>
          <w:szCs w:val="20"/>
          <w:color w:val="auto"/>
        </w:rPr>
      </w:pPr>
    </w:p>
    <w:p>
      <w:pPr>
        <w:ind w:left="100" w:right="3280"/>
        <w:spacing w:after="0" w:line="283" w:lineRule="auto"/>
        <w:rPr>
          <w:sz w:val="20"/>
          <w:szCs w:val="20"/>
          <w:color w:val="auto"/>
        </w:rPr>
      </w:pPr>
      <w:r>
        <w:rPr>
          <w:rFonts w:ascii="Arial" w:cs="Arial" w:eastAsia="Arial" w:hAnsi="Arial"/>
          <w:sz w:val="21"/>
          <w:szCs w:val="21"/>
          <w:color w:val="auto"/>
        </w:rPr>
        <w:t>“Your Board is committed to our customers, our community, our employees, and continuing to make our stock an attractive long-term investment for our investors.”</w:t>
      </w:r>
    </w:p>
    <w:p>
      <w:pPr>
        <w:spacing w:after="0" w:line="131"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auto"/>
        </w:rPr>
        <w:t>KATHRYN L. MUNRO</w:t>
      </w:r>
    </w:p>
    <w:p>
      <w:pPr>
        <w:spacing w:after="0" w:line="18" w:lineRule="exact"/>
        <w:rPr>
          <w:sz w:val="20"/>
          <w:szCs w:val="20"/>
          <w:color w:val="auto"/>
        </w:rPr>
      </w:pPr>
    </w:p>
    <w:p>
      <w:pPr>
        <w:ind w:left="100"/>
        <w:spacing w:after="0"/>
        <w:rPr>
          <w:sz w:val="20"/>
          <w:szCs w:val="20"/>
          <w:color w:val="auto"/>
        </w:rPr>
      </w:pPr>
      <w:r>
        <w:rPr>
          <w:rFonts w:ascii="Arial" w:cs="Arial" w:eastAsia="Arial" w:hAnsi="Arial"/>
          <w:sz w:val="18"/>
          <w:szCs w:val="18"/>
          <w:color w:val="auto"/>
        </w:rPr>
        <w:t>Lead Director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Dear Fellow Shareholders,</w:t>
      </w:r>
    </w:p>
    <w:p>
      <w:pPr>
        <w:spacing w:after="0" w:line="228" w:lineRule="exact"/>
        <w:rPr>
          <w:sz w:val="20"/>
          <w:szCs w:val="20"/>
          <w:color w:val="auto"/>
        </w:rPr>
      </w:pPr>
    </w:p>
    <w:p>
      <w:pPr>
        <w:ind w:right="120"/>
        <w:spacing w:after="0"/>
        <w:rPr>
          <w:sz w:val="20"/>
          <w:szCs w:val="20"/>
          <w:color w:val="auto"/>
        </w:rPr>
      </w:pPr>
      <w:r>
        <w:rPr>
          <w:rFonts w:ascii="Arial" w:cs="Arial" w:eastAsia="Arial" w:hAnsi="Arial"/>
          <w:sz w:val="22"/>
          <w:szCs w:val="22"/>
          <w:color w:val="auto"/>
        </w:rPr>
        <w:t>On behalf of the Board, I thank you for your investment in Pinnacle West. As we approach our 2022 Annual Meeting of Shareholders, I take this opportunity to provide you an update on how your Board is approaching and addressing key areas of shareholder value, board tenure, board diversity and our attention to environmental, social and governance issues.</w:t>
      </w:r>
    </w:p>
    <w:p>
      <w:pPr>
        <w:sectPr>
          <w:pgSz w:w="11900" w:h="16838" w:orient="portrait"/>
          <w:cols w:equalWidth="0" w:num="1">
            <w:col w:w="11180"/>
          </w:cols>
          <w:pgMar w:left="320" w:top="125" w:right="399" w:bottom="1440" w:gutter="0" w:footer="0" w:header="0"/>
        </w:sectPr>
      </w:pPr>
    </w:p>
    <w:p>
      <w:pPr>
        <w:spacing w:after="0" w:line="219"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Stock Price Performance</w:t>
      </w:r>
    </w:p>
    <w:p>
      <w:pPr>
        <w:spacing w:after="0" w:line="36" w:lineRule="exact"/>
        <w:rPr>
          <w:sz w:val="20"/>
          <w:szCs w:val="20"/>
          <w:color w:val="auto"/>
        </w:rPr>
      </w:pPr>
    </w:p>
    <w:p>
      <w:pPr>
        <w:spacing w:after="0" w:line="248" w:lineRule="auto"/>
        <w:rPr>
          <w:sz w:val="20"/>
          <w:szCs w:val="20"/>
          <w:color w:val="auto"/>
        </w:rPr>
      </w:pPr>
      <w:r>
        <w:rPr>
          <w:rFonts w:ascii="Arial" w:cs="Arial" w:eastAsia="Arial" w:hAnsi="Arial"/>
          <w:sz w:val="16"/>
          <w:szCs w:val="16"/>
          <w:color w:val="auto"/>
        </w:rPr>
        <w:t>We acknowledge the outcome of our 2019 rate case had a negative impact on our stock price. We strongly disagree with the decision of the Arizona Corporation Commission, and are pursuing our options for relief from parts of that decision. We are also looking closely at our future strategy. However, that decision did not change our commitment to our customers, our community, our employees and our investors. Notwithstanding the impact to the Company resulting from the decision, the Board decided it was necessary to protect the dividend for our investors. Although our growth in the dividend was less than in prior years, our dividend still has one of the highest dividend yields in the U.S. investor-owned electric utility sector. Your Board is committed to continuing to make our stock an attractive long-term investment.</w:t>
      </w:r>
    </w:p>
    <w:p>
      <w:pPr>
        <w:spacing w:after="0" w:line="203"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Board Tenure</w:t>
      </w:r>
    </w:p>
    <w:p>
      <w:pPr>
        <w:spacing w:after="0" w:line="36" w:lineRule="exact"/>
        <w:rPr>
          <w:sz w:val="20"/>
          <w:szCs w:val="20"/>
          <w:color w:val="auto"/>
        </w:rPr>
      </w:pPr>
    </w:p>
    <w:p>
      <w:pPr>
        <w:ind w:right="20"/>
        <w:spacing w:after="0" w:line="250" w:lineRule="auto"/>
        <w:rPr>
          <w:sz w:val="20"/>
          <w:szCs w:val="20"/>
          <w:color w:val="auto"/>
        </w:rPr>
      </w:pPr>
      <w:r>
        <w:rPr>
          <w:rFonts w:ascii="Arial" w:cs="Arial" w:eastAsia="Arial" w:hAnsi="Arial"/>
          <w:sz w:val="16"/>
          <w:szCs w:val="16"/>
          <w:color w:val="auto"/>
        </w:rPr>
        <w:t>The Board understands our investors’ concerns regarding long-tenured directors. We believe we have developed a robust plan to refresh the Board and its leadership significantly over the next several years. In 2016 we adopted our Director Retirement Policy. As we began to implement that policy, we looked at the turn-over timeline for our directors and revised the policy in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254635</wp:posOffset>
            </wp:positionV>
            <wp:extent cx="1191260" cy="2317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9" w:lineRule="exact"/>
        <w:rPr>
          <w:sz w:val="20"/>
          <w:szCs w:val="20"/>
          <w:color w:val="auto"/>
        </w:rPr>
      </w:pPr>
    </w:p>
    <w:p>
      <w:pPr>
        <w:ind w:right="20"/>
        <w:spacing w:after="0" w:line="252" w:lineRule="auto"/>
        <w:rPr>
          <w:sz w:val="20"/>
          <w:szCs w:val="20"/>
          <w:color w:val="auto"/>
        </w:rPr>
      </w:pPr>
      <w:r>
        <w:rPr>
          <w:rFonts w:ascii="Arial" w:cs="Arial" w:eastAsia="Arial" w:hAnsi="Arial"/>
          <w:sz w:val="16"/>
          <w:szCs w:val="16"/>
          <w:color w:val="auto"/>
        </w:rPr>
        <w:t>to make sure we are providing for an orderly transition that captures the experience and knowledge of our longer-serving directors while adding new skills and fresh ideas. Since we adopted the retirement policy, 50% of our Board has been refreshed. This year Denis Cortese will retire from the Board. Under the current retirement policy, Bruce Nordstrom, Dale Klein, Richard Fox and I are scheduled to retire from the Board in the next three years. More information about our retirement policy is located on page 25 of the Proxy Statement.</w:t>
      </w:r>
    </w:p>
    <w:p>
      <w:pPr>
        <w:spacing w:after="0" w:line="199"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Denis Cortese</w:t>
      </w:r>
    </w:p>
    <w:p>
      <w:pPr>
        <w:spacing w:after="0" w:line="36" w:lineRule="exact"/>
        <w:rPr>
          <w:sz w:val="20"/>
          <w:szCs w:val="20"/>
          <w:color w:val="auto"/>
        </w:rPr>
      </w:pPr>
    </w:p>
    <w:p>
      <w:pPr>
        <w:spacing w:after="0" w:line="249" w:lineRule="auto"/>
        <w:rPr>
          <w:sz w:val="20"/>
          <w:szCs w:val="20"/>
          <w:color w:val="auto"/>
        </w:rPr>
      </w:pPr>
      <w:r>
        <w:rPr>
          <w:rFonts w:ascii="Arial" w:cs="Arial" w:eastAsia="Arial" w:hAnsi="Arial"/>
          <w:sz w:val="16"/>
          <w:szCs w:val="16"/>
          <w:color w:val="auto"/>
        </w:rPr>
        <w:t>It is with mixed emotions that I say good-bye to our trusted advisor and friend, Denis Cortese. Denis has brought thought provoking and insightful analyses to the myriad of issues that have come before the Board. His counsel has been wise and he has been a phenomenal asset to the Board of Directors and the Company. Denis has been an outstanding member of the Board and has served the Company and the Board with respect and integrity.</w:t>
      </w:r>
    </w:p>
    <w:p>
      <w:pPr>
        <w:spacing w:after="0" w:line="217"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Gonzalo de la Melena, Jr.</w:t>
      </w:r>
    </w:p>
    <w:p>
      <w:pPr>
        <w:spacing w:after="0" w:line="36" w:lineRule="exact"/>
        <w:rPr>
          <w:sz w:val="20"/>
          <w:szCs w:val="20"/>
          <w:color w:val="auto"/>
        </w:rPr>
      </w:pPr>
    </w:p>
    <w:p>
      <w:pPr>
        <w:ind w:right="200"/>
        <w:spacing w:after="0" w:line="256" w:lineRule="auto"/>
        <w:rPr>
          <w:sz w:val="20"/>
          <w:szCs w:val="20"/>
          <w:color w:val="auto"/>
        </w:rPr>
      </w:pPr>
      <w:r>
        <w:rPr>
          <w:rFonts w:ascii="Arial" w:cs="Arial" w:eastAsia="Arial" w:hAnsi="Arial"/>
          <w:sz w:val="16"/>
          <w:szCs w:val="16"/>
          <w:color w:val="auto"/>
        </w:rPr>
        <w:t>I am happy to announce that we added Gonzalo de la Melena, Jr. to the Board in February of 2022. Gonzalo has more than 20 years of management experience.</w:t>
      </w:r>
    </w:p>
    <w:p>
      <w:pPr>
        <w:spacing w:after="0" w:line="200" w:lineRule="exact"/>
        <w:rPr>
          <w:sz w:val="20"/>
          <w:szCs w:val="20"/>
          <w:color w:val="auto"/>
        </w:rPr>
      </w:pPr>
    </w:p>
    <w:p>
      <w:pPr>
        <w:sectPr>
          <w:pgSz w:w="11900" w:h="16838" w:orient="portrait"/>
          <w:cols w:equalWidth="0" w:num="2">
            <w:col w:w="5380" w:space="460"/>
            <w:col w:w="5340"/>
          </w:cols>
          <w:pgMar w:left="320" w:top="125" w:right="399" w:bottom="1440" w:gutter="0" w:footer="0" w:header="0"/>
          <w:type w:val="continuous"/>
        </w:sectPr>
      </w:pPr>
    </w:p>
    <w:p>
      <w:pPr>
        <w:spacing w:after="0" w:line="132"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iv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80"/>
          </w:cols>
          <w:pgMar w:left="320" w:top="125" w:right="399" w:bottom="1440" w:gutter="0" w:footer="0" w:header="0"/>
          <w:type w:val="continuous"/>
        </w:sectPr>
      </w:pPr>
    </w:p>
    <w:bookmarkStart w:id="7" w:name="page8"/>
    <w:bookmarkEnd w:id="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55675"/>
        </w:rPr>
        <w:t>A Message from Our Lead Director</w:t>
      </w:r>
    </w:p>
    <w:p>
      <w:pPr>
        <w:sectPr>
          <w:pgSz w:w="11900" w:h="16838" w:orient="portrait"/>
          <w:cols w:equalWidth="0" w:num="1">
            <w:col w:w="11240"/>
          </w:cols>
          <w:pgMar w:left="320" w:top="125" w:right="339" w:bottom="1440" w:gutter="0" w:footer="0" w:header="0"/>
        </w:sectPr>
      </w:pPr>
    </w:p>
    <w:p>
      <w:pPr>
        <w:spacing w:after="0" w:line="338" w:lineRule="exact"/>
        <w:rPr>
          <w:sz w:val="20"/>
          <w:szCs w:val="20"/>
          <w:color w:val="auto"/>
        </w:rPr>
      </w:pPr>
    </w:p>
    <w:p>
      <w:pPr>
        <w:spacing w:after="0" w:line="250" w:lineRule="auto"/>
        <w:rPr>
          <w:sz w:val="20"/>
          <w:szCs w:val="20"/>
          <w:color w:val="auto"/>
        </w:rPr>
      </w:pPr>
      <w:r>
        <w:rPr>
          <w:rFonts w:ascii="Arial" w:cs="Arial" w:eastAsia="Arial" w:hAnsi="Arial"/>
          <w:sz w:val="16"/>
          <w:szCs w:val="16"/>
          <w:color w:val="auto"/>
        </w:rPr>
        <w:t>He began his career in “back of the house” restaurant operations before joining consumer products companies Coca-Cola and The Dial Corporation, where he conducted business in more than 30 countries before the age of 30. He is now the Founder and CEO of Emerging Airport Ventures, LLC. Gonzalo currently serves on the National Board of Directors for Airport Minority Advisory Council, and the Board of Directors for Gainey Business Bank (de novo), Education Forward Arizona and Greater Phoenix Leadership. He brings added diversity to the Board as a member of the Hispanic community. His diverse skill set includes finance/capital allocation, investment experience, business strategy, and as an Arizona resident, customer perspectives. The Board welcomes Gonzalo and we look forward to his participation and insights.</w:t>
      </w:r>
    </w:p>
    <w:p>
      <w:pPr>
        <w:spacing w:after="0" w:line="214"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Board Diversity</w:t>
      </w:r>
    </w:p>
    <w:p>
      <w:pPr>
        <w:spacing w:after="0" w:line="36" w:lineRule="exact"/>
        <w:rPr>
          <w:sz w:val="20"/>
          <w:szCs w:val="20"/>
          <w:color w:val="auto"/>
        </w:rPr>
      </w:pPr>
    </w:p>
    <w:p>
      <w:pPr>
        <w:ind w:right="20"/>
        <w:spacing w:after="0" w:line="247" w:lineRule="auto"/>
        <w:rPr>
          <w:sz w:val="20"/>
          <w:szCs w:val="20"/>
          <w:color w:val="auto"/>
        </w:rPr>
      </w:pPr>
      <w:r>
        <w:rPr>
          <w:rFonts w:ascii="Arial" w:cs="Arial" w:eastAsia="Arial" w:hAnsi="Arial"/>
          <w:sz w:val="16"/>
          <w:szCs w:val="16"/>
          <w:color w:val="auto"/>
        </w:rPr>
        <w:t>The Board continues to focus on adding diverse candidates. We require our outside director search firm to make diversity a focal point of all our searches. The Corporate Governance and Public Responsibility Committee is responsible for identifying and recommending to the Board individuals qualified to become directors. The Board believes that its membership should be composed of a combination of knowledge, skills, and experience in the following areas, among others: finance and accounting; business operations and strategy; large organizational leadership; energy and utility industry; public policy and regulatory compliance; and risk oversight and risk management. The Board also believes that diversity, utilizing a broad meaning that includes race, gender, background, ethnicity, accomplishments, and other traits, is an important consideration in selecting candidates. Out of our eleven nominees, three are women and two are racially or ethnically diverse. Our Directors’ diverse skills and expertise are shown in the chart on page 18 of this Proxy Statement.</w:t>
      </w:r>
    </w:p>
    <w:p>
      <w:pPr>
        <w:spacing w:after="0" w:line="200" w:lineRule="exact"/>
        <w:rPr>
          <w:sz w:val="20"/>
          <w:szCs w:val="20"/>
          <w:color w:val="auto"/>
        </w:rPr>
      </w:pPr>
    </w:p>
    <w:p>
      <w:pPr>
        <w:spacing w:after="0" w:line="214" w:lineRule="exact"/>
        <w:rPr>
          <w:sz w:val="20"/>
          <w:szCs w:val="20"/>
          <w:color w:val="auto"/>
        </w:rPr>
      </w:pPr>
    </w:p>
    <w:p>
      <w:pPr>
        <w:ind w:right="720"/>
        <w:spacing w:after="0" w:line="258" w:lineRule="auto"/>
        <w:rPr>
          <w:sz w:val="20"/>
          <w:szCs w:val="20"/>
          <w:color w:val="auto"/>
        </w:rPr>
      </w:pPr>
      <w:r>
        <w:rPr>
          <w:rFonts w:ascii="Arial" w:cs="Arial" w:eastAsia="Arial" w:hAnsi="Arial"/>
          <w:sz w:val="25"/>
          <w:szCs w:val="25"/>
          <w:b w:val="1"/>
          <w:bCs w:val="1"/>
          <w:color w:val="355675"/>
        </w:rPr>
        <w:t>Environmental, Social and Governance (“ESG”)</w:t>
      </w:r>
    </w:p>
    <w:p>
      <w:pPr>
        <w:spacing w:after="0" w:line="2" w:lineRule="exact"/>
        <w:rPr>
          <w:sz w:val="20"/>
          <w:szCs w:val="20"/>
          <w:color w:val="auto"/>
        </w:rPr>
      </w:pPr>
    </w:p>
    <w:p>
      <w:pPr>
        <w:ind w:right="40"/>
        <w:spacing w:after="0" w:line="249" w:lineRule="auto"/>
        <w:rPr>
          <w:sz w:val="20"/>
          <w:szCs w:val="20"/>
          <w:color w:val="auto"/>
        </w:rPr>
      </w:pPr>
      <w:r>
        <w:rPr>
          <w:rFonts w:ascii="Arial" w:cs="Arial" w:eastAsia="Arial" w:hAnsi="Arial"/>
          <w:sz w:val="16"/>
          <w:szCs w:val="16"/>
          <w:color w:val="auto"/>
        </w:rPr>
        <w:t>The Board also focused on environmental, social and corporate governance matters. To demonstrate the heightened attention on ESG, the Board previously changed the name of the Corporate Governance Committee to the Corporate Governance and Public Responsibility Committee and specifically added to the Charter the responsibility to review significant ESG trends that may impact the Company; ensure the oversight of relevant ESG issues by the Board and its committees;</w:t>
      </w:r>
    </w:p>
    <w:p>
      <w:pPr>
        <w:spacing w:after="0" w:line="20" w:lineRule="exact"/>
        <w:rPr>
          <w:sz w:val="20"/>
          <w:szCs w:val="20"/>
          <w:color w:val="auto"/>
        </w:rPr>
      </w:pPr>
      <w:r>
        <w:rPr>
          <w:sz w:val="20"/>
          <w:szCs w:val="20"/>
          <w:color w:val="auto"/>
        </w:rPr>
        <w:br w:type="column"/>
      </w:r>
    </w:p>
    <w:p>
      <w:pPr>
        <w:spacing w:after="0" w:line="318" w:lineRule="exact"/>
        <w:rPr>
          <w:sz w:val="20"/>
          <w:szCs w:val="20"/>
          <w:color w:val="auto"/>
        </w:rPr>
      </w:pPr>
    </w:p>
    <w:p>
      <w:pPr>
        <w:ind w:right="180"/>
        <w:spacing w:after="0" w:line="256" w:lineRule="auto"/>
        <w:rPr>
          <w:sz w:val="20"/>
          <w:szCs w:val="20"/>
          <w:color w:val="auto"/>
        </w:rPr>
      </w:pPr>
      <w:r>
        <w:rPr>
          <w:rFonts w:ascii="Arial" w:cs="Arial" w:eastAsia="Arial" w:hAnsi="Arial"/>
          <w:sz w:val="16"/>
          <w:szCs w:val="16"/>
          <w:color w:val="auto"/>
        </w:rPr>
        <w:t>and make recommendations to the Board, as appropriate. At the Committee’s meeting in October, the Committee engaged with management in a detailed discussion about the Company’s sustainability history, evolving ESG trends, and the Company’s ESG strategy and alignment.</w:t>
      </w:r>
    </w:p>
    <w:p>
      <w:pPr>
        <w:spacing w:after="0" w:line="126" w:lineRule="exact"/>
        <w:rPr>
          <w:sz w:val="20"/>
          <w:szCs w:val="20"/>
          <w:color w:val="auto"/>
        </w:rPr>
      </w:pPr>
    </w:p>
    <w:p>
      <w:pPr>
        <w:ind w:right="40"/>
        <w:spacing w:after="0" w:line="252" w:lineRule="auto"/>
        <w:rPr>
          <w:sz w:val="20"/>
          <w:szCs w:val="20"/>
          <w:color w:val="auto"/>
        </w:rPr>
      </w:pPr>
      <w:r>
        <w:rPr>
          <w:rFonts w:ascii="Arial" w:cs="Arial" w:eastAsia="Arial" w:hAnsi="Arial"/>
          <w:sz w:val="16"/>
          <w:szCs w:val="16"/>
          <w:color w:val="auto"/>
        </w:rPr>
        <w:t>We amended the Charter of the Human Resources Committee to include a requirement to periodically review and assess the Company’s strategies and policies related to human capital management, such as diversity, inclusion, pay equity, corporate culture, talent development and retention. In February of 2022, the Human Resources Committee revised the metrics for our performance share grants and added a new clean megawatt installed metric. You can read more about the new metrics on page 76 of this Proxy Statement.</w:t>
      </w:r>
    </w:p>
    <w:p>
      <w:pPr>
        <w:spacing w:after="0" w:line="213"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Board Engagement</w:t>
      </w:r>
    </w:p>
    <w:p>
      <w:pPr>
        <w:spacing w:after="0" w:line="36" w:lineRule="exact"/>
        <w:rPr>
          <w:sz w:val="20"/>
          <w:szCs w:val="20"/>
          <w:color w:val="auto"/>
        </w:rPr>
      </w:pPr>
    </w:p>
    <w:p>
      <w:pPr>
        <w:ind w:right="20"/>
        <w:spacing w:after="0" w:line="249" w:lineRule="auto"/>
        <w:rPr>
          <w:sz w:val="20"/>
          <w:szCs w:val="20"/>
          <w:color w:val="auto"/>
        </w:rPr>
      </w:pPr>
      <w:r>
        <w:rPr>
          <w:rFonts w:ascii="Arial" w:cs="Arial" w:eastAsia="Arial" w:hAnsi="Arial"/>
          <w:sz w:val="16"/>
          <w:szCs w:val="16"/>
          <w:color w:val="auto"/>
        </w:rPr>
        <w:t>Our independent Board members are expected to be active, engaged and contributing members. Our discussions are focused on oversight of Pinnacle West’s business strategy. We are excited about the progress of our Clean Energy Commitment and our plan to deliver 100% clean, carbon-free energy to our customers by 2050, with a near-term 2030 target of 65% clean energy, with 45% of our portfolio coming from renewable energy. The Company continued to make progress on its Clean Energy Commitment in 2021, as noted in Jeff’s letter.</w:t>
      </w:r>
    </w:p>
    <w:p>
      <w:pPr>
        <w:spacing w:after="0" w:line="131" w:lineRule="exact"/>
        <w:rPr>
          <w:sz w:val="20"/>
          <w:szCs w:val="20"/>
          <w:color w:val="auto"/>
        </w:rPr>
      </w:pPr>
    </w:p>
    <w:p>
      <w:pPr>
        <w:spacing w:after="0" w:line="256" w:lineRule="auto"/>
        <w:rPr>
          <w:sz w:val="20"/>
          <w:szCs w:val="20"/>
          <w:color w:val="auto"/>
        </w:rPr>
      </w:pPr>
      <w:r>
        <w:rPr>
          <w:rFonts w:ascii="Arial" w:cs="Arial" w:eastAsia="Arial" w:hAnsi="Arial"/>
          <w:sz w:val="16"/>
          <w:szCs w:val="16"/>
          <w:color w:val="auto"/>
        </w:rPr>
        <w:t>In 2021, we held a combined total of 39 Board and Board committee meetings. Directors have focused on strategy, regulatory matters, ESG and our shareholder engagement program. Although we were forced to hold most of our 2021 meetings virtually due to COVID, that did not reduce or hinder our level of engagement.</w:t>
      </w:r>
    </w:p>
    <w:p>
      <w:pPr>
        <w:spacing w:after="0" w:line="126" w:lineRule="exact"/>
        <w:rPr>
          <w:sz w:val="20"/>
          <w:szCs w:val="20"/>
          <w:color w:val="auto"/>
        </w:rPr>
      </w:pPr>
    </w:p>
    <w:p>
      <w:pPr>
        <w:spacing w:after="0" w:line="256" w:lineRule="auto"/>
        <w:rPr>
          <w:sz w:val="20"/>
          <w:szCs w:val="20"/>
          <w:color w:val="auto"/>
        </w:rPr>
      </w:pPr>
      <w:r>
        <w:rPr>
          <w:rFonts w:ascii="Arial" w:cs="Arial" w:eastAsia="Arial" w:hAnsi="Arial"/>
          <w:sz w:val="16"/>
          <w:szCs w:val="16"/>
          <w:color w:val="auto"/>
        </w:rPr>
        <w:t>On behalf of the Board, I thank our shareholders for their time and feedback. I am pleased to provide this window into the Board’s activities in 2021 and express our commitment to running our business for long-term value creation for you, our shareholders. We appreciate your support at our 2022 Annual Meeting.</w:t>
      </w:r>
    </w:p>
    <w:p>
      <w:pPr>
        <w:spacing w:after="0" w:line="126" w:lineRule="exact"/>
        <w:rPr>
          <w:sz w:val="20"/>
          <w:szCs w:val="20"/>
          <w:color w:val="auto"/>
        </w:rPr>
      </w:pPr>
    </w:p>
    <w:p>
      <w:pPr>
        <w:spacing w:after="0"/>
        <w:rPr>
          <w:sz w:val="20"/>
          <w:szCs w:val="20"/>
          <w:color w:val="auto"/>
        </w:rPr>
      </w:pPr>
      <w:r>
        <w:rPr>
          <w:rFonts w:ascii="Arial" w:cs="Arial" w:eastAsia="Arial" w:hAnsi="Arial"/>
          <w:sz w:val="16"/>
          <w:szCs w:val="16"/>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114935</wp:posOffset>
            </wp:positionV>
            <wp:extent cx="1508760" cy="4286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508760" cy="428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Arial" w:cs="Arial" w:eastAsia="Arial" w:hAnsi="Arial"/>
          <w:sz w:val="22"/>
          <w:szCs w:val="22"/>
          <w:b w:val="1"/>
          <w:bCs w:val="1"/>
          <w:color w:val="355675"/>
        </w:rPr>
        <w:t>KATHRYN L. MUNRO</w:t>
      </w:r>
    </w:p>
    <w:p>
      <w:pPr>
        <w:spacing w:after="0" w:line="20" w:lineRule="exact"/>
        <w:rPr>
          <w:sz w:val="20"/>
          <w:szCs w:val="20"/>
          <w:color w:val="auto"/>
        </w:rPr>
      </w:pPr>
    </w:p>
    <w:p>
      <w:pPr>
        <w:spacing w:after="0"/>
        <w:rPr>
          <w:sz w:val="20"/>
          <w:szCs w:val="20"/>
          <w:color w:val="auto"/>
        </w:rPr>
      </w:pPr>
      <w:r>
        <w:rPr>
          <w:rFonts w:ascii="Arial" w:cs="Arial" w:eastAsia="Arial" w:hAnsi="Arial"/>
          <w:sz w:val="16"/>
          <w:szCs w:val="16"/>
          <w:color w:val="auto"/>
        </w:rPr>
        <w:t>Lead Director</w:t>
      </w:r>
    </w:p>
    <w:p>
      <w:pPr>
        <w:spacing w:after="0" w:line="210" w:lineRule="exact"/>
        <w:rPr>
          <w:sz w:val="20"/>
          <w:szCs w:val="20"/>
          <w:color w:val="auto"/>
        </w:rPr>
      </w:pPr>
    </w:p>
    <w:p>
      <w:pPr>
        <w:jc w:val="right"/>
        <w:spacing w:after="0"/>
        <w:tabs>
          <w:tab w:leader="none" w:pos="6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-3704590</wp:posOffset>
            </wp:positionH>
            <wp:positionV relativeFrom="paragraph">
              <wp:posOffset>73025</wp:posOffset>
            </wp:positionV>
            <wp:extent cx="7153275" cy="20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2">
            <w:col w:w="5400" w:space="440"/>
            <w:col w:w="5400"/>
          </w:cols>
          <w:pgMar w:left="320" w:top="125" w:right="339" w:bottom="1440" w:gutter="0" w:footer="0" w:header="0"/>
          <w:type w:val="continuous"/>
        </w:sectPr>
      </w:pPr>
    </w:p>
    <w:bookmarkStart w:id="8" w:name="page9"/>
    <w:bookmarkEnd w:id="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82" w:lineRule="exact"/>
        <w:rPr>
          <w:sz w:val="20"/>
          <w:szCs w:val="20"/>
          <w:color w:val="auto"/>
        </w:rPr>
      </w:pPr>
    </w:p>
    <w:p>
      <w:pPr>
        <w:spacing w:after="0"/>
        <w:rPr>
          <w:sz w:val="20"/>
          <w:szCs w:val="20"/>
          <w:color w:val="auto"/>
        </w:rPr>
      </w:pPr>
      <w:r>
        <w:rPr>
          <w:rFonts w:ascii="Arial" w:cs="Arial" w:eastAsia="Arial" w:hAnsi="Arial"/>
          <w:sz w:val="46"/>
          <w:szCs w:val="46"/>
          <w:b w:val="1"/>
          <w:bCs w:val="1"/>
          <w:color w:val="355675"/>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32385</wp:posOffset>
            </wp:positionV>
            <wp:extent cx="7132320" cy="514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080" w:type="dxa"/>
            <w:vAlign w:val="bottom"/>
          </w:tcPr>
          <w:p>
            <w:pPr>
              <w:spacing w:after="0"/>
              <w:rPr>
                <w:rFonts w:ascii="Arial" w:cs="Arial" w:eastAsia="Arial" w:hAnsi="Arial"/>
                <w:sz w:val="14"/>
                <w:szCs w:val="14"/>
                <w:b w:val="1"/>
                <w:bCs w:val="1"/>
                <w:color w:val="355675"/>
              </w:rPr>
            </w:pPr>
            <w:hyperlink w:anchor="page5">
              <w:r>
                <w:rPr>
                  <w:rFonts w:ascii="Arial" w:cs="Arial" w:eastAsia="Arial" w:hAnsi="Arial"/>
                  <w:sz w:val="14"/>
                  <w:szCs w:val="14"/>
                  <w:b w:val="1"/>
                  <w:bCs w:val="1"/>
                  <w:color w:val="355675"/>
                </w:rPr>
                <w:t>A Message from Our Chairman, President</w:t>
              </w:r>
            </w:hyperlink>
          </w:p>
        </w:tc>
        <w:tc>
          <w:tcPr>
            <w:tcW w:w="580" w:type="dxa"/>
            <w:vAlign w:val="bottom"/>
          </w:tcPr>
          <w:p>
            <w:pPr>
              <w:jc w:val="right"/>
              <w:ind w:right="108"/>
              <w:spacing w:after="0"/>
              <w:rPr>
                <w:rFonts w:ascii="Arial" w:cs="Arial" w:eastAsia="Arial" w:hAnsi="Arial"/>
                <w:sz w:val="14"/>
                <w:szCs w:val="14"/>
                <w:b w:val="1"/>
                <w:bCs w:val="1"/>
                <w:color w:val="355675"/>
              </w:rPr>
            </w:pPr>
            <w:hyperlink w:anchor="page5">
              <w:r>
                <w:rPr>
                  <w:rFonts w:ascii="Arial" w:cs="Arial" w:eastAsia="Arial" w:hAnsi="Arial"/>
                  <w:sz w:val="14"/>
                  <w:szCs w:val="14"/>
                  <w:b w:val="1"/>
                  <w:bCs w:val="1"/>
                  <w:color w:val="355675"/>
                </w:rPr>
                <w:t>ii</w:t>
              </w:r>
            </w:hyperlink>
          </w:p>
        </w:tc>
        <w:tc>
          <w:tcPr>
            <w:tcW w:w="3240" w:type="dxa"/>
            <w:vAlign w:val="bottom"/>
          </w:tcPr>
          <w:p>
            <w:pPr>
              <w:ind w:left="480"/>
              <w:spacing w:after="0"/>
              <w:rPr>
                <w:rFonts w:ascii="Arial" w:cs="Arial" w:eastAsia="Arial" w:hAnsi="Arial"/>
                <w:sz w:val="14"/>
                <w:szCs w:val="14"/>
                <w:b w:val="1"/>
                <w:bCs w:val="1"/>
                <w:color w:val="008C9F"/>
              </w:rPr>
            </w:pPr>
            <w:hyperlink w:anchor="page108">
              <w:r>
                <w:rPr>
                  <w:rFonts w:ascii="Arial" w:cs="Arial" w:eastAsia="Arial" w:hAnsi="Arial"/>
                  <w:sz w:val="14"/>
                  <w:szCs w:val="14"/>
                  <w:b w:val="1"/>
                  <w:bCs w:val="1"/>
                  <w:color w:val="008C9F"/>
                </w:rPr>
                <w:t>Proposal 3: Ratification of The</w:t>
              </w:r>
            </w:hyperlink>
          </w:p>
        </w:tc>
        <w:tc>
          <w:tcPr>
            <w:tcW w:w="400" w:type="dxa"/>
            <w:vAlign w:val="bottom"/>
          </w:tcPr>
          <w:p>
            <w:pPr>
              <w:jc w:val="right"/>
              <w:spacing w:after="0"/>
              <w:rPr>
                <w:rFonts w:ascii="Arial" w:cs="Arial" w:eastAsia="Arial" w:hAnsi="Arial"/>
                <w:sz w:val="14"/>
                <w:szCs w:val="14"/>
                <w:b w:val="1"/>
                <w:bCs w:val="1"/>
                <w:color w:val="008C9F"/>
              </w:rPr>
            </w:pPr>
            <w:hyperlink w:anchor="page108">
              <w:r>
                <w:rPr>
                  <w:rFonts w:ascii="Arial" w:cs="Arial" w:eastAsia="Arial" w:hAnsi="Arial"/>
                  <w:sz w:val="14"/>
                  <w:szCs w:val="14"/>
                  <w:b w:val="1"/>
                  <w:bCs w:val="1"/>
                  <w:color w:val="008C9F"/>
                </w:rPr>
                <w:t>99</w:t>
              </w:r>
            </w:hyperlink>
          </w:p>
        </w:tc>
        <w:tc>
          <w:tcPr>
            <w:tcW w:w="0" w:type="dxa"/>
            <w:vAlign w:val="bottom"/>
          </w:tcPr>
          <w:p>
            <w:pPr>
              <w:spacing w:after="0"/>
              <w:rPr>
                <w:sz w:val="1"/>
                <w:szCs w:val="1"/>
                <w:color w:val="auto"/>
              </w:rPr>
            </w:pPr>
          </w:p>
        </w:tc>
      </w:tr>
      <w:tr>
        <w:trPr>
          <w:trHeight w:val="162"/>
        </w:trPr>
        <w:tc>
          <w:tcPr>
            <w:tcW w:w="3080" w:type="dxa"/>
            <w:vAlign w:val="bottom"/>
          </w:tcPr>
          <w:p>
            <w:pPr>
              <w:spacing w:after="0"/>
              <w:rPr>
                <w:rFonts w:ascii="Arial" w:cs="Arial" w:eastAsia="Arial" w:hAnsi="Arial"/>
                <w:sz w:val="14"/>
                <w:szCs w:val="14"/>
                <w:b w:val="1"/>
                <w:bCs w:val="1"/>
                <w:color w:val="355675"/>
              </w:rPr>
            </w:pPr>
            <w:hyperlink w:anchor="page5">
              <w:r>
                <w:rPr>
                  <w:rFonts w:ascii="Arial" w:cs="Arial" w:eastAsia="Arial" w:hAnsi="Arial"/>
                  <w:sz w:val="14"/>
                  <w:szCs w:val="14"/>
                  <w:b w:val="1"/>
                  <w:bCs w:val="1"/>
                  <w:color w:val="355675"/>
                </w:rPr>
                <w:t>and CEO</w:t>
              </w:r>
            </w:hyperlink>
          </w:p>
        </w:tc>
        <w:tc>
          <w:tcPr>
            <w:tcW w:w="580" w:type="dxa"/>
            <w:vAlign w:val="bottom"/>
          </w:tcPr>
          <w:p>
            <w:pPr>
              <w:spacing w:after="0"/>
              <w:rPr>
                <w:sz w:val="14"/>
                <w:szCs w:val="14"/>
                <w:color w:val="auto"/>
              </w:rPr>
            </w:pPr>
          </w:p>
        </w:tc>
        <w:tc>
          <w:tcPr>
            <w:tcW w:w="3240" w:type="dxa"/>
            <w:vAlign w:val="bottom"/>
          </w:tcPr>
          <w:p>
            <w:pPr>
              <w:ind w:left="480"/>
              <w:spacing w:after="0"/>
              <w:rPr>
                <w:rFonts w:ascii="Arial" w:cs="Arial" w:eastAsia="Arial" w:hAnsi="Arial"/>
                <w:sz w:val="14"/>
                <w:szCs w:val="14"/>
                <w:b w:val="1"/>
                <w:bCs w:val="1"/>
                <w:color w:val="008C9F"/>
              </w:rPr>
            </w:pPr>
            <w:hyperlink w:anchor="page108">
              <w:r>
                <w:rPr>
                  <w:rFonts w:ascii="Arial" w:cs="Arial" w:eastAsia="Arial" w:hAnsi="Arial"/>
                  <w:sz w:val="14"/>
                  <w:szCs w:val="14"/>
                  <w:b w:val="1"/>
                  <w:bCs w:val="1"/>
                  <w:color w:val="008C9F"/>
                </w:rPr>
                <w:t>Appointment of Deloitte &amp; Touche LLP</w:t>
              </w:r>
            </w:hyperlink>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b w:val="1"/>
                <w:bCs w:val="1"/>
                <w:color w:val="355675"/>
              </w:rPr>
            </w:pPr>
            <w:hyperlink w:anchor="page7">
              <w:r>
                <w:rPr>
                  <w:rFonts w:ascii="Arial" w:cs="Arial" w:eastAsia="Arial" w:hAnsi="Arial"/>
                  <w:sz w:val="14"/>
                  <w:szCs w:val="14"/>
                  <w:b w:val="1"/>
                  <w:bCs w:val="1"/>
                  <w:color w:val="355675"/>
                </w:rPr>
                <w:t>A Message from Our Lead Director</w:t>
              </w:r>
            </w:hyperlink>
          </w:p>
        </w:tc>
        <w:tc>
          <w:tcPr>
            <w:tcW w:w="580" w:type="dxa"/>
            <w:vAlign w:val="bottom"/>
            <w:vMerge w:val="restart"/>
          </w:tcPr>
          <w:p>
            <w:pPr>
              <w:jc w:val="right"/>
              <w:ind w:right="108"/>
              <w:spacing w:after="0"/>
              <w:rPr>
                <w:rFonts w:ascii="Arial" w:cs="Arial" w:eastAsia="Arial" w:hAnsi="Arial"/>
                <w:sz w:val="14"/>
                <w:szCs w:val="14"/>
                <w:b w:val="1"/>
                <w:bCs w:val="1"/>
                <w:color w:val="355675"/>
              </w:rPr>
            </w:pPr>
            <w:hyperlink w:anchor="page7">
              <w:r>
                <w:rPr>
                  <w:rFonts w:ascii="Arial" w:cs="Arial" w:eastAsia="Arial" w:hAnsi="Arial"/>
                  <w:sz w:val="14"/>
                  <w:szCs w:val="14"/>
                  <w:b w:val="1"/>
                  <w:bCs w:val="1"/>
                  <w:color w:val="355675"/>
                </w:rPr>
                <w:t>iv</w:t>
              </w:r>
            </w:hyperlink>
          </w:p>
        </w:tc>
        <w:tc>
          <w:tcPr>
            <w:tcW w:w="3240" w:type="dxa"/>
            <w:vAlign w:val="bottom"/>
          </w:tcPr>
          <w:p>
            <w:pPr>
              <w:ind w:left="480"/>
              <w:spacing w:after="0"/>
              <w:rPr>
                <w:rFonts w:ascii="Arial" w:cs="Arial" w:eastAsia="Arial" w:hAnsi="Arial"/>
                <w:sz w:val="14"/>
                <w:szCs w:val="14"/>
                <w:b w:val="1"/>
                <w:bCs w:val="1"/>
                <w:color w:val="008C9F"/>
              </w:rPr>
            </w:pPr>
            <w:hyperlink w:anchor="page108">
              <w:r>
                <w:rPr>
                  <w:rFonts w:ascii="Arial" w:cs="Arial" w:eastAsia="Arial" w:hAnsi="Arial"/>
                  <w:sz w:val="14"/>
                  <w:szCs w:val="14"/>
                  <w:b w:val="1"/>
                  <w:bCs w:val="1"/>
                  <w:color w:val="008C9F"/>
                </w:rPr>
                <w:t>as the Independent Accountant for the</w:t>
              </w:r>
            </w:hyperlink>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8"/>
        </w:trPr>
        <w:tc>
          <w:tcPr>
            <w:tcW w:w="3080" w:type="dxa"/>
            <w:vAlign w:val="bottom"/>
            <w:vMerge w:val="continue"/>
          </w:tcPr>
          <w:p>
            <w:pPr>
              <w:spacing w:after="0"/>
              <w:rPr>
                <w:sz w:val="7"/>
                <w:szCs w:val="7"/>
                <w:color w:val="auto"/>
              </w:rPr>
            </w:pPr>
          </w:p>
        </w:tc>
        <w:tc>
          <w:tcPr>
            <w:tcW w:w="580" w:type="dxa"/>
            <w:vAlign w:val="bottom"/>
            <w:vMerge w:val="continue"/>
          </w:tcPr>
          <w:p>
            <w:pPr>
              <w:spacing w:after="0"/>
              <w:rPr>
                <w:sz w:val="7"/>
                <w:szCs w:val="7"/>
                <w:color w:val="auto"/>
              </w:rPr>
            </w:pPr>
          </w:p>
        </w:tc>
        <w:tc>
          <w:tcPr>
            <w:tcW w:w="3240" w:type="dxa"/>
            <w:vAlign w:val="bottom"/>
            <w:vMerge w:val="restart"/>
          </w:tcPr>
          <w:p>
            <w:pPr>
              <w:ind w:left="480"/>
              <w:spacing w:after="0"/>
              <w:rPr>
                <w:rFonts w:ascii="Arial" w:cs="Arial" w:eastAsia="Arial" w:hAnsi="Arial"/>
                <w:sz w:val="14"/>
                <w:szCs w:val="14"/>
                <w:b w:val="1"/>
                <w:bCs w:val="1"/>
                <w:color w:val="008C9F"/>
              </w:rPr>
            </w:pPr>
            <w:hyperlink w:anchor="page108">
              <w:r>
                <w:rPr>
                  <w:rFonts w:ascii="Arial" w:cs="Arial" w:eastAsia="Arial" w:hAnsi="Arial"/>
                  <w:sz w:val="14"/>
                  <w:szCs w:val="14"/>
                  <w:b w:val="1"/>
                  <w:bCs w:val="1"/>
                  <w:color w:val="008C9F"/>
                </w:rPr>
                <w:t>Company</w:t>
              </w:r>
            </w:hyperlink>
          </w:p>
        </w:tc>
        <w:tc>
          <w:tcPr>
            <w:tcW w:w="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b w:val="1"/>
                <w:bCs w:val="1"/>
                <w:color w:val="355675"/>
              </w:rPr>
            </w:pPr>
            <w:hyperlink w:anchor="page10">
              <w:r>
                <w:rPr>
                  <w:rFonts w:ascii="Arial" w:cs="Arial" w:eastAsia="Arial" w:hAnsi="Arial"/>
                  <w:sz w:val="14"/>
                  <w:szCs w:val="14"/>
                  <w:b w:val="1"/>
                  <w:bCs w:val="1"/>
                  <w:color w:val="355675"/>
                </w:rPr>
                <w:t>Notice of the 2022 Annual Meeting of</w:t>
              </w:r>
            </w:hyperlink>
          </w:p>
        </w:tc>
        <w:tc>
          <w:tcPr>
            <w:tcW w:w="580" w:type="dxa"/>
            <w:vAlign w:val="bottom"/>
            <w:vMerge w:val="restart"/>
          </w:tcPr>
          <w:p>
            <w:pPr>
              <w:jc w:val="right"/>
              <w:ind w:right="108"/>
              <w:spacing w:after="0"/>
              <w:rPr>
                <w:rFonts w:ascii="Arial" w:cs="Arial" w:eastAsia="Arial" w:hAnsi="Arial"/>
                <w:sz w:val="14"/>
                <w:szCs w:val="14"/>
                <w:b w:val="1"/>
                <w:bCs w:val="1"/>
                <w:color w:val="355675"/>
              </w:rPr>
            </w:pPr>
            <w:hyperlink w:anchor="page10">
              <w:r>
                <w:rPr>
                  <w:rFonts w:ascii="Arial" w:cs="Arial" w:eastAsia="Arial" w:hAnsi="Arial"/>
                  <w:sz w:val="14"/>
                  <w:szCs w:val="14"/>
                  <w:b w:val="1"/>
                  <w:bCs w:val="1"/>
                  <w:color w:val="355675"/>
                </w:rPr>
                <w:t>1</w:t>
              </w:r>
            </w:hyperlink>
          </w:p>
        </w:tc>
        <w:tc>
          <w:tcPr>
            <w:tcW w:w="3240" w:type="dxa"/>
            <w:vAlign w:val="bottom"/>
            <w:vMerge w:val="continue"/>
          </w:tcPr>
          <w:p>
            <w:pPr>
              <w:spacing w:after="0"/>
              <w:rPr>
                <w:sz w:val="9"/>
                <w:szCs w:val="9"/>
                <w:color w:val="auto"/>
              </w:rPr>
            </w:pP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74"/>
        </w:trPr>
        <w:tc>
          <w:tcPr>
            <w:tcW w:w="3080" w:type="dxa"/>
            <w:vAlign w:val="bottom"/>
            <w:vMerge w:val="continue"/>
          </w:tcPr>
          <w:p>
            <w:pPr>
              <w:spacing w:after="0"/>
              <w:rPr>
                <w:sz w:val="6"/>
                <w:szCs w:val="6"/>
                <w:color w:val="auto"/>
              </w:rPr>
            </w:pPr>
          </w:p>
        </w:tc>
        <w:tc>
          <w:tcPr>
            <w:tcW w:w="580" w:type="dxa"/>
            <w:vAlign w:val="bottom"/>
            <w:vMerge w:val="continue"/>
          </w:tcPr>
          <w:p>
            <w:pPr>
              <w:spacing w:after="0"/>
              <w:rPr>
                <w:sz w:val="6"/>
                <w:szCs w:val="6"/>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08">
              <w:r>
                <w:rPr>
                  <w:rFonts w:ascii="Arial" w:cs="Arial" w:eastAsia="Arial" w:hAnsi="Arial"/>
                  <w:sz w:val="14"/>
                  <w:szCs w:val="14"/>
                  <w:color w:val="auto"/>
                </w:rPr>
                <w:t>The Independent Accountant</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08">
              <w:r>
                <w:rPr>
                  <w:rFonts w:ascii="Arial" w:cs="Arial" w:eastAsia="Arial" w:hAnsi="Arial"/>
                  <w:sz w:val="14"/>
                  <w:szCs w:val="14"/>
                  <w:b w:val="1"/>
                  <w:bCs w:val="1"/>
                  <w:color w:val="auto"/>
                </w:rPr>
                <w:t>99</w:t>
              </w:r>
            </w:hyperlink>
          </w:p>
        </w:tc>
        <w:tc>
          <w:tcPr>
            <w:tcW w:w="0" w:type="dxa"/>
            <w:vAlign w:val="bottom"/>
          </w:tcPr>
          <w:p>
            <w:pPr>
              <w:spacing w:after="0"/>
              <w:rPr>
                <w:sz w:val="1"/>
                <w:szCs w:val="1"/>
                <w:color w:val="auto"/>
              </w:rPr>
            </w:pPr>
          </w:p>
        </w:tc>
      </w:tr>
      <w:tr>
        <w:trPr>
          <w:trHeight w:val="142"/>
        </w:trPr>
        <w:tc>
          <w:tcPr>
            <w:tcW w:w="3080" w:type="dxa"/>
            <w:vAlign w:val="bottom"/>
            <w:vMerge w:val="restart"/>
          </w:tcPr>
          <w:p>
            <w:pPr>
              <w:spacing w:after="0"/>
              <w:rPr>
                <w:rFonts w:ascii="Arial" w:cs="Arial" w:eastAsia="Arial" w:hAnsi="Arial"/>
                <w:sz w:val="14"/>
                <w:szCs w:val="14"/>
                <w:b w:val="1"/>
                <w:bCs w:val="1"/>
                <w:color w:val="355675"/>
              </w:rPr>
            </w:pPr>
            <w:hyperlink w:anchor="page10">
              <w:r>
                <w:rPr>
                  <w:rFonts w:ascii="Arial" w:cs="Arial" w:eastAsia="Arial" w:hAnsi="Arial"/>
                  <w:sz w:val="14"/>
                  <w:szCs w:val="14"/>
                  <w:b w:val="1"/>
                  <w:bCs w:val="1"/>
                  <w:color w:val="355675"/>
                </w:rPr>
                <w:t>Shareholders</w:t>
              </w:r>
            </w:hyperlink>
          </w:p>
        </w:tc>
        <w:tc>
          <w:tcPr>
            <w:tcW w:w="580" w:type="dxa"/>
            <w:vAlign w:val="bottom"/>
          </w:tcPr>
          <w:p>
            <w:pPr>
              <w:spacing w:after="0"/>
              <w:rPr>
                <w:sz w:val="12"/>
                <w:szCs w:val="12"/>
                <w:color w:val="auto"/>
              </w:rPr>
            </w:pPr>
          </w:p>
        </w:tc>
        <w:tc>
          <w:tcPr>
            <w:tcW w:w="3240" w:type="dxa"/>
            <w:vAlign w:val="bottom"/>
            <w:vMerge w:val="continue"/>
          </w:tcPr>
          <w:p>
            <w:pPr>
              <w:spacing w:after="0"/>
              <w:rPr>
                <w:sz w:val="12"/>
                <w:szCs w:val="12"/>
                <w:color w:val="auto"/>
              </w:rPr>
            </w:pPr>
          </w:p>
        </w:tc>
        <w:tc>
          <w:tcPr>
            <w:tcW w:w="4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54"/>
        </w:trPr>
        <w:tc>
          <w:tcPr>
            <w:tcW w:w="3080" w:type="dxa"/>
            <w:vAlign w:val="bottom"/>
            <w:vMerge w:val="continue"/>
          </w:tcPr>
          <w:p>
            <w:pPr>
              <w:spacing w:after="0"/>
              <w:rPr>
                <w:sz w:val="4"/>
                <w:szCs w:val="4"/>
                <w:color w:val="auto"/>
              </w:rPr>
            </w:pPr>
          </w:p>
        </w:tc>
        <w:tc>
          <w:tcPr>
            <w:tcW w:w="580" w:type="dxa"/>
            <w:vAlign w:val="bottom"/>
          </w:tcPr>
          <w:p>
            <w:pPr>
              <w:spacing w:after="0"/>
              <w:rPr>
                <w:sz w:val="4"/>
                <w:szCs w:val="4"/>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09">
              <w:r>
                <w:rPr>
                  <w:rFonts w:ascii="Arial" w:cs="Arial" w:eastAsia="Arial" w:hAnsi="Arial"/>
                  <w:sz w:val="14"/>
                  <w:szCs w:val="14"/>
                  <w:color w:val="auto"/>
                </w:rPr>
                <w:t>Pre-Approval Policies</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09">
              <w:r>
                <w:rPr>
                  <w:rFonts w:ascii="Arial" w:cs="Arial" w:eastAsia="Arial" w:hAnsi="Arial"/>
                  <w:sz w:val="14"/>
                  <w:szCs w:val="14"/>
                  <w:b w:val="1"/>
                  <w:bCs w:val="1"/>
                  <w:color w:val="auto"/>
                </w:rPr>
                <w:t>100</w:t>
              </w:r>
            </w:hyperlink>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b w:val="1"/>
                <w:bCs w:val="1"/>
                <w:color w:val="355675"/>
              </w:rPr>
            </w:pPr>
            <w:hyperlink w:anchor="page12">
              <w:r>
                <w:rPr>
                  <w:rFonts w:ascii="Arial" w:cs="Arial" w:eastAsia="Arial" w:hAnsi="Arial"/>
                  <w:sz w:val="14"/>
                  <w:szCs w:val="14"/>
                  <w:b w:val="1"/>
                  <w:bCs w:val="1"/>
                  <w:color w:val="355675"/>
                </w:rPr>
                <w:t>Proxy Statement Summary</w:t>
              </w:r>
            </w:hyperlink>
          </w:p>
        </w:tc>
        <w:tc>
          <w:tcPr>
            <w:tcW w:w="580" w:type="dxa"/>
            <w:vAlign w:val="bottom"/>
            <w:vMerge w:val="restart"/>
          </w:tcPr>
          <w:p>
            <w:pPr>
              <w:jc w:val="right"/>
              <w:ind w:right="108"/>
              <w:spacing w:after="0"/>
              <w:rPr>
                <w:rFonts w:ascii="Arial" w:cs="Arial" w:eastAsia="Arial" w:hAnsi="Arial"/>
                <w:sz w:val="14"/>
                <w:szCs w:val="14"/>
                <w:b w:val="1"/>
                <w:bCs w:val="1"/>
                <w:color w:val="355675"/>
              </w:rPr>
            </w:pPr>
            <w:hyperlink w:anchor="page12">
              <w:r>
                <w:rPr>
                  <w:rFonts w:ascii="Arial" w:cs="Arial" w:eastAsia="Arial" w:hAnsi="Arial"/>
                  <w:sz w:val="14"/>
                  <w:szCs w:val="14"/>
                  <w:b w:val="1"/>
                  <w:bCs w:val="1"/>
                  <w:color w:val="355675"/>
                </w:rPr>
                <w:t>3</w:t>
              </w:r>
            </w:hyperlink>
          </w:p>
        </w:tc>
        <w:tc>
          <w:tcPr>
            <w:tcW w:w="3240" w:type="dxa"/>
            <w:vAlign w:val="bottom"/>
            <w:vMerge w:val="continue"/>
          </w:tcPr>
          <w:p>
            <w:pPr>
              <w:spacing w:after="0"/>
              <w:rPr>
                <w:sz w:val="14"/>
                <w:szCs w:val="14"/>
                <w:color w:val="auto"/>
              </w:rPr>
            </w:pPr>
          </w:p>
        </w:tc>
        <w:tc>
          <w:tcPr>
            <w:tcW w:w="4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3080" w:type="dxa"/>
            <w:vAlign w:val="bottom"/>
            <w:vMerge w:val="continue"/>
          </w:tcPr>
          <w:p>
            <w:pPr>
              <w:spacing w:after="0"/>
              <w:rPr>
                <w:sz w:val="4"/>
                <w:szCs w:val="4"/>
                <w:color w:val="auto"/>
              </w:rPr>
            </w:pPr>
          </w:p>
        </w:tc>
        <w:tc>
          <w:tcPr>
            <w:tcW w:w="580" w:type="dxa"/>
            <w:vAlign w:val="bottom"/>
            <w:vMerge w:val="continue"/>
          </w:tcPr>
          <w:p>
            <w:pPr>
              <w:spacing w:after="0"/>
              <w:rPr>
                <w:sz w:val="4"/>
                <w:szCs w:val="4"/>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10">
              <w:r>
                <w:rPr>
                  <w:rFonts w:ascii="Arial" w:cs="Arial" w:eastAsia="Arial" w:hAnsi="Arial"/>
                  <w:sz w:val="14"/>
                  <w:szCs w:val="14"/>
                  <w:color w:val="auto"/>
                </w:rPr>
                <w:t>Audit Fees</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10">
              <w:r>
                <w:rPr>
                  <w:rFonts w:ascii="Arial" w:cs="Arial" w:eastAsia="Arial" w:hAnsi="Arial"/>
                  <w:sz w:val="14"/>
                  <w:szCs w:val="14"/>
                  <w:b w:val="1"/>
                  <w:bCs w:val="1"/>
                  <w:color w:val="auto"/>
                </w:rPr>
                <w:t>101</w:t>
              </w:r>
            </w:hyperlink>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color w:val="auto"/>
              </w:rPr>
            </w:pPr>
            <w:hyperlink w:anchor="page12">
              <w:r>
                <w:rPr>
                  <w:rFonts w:ascii="Arial" w:cs="Arial" w:eastAsia="Arial" w:hAnsi="Arial"/>
                  <w:sz w:val="14"/>
                  <w:szCs w:val="14"/>
                  <w:color w:val="auto"/>
                </w:rPr>
                <w:t>The Value We Create</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12">
              <w:r>
                <w:rPr>
                  <w:rFonts w:ascii="Arial" w:cs="Arial" w:eastAsia="Arial" w:hAnsi="Arial"/>
                  <w:sz w:val="14"/>
                  <w:szCs w:val="14"/>
                  <w:b w:val="1"/>
                  <w:bCs w:val="1"/>
                  <w:color w:val="auto"/>
                </w:rPr>
                <w:t>3</w:t>
              </w:r>
            </w:hyperlink>
          </w:p>
        </w:tc>
        <w:tc>
          <w:tcPr>
            <w:tcW w:w="3240" w:type="dxa"/>
            <w:vAlign w:val="bottom"/>
            <w:vMerge w:val="continue"/>
          </w:tcPr>
          <w:p>
            <w:pPr>
              <w:spacing w:after="0"/>
              <w:rPr>
                <w:sz w:val="14"/>
                <w:szCs w:val="14"/>
                <w:color w:val="auto"/>
              </w:rPr>
            </w:pPr>
          </w:p>
        </w:tc>
        <w:tc>
          <w:tcPr>
            <w:tcW w:w="4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3080" w:type="dxa"/>
            <w:vAlign w:val="bottom"/>
            <w:vMerge w:val="continue"/>
          </w:tcPr>
          <w:p>
            <w:pPr>
              <w:spacing w:after="0"/>
              <w:rPr>
                <w:sz w:val="4"/>
                <w:szCs w:val="4"/>
                <w:color w:val="auto"/>
              </w:rPr>
            </w:pPr>
          </w:p>
        </w:tc>
        <w:tc>
          <w:tcPr>
            <w:tcW w:w="580" w:type="dxa"/>
            <w:vAlign w:val="bottom"/>
            <w:vMerge w:val="continue"/>
          </w:tcPr>
          <w:p>
            <w:pPr>
              <w:spacing w:after="0"/>
              <w:rPr>
                <w:sz w:val="4"/>
                <w:szCs w:val="4"/>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10">
              <w:r>
                <w:rPr>
                  <w:rFonts w:ascii="Arial" w:cs="Arial" w:eastAsia="Arial" w:hAnsi="Arial"/>
                  <w:sz w:val="14"/>
                  <w:szCs w:val="14"/>
                  <w:color w:val="auto"/>
                </w:rPr>
                <w:t>Report of the Audit Committee</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10">
              <w:r>
                <w:rPr>
                  <w:rFonts w:ascii="Arial" w:cs="Arial" w:eastAsia="Arial" w:hAnsi="Arial"/>
                  <w:sz w:val="14"/>
                  <w:szCs w:val="14"/>
                  <w:b w:val="1"/>
                  <w:bCs w:val="1"/>
                  <w:color w:val="auto"/>
                </w:rPr>
                <w:t>101</w:t>
              </w:r>
            </w:hyperlink>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color w:val="auto"/>
              </w:rPr>
            </w:pPr>
            <w:hyperlink w:anchor="page14">
              <w:r>
                <w:rPr>
                  <w:rFonts w:ascii="Arial" w:cs="Arial" w:eastAsia="Arial" w:hAnsi="Arial"/>
                  <w:sz w:val="14"/>
                  <w:szCs w:val="14"/>
                  <w:color w:val="auto"/>
                </w:rPr>
                <w:t>Financial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14">
              <w:r>
                <w:rPr>
                  <w:rFonts w:ascii="Arial" w:cs="Arial" w:eastAsia="Arial" w:hAnsi="Arial"/>
                  <w:sz w:val="14"/>
                  <w:szCs w:val="14"/>
                  <w:b w:val="1"/>
                  <w:bCs w:val="1"/>
                  <w:color w:val="auto"/>
                </w:rPr>
                <w:t>5</w:t>
              </w:r>
            </w:hyperlink>
          </w:p>
        </w:tc>
        <w:tc>
          <w:tcPr>
            <w:tcW w:w="3240" w:type="dxa"/>
            <w:vAlign w:val="bottom"/>
            <w:vMerge w:val="continue"/>
          </w:tcPr>
          <w:p>
            <w:pPr>
              <w:spacing w:after="0"/>
              <w:rPr>
                <w:sz w:val="14"/>
                <w:szCs w:val="14"/>
                <w:color w:val="auto"/>
              </w:rPr>
            </w:pPr>
          </w:p>
        </w:tc>
        <w:tc>
          <w:tcPr>
            <w:tcW w:w="4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3080" w:type="dxa"/>
            <w:vAlign w:val="bottom"/>
            <w:vMerge w:val="continue"/>
          </w:tcPr>
          <w:p>
            <w:pPr>
              <w:spacing w:after="0"/>
              <w:rPr>
                <w:sz w:val="4"/>
                <w:szCs w:val="4"/>
                <w:color w:val="auto"/>
              </w:rPr>
            </w:pPr>
          </w:p>
        </w:tc>
        <w:tc>
          <w:tcPr>
            <w:tcW w:w="580" w:type="dxa"/>
            <w:vAlign w:val="bottom"/>
            <w:vMerge w:val="continue"/>
          </w:tcPr>
          <w:p>
            <w:pPr>
              <w:spacing w:after="0"/>
              <w:rPr>
                <w:sz w:val="4"/>
                <w:szCs w:val="4"/>
                <w:color w:val="auto"/>
              </w:rPr>
            </w:pPr>
          </w:p>
        </w:tc>
        <w:tc>
          <w:tcPr>
            <w:tcW w:w="3240" w:type="dxa"/>
            <w:vAlign w:val="bottom"/>
            <w:vMerge w:val="restart"/>
          </w:tcPr>
          <w:p>
            <w:pPr>
              <w:ind w:left="160"/>
              <w:spacing w:after="0"/>
              <w:rPr>
                <w:rFonts w:ascii="Arial" w:cs="Arial" w:eastAsia="Arial" w:hAnsi="Arial"/>
                <w:sz w:val="14"/>
                <w:szCs w:val="14"/>
                <w:b w:val="1"/>
                <w:bCs w:val="1"/>
                <w:color w:val="355675"/>
              </w:rPr>
            </w:pPr>
            <w:hyperlink w:anchor="page112">
              <w:r>
                <w:rPr>
                  <w:rFonts w:ascii="Arial" w:cs="Arial" w:eastAsia="Arial" w:hAnsi="Arial"/>
                  <w:sz w:val="14"/>
                  <w:szCs w:val="14"/>
                  <w:b w:val="1"/>
                  <w:bCs w:val="1"/>
                  <w:color w:val="355675"/>
                </w:rPr>
                <w:t>Stock Matters</w:t>
              </w:r>
            </w:hyperlink>
          </w:p>
        </w:tc>
        <w:tc>
          <w:tcPr>
            <w:tcW w:w="400" w:type="dxa"/>
            <w:vAlign w:val="bottom"/>
            <w:vMerge w:val="restart"/>
          </w:tcPr>
          <w:p>
            <w:pPr>
              <w:jc w:val="right"/>
              <w:spacing w:after="0"/>
              <w:rPr>
                <w:rFonts w:ascii="Arial" w:cs="Arial" w:eastAsia="Arial" w:hAnsi="Arial"/>
                <w:sz w:val="14"/>
                <w:szCs w:val="14"/>
                <w:b w:val="1"/>
                <w:bCs w:val="1"/>
                <w:color w:val="355675"/>
              </w:rPr>
            </w:pPr>
            <w:hyperlink w:anchor="page112">
              <w:r>
                <w:rPr>
                  <w:rFonts w:ascii="Arial" w:cs="Arial" w:eastAsia="Arial" w:hAnsi="Arial"/>
                  <w:sz w:val="14"/>
                  <w:szCs w:val="14"/>
                  <w:b w:val="1"/>
                  <w:bCs w:val="1"/>
                  <w:color w:val="355675"/>
                </w:rPr>
                <w:t>103</w:t>
              </w:r>
            </w:hyperlink>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color w:val="auto"/>
              </w:rPr>
            </w:pPr>
            <w:hyperlink w:anchor="page15">
              <w:r>
                <w:rPr>
                  <w:rFonts w:ascii="Arial" w:cs="Arial" w:eastAsia="Arial" w:hAnsi="Arial"/>
                  <w:sz w:val="14"/>
                  <w:szCs w:val="14"/>
                  <w:color w:val="auto"/>
                </w:rPr>
                <w:t>Customer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15">
              <w:r>
                <w:rPr>
                  <w:rFonts w:ascii="Arial" w:cs="Arial" w:eastAsia="Arial" w:hAnsi="Arial"/>
                  <w:sz w:val="14"/>
                  <w:szCs w:val="14"/>
                  <w:b w:val="1"/>
                  <w:bCs w:val="1"/>
                  <w:color w:val="auto"/>
                </w:rPr>
                <w:t>6</w:t>
              </w:r>
            </w:hyperlink>
          </w:p>
        </w:tc>
        <w:tc>
          <w:tcPr>
            <w:tcW w:w="3240" w:type="dxa"/>
            <w:vAlign w:val="bottom"/>
            <w:vMerge w:val="continue"/>
          </w:tcPr>
          <w:p>
            <w:pPr>
              <w:spacing w:after="0"/>
              <w:rPr>
                <w:sz w:val="14"/>
                <w:szCs w:val="14"/>
                <w:color w:val="auto"/>
              </w:rPr>
            </w:pPr>
          </w:p>
        </w:tc>
        <w:tc>
          <w:tcPr>
            <w:tcW w:w="4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3080" w:type="dxa"/>
            <w:vAlign w:val="bottom"/>
            <w:vMerge w:val="continue"/>
          </w:tcPr>
          <w:p>
            <w:pPr>
              <w:spacing w:after="0"/>
              <w:rPr>
                <w:sz w:val="4"/>
                <w:szCs w:val="4"/>
                <w:color w:val="auto"/>
              </w:rPr>
            </w:pPr>
          </w:p>
        </w:tc>
        <w:tc>
          <w:tcPr>
            <w:tcW w:w="580" w:type="dxa"/>
            <w:vAlign w:val="bottom"/>
            <w:vMerge w:val="continue"/>
          </w:tcPr>
          <w:p>
            <w:pPr>
              <w:spacing w:after="0"/>
              <w:rPr>
                <w:sz w:val="4"/>
                <w:szCs w:val="4"/>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12">
              <w:r>
                <w:rPr>
                  <w:rFonts w:ascii="Arial" w:cs="Arial" w:eastAsia="Arial" w:hAnsi="Arial"/>
                  <w:sz w:val="14"/>
                  <w:szCs w:val="14"/>
                  <w:color w:val="auto"/>
                </w:rPr>
                <w:t>Ownership of Pinnacle West Stock</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12">
              <w:r>
                <w:rPr>
                  <w:rFonts w:ascii="Arial" w:cs="Arial" w:eastAsia="Arial" w:hAnsi="Arial"/>
                  <w:sz w:val="14"/>
                  <w:szCs w:val="14"/>
                  <w:b w:val="1"/>
                  <w:bCs w:val="1"/>
                  <w:color w:val="auto"/>
                </w:rPr>
                <w:t>103</w:t>
              </w:r>
            </w:hyperlink>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color w:val="auto"/>
              </w:rPr>
            </w:pPr>
            <w:hyperlink w:anchor="page17">
              <w:r>
                <w:rPr>
                  <w:rFonts w:ascii="Arial" w:cs="Arial" w:eastAsia="Arial" w:hAnsi="Arial"/>
                  <w:sz w:val="14"/>
                  <w:szCs w:val="14"/>
                  <w:color w:val="auto"/>
                </w:rPr>
                <w:t>Employee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17">
              <w:r>
                <w:rPr>
                  <w:rFonts w:ascii="Arial" w:cs="Arial" w:eastAsia="Arial" w:hAnsi="Arial"/>
                  <w:sz w:val="14"/>
                  <w:szCs w:val="14"/>
                  <w:b w:val="1"/>
                  <w:bCs w:val="1"/>
                  <w:color w:val="auto"/>
                </w:rPr>
                <w:t>8</w:t>
              </w:r>
            </w:hyperlink>
          </w:p>
        </w:tc>
        <w:tc>
          <w:tcPr>
            <w:tcW w:w="3240" w:type="dxa"/>
            <w:vAlign w:val="bottom"/>
            <w:vMerge w:val="continue"/>
          </w:tcPr>
          <w:p>
            <w:pPr>
              <w:spacing w:after="0"/>
              <w:rPr>
                <w:sz w:val="14"/>
                <w:szCs w:val="14"/>
                <w:color w:val="auto"/>
              </w:rPr>
            </w:pPr>
          </w:p>
        </w:tc>
        <w:tc>
          <w:tcPr>
            <w:tcW w:w="4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3080" w:type="dxa"/>
            <w:vAlign w:val="bottom"/>
            <w:vMerge w:val="continue"/>
          </w:tcPr>
          <w:p>
            <w:pPr>
              <w:spacing w:after="0"/>
              <w:rPr>
                <w:sz w:val="4"/>
                <w:szCs w:val="4"/>
                <w:color w:val="auto"/>
              </w:rPr>
            </w:pPr>
          </w:p>
        </w:tc>
        <w:tc>
          <w:tcPr>
            <w:tcW w:w="580" w:type="dxa"/>
            <w:vAlign w:val="bottom"/>
            <w:vMerge w:val="continue"/>
          </w:tcPr>
          <w:p>
            <w:pPr>
              <w:spacing w:after="0"/>
              <w:rPr>
                <w:sz w:val="4"/>
                <w:szCs w:val="4"/>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13">
              <w:r>
                <w:rPr>
                  <w:rFonts w:ascii="Arial" w:cs="Arial" w:eastAsia="Arial" w:hAnsi="Arial"/>
                  <w:sz w:val="14"/>
                  <w:szCs w:val="14"/>
                  <w:color w:val="auto"/>
                </w:rPr>
                <w:t>Section 16(a) Beneficial Ownership Reporting</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13">
              <w:r>
                <w:rPr>
                  <w:rFonts w:ascii="Arial" w:cs="Arial" w:eastAsia="Arial" w:hAnsi="Arial"/>
                  <w:sz w:val="14"/>
                  <w:szCs w:val="14"/>
                  <w:b w:val="1"/>
                  <w:bCs w:val="1"/>
                  <w:color w:val="auto"/>
                </w:rPr>
                <w:t>104</w:t>
              </w:r>
            </w:hyperlink>
          </w:p>
        </w:tc>
        <w:tc>
          <w:tcPr>
            <w:tcW w:w="0" w:type="dxa"/>
            <w:vAlign w:val="bottom"/>
          </w:tcPr>
          <w:p>
            <w:pPr>
              <w:spacing w:after="0"/>
              <w:rPr>
                <w:sz w:val="1"/>
                <w:szCs w:val="1"/>
                <w:color w:val="auto"/>
              </w:rPr>
            </w:pPr>
          </w:p>
        </w:tc>
      </w:tr>
      <w:tr>
        <w:trPr>
          <w:trHeight w:val="128"/>
        </w:trPr>
        <w:tc>
          <w:tcPr>
            <w:tcW w:w="3080" w:type="dxa"/>
            <w:vAlign w:val="bottom"/>
            <w:vMerge w:val="restart"/>
          </w:tcPr>
          <w:p>
            <w:pPr>
              <w:spacing w:after="0"/>
              <w:rPr>
                <w:rFonts w:ascii="Arial" w:cs="Arial" w:eastAsia="Arial" w:hAnsi="Arial"/>
                <w:sz w:val="14"/>
                <w:szCs w:val="14"/>
                <w:color w:val="auto"/>
              </w:rPr>
            </w:pPr>
            <w:hyperlink w:anchor="page21">
              <w:r>
                <w:rPr>
                  <w:rFonts w:ascii="Arial" w:cs="Arial" w:eastAsia="Arial" w:hAnsi="Arial"/>
                  <w:sz w:val="14"/>
                  <w:szCs w:val="14"/>
                  <w:color w:val="auto"/>
                </w:rPr>
                <w:t>Environmental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21">
              <w:r>
                <w:rPr>
                  <w:rFonts w:ascii="Arial" w:cs="Arial" w:eastAsia="Arial" w:hAnsi="Arial"/>
                  <w:sz w:val="14"/>
                  <w:szCs w:val="14"/>
                  <w:b w:val="1"/>
                  <w:bCs w:val="1"/>
                  <w:color w:val="auto"/>
                </w:rPr>
                <w:t>12</w:t>
              </w:r>
            </w:hyperlink>
          </w:p>
        </w:tc>
        <w:tc>
          <w:tcPr>
            <w:tcW w:w="3240" w:type="dxa"/>
            <w:vAlign w:val="bottom"/>
            <w:vMerge w:val="continue"/>
          </w:tcPr>
          <w:p>
            <w:pPr>
              <w:spacing w:after="0"/>
              <w:rPr>
                <w:sz w:val="11"/>
                <w:szCs w:val="11"/>
                <w:color w:val="auto"/>
              </w:rPr>
            </w:pPr>
          </w:p>
        </w:tc>
        <w:tc>
          <w:tcPr>
            <w:tcW w:w="4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3080" w:type="dxa"/>
            <w:vAlign w:val="bottom"/>
            <w:vMerge w:val="continue"/>
          </w:tcPr>
          <w:p>
            <w:pPr>
              <w:spacing w:after="0"/>
              <w:rPr>
                <w:sz w:val="7"/>
                <w:szCs w:val="7"/>
                <w:color w:val="auto"/>
              </w:rPr>
            </w:pPr>
          </w:p>
        </w:tc>
        <w:tc>
          <w:tcPr>
            <w:tcW w:w="580" w:type="dxa"/>
            <w:vAlign w:val="bottom"/>
            <w:vMerge w:val="continue"/>
          </w:tcPr>
          <w:p>
            <w:pPr>
              <w:spacing w:after="0"/>
              <w:rPr>
                <w:sz w:val="7"/>
                <w:szCs w:val="7"/>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13">
              <w:r>
                <w:rPr>
                  <w:rFonts w:ascii="Arial" w:cs="Arial" w:eastAsia="Arial" w:hAnsi="Arial"/>
                  <w:sz w:val="14"/>
                  <w:szCs w:val="14"/>
                  <w:color w:val="auto"/>
                </w:rPr>
                <w:t>Compliance</w:t>
              </w:r>
            </w:hyperlink>
          </w:p>
        </w:tc>
        <w:tc>
          <w:tcPr>
            <w:tcW w:w="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2"/>
        </w:trPr>
        <w:tc>
          <w:tcPr>
            <w:tcW w:w="3080" w:type="dxa"/>
            <w:vAlign w:val="bottom"/>
            <w:vMerge w:val="restart"/>
          </w:tcPr>
          <w:p>
            <w:pPr>
              <w:spacing w:after="0"/>
              <w:rPr>
                <w:rFonts w:ascii="Arial" w:cs="Arial" w:eastAsia="Arial" w:hAnsi="Arial"/>
                <w:sz w:val="14"/>
                <w:szCs w:val="14"/>
                <w:color w:val="auto"/>
              </w:rPr>
            </w:pPr>
            <w:hyperlink w:anchor="page23">
              <w:r>
                <w:rPr>
                  <w:rFonts w:ascii="Arial" w:cs="Arial" w:eastAsia="Arial" w:hAnsi="Arial"/>
                  <w:sz w:val="14"/>
                  <w:szCs w:val="14"/>
                  <w:color w:val="auto"/>
                </w:rPr>
                <w:t>Community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23">
              <w:r>
                <w:rPr>
                  <w:rFonts w:ascii="Arial" w:cs="Arial" w:eastAsia="Arial" w:hAnsi="Arial"/>
                  <w:sz w:val="14"/>
                  <w:szCs w:val="14"/>
                  <w:b w:val="1"/>
                  <w:bCs w:val="1"/>
                  <w:color w:val="auto"/>
                </w:rPr>
                <w:t>14</w:t>
              </w:r>
            </w:hyperlink>
          </w:p>
        </w:tc>
        <w:tc>
          <w:tcPr>
            <w:tcW w:w="3240" w:type="dxa"/>
            <w:vAlign w:val="bottom"/>
            <w:vMerge w:val="continue"/>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4"/>
        </w:trPr>
        <w:tc>
          <w:tcPr>
            <w:tcW w:w="308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3240" w:type="dxa"/>
            <w:vAlign w:val="bottom"/>
            <w:vMerge w:val="restart"/>
          </w:tcPr>
          <w:p>
            <w:pPr>
              <w:ind w:left="160"/>
              <w:spacing w:after="0"/>
              <w:rPr>
                <w:rFonts w:ascii="Arial" w:cs="Arial" w:eastAsia="Arial" w:hAnsi="Arial"/>
                <w:sz w:val="14"/>
                <w:szCs w:val="14"/>
                <w:b w:val="1"/>
                <w:bCs w:val="1"/>
                <w:color w:val="355675"/>
              </w:rPr>
            </w:pPr>
            <w:hyperlink w:anchor="page114">
              <w:r>
                <w:rPr>
                  <w:rFonts w:ascii="Arial" w:cs="Arial" w:eastAsia="Arial" w:hAnsi="Arial"/>
                  <w:sz w:val="14"/>
                  <w:szCs w:val="14"/>
                  <w:b w:val="1"/>
                  <w:bCs w:val="1"/>
                  <w:color w:val="355675"/>
                </w:rPr>
                <w:t>Shareholder Proposal</w:t>
              </w:r>
            </w:hyperlink>
          </w:p>
        </w:tc>
        <w:tc>
          <w:tcPr>
            <w:tcW w:w="400" w:type="dxa"/>
            <w:vAlign w:val="bottom"/>
            <w:vMerge w:val="restart"/>
          </w:tcPr>
          <w:p>
            <w:pPr>
              <w:jc w:val="right"/>
              <w:spacing w:after="0"/>
              <w:rPr>
                <w:rFonts w:ascii="Arial" w:cs="Arial" w:eastAsia="Arial" w:hAnsi="Arial"/>
                <w:sz w:val="14"/>
                <w:szCs w:val="14"/>
                <w:b w:val="1"/>
                <w:bCs w:val="1"/>
                <w:color w:val="355675"/>
              </w:rPr>
            </w:pPr>
            <w:hyperlink w:anchor="page114">
              <w:r>
                <w:rPr>
                  <w:rFonts w:ascii="Arial" w:cs="Arial" w:eastAsia="Arial" w:hAnsi="Arial"/>
                  <w:sz w:val="14"/>
                  <w:szCs w:val="14"/>
                  <w:b w:val="1"/>
                  <w:bCs w:val="1"/>
                  <w:color w:val="355675"/>
                </w:rPr>
                <w:t>105</w:t>
              </w:r>
            </w:hyperlink>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color w:val="auto"/>
              </w:rPr>
            </w:pPr>
            <w:hyperlink w:anchor="page24">
              <w:r>
                <w:rPr>
                  <w:rFonts w:ascii="Arial" w:cs="Arial" w:eastAsia="Arial" w:hAnsi="Arial"/>
                  <w:sz w:val="14"/>
                  <w:szCs w:val="14"/>
                  <w:color w:val="auto"/>
                </w:rPr>
                <w:t>Governance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24">
              <w:r>
                <w:rPr>
                  <w:rFonts w:ascii="Arial" w:cs="Arial" w:eastAsia="Arial" w:hAnsi="Arial"/>
                  <w:sz w:val="14"/>
                  <w:szCs w:val="14"/>
                  <w:b w:val="1"/>
                  <w:bCs w:val="1"/>
                  <w:color w:val="auto"/>
                </w:rPr>
                <w:t>15</w:t>
              </w:r>
            </w:hyperlink>
          </w:p>
        </w:tc>
        <w:tc>
          <w:tcPr>
            <w:tcW w:w="3240" w:type="dxa"/>
            <w:vAlign w:val="bottom"/>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08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3240" w:type="dxa"/>
            <w:vAlign w:val="bottom"/>
            <w:vMerge w:val="restart"/>
          </w:tcPr>
          <w:p>
            <w:pPr>
              <w:ind w:left="480"/>
              <w:spacing w:after="0"/>
              <w:rPr>
                <w:rFonts w:ascii="Arial" w:cs="Arial" w:eastAsia="Arial" w:hAnsi="Arial"/>
                <w:sz w:val="14"/>
                <w:szCs w:val="14"/>
                <w:b w:val="1"/>
                <w:bCs w:val="1"/>
                <w:color w:val="008C9F"/>
              </w:rPr>
            </w:pPr>
            <w:hyperlink w:anchor="page114">
              <w:r>
                <w:rPr>
                  <w:rFonts w:ascii="Arial" w:cs="Arial" w:eastAsia="Arial" w:hAnsi="Arial"/>
                  <w:sz w:val="14"/>
                  <w:szCs w:val="14"/>
                  <w:b w:val="1"/>
                  <w:bCs w:val="1"/>
                  <w:color w:val="008C9F"/>
                </w:rPr>
                <w:t>Proposal 4: Shareholder Proposal</w:t>
              </w:r>
            </w:hyperlink>
          </w:p>
        </w:tc>
        <w:tc>
          <w:tcPr>
            <w:tcW w:w="400" w:type="dxa"/>
            <w:vAlign w:val="bottom"/>
            <w:vMerge w:val="restart"/>
          </w:tcPr>
          <w:p>
            <w:pPr>
              <w:jc w:val="right"/>
              <w:spacing w:after="0"/>
              <w:rPr>
                <w:rFonts w:ascii="Arial" w:cs="Arial" w:eastAsia="Arial" w:hAnsi="Arial"/>
                <w:sz w:val="14"/>
                <w:szCs w:val="14"/>
                <w:b w:val="1"/>
                <w:bCs w:val="1"/>
                <w:color w:val="008C9F"/>
              </w:rPr>
            </w:pPr>
            <w:hyperlink w:anchor="page114">
              <w:r>
                <w:rPr>
                  <w:rFonts w:ascii="Arial" w:cs="Arial" w:eastAsia="Arial" w:hAnsi="Arial"/>
                  <w:sz w:val="14"/>
                  <w:szCs w:val="14"/>
                  <w:b w:val="1"/>
                  <w:bCs w:val="1"/>
                  <w:color w:val="008C9F"/>
                </w:rPr>
                <w:t>105</w:t>
              </w:r>
            </w:hyperlink>
          </w:p>
        </w:tc>
        <w:tc>
          <w:tcPr>
            <w:tcW w:w="0" w:type="dxa"/>
            <w:vAlign w:val="bottom"/>
          </w:tcPr>
          <w:p>
            <w:pPr>
              <w:spacing w:after="0"/>
              <w:rPr>
                <w:sz w:val="1"/>
                <w:szCs w:val="1"/>
                <w:color w:val="auto"/>
              </w:rPr>
            </w:pPr>
          </w:p>
        </w:tc>
      </w:tr>
      <w:tr>
        <w:trPr>
          <w:trHeight w:val="74"/>
        </w:trPr>
        <w:tc>
          <w:tcPr>
            <w:tcW w:w="3080" w:type="dxa"/>
            <w:vAlign w:val="bottom"/>
            <w:vMerge w:val="restart"/>
          </w:tcPr>
          <w:p>
            <w:pPr>
              <w:spacing w:after="0"/>
              <w:rPr>
                <w:rFonts w:ascii="Arial" w:cs="Arial" w:eastAsia="Arial" w:hAnsi="Arial"/>
                <w:sz w:val="14"/>
                <w:szCs w:val="14"/>
                <w:color w:val="auto"/>
              </w:rPr>
            </w:pPr>
            <w:hyperlink w:anchor="page25">
              <w:r>
                <w:rPr>
                  <w:rFonts w:ascii="Arial" w:cs="Arial" w:eastAsia="Arial" w:hAnsi="Arial"/>
                  <w:sz w:val="14"/>
                  <w:szCs w:val="14"/>
                  <w:color w:val="auto"/>
                </w:rPr>
                <w:t>Board Highlights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25">
              <w:r>
                <w:rPr>
                  <w:rFonts w:ascii="Arial" w:cs="Arial" w:eastAsia="Arial" w:hAnsi="Arial"/>
                  <w:sz w:val="14"/>
                  <w:szCs w:val="14"/>
                  <w:b w:val="1"/>
                  <w:bCs w:val="1"/>
                  <w:color w:val="auto"/>
                </w:rPr>
                <w:t>16</w:t>
              </w:r>
            </w:hyperlink>
          </w:p>
        </w:tc>
        <w:tc>
          <w:tcPr>
            <w:tcW w:w="3240" w:type="dxa"/>
            <w:vAlign w:val="bottom"/>
            <w:vMerge w:val="continue"/>
          </w:tcPr>
          <w:p>
            <w:pPr>
              <w:spacing w:after="0"/>
              <w:rPr>
                <w:sz w:val="6"/>
                <w:szCs w:val="6"/>
                <w:color w:val="auto"/>
              </w:rPr>
            </w:pPr>
          </w:p>
        </w:tc>
        <w:tc>
          <w:tcPr>
            <w:tcW w:w="4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62"/>
        </w:trPr>
        <w:tc>
          <w:tcPr>
            <w:tcW w:w="3080" w:type="dxa"/>
            <w:vAlign w:val="bottom"/>
            <w:vMerge w:val="continue"/>
          </w:tcPr>
          <w:p>
            <w:pPr>
              <w:spacing w:after="0"/>
              <w:rPr>
                <w:sz w:val="14"/>
                <w:szCs w:val="14"/>
                <w:color w:val="auto"/>
              </w:rPr>
            </w:pPr>
          </w:p>
        </w:tc>
        <w:tc>
          <w:tcPr>
            <w:tcW w:w="580" w:type="dxa"/>
            <w:vAlign w:val="bottom"/>
            <w:vMerge w:val="continue"/>
          </w:tcPr>
          <w:p>
            <w:pPr>
              <w:spacing w:after="0"/>
              <w:rPr>
                <w:sz w:val="14"/>
                <w:szCs w:val="14"/>
                <w:color w:val="auto"/>
              </w:rPr>
            </w:pPr>
          </w:p>
        </w:tc>
        <w:tc>
          <w:tcPr>
            <w:tcW w:w="3240" w:type="dxa"/>
            <w:vAlign w:val="bottom"/>
          </w:tcPr>
          <w:p>
            <w:pPr>
              <w:ind w:left="480"/>
              <w:spacing w:after="0"/>
              <w:rPr>
                <w:rFonts w:ascii="Arial" w:cs="Arial" w:eastAsia="Arial" w:hAnsi="Arial"/>
                <w:sz w:val="14"/>
                <w:szCs w:val="14"/>
                <w:b w:val="1"/>
                <w:bCs w:val="1"/>
                <w:color w:val="008C9F"/>
              </w:rPr>
            </w:pPr>
            <w:hyperlink w:anchor="page114">
              <w:r>
                <w:rPr>
                  <w:rFonts w:ascii="Arial" w:cs="Arial" w:eastAsia="Arial" w:hAnsi="Arial"/>
                  <w:sz w:val="14"/>
                  <w:szCs w:val="14"/>
                  <w:b w:val="1"/>
                  <w:bCs w:val="1"/>
                  <w:color w:val="008C9F"/>
                </w:rPr>
                <w:t>Seeking to Reduce Ownership</w:t>
              </w:r>
            </w:hyperlink>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080" w:type="dxa"/>
            <w:vAlign w:val="bottom"/>
          </w:tcPr>
          <w:p>
            <w:pPr>
              <w:spacing w:after="0"/>
              <w:rPr>
                <w:rFonts w:ascii="Arial" w:cs="Arial" w:eastAsia="Arial" w:hAnsi="Arial"/>
                <w:sz w:val="14"/>
                <w:szCs w:val="14"/>
                <w:color w:val="auto"/>
              </w:rPr>
            </w:pPr>
            <w:hyperlink w:anchor="page28">
              <w:r>
                <w:rPr>
                  <w:rFonts w:ascii="Arial" w:cs="Arial" w:eastAsia="Arial" w:hAnsi="Arial"/>
                  <w:sz w:val="14"/>
                  <w:szCs w:val="14"/>
                  <w:color w:val="auto"/>
                </w:rPr>
                <w:t>Compensation Highlights</w:t>
              </w:r>
            </w:hyperlink>
          </w:p>
        </w:tc>
        <w:tc>
          <w:tcPr>
            <w:tcW w:w="580" w:type="dxa"/>
            <w:vAlign w:val="bottom"/>
          </w:tcPr>
          <w:p>
            <w:pPr>
              <w:jc w:val="right"/>
              <w:ind w:right="108"/>
              <w:spacing w:after="0"/>
              <w:rPr>
                <w:rFonts w:ascii="Arial" w:cs="Arial" w:eastAsia="Arial" w:hAnsi="Arial"/>
                <w:sz w:val="14"/>
                <w:szCs w:val="14"/>
                <w:b w:val="1"/>
                <w:bCs w:val="1"/>
                <w:color w:val="auto"/>
              </w:rPr>
            </w:pPr>
            <w:hyperlink w:anchor="page28">
              <w:r>
                <w:rPr>
                  <w:rFonts w:ascii="Arial" w:cs="Arial" w:eastAsia="Arial" w:hAnsi="Arial"/>
                  <w:sz w:val="14"/>
                  <w:szCs w:val="14"/>
                  <w:b w:val="1"/>
                  <w:bCs w:val="1"/>
                  <w:color w:val="auto"/>
                </w:rPr>
                <w:t>19</w:t>
              </w:r>
            </w:hyperlink>
          </w:p>
        </w:tc>
        <w:tc>
          <w:tcPr>
            <w:tcW w:w="3240" w:type="dxa"/>
            <w:vAlign w:val="bottom"/>
          </w:tcPr>
          <w:p>
            <w:pPr>
              <w:ind w:left="480"/>
              <w:spacing w:after="0"/>
              <w:rPr>
                <w:rFonts w:ascii="Arial" w:cs="Arial" w:eastAsia="Arial" w:hAnsi="Arial"/>
                <w:sz w:val="14"/>
                <w:szCs w:val="14"/>
                <w:b w:val="1"/>
                <w:bCs w:val="1"/>
                <w:color w:val="008C9F"/>
              </w:rPr>
            </w:pPr>
            <w:hyperlink w:anchor="page114">
              <w:r>
                <w:rPr>
                  <w:rFonts w:ascii="Arial" w:cs="Arial" w:eastAsia="Arial" w:hAnsi="Arial"/>
                  <w:sz w:val="14"/>
                  <w:szCs w:val="14"/>
                  <w:b w:val="1"/>
                  <w:bCs w:val="1"/>
                  <w:color w:val="008C9F"/>
                </w:rPr>
                <w:t>Threshold to Call Special Shareholder</w:t>
              </w:r>
            </w:hyperlink>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rFonts w:ascii="Arial" w:cs="Arial" w:eastAsia="Arial" w:hAnsi="Arial"/>
                <w:sz w:val="14"/>
                <w:szCs w:val="14"/>
                <w:b w:val="1"/>
                <w:bCs w:val="1"/>
                <w:color w:val="355675"/>
              </w:rPr>
            </w:pPr>
            <w:hyperlink w:anchor="page30">
              <w:r>
                <w:rPr>
                  <w:rFonts w:ascii="Arial" w:cs="Arial" w:eastAsia="Arial" w:hAnsi="Arial"/>
                  <w:sz w:val="14"/>
                  <w:szCs w:val="14"/>
                  <w:b w:val="1"/>
                  <w:bCs w:val="1"/>
                  <w:color w:val="355675"/>
                </w:rPr>
                <w:t>Information About Our Board and</w:t>
              </w:r>
            </w:hyperlink>
          </w:p>
        </w:tc>
        <w:tc>
          <w:tcPr>
            <w:tcW w:w="580" w:type="dxa"/>
            <w:vAlign w:val="bottom"/>
          </w:tcPr>
          <w:p>
            <w:pPr>
              <w:jc w:val="right"/>
              <w:ind w:right="108"/>
              <w:spacing w:after="0"/>
              <w:rPr>
                <w:rFonts w:ascii="Arial" w:cs="Arial" w:eastAsia="Arial" w:hAnsi="Arial"/>
                <w:sz w:val="14"/>
                <w:szCs w:val="14"/>
                <w:b w:val="1"/>
                <w:bCs w:val="1"/>
                <w:color w:val="355675"/>
              </w:rPr>
            </w:pPr>
            <w:hyperlink w:anchor="page30">
              <w:r>
                <w:rPr>
                  <w:rFonts w:ascii="Arial" w:cs="Arial" w:eastAsia="Arial" w:hAnsi="Arial"/>
                  <w:sz w:val="14"/>
                  <w:szCs w:val="14"/>
                  <w:b w:val="1"/>
                  <w:bCs w:val="1"/>
                  <w:color w:val="355675"/>
                </w:rPr>
                <w:t>21</w:t>
              </w:r>
            </w:hyperlink>
          </w:p>
        </w:tc>
        <w:tc>
          <w:tcPr>
            <w:tcW w:w="3240" w:type="dxa"/>
            <w:vAlign w:val="bottom"/>
          </w:tcPr>
          <w:p>
            <w:pPr>
              <w:ind w:left="480"/>
              <w:spacing w:after="0"/>
              <w:rPr>
                <w:rFonts w:ascii="Arial" w:cs="Arial" w:eastAsia="Arial" w:hAnsi="Arial"/>
                <w:sz w:val="14"/>
                <w:szCs w:val="14"/>
                <w:b w:val="1"/>
                <w:bCs w:val="1"/>
                <w:color w:val="008C9F"/>
              </w:rPr>
            </w:pPr>
            <w:hyperlink w:anchor="page114">
              <w:r>
                <w:rPr>
                  <w:rFonts w:ascii="Arial" w:cs="Arial" w:eastAsia="Arial" w:hAnsi="Arial"/>
                  <w:sz w:val="14"/>
                  <w:szCs w:val="14"/>
                  <w:b w:val="1"/>
                  <w:bCs w:val="1"/>
                  <w:color w:val="008C9F"/>
                </w:rPr>
                <w:t>Meetings</w:t>
              </w:r>
            </w:hyperlink>
          </w:p>
        </w:tc>
        <w:tc>
          <w:tcPr>
            <w:tcW w:w="4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3080" w:type="dxa"/>
            <w:vAlign w:val="bottom"/>
          </w:tcPr>
          <w:p>
            <w:pPr>
              <w:spacing w:after="0"/>
              <w:rPr>
                <w:rFonts w:ascii="Arial" w:cs="Arial" w:eastAsia="Arial" w:hAnsi="Arial"/>
                <w:sz w:val="14"/>
                <w:szCs w:val="14"/>
                <w:b w:val="1"/>
                <w:bCs w:val="1"/>
                <w:color w:val="355675"/>
              </w:rPr>
            </w:pPr>
            <w:hyperlink w:anchor="page30">
              <w:r>
                <w:rPr>
                  <w:rFonts w:ascii="Arial" w:cs="Arial" w:eastAsia="Arial" w:hAnsi="Arial"/>
                  <w:sz w:val="14"/>
                  <w:szCs w:val="14"/>
                  <w:b w:val="1"/>
                  <w:bCs w:val="1"/>
                  <w:color w:val="355675"/>
                </w:rPr>
                <w:t>Corporate Governance</w:t>
              </w:r>
            </w:hyperlink>
          </w:p>
        </w:tc>
        <w:tc>
          <w:tcPr>
            <w:tcW w:w="580" w:type="dxa"/>
            <w:vAlign w:val="bottom"/>
          </w:tcPr>
          <w:p>
            <w:pPr>
              <w:spacing w:after="0"/>
              <w:rPr>
                <w:sz w:val="17"/>
                <w:szCs w:val="17"/>
                <w:color w:val="auto"/>
              </w:rPr>
            </w:pPr>
          </w:p>
        </w:tc>
        <w:tc>
          <w:tcPr>
            <w:tcW w:w="3240" w:type="dxa"/>
            <w:vAlign w:val="bottom"/>
          </w:tcPr>
          <w:p>
            <w:pPr>
              <w:ind w:left="160"/>
              <w:spacing w:after="0"/>
              <w:rPr>
                <w:rFonts w:ascii="Arial" w:cs="Arial" w:eastAsia="Arial" w:hAnsi="Arial"/>
                <w:sz w:val="14"/>
                <w:szCs w:val="14"/>
                <w:b w:val="1"/>
                <w:bCs w:val="1"/>
                <w:color w:val="355675"/>
              </w:rPr>
            </w:pPr>
            <w:hyperlink w:anchor="page117">
              <w:r>
                <w:rPr>
                  <w:rFonts w:ascii="Arial" w:cs="Arial" w:eastAsia="Arial" w:hAnsi="Arial"/>
                  <w:sz w:val="14"/>
                  <w:szCs w:val="14"/>
                  <w:b w:val="1"/>
                  <w:bCs w:val="1"/>
                  <w:color w:val="355675"/>
                </w:rPr>
                <w:t>General Information</w:t>
              </w:r>
            </w:hyperlink>
          </w:p>
        </w:tc>
        <w:tc>
          <w:tcPr>
            <w:tcW w:w="400" w:type="dxa"/>
            <w:vAlign w:val="bottom"/>
          </w:tcPr>
          <w:p>
            <w:pPr>
              <w:jc w:val="right"/>
              <w:spacing w:after="0"/>
              <w:rPr>
                <w:rFonts w:ascii="Arial" w:cs="Arial" w:eastAsia="Arial" w:hAnsi="Arial"/>
                <w:sz w:val="14"/>
                <w:szCs w:val="14"/>
                <w:b w:val="1"/>
                <w:bCs w:val="1"/>
                <w:color w:val="355675"/>
              </w:rPr>
            </w:pPr>
            <w:hyperlink w:anchor="page117">
              <w:r>
                <w:rPr>
                  <w:rFonts w:ascii="Arial" w:cs="Arial" w:eastAsia="Arial" w:hAnsi="Arial"/>
                  <w:sz w:val="14"/>
                  <w:szCs w:val="14"/>
                  <w:b w:val="1"/>
                  <w:bCs w:val="1"/>
                  <w:color w:val="355675"/>
                </w:rPr>
                <w:t>108</w:t>
              </w:r>
            </w:hyperlink>
          </w:p>
        </w:tc>
        <w:tc>
          <w:tcPr>
            <w:tcW w:w="0" w:type="dxa"/>
            <w:vAlign w:val="bottom"/>
          </w:tcPr>
          <w:p>
            <w:pPr>
              <w:spacing w:after="0"/>
              <w:rPr>
                <w:sz w:val="1"/>
                <w:szCs w:val="1"/>
                <w:color w:val="auto"/>
              </w:rPr>
            </w:pPr>
          </w:p>
        </w:tc>
      </w:tr>
      <w:tr>
        <w:trPr>
          <w:trHeight w:val="216"/>
        </w:trPr>
        <w:tc>
          <w:tcPr>
            <w:tcW w:w="3080" w:type="dxa"/>
            <w:vAlign w:val="bottom"/>
          </w:tcPr>
          <w:p>
            <w:pPr>
              <w:spacing w:after="0"/>
              <w:rPr>
                <w:rFonts w:ascii="Arial" w:cs="Arial" w:eastAsia="Arial" w:hAnsi="Arial"/>
                <w:sz w:val="14"/>
                <w:szCs w:val="14"/>
                <w:color w:val="auto"/>
              </w:rPr>
            </w:pPr>
            <w:hyperlink w:anchor="page30">
              <w:r>
                <w:rPr>
                  <w:rFonts w:ascii="Arial" w:cs="Arial" w:eastAsia="Arial" w:hAnsi="Arial"/>
                  <w:sz w:val="14"/>
                  <w:szCs w:val="14"/>
                  <w:color w:val="auto"/>
                </w:rPr>
                <w:t>Director Nomination Process</w:t>
              </w:r>
            </w:hyperlink>
          </w:p>
        </w:tc>
        <w:tc>
          <w:tcPr>
            <w:tcW w:w="580" w:type="dxa"/>
            <w:vAlign w:val="bottom"/>
          </w:tcPr>
          <w:p>
            <w:pPr>
              <w:jc w:val="right"/>
              <w:ind w:right="108"/>
              <w:spacing w:after="0"/>
              <w:rPr>
                <w:rFonts w:ascii="Arial" w:cs="Arial" w:eastAsia="Arial" w:hAnsi="Arial"/>
                <w:sz w:val="14"/>
                <w:szCs w:val="14"/>
                <w:b w:val="1"/>
                <w:bCs w:val="1"/>
                <w:color w:val="auto"/>
              </w:rPr>
            </w:pPr>
            <w:hyperlink w:anchor="page30">
              <w:r>
                <w:rPr>
                  <w:rFonts w:ascii="Arial" w:cs="Arial" w:eastAsia="Arial" w:hAnsi="Arial"/>
                  <w:sz w:val="14"/>
                  <w:szCs w:val="14"/>
                  <w:b w:val="1"/>
                  <w:bCs w:val="1"/>
                  <w:color w:val="auto"/>
                </w:rPr>
                <w:t>21</w:t>
              </w:r>
            </w:hyperlink>
          </w:p>
        </w:tc>
        <w:tc>
          <w:tcPr>
            <w:tcW w:w="3240" w:type="dxa"/>
            <w:vAlign w:val="bottom"/>
          </w:tcPr>
          <w:p>
            <w:pPr>
              <w:ind w:left="160"/>
              <w:spacing w:after="0"/>
              <w:rPr>
                <w:rFonts w:ascii="Arial" w:cs="Arial" w:eastAsia="Arial" w:hAnsi="Arial"/>
                <w:sz w:val="14"/>
                <w:szCs w:val="14"/>
                <w:color w:val="auto"/>
              </w:rPr>
            </w:pPr>
            <w:hyperlink w:anchor="page117">
              <w:r>
                <w:rPr>
                  <w:rFonts w:ascii="Arial" w:cs="Arial" w:eastAsia="Arial" w:hAnsi="Arial"/>
                  <w:sz w:val="14"/>
                  <w:szCs w:val="14"/>
                  <w:color w:val="auto"/>
                </w:rPr>
                <w:t>Time, Date and Place</w:t>
              </w:r>
            </w:hyperlink>
          </w:p>
        </w:tc>
        <w:tc>
          <w:tcPr>
            <w:tcW w:w="400" w:type="dxa"/>
            <w:vAlign w:val="bottom"/>
          </w:tcPr>
          <w:p>
            <w:pPr>
              <w:jc w:val="right"/>
              <w:spacing w:after="0"/>
              <w:rPr>
                <w:rFonts w:ascii="Arial" w:cs="Arial" w:eastAsia="Arial" w:hAnsi="Arial"/>
                <w:sz w:val="14"/>
                <w:szCs w:val="14"/>
                <w:b w:val="1"/>
                <w:bCs w:val="1"/>
                <w:color w:val="auto"/>
              </w:rPr>
            </w:pPr>
            <w:hyperlink w:anchor="page117">
              <w:r>
                <w:rPr>
                  <w:rFonts w:ascii="Arial" w:cs="Arial" w:eastAsia="Arial" w:hAnsi="Arial"/>
                  <w:sz w:val="14"/>
                  <w:szCs w:val="14"/>
                  <w:b w:val="1"/>
                  <w:bCs w:val="1"/>
                  <w:color w:val="auto"/>
                </w:rPr>
                <w:t>108</w:t>
              </w:r>
            </w:hyperlink>
          </w:p>
        </w:tc>
        <w:tc>
          <w:tcPr>
            <w:tcW w:w="0" w:type="dxa"/>
            <w:vAlign w:val="bottom"/>
          </w:tcPr>
          <w:p>
            <w:pPr>
              <w:spacing w:after="0"/>
              <w:rPr>
                <w:sz w:val="1"/>
                <w:szCs w:val="1"/>
                <w:color w:val="auto"/>
              </w:rPr>
            </w:pPr>
          </w:p>
        </w:tc>
      </w:tr>
      <w:tr>
        <w:trPr>
          <w:trHeight w:val="216"/>
        </w:trPr>
        <w:tc>
          <w:tcPr>
            <w:tcW w:w="3080" w:type="dxa"/>
            <w:vAlign w:val="bottom"/>
          </w:tcPr>
          <w:p>
            <w:pPr>
              <w:spacing w:after="0"/>
              <w:rPr>
                <w:rFonts w:ascii="Arial" w:cs="Arial" w:eastAsia="Arial" w:hAnsi="Arial"/>
                <w:sz w:val="14"/>
                <w:szCs w:val="14"/>
                <w:color w:val="auto"/>
              </w:rPr>
            </w:pPr>
            <w:hyperlink w:anchor="page33">
              <w:r>
                <w:rPr>
                  <w:rFonts w:ascii="Arial" w:cs="Arial" w:eastAsia="Arial" w:hAnsi="Arial"/>
                  <w:sz w:val="14"/>
                  <w:szCs w:val="14"/>
                  <w:color w:val="auto"/>
                </w:rPr>
                <w:t>Board Effectiveness</w:t>
              </w:r>
            </w:hyperlink>
          </w:p>
        </w:tc>
        <w:tc>
          <w:tcPr>
            <w:tcW w:w="580" w:type="dxa"/>
            <w:vAlign w:val="bottom"/>
          </w:tcPr>
          <w:p>
            <w:pPr>
              <w:jc w:val="right"/>
              <w:ind w:right="108"/>
              <w:spacing w:after="0"/>
              <w:rPr>
                <w:rFonts w:ascii="Arial" w:cs="Arial" w:eastAsia="Arial" w:hAnsi="Arial"/>
                <w:sz w:val="14"/>
                <w:szCs w:val="14"/>
                <w:b w:val="1"/>
                <w:bCs w:val="1"/>
                <w:color w:val="auto"/>
              </w:rPr>
            </w:pPr>
            <w:hyperlink w:anchor="page33">
              <w:r>
                <w:rPr>
                  <w:rFonts w:ascii="Arial" w:cs="Arial" w:eastAsia="Arial" w:hAnsi="Arial"/>
                  <w:sz w:val="14"/>
                  <w:szCs w:val="14"/>
                  <w:b w:val="1"/>
                  <w:bCs w:val="1"/>
                  <w:color w:val="auto"/>
                </w:rPr>
                <w:t>24</w:t>
              </w:r>
            </w:hyperlink>
          </w:p>
        </w:tc>
        <w:tc>
          <w:tcPr>
            <w:tcW w:w="3240" w:type="dxa"/>
            <w:vAlign w:val="bottom"/>
          </w:tcPr>
          <w:p>
            <w:pPr>
              <w:ind w:left="160"/>
              <w:spacing w:after="0"/>
              <w:rPr>
                <w:rFonts w:ascii="Arial" w:cs="Arial" w:eastAsia="Arial" w:hAnsi="Arial"/>
                <w:sz w:val="14"/>
                <w:szCs w:val="14"/>
                <w:color w:val="auto"/>
              </w:rPr>
            </w:pPr>
            <w:hyperlink w:anchor="page118">
              <w:r>
                <w:rPr>
                  <w:rFonts w:ascii="Arial" w:cs="Arial" w:eastAsia="Arial" w:hAnsi="Arial"/>
                  <w:sz w:val="14"/>
                  <w:szCs w:val="14"/>
                  <w:color w:val="auto"/>
                </w:rPr>
                <w:t>Notice of Internet Availability</w:t>
              </w:r>
            </w:hyperlink>
          </w:p>
        </w:tc>
        <w:tc>
          <w:tcPr>
            <w:tcW w:w="400" w:type="dxa"/>
            <w:vAlign w:val="bottom"/>
          </w:tcPr>
          <w:p>
            <w:pPr>
              <w:jc w:val="right"/>
              <w:spacing w:after="0"/>
              <w:rPr>
                <w:rFonts w:ascii="Arial" w:cs="Arial" w:eastAsia="Arial" w:hAnsi="Arial"/>
                <w:sz w:val="14"/>
                <w:szCs w:val="14"/>
                <w:b w:val="1"/>
                <w:bCs w:val="1"/>
                <w:color w:val="auto"/>
              </w:rPr>
            </w:pPr>
            <w:hyperlink w:anchor="page118">
              <w:r>
                <w:rPr>
                  <w:rFonts w:ascii="Arial" w:cs="Arial" w:eastAsia="Arial" w:hAnsi="Arial"/>
                  <w:sz w:val="14"/>
                  <w:szCs w:val="14"/>
                  <w:b w:val="1"/>
                  <w:bCs w:val="1"/>
                  <w:color w:val="auto"/>
                </w:rPr>
                <w:t>109</w:t>
              </w:r>
            </w:hyperlink>
          </w:p>
        </w:tc>
        <w:tc>
          <w:tcPr>
            <w:tcW w:w="0" w:type="dxa"/>
            <w:vAlign w:val="bottom"/>
          </w:tcPr>
          <w:p>
            <w:pPr>
              <w:spacing w:after="0"/>
              <w:rPr>
                <w:sz w:val="1"/>
                <w:szCs w:val="1"/>
                <w:color w:val="auto"/>
              </w:rPr>
            </w:pPr>
          </w:p>
        </w:tc>
      </w:tr>
      <w:tr>
        <w:trPr>
          <w:trHeight w:val="216"/>
        </w:trPr>
        <w:tc>
          <w:tcPr>
            <w:tcW w:w="3080" w:type="dxa"/>
            <w:vAlign w:val="bottom"/>
          </w:tcPr>
          <w:p>
            <w:pPr>
              <w:spacing w:after="0"/>
              <w:rPr>
                <w:rFonts w:ascii="Arial" w:cs="Arial" w:eastAsia="Arial" w:hAnsi="Arial"/>
                <w:sz w:val="14"/>
                <w:szCs w:val="14"/>
                <w:color w:val="auto"/>
              </w:rPr>
            </w:pPr>
            <w:hyperlink w:anchor="page37">
              <w:r>
                <w:rPr>
                  <w:rFonts w:ascii="Arial" w:cs="Arial" w:eastAsia="Arial" w:hAnsi="Arial"/>
                  <w:sz w:val="14"/>
                  <w:szCs w:val="14"/>
                  <w:color w:val="auto"/>
                </w:rPr>
                <w:t>Board and Committee Structure</w:t>
              </w:r>
            </w:hyperlink>
          </w:p>
        </w:tc>
        <w:tc>
          <w:tcPr>
            <w:tcW w:w="580" w:type="dxa"/>
            <w:vAlign w:val="bottom"/>
          </w:tcPr>
          <w:p>
            <w:pPr>
              <w:jc w:val="right"/>
              <w:ind w:right="108"/>
              <w:spacing w:after="0"/>
              <w:rPr>
                <w:rFonts w:ascii="Arial" w:cs="Arial" w:eastAsia="Arial" w:hAnsi="Arial"/>
                <w:sz w:val="14"/>
                <w:szCs w:val="14"/>
                <w:b w:val="1"/>
                <w:bCs w:val="1"/>
                <w:color w:val="auto"/>
              </w:rPr>
            </w:pPr>
            <w:hyperlink w:anchor="page37">
              <w:r>
                <w:rPr>
                  <w:rFonts w:ascii="Arial" w:cs="Arial" w:eastAsia="Arial" w:hAnsi="Arial"/>
                  <w:sz w:val="14"/>
                  <w:szCs w:val="14"/>
                  <w:b w:val="1"/>
                  <w:bCs w:val="1"/>
                  <w:color w:val="auto"/>
                </w:rPr>
                <w:t>28</w:t>
              </w:r>
            </w:hyperlink>
          </w:p>
        </w:tc>
        <w:tc>
          <w:tcPr>
            <w:tcW w:w="3240" w:type="dxa"/>
            <w:vAlign w:val="bottom"/>
          </w:tcPr>
          <w:p>
            <w:pPr>
              <w:ind w:left="160"/>
              <w:spacing w:after="0"/>
              <w:rPr>
                <w:rFonts w:ascii="Arial" w:cs="Arial" w:eastAsia="Arial" w:hAnsi="Arial"/>
                <w:sz w:val="14"/>
                <w:szCs w:val="14"/>
                <w:color w:val="auto"/>
              </w:rPr>
            </w:pPr>
            <w:hyperlink w:anchor="page118">
              <w:r>
                <w:rPr>
                  <w:rFonts w:ascii="Arial" w:cs="Arial" w:eastAsia="Arial" w:hAnsi="Arial"/>
                  <w:sz w:val="14"/>
                  <w:szCs w:val="14"/>
                  <w:color w:val="auto"/>
                </w:rPr>
                <w:t>Record Date; Shareholders Entitled to Vote</w:t>
              </w:r>
            </w:hyperlink>
          </w:p>
        </w:tc>
        <w:tc>
          <w:tcPr>
            <w:tcW w:w="400" w:type="dxa"/>
            <w:vAlign w:val="bottom"/>
          </w:tcPr>
          <w:p>
            <w:pPr>
              <w:jc w:val="right"/>
              <w:spacing w:after="0"/>
              <w:rPr>
                <w:rFonts w:ascii="Arial" w:cs="Arial" w:eastAsia="Arial" w:hAnsi="Arial"/>
                <w:sz w:val="14"/>
                <w:szCs w:val="14"/>
                <w:b w:val="1"/>
                <w:bCs w:val="1"/>
                <w:color w:val="auto"/>
              </w:rPr>
            </w:pPr>
            <w:hyperlink w:anchor="page118">
              <w:r>
                <w:rPr>
                  <w:rFonts w:ascii="Arial" w:cs="Arial" w:eastAsia="Arial" w:hAnsi="Arial"/>
                  <w:sz w:val="14"/>
                  <w:szCs w:val="14"/>
                  <w:b w:val="1"/>
                  <w:bCs w:val="1"/>
                  <w:color w:val="auto"/>
                </w:rPr>
                <w:t>109</w:t>
              </w:r>
            </w:hyperlink>
          </w:p>
        </w:tc>
        <w:tc>
          <w:tcPr>
            <w:tcW w:w="0" w:type="dxa"/>
            <w:vAlign w:val="bottom"/>
          </w:tcPr>
          <w:p>
            <w:pPr>
              <w:spacing w:after="0"/>
              <w:rPr>
                <w:sz w:val="1"/>
                <w:szCs w:val="1"/>
                <w:color w:val="auto"/>
              </w:rPr>
            </w:pPr>
          </w:p>
        </w:tc>
      </w:tr>
      <w:tr>
        <w:trPr>
          <w:trHeight w:val="216"/>
        </w:trPr>
        <w:tc>
          <w:tcPr>
            <w:tcW w:w="3080" w:type="dxa"/>
            <w:vAlign w:val="bottom"/>
          </w:tcPr>
          <w:p>
            <w:pPr>
              <w:spacing w:after="0"/>
              <w:rPr>
                <w:rFonts w:ascii="Arial" w:cs="Arial" w:eastAsia="Arial" w:hAnsi="Arial"/>
                <w:sz w:val="14"/>
                <w:szCs w:val="14"/>
                <w:color w:val="auto"/>
              </w:rPr>
            </w:pPr>
            <w:hyperlink w:anchor="page44">
              <w:r>
                <w:rPr>
                  <w:rFonts w:ascii="Arial" w:cs="Arial" w:eastAsia="Arial" w:hAnsi="Arial"/>
                  <w:sz w:val="14"/>
                  <w:szCs w:val="14"/>
                  <w:color w:val="auto"/>
                </w:rPr>
                <w:t>Board Oversight and Engagement</w:t>
              </w:r>
            </w:hyperlink>
          </w:p>
        </w:tc>
        <w:tc>
          <w:tcPr>
            <w:tcW w:w="580" w:type="dxa"/>
            <w:vAlign w:val="bottom"/>
          </w:tcPr>
          <w:p>
            <w:pPr>
              <w:jc w:val="right"/>
              <w:ind w:right="108"/>
              <w:spacing w:after="0"/>
              <w:rPr>
                <w:rFonts w:ascii="Arial" w:cs="Arial" w:eastAsia="Arial" w:hAnsi="Arial"/>
                <w:sz w:val="14"/>
                <w:szCs w:val="14"/>
                <w:b w:val="1"/>
                <w:bCs w:val="1"/>
                <w:color w:val="auto"/>
              </w:rPr>
            </w:pPr>
            <w:hyperlink w:anchor="page44">
              <w:r>
                <w:rPr>
                  <w:rFonts w:ascii="Arial" w:cs="Arial" w:eastAsia="Arial" w:hAnsi="Arial"/>
                  <w:sz w:val="14"/>
                  <w:szCs w:val="14"/>
                  <w:b w:val="1"/>
                  <w:bCs w:val="1"/>
                  <w:color w:val="auto"/>
                </w:rPr>
                <w:t>35</w:t>
              </w:r>
            </w:hyperlink>
          </w:p>
        </w:tc>
        <w:tc>
          <w:tcPr>
            <w:tcW w:w="3240" w:type="dxa"/>
            <w:vAlign w:val="bottom"/>
          </w:tcPr>
          <w:p>
            <w:pPr>
              <w:ind w:left="160"/>
              <w:spacing w:after="0"/>
              <w:rPr>
                <w:rFonts w:ascii="Arial" w:cs="Arial" w:eastAsia="Arial" w:hAnsi="Arial"/>
                <w:sz w:val="14"/>
                <w:szCs w:val="14"/>
                <w:color w:val="auto"/>
              </w:rPr>
            </w:pPr>
            <w:hyperlink w:anchor="page118">
              <w:r>
                <w:rPr>
                  <w:rFonts w:ascii="Arial" w:cs="Arial" w:eastAsia="Arial" w:hAnsi="Arial"/>
                  <w:sz w:val="14"/>
                  <w:szCs w:val="14"/>
                  <w:color w:val="auto"/>
                </w:rPr>
                <w:t>Voting</w:t>
              </w:r>
            </w:hyperlink>
          </w:p>
        </w:tc>
        <w:tc>
          <w:tcPr>
            <w:tcW w:w="400" w:type="dxa"/>
            <w:vAlign w:val="bottom"/>
          </w:tcPr>
          <w:p>
            <w:pPr>
              <w:jc w:val="right"/>
              <w:spacing w:after="0"/>
              <w:rPr>
                <w:rFonts w:ascii="Arial" w:cs="Arial" w:eastAsia="Arial" w:hAnsi="Arial"/>
                <w:sz w:val="14"/>
                <w:szCs w:val="14"/>
                <w:b w:val="1"/>
                <w:bCs w:val="1"/>
                <w:color w:val="auto"/>
              </w:rPr>
            </w:pPr>
            <w:hyperlink w:anchor="page118">
              <w:r>
                <w:rPr>
                  <w:rFonts w:ascii="Arial" w:cs="Arial" w:eastAsia="Arial" w:hAnsi="Arial"/>
                  <w:sz w:val="14"/>
                  <w:szCs w:val="14"/>
                  <w:b w:val="1"/>
                  <w:bCs w:val="1"/>
                  <w:color w:val="auto"/>
                </w:rPr>
                <w:t>109</w:t>
              </w:r>
            </w:hyperlink>
          </w:p>
        </w:tc>
        <w:tc>
          <w:tcPr>
            <w:tcW w:w="0" w:type="dxa"/>
            <w:vAlign w:val="bottom"/>
          </w:tcPr>
          <w:p>
            <w:pPr>
              <w:spacing w:after="0"/>
              <w:rPr>
                <w:sz w:val="1"/>
                <w:szCs w:val="1"/>
                <w:color w:val="auto"/>
              </w:rPr>
            </w:pPr>
          </w:p>
        </w:tc>
      </w:tr>
      <w:tr>
        <w:trPr>
          <w:trHeight w:val="182"/>
        </w:trPr>
        <w:tc>
          <w:tcPr>
            <w:tcW w:w="3080" w:type="dxa"/>
            <w:vAlign w:val="bottom"/>
          </w:tcPr>
          <w:p>
            <w:pPr>
              <w:spacing w:after="0"/>
              <w:rPr>
                <w:rFonts w:ascii="Arial" w:cs="Arial" w:eastAsia="Arial" w:hAnsi="Arial"/>
                <w:sz w:val="14"/>
                <w:szCs w:val="14"/>
                <w:b w:val="1"/>
                <w:bCs w:val="1"/>
                <w:color w:val="355675"/>
              </w:rPr>
            </w:pPr>
            <w:hyperlink w:anchor="page53">
              <w:r>
                <w:rPr>
                  <w:rFonts w:ascii="Arial" w:cs="Arial" w:eastAsia="Arial" w:hAnsi="Arial"/>
                  <w:sz w:val="14"/>
                  <w:szCs w:val="14"/>
                  <w:b w:val="1"/>
                  <w:bCs w:val="1"/>
                  <w:color w:val="355675"/>
                </w:rPr>
                <w:t>Director Nominees for the 2022 Annual</w:t>
              </w:r>
            </w:hyperlink>
          </w:p>
        </w:tc>
        <w:tc>
          <w:tcPr>
            <w:tcW w:w="580" w:type="dxa"/>
            <w:vAlign w:val="bottom"/>
          </w:tcPr>
          <w:p>
            <w:pPr>
              <w:jc w:val="right"/>
              <w:ind w:right="108"/>
              <w:spacing w:after="0"/>
              <w:rPr>
                <w:rFonts w:ascii="Arial" w:cs="Arial" w:eastAsia="Arial" w:hAnsi="Arial"/>
                <w:sz w:val="14"/>
                <w:szCs w:val="14"/>
                <w:b w:val="1"/>
                <w:bCs w:val="1"/>
                <w:color w:val="355675"/>
              </w:rPr>
            </w:pPr>
            <w:hyperlink w:anchor="page53">
              <w:r>
                <w:rPr>
                  <w:rFonts w:ascii="Arial" w:cs="Arial" w:eastAsia="Arial" w:hAnsi="Arial"/>
                  <w:sz w:val="14"/>
                  <w:szCs w:val="14"/>
                  <w:b w:val="1"/>
                  <w:bCs w:val="1"/>
                  <w:color w:val="355675"/>
                </w:rPr>
                <w:t>44</w:t>
              </w:r>
            </w:hyperlink>
          </w:p>
        </w:tc>
        <w:tc>
          <w:tcPr>
            <w:tcW w:w="3240" w:type="dxa"/>
            <w:vAlign w:val="bottom"/>
          </w:tcPr>
          <w:p>
            <w:pPr>
              <w:ind w:left="160"/>
              <w:spacing w:after="0"/>
              <w:rPr>
                <w:rFonts w:ascii="Arial" w:cs="Arial" w:eastAsia="Arial" w:hAnsi="Arial"/>
                <w:sz w:val="14"/>
                <w:szCs w:val="14"/>
                <w:color w:val="auto"/>
              </w:rPr>
            </w:pPr>
            <w:hyperlink w:anchor="page119">
              <w:r>
                <w:rPr>
                  <w:rFonts w:ascii="Arial" w:cs="Arial" w:eastAsia="Arial" w:hAnsi="Arial"/>
                  <w:sz w:val="14"/>
                  <w:szCs w:val="14"/>
                  <w:color w:val="auto"/>
                </w:rPr>
                <w:t>Quorum</w:t>
              </w:r>
            </w:hyperlink>
          </w:p>
        </w:tc>
        <w:tc>
          <w:tcPr>
            <w:tcW w:w="400" w:type="dxa"/>
            <w:vAlign w:val="bottom"/>
          </w:tcPr>
          <w:p>
            <w:pPr>
              <w:jc w:val="right"/>
              <w:spacing w:after="0"/>
              <w:rPr>
                <w:rFonts w:ascii="Arial" w:cs="Arial" w:eastAsia="Arial" w:hAnsi="Arial"/>
                <w:sz w:val="14"/>
                <w:szCs w:val="14"/>
                <w:b w:val="1"/>
                <w:bCs w:val="1"/>
                <w:color w:val="auto"/>
              </w:rPr>
            </w:pPr>
            <w:hyperlink w:anchor="page119">
              <w:r>
                <w:rPr>
                  <w:rFonts w:ascii="Arial" w:cs="Arial" w:eastAsia="Arial" w:hAnsi="Arial"/>
                  <w:sz w:val="14"/>
                  <w:szCs w:val="14"/>
                  <w:b w:val="1"/>
                  <w:bCs w:val="1"/>
                  <w:color w:val="auto"/>
                </w:rPr>
                <w:t>110</w:t>
              </w:r>
            </w:hyperlink>
          </w:p>
        </w:tc>
        <w:tc>
          <w:tcPr>
            <w:tcW w:w="0" w:type="dxa"/>
            <w:vAlign w:val="bottom"/>
          </w:tcPr>
          <w:p>
            <w:pPr>
              <w:spacing w:after="0"/>
              <w:rPr>
                <w:sz w:val="1"/>
                <w:szCs w:val="1"/>
                <w:color w:val="auto"/>
              </w:rPr>
            </w:pPr>
          </w:p>
        </w:tc>
      </w:tr>
      <w:tr>
        <w:trPr>
          <w:trHeight w:val="196"/>
        </w:trPr>
        <w:tc>
          <w:tcPr>
            <w:tcW w:w="3080" w:type="dxa"/>
            <w:vAlign w:val="bottom"/>
          </w:tcPr>
          <w:p>
            <w:pPr>
              <w:spacing w:after="0"/>
              <w:rPr>
                <w:rFonts w:ascii="Arial" w:cs="Arial" w:eastAsia="Arial" w:hAnsi="Arial"/>
                <w:sz w:val="14"/>
                <w:szCs w:val="14"/>
                <w:b w:val="1"/>
                <w:bCs w:val="1"/>
                <w:color w:val="355675"/>
              </w:rPr>
            </w:pPr>
            <w:hyperlink w:anchor="page53">
              <w:r>
                <w:rPr>
                  <w:rFonts w:ascii="Arial" w:cs="Arial" w:eastAsia="Arial" w:hAnsi="Arial"/>
                  <w:sz w:val="14"/>
                  <w:szCs w:val="14"/>
                  <w:b w:val="1"/>
                  <w:bCs w:val="1"/>
                  <w:color w:val="355675"/>
                </w:rPr>
                <w:t>Meeting</w:t>
              </w:r>
            </w:hyperlink>
          </w:p>
        </w:tc>
        <w:tc>
          <w:tcPr>
            <w:tcW w:w="580" w:type="dxa"/>
            <w:vAlign w:val="bottom"/>
          </w:tcPr>
          <w:p>
            <w:pPr>
              <w:spacing w:after="0"/>
              <w:rPr>
                <w:sz w:val="17"/>
                <w:szCs w:val="17"/>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19">
              <w:r>
                <w:rPr>
                  <w:rFonts w:ascii="Arial" w:cs="Arial" w:eastAsia="Arial" w:hAnsi="Arial"/>
                  <w:sz w:val="14"/>
                  <w:szCs w:val="14"/>
                  <w:color w:val="auto"/>
                </w:rPr>
                <w:t>Vote Required</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19">
              <w:r>
                <w:rPr>
                  <w:rFonts w:ascii="Arial" w:cs="Arial" w:eastAsia="Arial" w:hAnsi="Arial"/>
                  <w:sz w:val="14"/>
                  <w:szCs w:val="14"/>
                  <w:b w:val="1"/>
                  <w:bCs w:val="1"/>
                  <w:color w:val="auto"/>
                </w:rPr>
                <w:t>110</w:t>
              </w:r>
            </w:hyperlink>
          </w:p>
        </w:tc>
        <w:tc>
          <w:tcPr>
            <w:tcW w:w="0" w:type="dxa"/>
            <w:vAlign w:val="bottom"/>
          </w:tcPr>
          <w:p>
            <w:pPr>
              <w:spacing w:after="0"/>
              <w:rPr>
                <w:sz w:val="1"/>
                <w:szCs w:val="1"/>
                <w:color w:val="auto"/>
              </w:rPr>
            </w:pPr>
          </w:p>
        </w:tc>
      </w:tr>
      <w:tr>
        <w:trPr>
          <w:trHeight w:val="54"/>
        </w:trPr>
        <w:tc>
          <w:tcPr>
            <w:tcW w:w="3080" w:type="dxa"/>
            <w:vAlign w:val="bottom"/>
            <w:vMerge w:val="restart"/>
          </w:tcPr>
          <w:p>
            <w:pPr>
              <w:ind w:left="320"/>
              <w:spacing w:after="0"/>
              <w:rPr>
                <w:rFonts w:ascii="Arial" w:cs="Arial" w:eastAsia="Arial" w:hAnsi="Arial"/>
                <w:sz w:val="14"/>
                <w:szCs w:val="14"/>
                <w:b w:val="1"/>
                <w:bCs w:val="1"/>
                <w:color w:val="008C9F"/>
              </w:rPr>
            </w:pPr>
            <w:hyperlink w:anchor="page53">
              <w:r>
                <w:rPr>
                  <w:rFonts w:ascii="Arial" w:cs="Arial" w:eastAsia="Arial" w:hAnsi="Arial"/>
                  <w:sz w:val="14"/>
                  <w:szCs w:val="14"/>
                  <w:b w:val="1"/>
                  <w:bCs w:val="1"/>
                  <w:color w:val="008C9F"/>
                </w:rPr>
                <w:t>Proposal 1: Election of Directors</w:t>
              </w:r>
            </w:hyperlink>
          </w:p>
        </w:tc>
        <w:tc>
          <w:tcPr>
            <w:tcW w:w="580" w:type="dxa"/>
            <w:vAlign w:val="bottom"/>
            <w:vMerge w:val="restart"/>
          </w:tcPr>
          <w:p>
            <w:pPr>
              <w:jc w:val="right"/>
              <w:ind w:right="108"/>
              <w:spacing w:after="0"/>
              <w:rPr>
                <w:rFonts w:ascii="Arial" w:cs="Arial" w:eastAsia="Arial" w:hAnsi="Arial"/>
                <w:sz w:val="14"/>
                <w:szCs w:val="14"/>
                <w:b w:val="1"/>
                <w:bCs w:val="1"/>
                <w:color w:val="008C9F"/>
              </w:rPr>
            </w:pPr>
            <w:hyperlink w:anchor="page53">
              <w:r>
                <w:rPr>
                  <w:rFonts w:ascii="Arial" w:cs="Arial" w:eastAsia="Arial" w:hAnsi="Arial"/>
                  <w:sz w:val="14"/>
                  <w:szCs w:val="14"/>
                  <w:b w:val="1"/>
                  <w:bCs w:val="1"/>
                  <w:color w:val="008C9F"/>
                </w:rPr>
                <w:t>44</w:t>
              </w:r>
            </w:hyperlink>
          </w:p>
        </w:tc>
        <w:tc>
          <w:tcPr>
            <w:tcW w:w="3240" w:type="dxa"/>
            <w:vAlign w:val="bottom"/>
            <w:vMerge w:val="continue"/>
          </w:tcPr>
          <w:p>
            <w:pPr>
              <w:spacing w:after="0"/>
              <w:rPr>
                <w:sz w:val="4"/>
                <w:szCs w:val="4"/>
                <w:color w:val="auto"/>
              </w:rPr>
            </w:pPr>
          </w:p>
        </w:tc>
        <w:tc>
          <w:tcPr>
            <w:tcW w:w="4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62"/>
        </w:trPr>
        <w:tc>
          <w:tcPr>
            <w:tcW w:w="3080" w:type="dxa"/>
            <w:vAlign w:val="bottom"/>
            <w:vMerge w:val="continue"/>
          </w:tcPr>
          <w:p>
            <w:pPr>
              <w:spacing w:after="0"/>
              <w:rPr>
                <w:sz w:val="14"/>
                <w:szCs w:val="14"/>
                <w:color w:val="auto"/>
              </w:rPr>
            </w:pPr>
          </w:p>
        </w:tc>
        <w:tc>
          <w:tcPr>
            <w:tcW w:w="580" w:type="dxa"/>
            <w:vAlign w:val="bottom"/>
            <w:vMerge w:val="continue"/>
          </w:tcPr>
          <w:p>
            <w:pPr>
              <w:spacing w:after="0"/>
              <w:rPr>
                <w:sz w:val="14"/>
                <w:szCs w:val="14"/>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0">
              <w:r>
                <w:rPr>
                  <w:rFonts w:ascii="Arial" w:cs="Arial" w:eastAsia="Arial" w:hAnsi="Arial"/>
                  <w:sz w:val="14"/>
                  <w:szCs w:val="14"/>
                  <w:color w:val="auto"/>
                </w:rPr>
                <w:t>Board Recommendations</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20">
              <w:r>
                <w:rPr>
                  <w:rFonts w:ascii="Arial" w:cs="Arial" w:eastAsia="Arial" w:hAnsi="Arial"/>
                  <w:sz w:val="14"/>
                  <w:szCs w:val="14"/>
                  <w:b w:val="1"/>
                  <w:bCs w:val="1"/>
                  <w:color w:val="auto"/>
                </w:rPr>
                <w:t>111</w:t>
              </w:r>
            </w:hyperlink>
          </w:p>
        </w:tc>
        <w:tc>
          <w:tcPr>
            <w:tcW w:w="0" w:type="dxa"/>
            <w:vAlign w:val="bottom"/>
          </w:tcPr>
          <w:p>
            <w:pPr>
              <w:spacing w:after="0"/>
              <w:rPr>
                <w:sz w:val="1"/>
                <w:szCs w:val="1"/>
                <w:color w:val="auto"/>
              </w:rPr>
            </w:pPr>
          </w:p>
        </w:tc>
      </w:tr>
      <w:tr>
        <w:trPr>
          <w:trHeight w:val="54"/>
        </w:trPr>
        <w:tc>
          <w:tcPr>
            <w:tcW w:w="3080" w:type="dxa"/>
            <w:vAlign w:val="bottom"/>
          </w:tcPr>
          <w:p>
            <w:pPr>
              <w:spacing w:after="0"/>
              <w:rPr>
                <w:sz w:val="4"/>
                <w:szCs w:val="4"/>
                <w:color w:val="auto"/>
              </w:rPr>
            </w:pPr>
          </w:p>
        </w:tc>
        <w:tc>
          <w:tcPr>
            <w:tcW w:w="580" w:type="dxa"/>
            <w:vAlign w:val="bottom"/>
          </w:tcPr>
          <w:p>
            <w:pPr>
              <w:spacing w:after="0"/>
              <w:rPr>
                <w:sz w:val="4"/>
                <w:szCs w:val="4"/>
                <w:color w:val="auto"/>
              </w:rPr>
            </w:pPr>
          </w:p>
        </w:tc>
        <w:tc>
          <w:tcPr>
            <w:tcW w:w="3240" w:type="dxa"/>
            <w:vAlign w:val="bottom"/>
            <w:vMerge w:val="continue"/>
          </w:tcPr>
          <w:p>
            <w:pPr>
              <w:spacing w:after="0"/>
              <w:rPr>
                <w:sz w:val="4"/>
                <w:szCs w:val="4"/>
                <w:color w:val="auto"/>
              </w:rPr>
            </w:pPr>
          </w:p>
        </w:tc>
        <w:tc>
          <w:tcPr>
            <w:tcW w:w="4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82"/>
        </w:trPr>
        <w:tc>
          <w:tcPr>
            <w:tcW w:w="3080" w:type="dxa"/>
            <w:vAlign w:val="bottom"/>
          </w:tcPr>
          <w:p>
            <w:pPr>
              <w:spacing w:after="0"/>
              <w:rPr>
                <w:rFonts w:ascii="Arial" w:cs="Arial" w:eastAsia="Arial" w:hAnsi="Arial"/>
                <w:sz w:val="14"/>
                <w:szCs w:val="14"/>
                <w:color w:val="auto"/>
              </w:rPr>
            </w:pPr>
            <w:hyperlink w:anchor="page55">
              <w:r>
                <w:rPr>
                  <w:rFonts w:ascii="Arial" w:cs="Arial" w:eastAsia="Arial" w:hAnsi="Arial"/>
                  <w:sz w:val="14"/>
                  <w:szCs w:val="14"/>
                  <w:color w:val="auto"/>
                </w:rPr>
                <w:t>Director Nominees</w:t>
              </w:r>
            </w:hyperlink>
          </w:p>
        </w:tc>
        <w:tc>
          <w:tcPr>
            <w:tcW w:w="580" w:type="dxa"/>
            <w:vAlign w:val="bottom"/>
          </w:tcPr>
          <w:p>
            <w:pPr>
              <w:jc w:val="right"/>
              <w:ind w:right="108"/>
              <w:spacing w:after="0"/>
              <w:rPr>
                <w:rFonts w:ascii="Arial" w:cs="Arial" w:eastAsia="Arial" w:hAnsi="Arial"/>
                <w:sz w:val="14"/>
                <w:szCs w:val="14"/>
                <w:b w:val="1"/>
                <w:bCs w:val="1"/>
                <w:color w:val="auto"/>
              </w:rPr>
            </w:pPr>
            <w:hyperlink w:anchor="page55">
              <w:r>
                <w:rPr>
                  <w:rFonts w:ascii="Arial" w:cs="Arial" w:eastAsia="Arial" w:hAnsi="Arial"/>
                  <w:sz w:val="14"/>
                  <w:szCs w:val="14"/>
                  <w:b w:val="1"/>
                  <w:bCs w:val="1"/>
                  <w:color w:val="auto"/>
                </w:rPr>
                <w:t>46</w:t>
              </w:r>
            </w:hyperlink>
          </w:p>
        </w:tc>
        <w:tc>
          <w:tcPr>
            <w:tcW w:w="3240" w:type="dxa"/>
            <w:vAlign w:val="bottom"/>
          </w:tcPr>
          <w:p>
            <w:pPr>
              <w:ind w:left="160"/>
              <w:spacing w:after="0"/>
              <w:rPr>
                <w:rFonts w:ascii="Arial" w:cs="Arial" w:eastAsia="Arial" w:hAnsi="Arial"/>
                <w:sz w:val="14"/>
                <w:szCs w:val="14"/>
                <w:color w:val="auto"/>
              </w:rPr>
            </w:pPr>
            <w:hyperlink w:anchor="page120">
              <w:r>
                <w:rPr>
                  <w:rFonts w:ascii="Arial" w:cs="Arial" w:eastAsia="Arial" w:hAnsi="Arial"/>
                  <w:sz w:val="14"/>
                  <w:szCs w:val="14"/>
                  <w:color w:val="auto"/>
                </w:rPr>
                <w:t>Delivery of Annual Reports and Proxy</w:t>
              </w:r>
            </w:hyperlink>
          </w:p>
        </w:tc>
        <w:tc>
          <w:tcPr>
            <w:tcW w:w="400" w:type="dxa"/>
            <w:vAlign w:val="bottom"/>
          </w:tcPr>
          <w:p>
            <w:pPr>
              <w:jc w:val="right"/>
              <w:spacing w:after="0"/>
              <w:rPr>
                <w:rFonts w:ascii="Arial" w:cs="Arial" w:eastAsia="Arial" w:hAnsi="Arial"/>
                <w:sz w:val="14"/>
                <w:szCs w:val="14"/>
                <w:b w:val="1"/>
                <w:bCs w:val="1"/>
                <w:color w:val="auto"/>
              </w:rPr>
            </w:pPr>
            <w:hyperlink w:anchor="page120">
              <w:r>
                <w:rPr>
                  <w:rFonts w:ascii="Arial" w:cs="Arial" w:eastAsia="Arial" w:hAnsi="Arial"/>
                  <w:sz w:val="14"/>
                  <w:szCs w:val="14"/>
                  <w:b w:val="1"/>
                  <w:bCs w:val="1"/>
                  <w:color w:val="auto"/>
                </w:rPr>
                <w:t>111</w:t>
              </w:r>
            </w:hyperlink>
          </w:p>
        </w:tc>
        <w:tc>
          <w:tcPr>
            <w:tcW w:w="0" w:type="dxa"/>
            <w:vAlign w:val="bottom"/>
          </w:tcPr>
          <w:p>
            <w:pPr>
              <w:spacing w:after="0"/>
              <w:rPr>
                <w:sz w:val="1"/>
                <w:szCs w:val="1"/>
                <w:color w:val="auto"/>
              </w:rPr>
            </w:pPr>
          </w:p>
        </w:tc>
      </w:tr>
      <w:tr>
        <w:trPr>
          <w:trHeight w:val="162"/>
        </w:trPr>
        <w:tc>
          <w:tcPr>
            <w:tcW w:w="3080" w:type="dxa"/>
            <w:vAlign w:val="bottom"/>
            <w:vMerge w:val="restart"/>
          </w:tcPr>
          <w:p>
            <w:pPr>
              <w:spacing w:after="0"/>
              <w:rPr>
                <w:rFonts w:ascii="Arial" w:cs="Arial" w:eastAsia="Arial" w:hAnsi="Arial"/>
                <w:sz w:val="14"/>
                <w:szCs w:val="14"/>
                <w:color w:val="auto"/>
              </w:rPr>
            </w:pPr>
            <w:hyperlink w:anchor="page61">
              <w:r>
                <w:rPr>
                  <w:rFonts w:ascii="Arial" w:cs="Arial" w:eastAsia="Arial" w:hAnsi="Arial"/>
                  <w:sz w:val="14"/>
                  <w:szCs w:val="14"/>
                  <w:color w:val="auto"/>
                </w:rPr>
                <w:t>Director Independence</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61">
              <w:r>
                <w:rPr>
                  <w:rFonts w:ascii="Arial" w:cs="Arial" w:eastAsia="Arial" w:hAnsi="Arial"/>
                  <w:sz w:val="14"/>
                  <w:szCs w:val="14"/>
                  <w:b w:val="1"/>
                  <w:bCs w:val="1"/>
                  <w:color w:val="auto"/>
                </w:rPr>
                <w:t>52</w:t>
              </w:r>
            </w:hyperlink>
          </w:p>
        </w:tc>
        <w:tc>
          <w:tcPr>
            <w:tcW w:w="3240" w:type="dxa"/>
            <w:vAlign w:val="bottom"/>
          </w:tcPr>
          <w:p>
            <w:pPr>
              <w:ind w:left="160"/>
              <w:spacing w:after="0"/>
              <w:rPr>
                <w:rFonts w:ascii="Arial" w:cs="Arial" w:eastAsia="Arial" w:hAnsi="Arial"/>
                <w:sz w:val="14"/>
                <w:szCs w:val="14"/>
                <w:color w:val="auto"/>
              </w:rPr>
            </w:pPr>
            <w:hyperlink w:anchor="page120">
              <w:r>
                <w:rPr>
                  <w:rFonts w:ascii="Arial" w:cs="Arial" w:eastAsia="Arial" w:hAnsi="Arial"/>
                  <w:sz w:val="14"/>
                  <w:szCs w:val="14"/>
                  <w:color w:val="auto"/>
                </w:rPr>
                <w:t>Statements to a Shared Address and</w:t>
              </w:r>
            </w:hyperlink>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8"/>
        </w:trPr>
        <w:tc>
          <w:tcPr>
            <w:tcW w:w="3080" w:type="dxa"/>
            <w:vAlign w:val="bottom"/>
            <w:vMerge w:val="continue"/>
          </w:tcPr>
          <w:p>
            <w:pPr>
              <w:spacing w:after="0"/>
              <w:rPr>
                <w:sz w:val="7"/>
                <w:szCs w:val="7"/>
                <w:color w:val="auto"/>
              </w:rPr>
            </w:pPr>
          </w:p>
        </w:tc>
        <w:tc>
          <w:tcPr>
            <w:tcW w:w="580" w:type="dxa"/>
            <w:vAlign w:val="bottom"/>
            <w:vMerge w:val="continue"/>
          </w:tcPr>
          <w:p>
            <w:pPr>
              <w:spacing w:after="0"/>
              <w:rPr>
                <w:sz w:val="7"/>
                <w:szCs w:val="7"/>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0">
              <w:r>
                <w:rPr>
                  <w:rFonts w:ascii="Arial" w:cs="Arial" w:eastAsia="Arial" w:hAnsi="Arial"/>
                  <w:sz w:val="14"/>
                  <w:szCs w:val="14"/>
                  <w:color w:val="auto"/>
                </w:rPr>
                <w:t>Obtaining a Copy</w:t>
              </w:r>
            </w:hyperlink>
          </w:p>
        </w:tc>
        <w:tc>
          <w:tcPr>
            <w:tcW w:w="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2"/>
        </w:trPr>
        <w:tc>
          <w:tcPr>
            <w:tcW w:w="3080" w:type="dxa"/>
            <w:vAlign w:val="bottom"/>
            <w:vMerge w:val="restart"/>
          </w:tcPr>
          <w:p>
            <w:pPr>
              <w:spacing w:after="0"/>
              <w:rPr>
                <w:rFonts w:ascii="Arial" w:cs="Arial" w:eastAsia="Arial" w:hAnsi="Arial"/>
                <w:sz w:val="14"/>
                <w:szCs w:val="14"/>
                <w:color w:val="auto"/>
              </w:rPr>
            </w:pPr>
            <w:hyperlink w:anchor="page62">
              <w:r>
                <w:rPr>
                  <w:rFonts w:ascii="Arial" w:cs="Arial" w:eastAsia="Arial" w:hAnsi="Arial"/>
                  <w:sz w:val="14"/>
                  <w:szCs w:val="14"/>
                  <w:color w:val="auto"/>
                </w:rPr>
                <w:t>Director Compensation</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62">
              <w:r>
                <w:rPr>
                  <w:rFonts w:ascii="Arial" w:cs="Arial" w:eastAsia="Arial" w:hAnsi="Arial"/>
                  <w:sz w:val="14"/>
                  <w:szCs w:val="14"/>
                  <w:b w:val="1"/>
                  <w:bCs w:val="1"/>
                  <w:color w:val="auto"/>
                </w:rPr>
                <w:t>53</w:t>
              </w:r>
            </w:hyperlink>
          </w:p>
        </w:tc>
        <w:tc>
          <w:tcPr>
            <w:tcW w:w="3240" w:type="dxa"/>
            <w:vAlign w:val="bottom"/>
            <w:vMerge w:val="continue"/>
          </w:tcPr>
          <w:p>
            <w:pPr>
              <w:spacing w:after="0"/>
              <w:rPr>
                <w:sz w:val="8"/>
                <w:szCs w:val="8"/>
                <w:color w:val="auto"/>
              </w:rPr>
            </w:pPr>
          </w:p>
        </w:tc>
        <w:tc>
          <w:tcPr>
            <w:tcW w:w="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4"/>
        </w:trPr>
        <w:tc>
          <w:tcPr>
            <w:tcW w:w="308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1">
              <w:r>
                <w:rPr>
                  <w:rFonts w:ascii="Arial" w:cs="Arial" w:eastAsia="Arial" w:hAnsi="Arial"/>
                  <w:sz w:val="14"/>
                  <w:szCs w:val="14"/>
                  <w:color w:val="auto"/>
                </w:rPr>
                <w:t>Shareholder Proposals for the 2023 Annual</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21">
              <w:r>
                <w:rPr>
                  <w:rFonts w:ascii="Arial" w:cs="Arial" w:eastAsia="Arial" w:hAnsi="Arial"/>
                  <w:sz w:val="14"/>
                  <w:szCs w:val="14"/>
                  <w:b w:val="1"/>
                  <w:bCs w:val="1"/>
                  <w:color w:val="auto"/>
                </w:rPr>
                <w:t>112</w:t>
              </w:r>
            </w:hyperlink>
          </w:p>
        </w:tc>
        <w:tc>
          <w:tcPr>
            <w:tcW w:w="0" w:type="dxa"/>
            <w:vAlign w:val="bottom"/>
          </w:tcPr>
          <w:p>
            <w:pPr>
              <w:spacing w:after="0"/>
              <w:rPr>
                <w:sz w:val="1"/>
                <w:szCs w:val="1"/>
                <w:color w:val="auto"/>
              </w:rPr>
            </w:pPr>
          </w:p>
        </w:tc>
      </w:tr>
      <w:tr>
        <w:trPr>
          <w:trHeight w:val="74"/>
        </w:trPr>
        <w:tc>
          <w:tcPr>
            <w:tcW w:w="3080" w:type="dxa"/>
            <w:vAlign w:val="bottom"/>
            <w:vMerge w:val="restart"/>
          </w:tcPr>
          <w:p>
            <w:pPr>
              <w:spacing w:after="0"/>
              <w:rPr>
                <w:rFonts w:ascii="Arial" w:cs="Arial" w:eastAsia="Arial" w:hAnsi="Arial"/>
                <w:sz w:val="14"/>
                <w:szCs w:val="14"/>
                <w:b w:val="1"/>
                <w:bCs w:val="1"/>
                <w:color w:val="355675"/>
              </w:rPr>
            </w:pPr>
            <w:hyperlink w:anchor="page64">
              <w:r>
                <w:rPr>
                  <w:rFonts w:ascii="Arial" w:cs="Arial" w:eastAsia="Arial" w:hAnsi="Arial"/>
                  <w:sz w:val="14"/>
                  <w:szCs w:val="14"/>
                  <w:b w:val="1"/>
                  <w:bCs w:val="1"/>
                  <w:color w:val="355675"/>
                </w:rPr>
                <w:t>Executive Compensation</w:t>
              </w:r>
            </w:hyperlink>
          </w:p>
        </w:tc>
        <w:tc>
          <w:tcPr>
            <w:tcW w:w="580" w:type="dxa"/>
            <w:vAlign w:val="bottom"/>
            <w:vMerge w:val="restart"/>
          </w:tcPr>
          <w:p>
            <w:pPr>
              <w:jc w:val="right"/>
              <w:ind w:right="108"/>
              <w:spacing w:after="0"/>
              <w:rPr>
                <w:rFonts w:ascii="Arial" w:cs="Arial" w:eastAsia="Arial" w:hAnsi="Arial"/>
                <w:sz w:val="14"/>
                <w:szCs w:val="14"/>
                <w:b w:val="1"/>
                <w:bCs w:val="1"/>
                <w:color w:val="355675"/>
              </w:rPr>
            </w:pPr>
            <w:hyperlink w:anchor="page64">
              <w:r>
                <w:rPr>
                  <w:rFonts w:ascii="Arial" w:cs="Arial" w:eastAsia="Arial" w:hAnsi="Arial"/>
                  <w:sz w:val="14"/>
                  <w:szCs w:val="14"/>
                  <w:b w:val="1"/>
                  <w:bCs w:val="1"/>
                  <w:color w:val="355675"/>
                </w:rPr>
                <w:t>55</w:t>
              </w:r>
            </w:hyperlink>
          </w:p>
        </w:tc>
        <w:tc>
          <w:tcPr>
            <w:tcW w:w="3240" w:type="dxa"/>
            <w:vAlign w:val="bottom"/>
            <w:vMerge w:val="continue"/>
          </w:tcPr>
          <w:p>
            <w:pPr>
              <w:spacing w:after="0"/>
              <w:rPr>
                <w:sz w:val="6"/>
                <w:szCs w:val="6"/>
                <w:color w:val="auto"/>
              </w:rPr>
            </w:pPr>
          </w:p>
        </w:tc>
        <w:tc>
          <w:tcPr>
            <w:tcW w:w="4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2"/>
        </w:trPr>
        <w:tc>
          <w:tcPr>
            <w:tcW w:w="3080" w:type="dxa"/>
            <w:vAlign w:val="bottom"/>
            <w:vMerge w:val="continue"/>
          </w:tcPr>
          <w:p>
            <w:pPr>
              <w:spacing w:after="0"/>
              <w:rPr>
                <w:sz w:val="12"/>
                <w:szCs w:val="12"/>
                <w:color w:val="auto"/>
              </w:rPr>
            </w:pPr>
          </w:p>
        </w:tc>
        <w:tc>
          <w:tcPr>
            <w:tcW w:w="580" w:type="dxa"/>
            <w:vAlign w:val="bottom"/>
            <w:vMerge w:val="continue"/>
          </w:tcPr>
          <w:p>
            <w:pPr>
              <w:spacing w:after="0"/>
              <w:rPr>
                <w:sz w:val="12"/>
                <w:szCs w:val="12"/>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1">
              <w:r>
                <w:rPr>
                  <w:rFonts w:ascii="Arial" w:cs="Arial" w:eastAsia="Arial" w:hAnsi="Arial"/>
                  <w:sz w:val="14"/>
                  <w:szCs w:val="14"/>
                  <w:color w:val="auto"/>
                </w:rPr>
                <w:t>Meeting</w:t>
              </w:r>
            </w:hyperlink>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48"/>
        </w:trPr>
        <w:tc>
          <w:tcPr>
            <w:tcW w:w="3080" w:type="dxa"/>
            <w:vAlign w:val="bottom"/>
            <w:vMerge w:val="restart"/>
          </w:tcPr>
          <w:p>
            <w:pPr>
              <w:ind w:left="320"/>
              <w:spacing w:after="0"/>
              <w:rPr>
                <w:rFonts w:ascii="Arial" w:cs="Arial" w:eastAsia="Arial" w:hAnsi="Arial"/>
                <w:sz w:val="14"/>
                <w:szCs w:val="14"/>
                <w:b w:val="1"/>
                <w:bCs w:val="1"/>
                <w:color w:val="008C9F"/>
              </w:rPr>
            </w:pPr>
            <w:hyperlink w:anchor="page64">
              <w:r>
                <w:rPr>
                  <w:rFonts w:ascii="Arial" w:cs="Arial" w:eastAsia="Arial" w:hAnsi="Arial"/>
                  <w:sz w:val="14"/>
                  <w:szCs w:val="14"/>
                  <w:b w:val="1"/>
                  <w:bCs w:val="1"/>
                  <w:color w:val="008C9F"/>
                </w:rPr>
                <w:t>Proposal 2: Advisory Vote on</w:t>
              </w:r>
            </w:hyperlink>
          </w:p>
        </w:tc>
        <w:tc>
          <w:tcPr>
            <w:tcW w:w="580" w:type="dxa"/>
            <w:vAlign w:val="bottom"/>
            <w:vMerge w:val="restart"/>
          </w:tcPr>
          <w:p>
            <w:pPr>
              <w:jc w:val="right"/>
              <w:ind w:right="108"/>
              <w:spacing w:after="0"/>
              <w:rPr>
                <w:rFonts w:ascii="Arial" w:cs="Arial" w:eastAsia="Arial" w:hAnsi="Arial"/>
                <w:sz w:val="14"/>
                <w:szCs w:val="14"/>
                <w:b w:val="1"/>
                <w:bCs w:val="1"/>
                <w:color w:val="008C9F"/>
              </w:rPr>
            </w:pPr>
            <w:hyperlink w:anchor="page64">
              <w:r>
                <w:rPr>
                  <w:rFonts w:ascii="Arial" w:cs="Arial" w:eastAsia="Arial" w:hAnsi="Arial"/>
                  <w:sz w:val="14"/>
                  <w:szCs w:val="14"/>
                  <w:b w:val="1"/>
                  <w:bCs w:val="1"/>
                  <w:color w:val="008C9F"/>
                </w:rPr>
                <w:t>55</w:t>
              </w:r>
            </w:hyperlink>
          </w:p>
        </w:tc>
        <w:tc>
          <w:tcPr>
            <w:tcW w:w="3240" w:type="dxa"/>
            <w:vAlign w:val="bottom"/>
            <w:vMerge w:val="continue"/>
          </w:tcPr>
          <w:p>
            <w:pPr>
              <w:spacing w:after="0"/>
              <w:rPr>
                <w:sz w:val="4"/>
                <w:szCs w:val="4"/>
                <w:color w:val="auto"/>
              </w:rPr>
            </w:pPr>
          </w:p>
        </w:tc>
        <w:tc>
          <w:tcPr>
            <w:tcW w:w="4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4"/>
        </w:trPr>
        <w:tc>
          <w:tcPr>
            <w:tcW w:w="3080" w:type="dxa"/>
            <w:vAlign w:val="bottom"/>
            <w:vMerge w:val="continue"/>
          </w:tcPr>
          <w:p>
            <w:pPr>
              <w:spacing w:after="0"/>
              <w:rPr>
                <w:sz w:val="11"/>
                <w:szCs w:val="11"/>
                <w:color w:val="auto"/>
              </w:rPr>
            </w:pPr>
          </w:p>
        </w:tc>
        <w:tc>
          <w:tcPr>
            <w:tcW w:w="580" w:type="dxa"/>
            <w:vAlign w:val="bottom"/>
            <w:vMerge w:val="continue"/>
          </w:tcPr>
          <w:p>
            <w:pPr>
              <w:spacing w:after="0"/>
              <w:rPr>
                <w:sz w:val="11"/>
                <w:szCs w:val="11"/>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1">
              <w:r>
                <w:rPr>
                  <w:rFonts w:ascii="Arial" w:cs="Arial" w:eastAsia="Arial" w:hAnsi="Arial"/>
                  <w:sz w:val="14"/>
                  <w:szCs w:val="14"/>
                  <w:color w:val="auto"/>
                </w:rPr>
                <w:t>Proxy Solicitation</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21">
              <w:r>
                <w:rPr>
                  <w:rFonts w:ascii="Arial" w:cs="Arial" w:eastAsia="Arial" w:hAnsi="Arial"/>
                  <w:sz w:val="14"/>
                  <w:szCs w:val="14"/>
                  <w:b w:val="1"/>
                  <w:bCs w:val="1"/>
                  <w:color w:val="auto"/>
                </w:rPr>
                <w:t>112</w:t>
              </w:r>
            </w:hyperlink>
          </w:p>
        </w:tc>
        <w:tc>
          <w:tcPr>
            <w:tcW w:w="0" w:type="dxa"/>
            <w:vAlign w:val="bottom"/>
          </w:tcPr>
          <w:p>
            <w:pPr>
              <w:spacing w:after="0"/>
              <w:rPr>
                <w:sz w:val="1"/>
                <w:szCs w:val="1"/>
                <w:color w:val="auto"/>
              </w:rPr>
            </w:pPr>
          </w:p>
        </w:tc>
      </w:tr>
      <w:tr>
        <w:trPr>
          <w:trHeight w:val="88"/>
        </w:trPr>
        <w:tc>
          <w:tcPr>
            <w:tcW w:w="3080" w:type="dxa"/>
            <w:vAlign w:val="bottom"/>
            <w:vMerge w:val="restart"/>
          </w:tcPr>
          <w:p>
            <w:pPr>
              <w:ind w:left="320"/>
              <w:spacing w:after="0"/>
              <w:rPr>
                <w:rFonts w:ascii="Arial" w:cs="Arial" w:eastAsia="Arial" w:hAnsi="Arial"/>
                <w:sz w:val="14"/>
                <w:szCs w:val="14"/>
                <w:b w:val="1"/>
                <w:bCs w:val="1"/>
                <w:color w:val="008C9F"/>
              </w:rPr>
            </w:pPr>
            <w:hyperlink w:anchor="page64">
              <w:r>
                <w:rPr>
                  <w:rFonts w:ascii="Arial" w:cs="Arial" w:eastAsia="Arial" w:hAnsi="Arial"/>
                  <w:sz w:val="14"/>
                  <w:szCs w:val="14"/>
                  <w:b w:val="1"/>
                  <w:bCs w:val="1"/>
                  <w:color w:val="008C9F"/>
                </w:rPr>
                <w:t>Executive Compensation</w:t>
              </w:r>
            </w:hyperlink>
          </w:p>
        </w:tc>
        <w:tc>
          <w:tcPr>
            <w:tcW w:w="580" w:type="dxa"/>
            <w:vAlign w:val="bottom"/>
          </w:tcPr>
          <w:p>
            <w:pPr>
              <w:spacing w:after="0"/>
              <w:rPr>
                <w:sz w:val="7"/>
                <w:szCs w:val="7"/>
                <w:color w:val="auto"/>
              </w:rPr>
            </w:pPr>
          </w:p>
        </w:tc>
        <w:tc>
          <w:tcPr>
            <w:tcW w:w="3240" w:type="dxa"/>
            <w:vAlign w:val="bottom"/>
            <w:vMerge w:val="continue"/>
          </w:tcPr>
          <w:p>
            <w:pPr>
              <w:spacing w:after="0"/>
              <w:rPr>
                <w:sz w:val="7"/>
                <w:szCs w:val="7"/>
                <w:color w:val="auto"/>
              </w:rPr>
            </w:pPr>
          </w:p>
        </w:tc>
        <w:tc>
          <w:tcPr>
            <w:tcW w:w="4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3080" w:type="dxa"/>
            <w:vAlign w:val="bottom"/>
            <w:vMerge w:val="continue"/>
          </w:tcPr>
          <w:p>
            <w:pPr>
              <w:spacing w:after="0"/>
              <w:rPr>
                <w:sz w:val="9"/>
                <w:szCs w:val="9"/>
                <w:color w:val="auto"/>
              </w:rPr>
            </w:pPr>
          </w:p>
        </w:tc>
        <w:tc>
          <w:tcPr>
            <w:tcW w:w="580" w:type="dxa"/>
            <w:vAlign w:val="bottom"/>
          </w:tcPr>
          <w:p>
            <w:pPr>
              <w:spacing w:after="0"/>
              <w:rPr>
                <w:sz w:val="9"/>
                <w:szCs w:val="9"/>
                <w:color w:val="auto"/>
              </w:rPr>
            </w:pPr>
          </w:p>
        </w:tc>
        <w:tc>
          <w:tcPr>
            <w:tcW w:w="3240" w:type="dxa"/>
            <w:vAlign w:val="bottom"/>
            <w:vMerge w:val="restart"/>
          </w:tcPr>
          <w:p>
            <w:pPr>
              <w:ind w:left="160"/>
              <w:spacing w:after="0"/>
              <w:rPr>
                <w:rFonts w:ascii="Arial" w:cs="Arial" w:eastAsia="Arial" w:hAnsi="Arial"/>
                <w:sz w:val="14"/>
                <w:szCs w:val="14"/>
                <w:b w:val="1"/>
                <w:bCs w:val="1"/>
                <w:color w:val="355675"/>
              </w:rPr>
            </w:pPr>
            <w:hyperlink w:anchor="page122">
              <w:r>
                <w:rPr>
                  <w:rFonts w:ascii="Arial" w:cs="Arial" w:eastAsia="Arial" w:hAnsi="Arial"/>
                  <w:sz w:val="14"/>
                  <w:szCs w:val="14"/>
                  <w:b w:val="1"/>
                  <w:bCs w:val="1"/>
                  <w:color w:val="355675"/>
                </w:rPr>
                <w:t>Other Matters</w:t>
              </w:r>
            </w:hyperlink>
          </w:p>
        </w:tc>
        <w:tc>
          <w:tcPr>
            <w:tcW w:w="400" w:type="dxa"/>
            <w:vAlign w:val="bottom"/>
            <w:vMerge w:val="restart"/>
          </w:tcPr>
          <w:p>
            <w:pPr>
              <w:jc w:val="right"/>
              <w:spacing w:after="0"/>
              <w:rPr>
                <w:rFonts w:ascii="Arial" w:cs="Arial" w:eastAsia="Arial" w:hAnsi="Arial"/>
                <w:sz w:val="14"/>
                <w:szCs w:val="14"/>
                <w:b w:val="1"/>
                <w:bCs w:val="1"/>
                <w:color w:val="355675"/>
              </w:rPr>
            </w:pPr>
            <w:hyperlink w:anchor="page122">
              <w:r>
                <w:rPr>
                  <w:rFonts w:ascii="Arial" w:cs="Arial" w:eastAsia="Arial" w:hAnsi="Arial"/>
                  <w:sz w:val="14"/>
                  <w:szCs w:val="14"/>
                  <w:b w:val="1"/>
                  <w:bCs w:val="1"/>
                  <w:color w:val="355675"/>
                </w:rPr>
                <w:t>113</w:t>
              </w:r>
            </w:hyperlink>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color w:val="auto"/>
              </w:rPr>
            </w:pPr>
            <w:hyperlink w:anchor="page65">
              <w:r>
                <w:rPr>
                  <w:rFonts w:ascii="Arial" w:cs="Arial" w:eastAsia="Arial" w:hAnsi="Arial"/>
                  <w:sz w:val="14"/>
                  <w:szCs w:val="14"/>
                  <w:color w:val="auto"/>
                </w:rPr>
                <w:t>Human Resources Committee Report</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65">
              <w:r>
                <w:rPr>
                  <w:rFonts w:ascii="Arial" w:cs="Arial" w:eastAsia="Arial" w:hAnsi="Arial"/>
                  <w:sz w:val="14"/>
                  <w:szCs w:val="14"/>
                  <w:b w:val="1"/>
                  <w:bCs w:val="1"/>
                  <w:color w:val="auto"/>
                </w:rPr>
                <w:t>56</w:t>
              </w:r>
            </w:hyperlink>
          </w:p>
        </w:tc>
        <w:tc>
          <w:tcPr>
            <w:tcW w:w="3240" w:type="dxa"/>
            <w:vAlign w:val="bottom"/>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08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2">
              <w:r>
                <w:rPr>
                  <w:rFonts w:ascii="Arial" w:cs="Arial" w:eastAsia="Arial" w:hAnsi="Arial"/>
                  <w:sz w:val="14"/>
                  <w:szCs w:val="14"/>
                  <w:color w:val="auto"/>
                </w:rPr>
                <w:t>Related Party Transactions</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22">
              <w:r>
                <w:rPr>
                  <w:rFonts w:ascii="Arial" w:cs="Arial" w:eastAsia="Arial" w:hAnsi="Arial"/>
                  <w:sz w:val="14"/>
                  <w:szCs w:val="14"/>
                  <w:b w:val="1"/>
                  <w:bCs w:val="1"/>
                  <w:color w:val="auto"/>
                </w:rPr>
                <w:t>113</w:t>
              </w:r>
            </w:hyperlink>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color w:val="auto"/>
              </w:rPr>
            </w:pPr>
            <w:hyperlink w:anchor="page65">
              <w:r>
                <w:rPr>
                  <w:rFonts w:ascii="Arial" w:cs="Arial" w:eastAsia="Arial" w:hAnsi="Arial"/>
                  <w:sz w:val="14"/>
                  <w:szCs w:val="14"/>
                  <w:color w:val="auto"/>
                </w:rPr>
                <w:t>Compensation Discussion and Analysis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65">
              <w:r>
                <w:rPr>
                  <w:rFonts w:ascii="Arial" w:cs="Arial" w:eastAsia="Arial" w:hAnsi="Arial"/>
                  <w:sz w:val="14"/>
                  <w:szCs w:val="14"/>
                  <w:b w:val="1"/>
                  <w:bCs w:val="1"/>
                  <w:color w:val="auto"/>
                </w:rPr>
                <w:t>56</w:t>
              </w:r>
            </w:hyperlink>
          </w:p>
        </w:tc>
        <w:tc>
          <w:tcPr>
            <w:tcW w:w="3240" w:type="dxa"/>
            <w:vAlign w:val="bottom"/>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74"/>
        </w:trPr>
        <w:tc>
          <w:tcPr>
            <w:tcW w:w="3080" w:type="dxa"/>
            <w:vAlign w:val="bottom"/>
            <w:vMerge w:val="continue"/>
          </w:tcPr>
          <w:p>
            <w:pPr>
              <w:spacing w:after="0"/>
              <w:rPr>
                <w:sz w:val="6"/>
                <w:szCs w:val="6"/>
                <w:color w:val="auto"/>
              </w:rPr>
            </w:pPr>
          </w:p>
        </w:tc>
        <w:tc>
          <w:tcPr>
            <w:tcW w:w="580" w:type="dxa"/>
            <w:vAlign w:val="bottom"/>
            <w:vMerge w:val="continue"/>
          </w:tcPr>
          <w:p>
            <w:pPr>
              <w:spacing w:after="0"/>
              <w:rPr>
                <w:sz w:val="6"/>
                <w:szCs w:val="6"/>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3">
              <w:r>
                <w:rPr>
                  <w:rFonts w:ascii="Arial" w:cs="Arial" w:eastAsia="Arial" w:hAnsi="Arial"/>
                  <w:sz w:val="14"/>
                  <w:szCs w:val="14"/>
                  <w:color w:val="auto"/>
                </w:rPr>
                <w:t>Human Resources Committee Interlocks and</w:t>
              </w:r>
            </w:hyperlink>
          </w:p>
        </w:tc>
        <w:tc>
          <w:tcPr>
            <w:tcW w:w="400" w:type="dxa"/>
            <w:vAlign w:val="bottom"/>
            <w:vMerge w:val="restart"/>
          </w:tcPr>
          <w:p>
            <w:pPr>
              <w:jc w:val="right"/>
              <w:spacing w:after="0"/>
              <w:rPr>
                <w:rFonts w:ascii="Arial" w:cs="Arial" w:eastAsia="Arial" w:hAnsi="Arial"/>
                <w:sz w:val="14"/>
                <w:szCs w:val="14"/>
                <w:b w:val="1"/>
                <w:bCs w:val="1"/>
                <w:color w:val="auto"/>
              </w:rPr>
            </w:pPr>
            <w:hyperlink w:anchor="page123">
              <w:r>
                <w:rPr>
                  <w:rFonts w:ascii="Arial" w:cs="Arial" w:eastAsia="Arial" w:hAnsi="Arial"/>
                  <w:sz w:val="14"/>
                  <w:szCs w:val="14"/>
                  <w:b w:val="1"/>
                  <w:bCs w:val="1"/>
                  <w:color w:val="auto"/>
                </w:rPr>
                <w:t>114</w:t>
              </w:r>
            </w:hyperlink>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color w:val="auto"/>
              </w:rPr>
            </w:pPr>
            <w:hyperlink w:anchor="page65">
              <w:r>
                <w:rPr>
                  <w:rFonts w:ascii="Arial" w:cs="Arial" w:eastAsia="Arial" w:hAnsi="Arial"/>
                  <w:sz w:val="14"/>
                  <w:szCs w:val="14"/>
                  <w:color w:val="auto"/>
                </w:rPr>
                <w:t>(“CD&amp;A”)</w:t>
              </w:r>
            </w:hyperlink>
          </w:p>
        </w:tc>
        <w:tc>
          <w:tcPr>
            <w:tcW w:w="580" w:type="dxa"/>
            <w:vAlign w:val="bottom"/>
          </w:tcPr>
          <w:p>
            <w:pPr>
              <w:spacing w:after="0"/>
              <w:rPr>
                <w:sz w:val="9"/>
                <w:szCs w:val="9"/>
                <w:color w:val="auto"/>
              </w:rPr>
            </w:pPr>
          </w:p>
        </w:tc>
        <w:tc>
          <w:tcPr>
            <w:tcW w:w="3240" w:type="dxa"/>
            <w:vAlign w:val="bottom"/>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2"/>
        </w:trPr>
        <w:tc>
          <w:tcPr>
            <w:tcW w:w="3080" w:type="dxa"/>
            <w:vAlign w:val="bottom"/>
            <w:vMerge w:val="continue"/>
          </w:tcPr>
          <w:p>
            <w:pPr>
              <w:spacing w:after="0"/>
              <w:rPr>
                <w:sz w:val="7"/>
                <w:szCs w:val="7"/>
                <w:color w:val="auto"/>
              </w:rPr>
            </w:pPr>
          </w:p>
        </w:tc>
        <w:tc>
          <w:tcPr>
            <w:tcW w:w="580" w:type="dxa"/>
            <w:vAlign w:val="bottom"/>
          </w:tcPr>
          <w:p>
            <w:pPr>
              <w:spacing w:after="0"/>
              <w:rPr>
                <w:sz w:val="7"/>
                <w:szCs w:val="7"/>
                <w:color w:val="auto"/>
              </w:rPr>
            </w:pPr>
          </w:p>
        </w:tc>
        <w:tc>
          <w:tcPr>
            <w:tcW w:w="3240" w:type="dxa"/>
            <w:vAlign w:val="bottom"/>
            <w:vMerge w:val="restart"/>
          </w:tcPr>
          <w:p>
            <w:pPr>
              <w:ind w:left="160"/>
              <w:spacing w:after="0"/>
              <w:rPr>
                <w:rFonts w:ascii="Arial" w:cs="Arial" w:eastAsia="Arial" w:hAnsi="Arial"/>
                <w:sz w:val="14"/>
                <w:szCs w:val="14"/>
                <w:color w:val="auto"/>
              </w:rPr>
            </w:pPr>
            <w:hyperlink w:anchor="page123">
              <w:r>
                <w:rPr>
                  <w:rFonts w:ascii="Arial" w:cs="Arial" w:eastAsia="Arial" w:hAnsi="Arial"/>
                  <w:sz w:val="14"/>
                  <w:szCs w:val="14"/>
                  <w:color w:val="auto"/>
                </w:rPr>
                <w:t>Insider Participation</w:t>
              </w:r>
            </w:hyperlink>
          </w:p>
        </w:tc>
        <w:tc>
          <w:tcPr>
            <w:tcW w:w="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color w:val="auto"/>
              </w:rPr>
            </w:pPr>
            <w:hyperlink w:anchor="page90">
              <w:r>
                <w:rPr>
                  <w:rFonts w:ascii="Arial" w:cs="Arial" w:eastAsia="Arial" w:hAnsi="Arial"/>
                  <w:sz w:val="14"/>
                  <w:szCs w:val="14"/>
                  <w:color w:val="auto"/>
                </w:rPr>
                <w:t>Executive Compensation Tables</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90">
              <w:r>
                <w:rPr>
                  <w:rFonts w:ascii="Arial" w:cs="Arial" w:eastAsia="Arial" w:hAnsi="Arial"/>
                  <w:sz w:val="14"/>
                  <w:szCs w:val="14"/>
                  <w:b w:val="1"/>
                  <w:bCs w:val="1"/>
                  <w:color w:val="auto"/>
                </w:rPr>
                <w:t>81</w:t>
              </w:r>
            </w:hyperlink>
          </w:p>
        </w:tc>
        <w:tc>
          <w:tcPr>
            <w:tcW w:w="3240" w:type="dxa"/>
            <w:vAlign w:val="bottom"/>
            <w:vMerge w:val="continue"/>
          </w:tcPr>
          <w:p>
            <w:pPr>
              <w:spacing w:after="0"/>
              <w:rPr>
                <w:sz w:val="9"/>
                <w:szCs w:val="9"/>
                <w:color w:val="auto"/>
              </w:rPr>
            </w:pP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4"/>
        </w:trPr>
        <w:tc>
          <w:tcPr>
            <w:tcW w:w="308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3240" w:type="dxa"/>
            <w:vAlign w:val="bottom"/>
            <w:vMerge w:val="restart"/>
          </w:tcPr>
          <w:p>
            <w:pPr>
              <w:ind w:left="160"/>
              <w:spacing w:after="0"/>
              <w:rPr>
                <w:rFonts w:ascii="Arial" w:cs="Arial" w:eastAsia="Arial" w:hAnsi="Arial"/>
                <w:sz w:val="14"/>
                <w:szCs w:val="14"/>
                <w:b w:val="1"/>
                <w:bCs w:val="1"/>
                <w:color w:val="355675"/>
              </w:rPr>
            </w:pPr>
            <w:hyperlink w:anchor="page124">
              <w:r>
                <w:rPr>
                  <w:rFonts w:ascii="Arial" w:cs="Arial" w:eastAsia="Arial" w:hAnsi="Arial"/>
                  <w:sz w:val="14"/>
                  <w:szCs w:val="14"/>
                  <w:b w:val="1"/>
                  <w:bCs w:val="1"/>
                  <w:color w:val="355675"/>
                </w:rPr>
                <w:t>Helpful Resources</w:t>
              </w:r>
            </w:hyperlink>
          </w:p>
        </w:tc>
        <w:tc>
          <w:tcPr>
            <w:tcW w:w="400" w:type="dxa"/>
            <w:vAlign w:val="bottom"/>
            <w:vMerge w:val="restart"/>
          </w:tcPr>
          <w:p>
            <w:pPr>
              <w:jc w:val="right"/>
              <w:spacing w:after="0"/>
              <w:rPr>
                <w:rFonts w:ascii="Arial" w:cs="Arial" w:eastAsia="Arial" w:hAnsi="Arial"/>
                <w:sz w:val="14"/>
                <w:szCs w:val="14"/>
                <w:b w:val="1"/>
                <w:bCs w:val="1"/>
                <w:color w:val="355675"/>
              </w:rPr>
            </w:pPr>
            <w:hyperlink w:anchor="page124">
              <w:r>
                <w:rPr>
                  <w:rFonts w:ascii="Arial" w:cs="Arial" w:eastAsia="Arial" w:hAnsi="Arial"/>
                  <w:sz w:val="14"/>
                  <w:szCs w:val="14"/>
                  <w:b w:val="1"/>
                  <w:bCs w:val="1"/>
                  <w:color w:val="355675"/>
                </w:rPr>
                <w:t>115</w:t>
              </w:r>
            </w:hyperlink>
          </w:p>
        </w:tc>
        <w:tc>
          <w:tcPr>
            <w:tcW w:w="0" w:type="dxa"/>
            <w:vAlign w:val="bottom"/>
          </w:tcPr>
          <w:p>
            <w:pPr>
              <w:spacing w:after="0"/>
              <w:rPr>
                <w:sz w:val="1"/>
                <w:szCs w:val="1"/>
                <w:color w:val="auto"/>
              </w:rPr>
            </w:pPr>
          </w:p>
        </w:tc>
      </w:tr>
      <w:tr>
        <w:trPr>
          <w:trHeight w:val="108"/>
        </w:trPr>
        <w:tc>
          <w:tcPr>
            <w:tcW w:w="3080" w:type="dxa"/>
            <w:vAlign w:val="bottom"/>
            <w:vMerge w:val="restart"/>
          </w:tcPr>
          <w:p>
            <w:pPr>
              <w:spacing w:after="0"/>
              <w:rPr>
                <w:rFonts w:ascii="Arial" w:cs="Arial" w:eastAsia="Arial" w:hAnsi="Arial"/>
                <w:sz w:val="14"/>
                <w:szCs w:val="14"/>
                <w:color w:val="auto"/>
              </w:rPr>
            </w:pPr>
            <w:hyperlink w:anchor="page107">
              <w:r>
                <w:rPr>
                  <w:rFonts w:ascii="Arial" w:cs="Arial" w:eastAsia="Arial" w:hAnsi="Arial"/>
                  <w:sz w:val="14"/>
                  <w:szCs w:val="14"/>
                  <w:color w:val="auto"/>
                </w:rPr>
                <w:t>Pay Ratio</w:t>
              </w:r>
            </w:hyperlink>
          </w:p>
        </w:tc>
        <w:tc>
          <w:tcPr>
            <w:tcW w:w="580" w:type="dxa"/>
            <w:vAlign w:val="bottom"/>
            <w:vMerge w:val="restart"/>
          </w:tcPr>
          <w:p>
            <w:pPr>
              <w:jc w:val="right"/>
              <w:ind w:right="108"/>
              <w:spacing w:after="0"/>
              <w:rPr>
                <w:rFonts w:ascii="Arial" w:cs="Arial" w:eastAsia="Arial" w:hAnsi="Arial"/>
                <w:sz w:val="14"/>
                <w:szCs w:val="14"/>
                <w:b w:val="1"/>
                <w:bCs w:val="1"/>
                <w:color w:val="auto"/>
              </w:rPr>
            </w:pPr>
            <w:hyperlink w:anchor="page107">
              <w:r>
                <w:rPr>
                  <w:rFonts w:ascii="Arial" w:cs="Arial" w:eastAsia="Arial" w:hAnsi="Arial"/>
                  <w:sz w:val="14"/>
                  <w:szCs w:val="14"/>
                  <w:b w:val="1"/>
                  <w:bCs w:val="1"/>
                  <w:color w:val="auto"/>
                </w:rPr>
                <w:t>98</w:t>
              </w:r>
            </w:hyperlink>
          </w:p>
        </w:tc>
        <w:tc>
          <w:tcPr>
            <w:tcW w:w="3240" w:type="dxa"/>
            <w:vAlign w:val="bottom"/>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080" w:type="dxa"/>
            <w:vAlign w:val="bottom"/>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3240" w:type="dxa"/>
            <w:vAlign w:val="bottom"/>
          </w:tcPr>
          <w:p>
            <w:pPr>
              <w:spacing w:after="0"/>
              <w:rPr>
                <w:sz w:val="9"/>
                <w:szCs w:val="9"/>
                <w:color w:val="auto"/>
              </w:rPr>
            </w:pP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rFonts w:ascii="Arial" w:cs="Arial" w:eastAsia="Arial" w:hAnsi="Arial"/>
                <w:sz w:val="14"/>
                <w:szCs w:val="14"/>
                <w:b w:val="1"/>
                <w:bCs w:val="1"/>
                <w:color w:val="355675"/>
              </w:rPr>
            </w:pPr>
            <w:hyperlink w:anchor="page108">
              <w:r>
                <w:rPr>
                  <w:rFonts w:ascii="Arial" w:cs="Arial" w:eastAsia="Arial" w:hAnsi="Arial"/>
                  <w:sz w:val="14"/>
                  <w:szCs w:val="14"/>
                  <w:b w:val="1"/>
                  <w:bCs w:val="1"/>
                  <w:color w:val="355675"/>
                </w:rPr>
                <w:t>Audit Matters</w:t>
              </w:r>
            </w:hyperlink>
          </w:p>
        </w:tc>
        <w:tc>
          <w:tcPr>
            <w:tcW w:w="580" w:type="dxa"/>
            <w:vAlign w:val="bottom"/>
          </w:tcPr>
          <w:p>
            <w:pPr>
              <w:jc w:val="right"/>
              <w:ind w:right="108"/>
              <w:spacing w:after="0"/>
              <w:rPr>
                <w:rFonts w:ascii="Arial" w:cs="Arial" w:eastAsia="Arial" w:hAnsi="Arial"/>
                <w:sz w:val="14"/>
                <w:szCs w:val="14"/>
                <w:b w:val="1"/>
                <w:bCs w:val="1"/>
                <w:color w:val="355675"/>
              </w:rPr>
            </w:pPr>
            <w:hyperlink w:anchor="page108">
              <w:r>
                <w:rPr>
                  <w:rFonts w:ascii="Arial" w:cs="Arial" w:eastAsia="Arial" w:hAnsi="Arial"/>
                  <w:sz w:val="14"/>
                  <w:szCs w:val="14"/>
                  <w:b w:val="1"/>
                  <w:bCs w:val="1"/>
                  <w:color w:val="355675"/>
                </w:rPr>
                <w:t>99</w:t>
              </w:r>
            </w:hyperlink>
          </w:p>
        </w:tc>
        <w:tc>
          <w:tcPr>
            <w:tcW w:w="32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-1729740</wp:posOffset>
            </wp:positionV>
            <wp:extent cx="137160" cy="1371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37160" cy="13716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-1009650</wp:posOffset>
            </wp:positionV>
            <wp:extent cx="137160" cy="137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37160" cy="137160"/>
                    </a:xfrm>
                    <a:prstGeom prst="rect">
                      <a:avLst/>
                    </a:prstGeom>
                    <a:noFill/>
                  </pic:spPr>
                </pic:pic>
              </a:graphicData>
            </a:graphic>
          </wp:anchor>
        </w:drawing>
        <w:drawing>
          <wp:anchor simplePos="0" relativeHeight="251657728" behindDoc="1" locked="0" layoutInCell="0" allowOverlap="1">
            <wp:simplePos x="0" y="0"/>
            <wp:positionH relativeFrom="column">
              <wp:posOffset>2430780</wp:posOffset>
            </wp:positionH>
            <wp:positionV relativeFrom="paragraph">
              <wp:posOffset>-4747260</wp:posOffset>
            </wp:positionV>
            <wp:extent cx="137160" cy="137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37160" cy="137160"/>
                    </a:xfrm>
                    <a:prstGeom prst="rect">
                      <a:avLst/>
                    </a:prstGeom>
                    <a:noFill/>
                  </pic:spPr>
                </pic:pic>
              </a:graphicData>
            </a:graphic>
          </wp:anchor>
        </w:drawing>
        <w:drawing>
          <wp:anchor simplePos="0" relativeHeight="251657728" behindDoc="1" locked="0" layoutInCell="0" allowOverlap="1">
            <wp:simplePos x="0" y="0"/>
            <wp:positionH relativeFrom="column">
              <wp:posOffset>2430780</wp:posOffset>
            </wp:positionH>
            <wp:positionV relativeFrom="paragraph">
              <wp:posOffset>-3101340</wp:posOffset>
            </wp:positionV>
            <wp:extent cx="137160" cy="137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37160" cy="137160"/>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104140</wp:posOffset>
            </wp:positionV>
            <wp:extent cx="1191260" cy="2317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7" w:lineRule="exact"/>
        <w:rPr>
          <w:sz w:val="20"/>
          <w:szCs w:val="20"/>
          <w:color w:val="auto"/>
        </w:rPr>
      </w:pPr>
    </w:p>
    <w:p>
      <w:pPr>
        <w:ind w:left="940"/>
        <w:spacing w:after="0"/>
        <w:rPr>
          <w:sz w:val="20"/>
          <w:szCs w:val="20"/>
          <w:color w:val="auto"/>
        </w:rPr>
      </w:pPr>
      <w:r>
        <w:rPr>
          <w:rFonts w:ascii="Arial" w:cs="Arial" w:eastAsia="Arial" w:hAnsi="Arial"/>
          <w:sz w:val="14"/>
          <w:szCs w:val="14"/>
          <w:b w:val="1"/>
          <w:bCs w:val="1"/>
          <w:color w:val="FFFFFF"/>
        </w:rPr>
        <w:t>INDEX OF FREQUENTLY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-241300</wp:posOffset>
            </wp:positionV>
            <wp:extent cx="2280285" cy="45002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2280285" cy="4500245"/>
                    </a:xfrm>
                    <a:prstGeom prst="rect">
                      <a:avLst/>
                    </a:prstGeom>
                    <a:noFill/>
                  </pic:spPr>
                </pic:pic>
              </a:graphicData>
            </a:graphic>
          </wp:anchor>
        </w:drawing>
      </w:r>
    </w:p>
    <w:p>
      <w:pPr>
        <w:ind w:left="820"/>
        <w:spacing w:after="0"/>
        <w:rPr>
          <w:sz w:val="20"/>
          <w:szCs w:val="20"/>
          <w:color w:val="auto"/>
        </w:rPr>
      </w:pPr>
      <w:r>
        <w:rPr>
          <w:rFonts w:ascii="Arial" w:cs="Arial" w:eastAsia="Arial" w:hAnsi="Arial"/>
          <w:sz w:val="14"/>
          <w:szCs w:val="14"/>
          <w:b w:val="1"/>
          <w:bCs w:val="1"/>
          <w:color w:val="FFFFFF"/>
        </w:rPr>
        <w:t>REQUESTED INFORMATION</w:t>
      </w:r>
    </w:p>
    <w:p>
      <w:pPr>
        <w:spacing w:after="0" w:line="77"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300" w:type="dxa"/>
            <w:vAlign w:val="bottom"/>
            <w:shd w:val="clear" w:color="auto" w:fill="EBECEF"/>
          </w:tcPr>
          <w:p>
            <w:pPr>
              <w:spacing w:after="0"/>
              <w:rPr>
                <w:sz w:val="12"/>
                <w:szCs w:val="12"/>
                <w:color w:val="auto"/>
              </w:rPr>
            </w:pPr>
          </w:p>
        </w:tc>
        <w:tc>
          <w:tcPr>
            <w:tcW w:w="2700" w:type="dxa"/>
            <w:vAlign w:val="bottom"/>
            <w:vMerge w:val="restart"/>
            <w:shd w:val="clear" w:color="auto" w:fill="EBECEF"/>
          </w:tcPr>
          <w:p>
            <w:pPr>
              <w:spacing w:after="0"/>
              <w:rPr>
                <w:rFonts w:ascii="Arial" w:cs="Arial" w:eastAsia="Arial" w:hAnsi="Arial"/>
                <w:sz w:val="14"/>
                <w:szCs w:val="14"/>
                <w:color w:val="auto"/>
              </w:rPr>
            </w:pPr>
            <w:hyperlink w:anchor="page110">
              <w:r>
                <w:rPr>
                  <w:rFonts w:ascii="Arial" w:cs="Arial" w:eastAsia="Arial" w:hAnsi="Arial"/>
                  <w:sz w:val="14"/>
                  <w:szCs w:val="14"/>
                  <w:color w:val="auto"/>
                </w:rPr>
                <w:t>Auditor Fees</w:t>
              </w:r>
            </w:hyperlink>
          </w:p>
        </w:tc>
        <w:tc>
          <w:tcPr>
            <w:tcW w:w="280" w:type="dxa"/>
            <w:vAlign w:val="bottom"/>
            <w:vMerge w:val="restart"/>
            <w:shd w:val="clear" w:color="auto" w:fill="EBECEF"/>
          </w:tcPr>
          <w:p>
            <w:pPr>
              <w:jc w:val="right"/>
              <w:spacing w:after="0"/>
              <w:rPr>
                <w:rFonts w:ascii="Arial" w:cs="Arial" w:eastAsia="Arial" w:hAnsi="Arial"/>
                <w:sz w:val="14"/>
                <w:szCs w:val="14"/>
                <w:b w:val="1"/>
                <w:bCs w:val="1"/>
                <w:color w:val="auto"/>
              </w:rPr>
            </w:pPr>
            <w:hyperlink w:anchor="page110">
              <w:r>
                <w:rPr>
                  <w:rFonts w:ascii="Arial" w:cs="Arial" w:eastAsia="Arial" w:hAnsi="Arial"/>
                  <w:sz w:val="14"/>
                  <w:szCs w:val="14"/>
                  <w:b w:val="1"/>
                  <w:bCs w:val="1"/>
                  <w:color w:val="auto"/>
                </w:rPr>
                <w:t>101</w:t>
              </w:r>
            </w:hyperlink>
          </w:p>
        </w:tc>
        <w:tc>
          <w:tcPr>
            <w:tcW w:w="320" w:type="dxa"/>
            <w:vAlign w:val="bottom"/>
            <w:shd w:val="clear" w:color="auto" w:fill="008C9F"/>
          </w:tcPr>
          <w:p>
            <w:pPr>
              <w:spacing w:after="0"/>
              <w:rPr>
                <w:sz w:val="12"/>
                <w:szCs w:val="12"/>
                <w:color w:val="auto"/>
              </w:rPr>
            </w:pPr>
          </w:p>
        </w:tc>
        <w:tc>
          <w:tcPr>
            <w:tcW w:w="0" w:type="dxa"/>
            <w:vAlign w:val="bottom"/>
          </w:tcPr>
          <w:p>
            <w:pPr>
              <w:spacing w:after="0"/>
              <w:rPr>
                <w:sz w:val="1"/>
                <w:szCs w:val="1"/>
                <w:color w:val="auto"/>
              </w:rPr>
            </w:pPr>
          </w:p>
        </w:tc>
      </w:tr>
      <w:tr>
        <w:trPr>
          <w:trHeight w:val="187"/>
        </w:trPr>
        <w:tc>
          <w:tcPr>
            <w:tcW w:w="300" w:type="dxa"/>
            <w:vAlign w:val="bottom"/>
            <w:shd w:val="clear" w:color="auto" w:fill="EBECEF"/>
          </w:tcPr>
          <w:p>
            <w:pPr>
              <w:spacing w:after="0"/>
              <w:rPr>
                <w:sz w:val="16"/>
                <w:szCs w:val="16"/>
                <w:color w:val="auto"/>
              </w:rPr>
            </w:pPr>
          </w:p>
        </w:tc>
        <w:tc>
          <w:tcPr>
            <w:tcW w:w="2700" w:type="dxa"/>
            <w:vAlign w:val="bottom"/>
            <w:vMerge w:val="continue"/>
            <w:shd w:val="clear" w:color="auto" w:fill="EBECEF"/>
          </w:tcPr>
          <w:p>
            <w:pPr>
              <w:spacing w:after="0"/>
              <w:rPr>
                <w:sz w:val="16"/>
                <w:szCs w:val="16"/>
                <w:color w:val="auto"/>
              </w:rPr>
            </w:pPr>
          </w:p>
        </w:tc>
        <w:tc>
          <w:tcPr>
            <w:tcW w:w="280" w:type="dxa"/>
            <w:vAlign w:val="bottom"/>
            <w:vMerge w:val="continue"/>
            <w:shd w:val="clear" w:color="auto" w:fill="EBECEF"/>
          </w:tcPr>
          <w:p>
            <w:pPr>
              <w:spacing w:after="0"/>
              <w:rPr>
                <w:sz w:val="16"/>
                <w:szCs w:val="16"/>
                <w:color w:val="auto"/>
              </w:rPr>
            </w:pPr>
          </w:p>
        </w:tc>
        <w:tc>
          <w:tcPr>
            <w:tcW w:w="320" w:type="dxa"/>
            <w:vAlign w:val="bottom"/>
            <w:shd w:val="clear" w:color="auto" w:fill="2A9BD0"/>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112">
              <w:r>
                <w:rPr>
                  <w:rFonts w:ascii="Arial" w:cs="Arial" w:eastAsia="Arial" w:hAnsi="Arial"/>
                  <w:sz w:val="14"/>
                  <w:szCs w:val="14"/>
                  <w:color w:val="auto"/>
                </w:rPr>
                <w:t>Beneficial Ownership Table</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112">
              <w:r>
                <w:rPr>
                  <w:rFonts w:ascii="Arial" w:cs="Arial" w:eastAsia="Arial" w:hAnsi="Arial"/>
                  <w:sz w:val="14"/>
                  <w:szCs w:val="14"/>
                  <w:b w:val="1"/>
                  <w:bCs w:val="1"/>
                  <w:color w:val="auto"/>
                </w:rPr>
                <w:t>103</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35">
              <w:r>
                <w:rPr>
                  <w:rFonts w:ascii="Arial" w:cs="Arial" w:eastAsia="Arial" w:hAnsi="Arial"/>
                  <w:sz w:val="14"/>
                  <w:szCs w:val="14"/>
                  <w:color w:val="auto"/>
                </w:rPr>
                <w:t>Board Evaluations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35">
              <w:r>
                <w:rPr>
                  <w:rFonts w:ascii="Arial" w:cs="Arial" w:eastAsia="Arial" w:hAnsi="Arial"/>
                  <w:sz w:val="14"/>
                  <w:szCs w:val="14"/>
                  <w:b w:val="1"/>
                  <w:bCs w:val="1"/>
                  <w:color w:val="auto"/>
                </w:rPr>
                <w:t>26</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37">
              <w:r>
                <w:rPr>
                  <w:rFonts w:ascii="Arial" w:cs="Arial" w:eastAsia="Arial" w:hAnsi="Arial"/>
                  <w:sz w:val="14"/>
                  <w:szCs w:val="14"/>
                  <w:color w:val="auto"/>
                </w:rPr>
                <w:t>Board Leadership</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37">
              <w:r>
                <w:rPr>
                  <w:rFonts w:ascii="Arial" w:cs="Arial" w:eastAsia="Arial" w:hAnsi="Arial"/>
                  <w:sz w:val="14"/>
                  <w:szCs w:val="14"/>
                  <w:b w:val="1"/>
                  <w:bCs w:val="1"/>
                  <w:color w:val="auto"/>
                </w:rPr>
                <w:t>28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107">
              <w:r>
                <w:rPr>
                  <w:rFonts w:ascii="Arial" w:cs="Arial" w:eastAsia="Arial" w:hAnsi="Arial"/>
                  <w:sz w:val="14"/>
                  <w:szCs w:val="14"/>
                  <w:color w:val="auto"/>
                </w:rPr>
                <w:t>CEO Pay Ratio</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107">
              <w:r>
                <w:rPr>
                  <w:rFonts w:ascii="Arial" w:cs="Arial" w:eastAsia="Arial" w:hAnsi="Arial"/>
                  <w:sz w:val="14"/>
                  <w:szCs w:val="14"/>
                  <w:b w:val="1"/>
                  <w:bCs w:val="1"/>
                  <w:color w:val="auto"/>
                </w:rPr>
                <w:t>98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87">
              <w:r>
                <w:rPr>
                  <w:rFonts w:ascii="Arial" w:cs="Arial" w:eastAsia="Arial" w:hAnsi="Arial"/>
                  <w:sz w:val="14"/>
                  <w:szCs w:val="14"/>
                  <w:color w:val="auto"/>
                </w:rPr>
                <w:t>Clawback Policies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87">
              <w:r>
                <w:rPr>
                  <w:rFonts w:ascii="Arial" w:cs="Arial" w:eastAsia="Arial" w:hAnsi="Arial"/>
                  <w:sz w:val="14"/>
                  <w:szCs w:val="14"/>
                  <w:b w:val="1"/>
                  <w:bCs w:val="1"/>
                  <w:color w:val="auto"/>
                </w:rPr>
                <w:t>78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7">
              <w:r>
                <w:rPr>
                  <w:rFonts w:ascii="Arial" w:cs="Arial" w:eastAsia="Arial" w:hAnsi="Arial"/>
                  <w:sz w:val="14"/>
                  <w:szCs w:val="14"/>
                  <w:color w:val="auto"/>
                </w:rPr>
                <w:t>Code of Ethics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7">
              <w:r>
                <w:rPr>
                  <w:rFonts w:ascii="Arial" w:cs="Arial" w:eastAsia="Arial" w:hAnsi="Arial"/>
                  <w:sz w:val="14"/>
                  <w:szCs w:val="14"/>
                  <w:b w:val="1"/>
                  <w:bCs w:val="1"/>
                  <w:color w:val="auto"/>
                </w:rPr>
                <w:t>38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4">
              <w:r>
                <w:rPr>
                  <w:rFonts w:ascii="Arial" w:cs="Arial" w:eastAsia="Arial" w:hAnsi="Arial"/>
                  <w:sz w:val="14"/>
                  <w:szCs w:val="14"/>
                  <w:color w:val="auto"/>
                </w:rPr>
                <w:t>Company Culture</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4">
              <w:r>
                <w:rPr>
                  <w:rFonts w:ascii="Arial" w:cs="Arial" w:eastAsia="Arial" w:hAnsi="Arial"/>
                  <w:sz w:val="14"/>
                  <w:szCs w:val="14"/>
                  <w:b w:val="1"/>
                  <w:bCs w:val="1"/>
                  <w:color w:val="auto"/>
                </w:rPr>
                <w:t>35</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72">
              <w:r>
                <w:rPr>
                  <w:rFonts w:ascii="Arial" w:cs="Arial" w:eastAsia="Arial" w:hAnsi="Arial"/>
                  <w:sz w:val="14"/>
                  <w:szCs w:val="14"/>
                  <w:color w:val="auto"/>
                </w:rPr>
                <w:t>Compensation Consultant</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72">
              <w:r>
                <w:rPr>
                  <w:rFonts w:ascii="Arial" w:cs="Arial" w:eastAsia="Arial" w:hAnsi="Arial"/>
                  <w:sz w:val="14"/>
                  <w:szCs w:val="14"/>
                  <w:b w:val="1"/>
                  <w:bCs w:val="1"/>
                  <w:color w:val="auto"/>
                </w:rPr>
                <w:t>63</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0">
              <w:r>
                <w:rPr>
                  <w:rFonts w:ascii="Arial" w:cs="Arial" w:eastAsia="Arial" w:hAnsi="Arial"/>
                  <w:sz w:val="14"/>
                  <w:szCs w:val="14"/>
                  <w:color w:val="auto"/>
                </w:rPr>
                <w:t>Corp. Gov. Guidelines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0">
              <w:r>
                <w:rPr>
                  <w:rFonts w:ascii="Arial" w:cs="Arial" w:eastAsia="Arial" w:hAnsi="Arial"/>
                  <w:sz w:val="14"/>
                  <w:szCs w:val="14"/>
                  <w:b w:val="1"/>
                  <w:bCs w:val="1"/>
                  <w:color w:val="auto"/>
                </w:rPr>
                <w:t>31</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4">
              <w:r>
                <w:rPr>
                  <w:rFonts w:ascii="Arial" w:cs="Arial" w:eastAsia="Arial" w:hAnsi="Arial"/>
                  <w:sz w:val="14"/>
                  <w:szCs w:val="14"/>
                  <w:color w:val="auto"/>
                </w:rPr>
                <w:t>Director Attendance</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4">
              <w:r>
                <w:rPr>
                  <w:rFonts w:ascii="Arial" w:cs="Arial" w:eastAsia="Arial" w:hAnsi="Arial"/>
                  <w:sz w:val="14"/>
                  <w:szCs w:val="14"/>
                  <w:b w:val="1"/>
                  <w:bCs w:val="1"/>
                  <w:color w:val="auto"/>
                </w:rPr>
                <w:t>35</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61">
              <w:r>
                <w:rPr>
                  <w:rFonts w:ascii="Arial" w:cs="Arial" w:eastAsia="Arial" w:hAnsi="Arial"/>
                  <w:sz w:val="14"/>
                  <w:szCs w:val="14"/>
                  <w:color w:val="auto"/>
                </w:rPr>
                <w:t>Director Independence</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61">
              <w:r>
                <w:rPr>
                  <w:rFonts w:ascii="Arial" w:cs="Arial" w:eastAsia="Arial" w:hAnsi="Arial"/>
                  <w:sz w:val="14"/>
                  <w:szCs w:val="14"/>
                  <w:b w:val="1"/>
                  <w:bCs w:val="1"/>
                  <w:color w:val="auto"/>
                </w:rPr>
                <w:t>52</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55">
              <w:r>
                <w:rPr>
                  <w:rFonts w:ascii="Arial" w:cs="Arial" w:eastAsia="Arial" w:hAnsi="Arial"/>
                  <w:sz w:val="14"/>
                  <w:szCs w:val="14"/>
                  <w:color w:val="auto"/>
                </w:rPr>
                <w:t>Director Biographies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55">
              <w:r>
                <w:rPr>
                  <w:rFonts w:ascii="Arial" w:cs="Arial" w:eastAsia="Arial" w:hAnsi="Arial"/>
                  <w:sz w:val="14"/>
                  <w:szCs w:val="14"/>
                  <w:b w:val="1"/>
                  <w:bCs w:val="1"/>
                  <w:color w:val="auto"/>
                </w:rPr>
                <w:t>46</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27">
              <w:r>
                <w:rPr>
                  <w:rFonts w:ascii="Arial" w:cs="Arial" w:eastAsia="Arial" w:hAnsi="Arial"/>
                  <w:sz w:val="14"/>
                  <w:szCs w:val="14"/>
                  <w:color w:val="auto"/>
                </w:rPr>
                <w:t>Director Skills Matrix</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27">
              <w:r>
                <w:rPr>
                  <w:rFonts w:ascii="Arial" w:cs="Arial" w:eastAsia="Arial" w:hAnsi="Arial"/>
                  <w:sz w:val="14"/>
                  <w:szCs w:val="14"/>
                  <w:b w:val="1"/>
                  <w:bCs w:val="1"/>
                  <w:color w:val="auto"/>
                </w:rPr>
                <w:t>18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26">
              <w:r>
                <w:rPr>
                  <w:rFonts w:ascii="Arial" w:cs="Arial" w:eastAsia="Arial" w:hAnsi="Arial"/>
                  <w:sz w:val="14"/>
                  <w:szCs w:val="14"/>
                  <w:color w:val="auto"/>
                </w:rPr>
                <w:t>Director Tenure</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26">
              <w:r>
                <w:rPr>
                  <w:rFonts w:ascii="Arial" w:cs="Arial" w:eastAsia="Arial" w:hAnsi="Arial"/>
                  <w:sz w:val="14"/>
                  <w:szCs w:val="14"/>
                  <w:b w:val="1"/>
                  <w:bCs w:val="1"/>
                  <w:color w:val="auto"/>
                </w:rPr>
                <w:t>17</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6">
              <w:r>
                <w:rPr>
                  <w:rFonts w:ascii="Arial" w:cs="Arial" w:eastAsia="Arial" w:hAnsi="Arial"/>
                  <w:sz w:val="14"/>
                  <w:szCs w:val="14"/>
                  <w:color w:val="auto"/>
                </w:rPr>
                <w:t>ESG Framework</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6">
              <w:r>
                <w:rPr>
                  <w:rFonts w:ascii="Arial" w:cs="Arial" w:eastAsia="Arial" w:hAnsi="Arial"/>
                  <w:sz w:val="14"/>
                  <w:szCs w:val="14"/>
                  <w:b w:val="1"/>
                  <w:bCs w:val="1"/>
                  <w:color w:val="auto"/>
                </w:rPr>
                <w:t>37</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14">
              <w:r>
                <w:rPr>
                  <w:rFonts w:ascii="Arial" w:cs="Arial" w:eastAsia="Arial" w:hAnsi="Arial"/>
                  <w:sz w:val="14"/>
                  <w:szCs w:val="14"/>
                  <w:color w:val="auto"/>
                </w:rPr>
                <w:t>Financial Performance</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14">
              <w:r>
                <w:rPr>
                  <w:rFonts w:ascii="Arial" w:cs="Arial" w:eastAsia="Arial" w:hAnsi="Arial"/>
                  <w:sz w:val="14"/>
                  <w:szCs w:val="14"/>
                  <w:b w:val="1"/>
                  <w:bCs w:val="1"/>
                  <w:color w:val="auto"/>
                </w:rPr>
                <w:t>5</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6">
              <w:r>
                <w:rPr>
                  <w:rFonts w:ascii="Arial" w:cs="Arial" w:eastAsia="Arial" w:hAnsi="Arial"/>
                  <w:sz w:val="14"/>
                  <w:szCs w:val="14"/>
                  <w:color w:val="auto"/>
                </w:rPr>
                <w:t>Human Capital Management</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6">
              <w:r>
                <w:rPr>
                  <w:rFonts w:ascii="Arial" w:cs="Arial" w:eastAsia="Arial" w:hAnsi="Arial"/>
                  <w:sz w:val="14"/>
                  <w:szCs w:val="14"/>
                  <w:b w:val="1"/>
                  <w:bCs w:val="1"/>
                  <w:color w:val="auto"/>
                </w:rPr>
                <w:t>37</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37">
              <w:r>
                <w:rPr>
                  <w:rFonts w:ascii="Arial" w:cs="Arial" w:eastAsia="Arial" w:hAnsi="Arial"/>
                  <w:sz w:val="14"/>
                  <w:szCs w:val="14"/>
                  <w:color w:val="auto"/>
                </w:rPr>
                <w:t>Lead Director Duties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37">
              <w:r>
                <w:rPr>
                  <w:rFonts w:ascii="Arial" w:cs="Arial" w:eastAsia="Arial" w:hAnsi="Arial"/>
                  <w:sz w:val="14"/>
                  <w:szCs w:val="14"/>
                  <w:b w:val="1"/>
                  <w:bCs w:val="1"/>
                  <w:color w:val="auto"/>
                </w:rPr>
                <w:t>28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50">
              <w:r>
                <w:rPr>
                  <w:rFonts w:ascii="Arial" w:cs="Arial" w:eastAsia="Arial" w:hAnsi="Arial"/>
                  <w:sz w:val="14"/>
                  <w:szCs w:val="14"/>
                  <w:color w:val="auto"/>
                </w:rPr>
                <w:t>Management Succession</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50">
              <w:r>
                <w:rPr>
                  <w:rFonts w:ascii="Arial" w:cs="Arial" w:eastAsia="Arial" w:hAnsi="Arial"/>
                  <w:sz w:val="14"/>
                  <w:szCs w:val="14"/>
                  <w:b w:val="1"/>
                  <w:bCs w:val="1"/>
                  <w:color w:val="auto"/>
                </w:rPr>
                <w:t>41</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300" w:type="dxa"/>
            <w:vAlign w:val="bottom"/>
            <w:shd w:val="clear" w:color="auto" w:fill="EBECEF"/>
          </w:tcPr>
          <w:p>
            <w:pPr>
              <w:spacing w:after="0"/>
              <w:rPr>
                <w:sz w:val="15"/>
                <w:szCs w:val="15"/>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65">
              <w:r>
                <w:rPr>
                  <w:rFonts w:ascii="Arial" w:cs="Arial" w:eastAsia="Arial" w:hAnsi="Arial"/>
                  <w:sz w:val="14"/>
                  <w:szCs w:val="14"/>
                  <w:color w:val="auto"/>
                </w:rPr>
                <w:t>Named Executive Officers (“NEOs”) for</w:t>
              </w:r>
            </w:hyperlink>
          </w:p>
        </w:tc>
        <w:tc>
          <w:tcPr>
            <w:tcW w:w="280" w:type="dxa"/>
            <w:vAlign w:val="bottom"/>
            <w:shd w:val="clear" w:color="auto" w:fill="EBECEF"/>
          </w:tcPr>
          <w:p>
            <w:pPr>
              <w:spacing w:after="0"/>
              <w:rPr>
                <w:sz w:val="15"/>
                <w:szCs w:val="15"/>
                <w:color w:val="auto"/>
              </w:rPr>
            </w:pPr>
          </w:p>
        </w:tc>
        <w:tc>
          <w:tcPr>
            <w:tcW w:w="320" w:type="dxa"/>
            <w:vAlign w:val="bottom"/>
            <w:shd w:val="clear" w:color="auto" w:fill="2A9BD0"/>
          </w:tcPr>
          <w:p>
            <w:pPr>
              <w:spacing w:after="0"/>
              <w:rPr>
                <w:sz w:val="15"/>
                <w:szCs w:val="15"/>
                <w:color w:val="auto"/>
              </w:rPr>
            </w:pPr>
          </w:p>
        </w:tc>
        <w:tc>
          <w:tcPr>
            <w:tcW w:w="0" w:type="dxa"/>
            <w:vAlign w:val="bottom"/>
          </w:tcPr>
          <w:p>
            <w:pPr>
              <w:spacing w:after="0"/>
              <w:rPr>
                <w:sz w:val="1"/>
                <w:szCs w:val="1"/>
                <w:color w:val="auto"/>
              </w:rPr>
            </w:pPr>
          </w:p>
        </w:tc>
      </w:tr>
      <w:tr>
        <w:trPr>
          <w:trHeight w:val="196"/>
        </w:trPr>
        <w:tc>
          <w:tcPr>
            <w:tcW w:w="300" w:type="dxa"/>
            <w:vAlign w:val="bottom"/>
            <w:shd w:val="clear" w:color="auto" w:fill="EBECEF"/>
          </w:tcPr>
          <w:p>
            <w:pPr>
              <w:spacing w:after="0"/>
              <w:rPr>
                <w:sz w:val="17"/>
                <w:szCs w:val="17"/>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65">
              <w:r>
                <w:rPr>
                  <w:rFonts w:ascii="Arial" w:cs="Arial" w:eastAsia="Arial" w:hAnsi="Arial"/>
                  <w:sz w:val="14"/>
                  <w:szCs w:val="14"/>
                  <w:color w:val="auto"/>
                </w:rPr>
                <w:t>2021</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65">
              <w:r>
                <w:rPr>
                  <w:rFonts w:ascii="Arial" w:cs="Arial" w:eastAsia="Arial" w:hAnsi="Arial"/>
                  <w:sz w:val="14"/>
                  <w:szCs w:val="14"/>
                  <w:b w:val="1"/>
                  <w:bCs w:val="1"/>
                  <w:color w:val="auto"/>
                </w:rPr>
                <w:t>56</w:t>
              </w:r>
            </w:hyperlink>
          </w:p>
        </w:tc>
        <w:tc>
          <w:tcPr>
            <w:tcW w:w="320" w:type="dxa"/>
            <w:vAlign w:val="bottom"/>
            <w:shd w:val="clear" w:color="auto" w:fill="2A9BD0"/>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74">
              <w:r>
                <w:rPr>
                  <w:rFonts w:ascii="Arial" w:cs="Arial" w:eastAsia="Arial" w:hAnsi="Arial"/>
                  <w:sz w:val="14"/>
                  <w:szCs w:val="14"/>
                  <w:color w:val="auto"/>
                </w:rPr>
                <w:t>Peer Group</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74">
              <w:r>
                <w:rPr>
                  <w:rFonts w:ascii="Arial" w:cs="Arial" w:eastAsia="Arial" w:hAnsi="Arial"/>
                  <w:sz w:val="14"/>
                  <w:szCs w:val="14"/>
                  <w:b w:val="1"/>
                  <w:bCs w:val="1"/>
                  <w:color w:val="auto"/>
                </w:rPr>
                <w:t>65</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86">
              <w:r>
                <w:rPr>
                  <w:rFonts w:ascii="Arial" w:cs="Arial" w:eastAsia="Arial" w:hAnsi="Arial"/>
                  <w:sz w:val="14"/>
                  <w:szCs w:val="14"/>
                  <w:color w:val="auto"/>
                </w:rPr>
                <w:t>Perks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86">
              <w:r>
                <w:rPr>
                  <w:rFonts w:ascii="Arial" w:cs="Arial" w:eastAsia="Arial" w:hAnsi="Arial"/>
                  <w:sz w:val="14"/>
                  <w:szCs w:val="14"/>
                  <w:b w:val="1"/>
                  <w:bCs w:val="1"/>
                  <w:color w:val="auto"/>
                </w:rPr>
                <w:t>77</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122">
              <w:r>
                <w:rPr>
                  <w:rFonts w:ascii="Arial" w:cs="Arial" w:eastAsia="Arial" w:hAnsi="Arial"/>
                  <w:sz w:val="14"/>
                  <w:szCs w:val="14"/>
                  <w:color w:val="auto"/>
                </w:rPr>
                <w:t>Related Party Transactions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122">
              <w:r>
                <w:rPr>
                  <w:rFonts w:ascii="Arial" w:cs="Arial" w:eastAsia="Arial" w:hAnsi="Arial"/>
                  <w:sz w:val="14"/>
                  <w:szCs w:val="14"/>
                  <w:b w:val="1"/>
                  <w:bCs w:val="1"/>
                  <w:color w:val="auto"/>
                </w:rPr>
                <w:t>113</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7">
              <w:r>
                <w:rPr>
                  <w:rFonts w:ascii="Arial" w:cs="Arial" w:eastAsia="Arial" w:hAnsi="Arial"/>
                  <w:sz w:val="14"/>
                  <w:szCs w:val="14"/>
                  <w:color w:val="auto"/>
                </w:rPr>
                <w:t>Risk Oversight</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7">
              <w:r>
                <w:rPr>
                  <w:rFonts w:ascii="Arial" w:cs="Arial" w:eastAsia="Arial" w:hAnsi="Arial"/>
                  <w:sz w:val="14"/>
                  <w:szCs w:val="14"/>
                  <w:b w:val="1"/>
                  <w:bCs w:val="1"/>
                  <w:color w:val="auto"/>
                </w:rPr>
                <w:t>38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87">
              <w:r>
                <w:rPr>
                  <w:rFonts w:ascii="Arial" w:cs="Arial" w:eastAsia="Arial" w:hAnsi="Arial"/>
                  <w:sz w:val="14"/>
                  <w:szCs w:val="14"/>
                  <w:color w:val="auto"/>
                </w:rPr>
                <w:t>Stock Ownership Guidelines</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87">
              <w:r>
                <w:rPr>
                  <w:rFonts w:ascii="Arial" w:cs="Arial" w:eastAsia="Arial" w:hAnsi="Arial"/>
                  <w:sz w:val="14"/>
                  <w:szCs w:val="14"/>
                  <w:b w:val="1"/>
                  <w:bCs w:val="1"/>
                  <w:color w:val="auto"/>
                </w:rPr>
                <w:t>78</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45">
              <w:r>
                <w:rPr>
                  <w:rFonts w:ascii="Arial" w:cs="Arial" w:eastAsia="Arial" w:hAnsi="Arial"/>
                  <w:sz w:val="14"/>
                  <w:szCs w:val="14"/>
                  <w:color w:val="auto"/>
                </w:rPr>
                <w:t>Strategic Framework</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45">
              <w:r>
                <w:rPr>
                  <w:rFonts w:ascii="Arial" w:cs="Arial" w:eastAsia="Arial" w:hAnsi="Arial"/>
                  <w:sz w:val="14"/>
                  <w:szCs w:val="14"/>
                  <w:b w:val="1"/>
                  <w:bCs w:val="1"/>
                  <w:color w:val="auto"/>
                </w:rPr>
                <w:t>36</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0" w:type="dxa"/>
            <w:vAlign w:val="bottom"/>
            <w:shd w:val="clear" w:color="auto" w:fill="EBECEF"/>
          </w:tcPr>
          <w:p>
            <w:pPr>
              <w:spacing w:after="0"/>
              <w:rPr>
                <w:sz w:val="18"/>
                <w:szCs w:val="18"/>
                <w:color w:val="auto"/>
              </w:rPr>
            </w:pPr>
          </w:p>
        </w:tc>
        <w:tc>
          <w:tcPr>
            <w:tcW w:w="2700" w:type="dxa"/>
            <w:vAlign w:val="bottom"/>
            <w:shd w:val="clear" w:color="auto" w:fill="EBECEF"/>
          </w:tcPr>
          <w:p>
            <w:pPr>
              <w:spacing w:after="0"/>
              <w:rPr>
                <w:rFonts w:ascii="Arial" w:cs="Arial" w:eastAsia="Arial" w:hAnsi="Arial"/>
                <w:sz w:val="14"/>
                <w:szCs w:val="14"/>
                <w:color w:val="auto"/>
              </w:rPr>
            </w:pPr>
            <w:hyperlink w:anchor="page50">
              <w:r>
                <w:rPr>
                  <w:rFonts w:ascii="Arial" w:cs="Arial" w:eastAsia="Arial" w:hAnsi="Arial"/>
                  <w:sz w:val="14"/>
                  <w:szCs w:val="14"/>
                  <w:color w:val="auto"/>
                </w:rPr>
                <w:t>Succession Planning</w:t>
              </w:r>
            </w:hyperlink>
          </w:p>
        </w:tc>
        <w:tc>
          <w:tcPr>
            <w:tcW w:w="280" w:type="dxa"/>
            <w:vAlign w:val="bottom"/>
            <w:shd w:val="clear" w:color="auto" w:fill="EBECEF"/>
          </w:tcPr>
          <w:p>
            <w:pPr>
              <w:jc w:val="right"/>
              <w:spacing w:after="0"/>
              <w:rPr>
                <w:rFonts w:ascii="Arial" w:cs="Arial" w:eastAsia="Arial" w:hAnsi="Arial"/>
                <w:sz w:val="14"/>
                <w:szCs w:val="14"/>
                <w:b w:val="1"/>
                <w:bCs w:val="1"/>
                <w:color w:val="auto"/>
              </w:rPr>
            </w:pPr>
            <w:hyperlink w:anchor="page50">
              <w:r>
                <w:rPr>
                  <w:rFonts w:ascii="Arial" w:cs="Arial" w:eastAsia="Arial" w:hAnsi="Arial"/>
                  <w:sz w:val="14"/>
                  <w:szCs w:val="14"/>
                  <w:b w:val="1"/>
                  <w:bCs w:val="1"/>
                  <w:color w:val="auto"/>
                </w:rPr>
                <w:t>41</w:t>
              </w:r>
            </w:hyperlink>
          </w:p>
        </w:tc>
        <w:tc>
          <w:tcPr>
            <w:tcW w:w="320" w:type="dxa"/>
            <w:vAlign w:val="bottom"/>
            <w:shd w:val="clear" w:color="auto" w:fill="2A9BD0"/>
          </w:tcPr>
          <w:p>
            <w:pPr>
              <w:spacing w:after="0"/>
              <w:rPr>
                <w:sz w:val="18"/>
                <w:szCs w:val="18"/>
                <w:color w:val="auto"/>
              </w:rPr>
            </w:pPr>
          </w:p>
        </w:tc>
        <w:tc>
          <w:tcPr>
            <w:tcW w:w="0" w:type="dxa"/>
            <w:vAlign w:val="bottom"/>
          </w:tcPr>
          <w:p>
            <w:pPr>
              <w:spacing w:after="0"/>
              <w:rPr>
                <w:sz w:val="1"/>
                <w:szCs w:val="1"/>
                <w:color w:val="auto"/>
              </w:rPr>
            </w:pPr>
          </w:p>
        </w:tc>
      </w:tr>
      <w:tr>
        <w:trPr>
          <w:trHeight w:val="123"/>
        </w:trPr>
        <w:tc>
          <w:tcPr>
            <w:tcW w:w="300" w:type="dxa"/>
            <w:vAlign w:val="bottom"/>
            <w:shd w:val="clear" w:color="auto" w:fill="EBECEF"/>
          </w:tcPr>
          <w:p>
            <w:pPr>
              <w:spacing w:after="0"/>
              <w:rPr>
                <w:sz w:val="10"/>
                <w:szCs w:val="10"/>
                <w:color w:val="auto"/>
              </w:rPr>
            </w:pPr>
          </w:p>
        </w:tc>
        <w:tc>
          <w:tcPr>
            <w:tcW w:w="2700" w:type="dxa"/>
            <w:vAlign w:val="bottom"/>
            <w:shd w:val="clear" w:color="auto" w:fill="EBECEF"/>
          </w:tcPr>
          <w:p>
            <w:pPr>
              <w:spacing w:after="0"/>
              <w:rPr>
                <w:sz w:val="10"/>
                <w:szCs w:val="10"/>
                <w:color w:val="auto"/>
              </w:rPr>
            </w:pPr>
          </w:p>
        </w:tc>
        <w:tc>
          <w:tcPr>
            <w:tcW w:w="280" w:type="dxa"/>
            <w:vAlign w:val="bottom"/>
            <w:shd w:val="clear" w:color="auto" w:fill="EBECEF"/>
          </w:tcPr>
          <w:p>
            <w:pPr>
              <w:spacing w:after="0"/>
              <w:rPr>
                <w:sz w:val="10"/>
                <w:szCs w:val="10"/>
                <w:color w:val="auto"/>
              </w:rPr>
            </w:pPr>
          </w:p>
        </w:tc>
        <w:tc>
          <w:tcPr>
            <w:tcW w:w="320" w:type="dxa"/>
            <w:vAlign w:val="bottom"/>
            <w:shd w:val="clear" w:color="auto" w:fill="2A9BD0"/>
          </w:tcPr>
          <w:p>
            <w:pPr>
              <w:spacing w:after="0"/>
              <w:rPr>
                <w:sz w:val="10"/>
                <w:szCs w:val="10"/>
                <w:color w:val="auto"/>
              </w:rPr>
            </w:pPr>
          </w:p>
        </w:tc>
        <w:tc>
          <w:tcPr>
            <w:tcW w:w="0" w:type="dxa"/>
            <w:vAlign w:val="bottom"/>
          </w:tcPr>
          <w:p>
            <w:pPr>
              <w:spacing w:after="0"/>
              <w:rPr>
                <w:sz w:val="1"/>
                <w:szCs w:val="1"/>
                <w:color w:val="auto"/>
              </w:rPr>
            </w:pPr>
          </w:p>
        </w:tc>
      </w:tr>
    </w:tbl>
    <w:p>
      <w:pPr>
        <w:spacing w:after="0" w:line="589" w:lineRule="exact"/>
        <w:rPr>
          <w:sz w:val="20"/>
          <w:szCs w:val="20"/>
          <w:color w:val="auto"/>
        </w:rPr>
      </w:pPr>
    </w:p>
    <w:p>
      <w:pPr>
        <w:sectPr>
          <w:pgSz w:w="11900" w:h="16838" w:orient="portrait"/>
          <w:cols w:equalWidth="0" w:num="2">
            <w:col w:w="7300" w:space="340"/>
            <w:col w:w="3600"/>
          </w:cols>
          <w:pgMar w:left="320" w:top="125" w:right="339" w:bottom="1440" w:gutter="0" w:footer="0" w:header="0"/>
          <w:type w:val="continuous"/>
        </w:sectPr>
      </w:pPr>
    </w:p>
    <w:p>
      <w:pPr>
        <w:spacing w:after="0" w:line="15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vi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9" w:name="page10"/>
    <w:bookmarkEnd w:id="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70637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2320" cy="7063740"/>
                    </a:xfrm>
                    <a:prstGeom prst="rect">
                      <a:avLst/>
                    </a:prstGeom>
                    <a:noFill/>
                  </pic:spPr>
                </pic:pic>
              </a:graphicData>
            </a:graphic>
          </wp:anchor>
        </w:drawing>
      </w:r>
    </w:p>
    <w:p>
      <w:pPr>
        <w:spacing w:after="0" w:line="200" w:lineRule="exact"/>
        <w:rPr>
          <w:sz w:val="20"/>
          <w:szCs w:val="20"/>
          <w:color w:val="auto"/>
        </w:rPr>
      </w:pPr>
    </w:p>
    <w:p>
      <w:pPr>
        <w:spacing w:after="0" w:line="273" w:lineRule="exact"/>
        <w:rPr>
          <w:sz w:val="20"/>
          <w:szCs w:val="20"/>
          <w:color w:val="auto"/>
        </w:rPr>
      </w:pPr>
    </w:p>
    <w:p>
      <w:pPr>
        <w:ind w:left="100" w:right="2980"/>
        <w:spacing w:after="0" w:line="280" w:lineRule="auto"/>
        <w:rPr>
          <w:sz w:val="20"/>
          <w:szCs w:val="20"/>
          <w:color w:val="auto"/>
        </w:rPr>
      </w:pPr>
      <w:r>
        <w:rPr>
          <w:rFonts w:ascii="Arial" w:cs="Arial" w:eastAsia="Arial" w:hAnsi="Arial"/>
          <w:sz w:val="47"/>
          <w:szCs w:val="47"/>
          <w:b w:val="1"/>
          <w:bCs w:val="1"/>
          <w:color w:val="355675"/>
        </w:rPr>
        <w:t>Notice of the 2022 Annual Meeting of Shareholders</w:t>
      </w:r>
    </w:p>
    <w:p>
      <w:pPr>
        <w:sectPr>
          <w:pgSz w:w="11900" w:h="16838" w:orient="portrait"/>
          <w:cols w:equalWidth="0" w:num="1">
            <w:col w:w="11260"/>
          </w:cols>
          <w:pgMar w:left="320" w:top="125" w:right="319" w:bottom="1440" w:gutter="0" w:footer="0" w:header="0"/>
        </w:sectPr>
      </w:pPr>
    </w:p>
    <w:p>
      <w:pPr>
        <w:spacing w:after="0" w:line="200" w:lineRule="exact"/>
        <w:rPr>
          <w:sz w:val="20"/>
          <w:szCs w:val="20"/>
          <w:color w:val="auto"/>
        </w:rPr>
      </w:pPr>
    </w:p>
    <w:p>
      <w:pPr>
        <w:spacing w:after="0" w:line="306" w:lineRule="exact"/>
        <w:rPr>
          <w:sz w:val="20"/>
          <w:szCs w:val="20"/>
          <w:color w:val="auto"/>
        </w:rPr>
      </w:pPr>
    </w:p>
    <w:p>
      <w:pPr>
        <w:ind w:left="100"/>
        <w:spacing w:after="0"/>
        <w:rPr>
          <w:sz w:val="20"/>
          <w:szCs w:val="20"/>
          <w:color w:val="auto"/>
        </w:rPr>
      </w:pPr>
      <w:r>
        <w:rPr>
          <w:rFonts w:ascii="Arial" w:cs="Arial" w:eastAsia="Arial" w:hAnsi="Arial"/>
          <w:sz w:val="16"/>
          <w:szCs w:val="16"/>
          <w:b w:val="1"/>
          <w:bCs w:val="1"/>
          <w:color w:val="355675"/>
        </w:rPr>
        <w:t>DATE AND TIME</w:t>
      </w:r>
    </w:p>
    <w:p>
      <w:pPr>
        <w:spacing w:after="0" w:line="108" w:lineRule="exact"/>
        <w:rPr>
          <w:sz w:val="20"/>
          <w:szCs w:val="20"/>
          <w:color w:val="auto"/>
        </w:rPr>
      </w:pPr>
    </w:p>
    <w:p>
      <w:pPr>
        <w:ind w:left="100" w:right="1100"/>
        <w:spacing w:after="0" w:line="253" w:lineRule="auto"/>
        <w:rPr>
          <w:sz w:val="20"/>
          <w:szCs w:val="20"/>
          <w:color w:val="auto"/>
        </w:rPr>
      </w:pPr>
      <w:r>
        <w:rPr>
          <w:rFonts w:ascii="Arial" w:cs="Arial" w:eastAsia="Arial" w:hAnsi="Arial"/>
          <w:sz w:val="18"/>
          <w:szCs w:val="18"/>
          <w:color w:val="auto"/>
        </w:rPr>
        <w:t>Wednesday, May 18, 2022 at 1:30 p.m. Eastern Daylight Time</w:t>
      </w:r>
    </w:p>
    <w:p>
      <w:pPr>
        <w:spacing w:after="0" w:line="200" w:lineRule="exact"/>
        <w:rPr>
          <w:sz w:val="20"/>
          <w:szCs w:val="20"/>
          <w:color w:val="auto"/>
        </w:rPr>
      </w:pPr>
    </w:p>
    <w:p>
      <w:pPr>
        <w:spacing w:after="0" w:line="392" w:lineRule="exact"/>
        <w:rPr>
          <w:sz w:val="20"/>
          <w:szCs w:val="20"/>
          <w:color w:val="auto"/>
        </w:rPr>
      </w:pPr>
    </w:p>
    <w:p>
      <w:pPr>
        <w:ind w:left="100"/>
        <w:spacing w:after="0"/>
        <w:rPr>
          <w:sz w:val="20"/>
          <w:szCs w:val="20"/>
          <w:color w:val="auto"/>
        </w:rPr>
      </w:pPr>
      <w:r>
        <w:rPr>
          <w:rFonts w:ascii="Arial" w:cs="Arial" w:eastAsia="Arial" w:hAnsi="Arial"/>
          <w:sz w:val="16"/>
          <w:szCs w:val="16"/>
          <w:b w:val="1"/>
          <w:bCs w:val="1"/>
          <w:color w:val="355675"/>
        </w:rPr>
        <w:t>LOCATION</w:t>
      </w:r>
    </w:p>
    <w:p>
      <w:pPr>
        <w:spacing w:after="0" w:line="108" w:lineRule="exact"/>
        <w:rPr>
          <w:sz w:val="20"/>
          <w:szCs w:val="20"/>
          <w:color w:val="auto"/>
        </w:rPr>
      </w:pPr>
    </w:p>
    <w:p>
      <w:pPr>
        <w:ind w:left="100" w:right="1100"/>
        <w:spacing w:after="0" w:line="275" w:lineRule="auto"/>
        <w:rPr>
          <w:sz w:val="20"/>
          <w:szCs w:val="20"/>
          <w:color w:val="auto"/>
        </w:rPr>
      </w:pPr>
      <w:r>
        <w:rPr>
          <w:rFonts w:ascii="Arial" w:cs="Arial" w:eastAsia="Arial" w:hAnsi="Arial"/>
          <w:sz w:val="17"/>
          <w:szCs w:val="17"/>
          <w:color w:val="auto"/>
        </w:rPr>
        <w:t>Online at www. virtualshareholdermeeting. com/PNW</w:t>
      </w:r>
    </w:p>
    <w:p>
      <w:pPr>
        <w:spacing w:after="0" w:line="200" w:lineRule="exact"/>
        <w:rPr>
          <w:sz w:val="20"/>
          <w:szCs w:val="20"/>
          <w:color w:val="auto"/>
        </w:rPr>
      </w:pPr>
    </w:p>
    <w:p>
      <w:pPr>
        <w:spacing w:after="0" w:line="388" w:lineRule="exact"/>
        <w:rPr>
          <w:sz w:val="20"/>
          <w:szCs w:val="20"/>
          <w:color w:val="auto"/>
        </w:rPr>
      </w:pPr>
    </w:p>
    <w:p>
      <w:pPr>
        <w:ind w:left="100"/>
        <w:spacing w:after="0"/>
        <w:rPr>
          <w:sz w:val="20"/>
          <w:szCs w:val="20"/>
          <w:color w:val="auto"/>
        </w:rPr>
      </w:pPr>
      <w:r>
        <w:rPr>
          <w:rFonts w:ascii="Arial" w:cs="Arial" w:eastAsia="Arial" w:hAnsi="Arial"/>
          <w:sz w:val="16"/>
          <w:szCs w:val="16"/>
          <w:b w:val="1"/>
          <w:bCs w:val="1"/>
          <w:color w:val="355675"/>
        </w:rPr>
        <w:t>WHO CAN VOTE</w:t>
      </w:r>
    </w:p>
    <w:p>
      <w:pPr>
        <w:spacing w:after="0" w:line="108" w:lineRule="exact"/>
        <w:rPr>
          <w:sz w:val="20"/>
          <w:szCs w:val="20"/>
          <w:color w:val="auto"/>
        </w:rPr>
      </w:pPr>
    </w:p>
    <w:p>
      <w:pPr>
        <w:ind w:left="100"/>
        <w:spacing w:after="0" w:line="247" w:lineRule="auto"/>
        <w:rPr>
          <w:sz w:val="20"/>
          <w:szCs w:val="20"/>
          <w:color w:val="auto"/>
        </w:rPr>
      </w:pPr>
      <w:r>
        <w:rPr>
          <w:rFonts w:ascii="Arial" w:cs="Arial" w:eastAsia="Arial" w:hAnsi="Arial"/>
          <w:sz w:val="18"/>
          <w:szCs w:val="18"/>
          <w:color w:val="auto"/>
        </w:rPr>
        <w:t>All shareholders of record at the close of business on March 10, 2022 are entitled to notice of and to vote at the Annual Meeting</w:t>
      </w:r>
    </w:p>
    <w:p>
      <w:pPr>
        <w:spacing w:after="0" w:line="174"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008C9F"/>
        </w:rPr>
        <w:t>ADVANCE VOTING METHODS</w:t>
      </w:r>
    </w:p>
    <w:p>
      <w:pPr>
        <w:spacing w:after="0" w:line="200" w:lineRule="exact"/>
        <w:rPr>
          <w:sz w:val="20"/>
          <w:szCs w:val="20"/>
          <w:color w:val="auto"/>
        </w:rPr>
      </w:pPr>
    </w:p>
    <w:p>
      <w:pPr>
        <w:spacing w:after="0" w:line="354" w:lineRule="exact"/>
        <w:rPr>
          <w:sz w:val="20"/>
          <w:szCs w:val="20"/>
          <w:color w:val="auto"/>
        </w:rPr>
      </w:pPr>
    </w:p>
    <w:p>
      <w:pPr>
        <w:ind w:left="100"/>
        <w:spacing w:after="0"/>
        <w:rPr>
          <w:sz w:val="20"/>
          <w:szCs w:val="20"/>
          <w:color w:val="auto"/>
        </w:rPr>
      </w:pPr>
      <w:r>
        <w:rPr>
          <w:rFonts w:ascii="Arial" w:cs="Arial" w:eastAsia="Arial" w:hAnsi="Arial"/>
          <w:sz w:val="16"/>
          <w:szCs w:val="16"/>
          <w:b w:val="1"/>
          <w:bCs w:val="1"/>
          <w:color w:val="355675"/>
        </w:rPr>
        <w:t>INTERNET</w:t>
      </w:r>
    </w:p>
    <w:p>
      <w:pPr>
        <w:spacing w:after="0" w:line="108" w:lineRule="exact"/>
        <w:rPr>
          <w:sz w:val="20"/>
          <w:szCs w:val="20"/>
          <w:color w:val="auto"/>
        </w:rPr>
      </w:pPr>
    </w:p>
    <w:p>
      <w:pPr>
        <w:ind w:left="100"/>
        <w:spacing w:after="0"/>
        <w:rPr>
          <w:sz w:val="20"/>
          <w:szCs w:val="20"/>
          <w:color w:val="auto"/>
        </w:rPr>
      </w:pPr>
      <w:r>
        <w:rPr>
          <w:rFonts w:ascii="Arial" w:cs="Arial" w:eastAsia="Arial" w:hAnsi="Arial"/>
          <w:sz w:val="18"/>
          <w:szCs w:val="18"/>
          <w:color w:val="auto"/>
        </w:rPr>
        <w:t>www.proxyvote.com</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100"/>
        <w:spacing w:after="0"/>
        <w:rPr>
          <w:sz w:val="20"/>
          <w:szCs w:val="20"/>
          <w:color w:val="auto"/>
        </w:rPr>
      </w:pPr>
      <w:r>
        <w:rPr>
          <w:rFonts w:ascii="Arial" w:cs="Arial" w:eastAsia="Arial" w:hAnsi="Arial"/>
          <w:sz w:val="16"/>
          <w:szCs w:val="16"/>
          <w:b w:val="1"/>
          <w:bCs w:val="1"/>
          <w:color w:val="355675"/>
        </w:rPr>
        <w:t>TELEPHONE</w:t>
      </w:r>
    </w:p>
    <w:p>
      <w:pPr>
        <w:spacing w:after="0" w:line="108" w:lineRule="exact"/>
        <w:rPr>
          <w:sz w:val="20"/>
          <w:szCs w:val="20"/>
          <w:color w:val="auto"/>
        </w:rPr>
      </w:pPr>
    </w:p>
    <w:p>
      <w:pPr>
        <w:ind w:left="100"/>
        <w:spacing w:after="0"/>
        <w:rPr>
          <w:sz w:val="20"/>
          <w:szCs w:val="20"/>
          <w:color w:val="auto"/>
        </w:rPr>
      </w:pPr>
      <w:r>
        <w:rPr>
          <w:rFonts w:ascii="Arial" w:cs="Arial" w:eastAsia="Arial" w:hAnsi="Arial"/>
          <w:sz w:val="18"/>
          <w:szCs w:val="18"/>
          <w:color w:val="auto"/>
        </w:rPr>
        <w:t>1-800-690-6903</w:t>
      </w:r>
    </w:p>
    <w:p>
      <w:pPr>
        <w:spacing w:after="0" w:line="200" w:lineRule="exact"/>
        <w:rPr>
          <w:sz w:val="20"/>
          <w:szCs w:val="20"/>
          <w:color w:val="auto"/>
        </w:rPr>
      </w:pPr>
    </w:p>
    <w:p>
      <w:pPr>
        <w:spacing w:after="0" w:line="381" w:lineRule="exact"/>
        <w:rPr>
          <w:sz w:val="20"/>
          <w:szCs w:val="20"/>
          <w:color w:val="auto"/>
        </w:rPr>
      </w:pPr>
    </w:p>
    <w:p>
      <w:pPr>
        <w:ind w:left="100"/>
        <w:spacing w:after="0"/>
        <w:rPr>
          <w:sz w:val="20"/>
          <w:szCs w:val="20"/>
          <w:color w:val="auto"/>
        </w:rPr>
      </w:pPr>
      <w:r>
        <w:rPr>
          <w:rFonts w:ascii="Arial" w:cs="Arial" w:eastAsia="Arial" w:hAnsi="Arial"/>
          <w:sz w:val="16"/>
          <w:szCs w:val="16"/>
          <w:b w:val="1"/>
          <w:bCs w:val="1"/>
          <w:color w:val="355675"/>
        </w:rPr>
        <w:t>MAIL</w:t>
      </w:r>
    </w:p>
    <w:p>
      <w:pPr>
        <w:spacing w:after="0" w:line="108" w:lineRule="exact"/>
        <w:rPr>
          <w:sz w:val="20"/>
          <w:szCs w:val="20"/>
          <w:color w:val="auto"/>
        </w:rPr>
      </w:pPr>
    </w:p>
    <w:p>
      <w:pPr>
        <w:ind w:left="100" w:right="220"/>
        <w:spacing w:after="0" w:line="247" w:lineRule="auto"/>
        <w:rPr>
          <w:sz w:val="20"/>
          <w:szCs w:val="20"/>
          <w:color w:val="auto"/>
        </w:rPr>
      </w:pPr>
      <w:r>
        <w:rPr>
          <w:rFonts w:ascii="Arial" w:cs="Arial" w:eastAsia="Arial" w:hAnsi="Arial"/>
          <w:sz w:val="18"/>
          <w:szCs w:val="18"/>
          <w:color w:val="auto"/>
        </w:rPr>
        <w:t>Mark, sign, date, and mail your proxy card or voting instruction form (a postage-paid envelope is provided for mailing in the United States)</w:t>
      </w:r>
    </w:p>
    <w:p>
      <w:pPr>
        <w:spacing w:after="0" w:line="20" w:lineRule="exact"/>
        <w:rPr>
          <w:sz w:val="20"/>
          <w:szCs w:val="20"/>
          <w:color w:val="auto"/>
        </w:rPr>
      </w:pPr>
      <w:r>
        <w:rPr>
          <w:sz w:val="20"/>
          <w:szCs w:val="20"/>
          <w:color w:val="auto"/>
        </w:rPr>
        <w:br w:type="column"/>
      </w:r>
    </w:p>
    <w:p>
      <w:pPr>
        <w:spacing w:after="0" w:line="144"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FFFFFF"/>
        </w:rPr>
        <w:t>VOTING ITEMS</w:t>
      </w:r>
    </w:p>
    <w:p>
      <w:pPr>
        <w:spacing w:after="0" w:line="77" w:lineRule="exact"/>
        <w:rPr>
          <w:sz w:val="20"/>
          <w:szCs w:val="20"/>
          <w:color w:val="auto"/>
        </w:rPr>
      </w:pPr>
    </w:p>
    <w:p>
      <w:pPr>
        <w:ind w:left="580" w:hanging="352"/>
        <w:spacing w:after="0"/>
        <w:tabs>
          <w:tab w:leader="none" w:pos="580" w:val="left"/>
        </w:tabs>
        <w:numPr>
          <w:ilvl w:val="0"/>
          <w:numId w:val="5"/>
        </w:numPr>
        <w:rPr>
          <w:rFonts w:ascii="Arial" w:cs="Arial" w:eastAsia="Arial" w:hAnsi="Arial"/>
          <w:sz w:val="18"/>
          <w:szCs w:val="18"/>
          <w:b w:val="1"/>
          <w:bCs w:val="1"/>
          <w:color w:val="008C9F"/>
        </w:rPr>
      </w:pPr>
      <w:r>
        <w:rPr>
          <w:rFonts w:ascii="Arial" w:cs="Arial" w:eastAsia="Arial" w:hAnsi="Arial"/>
          <w:sz w:val="18"/>
          <w:szCs w:val="18"/>
          <w:color w:val="auto"/>
        </w:rPr>
        <w:t>To elect eleven directors to serve until the 2023 Annual Meeting of Shareholders</w:t>
      </w:r>
    </w:p>
    <w:p>
      <w:pPr>
        <w:spacing w:after="0" w:line="50" w:lineRule="exact"/>
        <w:rPr>
          <w:sz w:val="20"/>
          <w:szCs w:val="20"/>
          <w:color w:val="auto"/>
        </w:rPr>
      </w:pPr>
    </w:p>
    <w:p>
      <w:pPr>
        <w:ind w:left="1160"/>
        <w:spacing w:after="0"/>
        <w:rPr>
          <w:sz w:val="20"/>
          <w:szCs w:val="20"/>
          <w:color w:val="auto"/>
        </w:rPr>
      </w:pPr>
      <w:r>
        <w:rPr>
          <w:rFonts w:ascii="Arial" w:cs="Arial" w:eastAsia="Arial" w:hAnsi="Arial"/>
          <w:sz w:val="18"/>
          <w:szCs w:val="18"/>
          <w:b w:val="1"/>
          <w:bCs w:val="1"/>
          <w:color w:val="355675"/>
        </w:rPr>
        <w:t xml:space="preserve">FOR </w:t>
      </w:r>
      <w:r>
        <w:rPr>
          <w:rFonts w:ascii="Arial" w:cs="Arial" w:eastAsia="Arial" w:hAnsi="Arial"/>
          <w:sz w:val="18"/>
          <w:szCs w:val="18"/>
          <w:color w:val="355675"/>
        </w:rPr>
        <w:t>each director nominee</w:t>
      </w:r>
    </w:p>
    <w:p>
      <w:pPr>
        <w:spacing w:after="0" w:line="90" w:lineRule="exact"/>
        <w:rPr>
          <w:sz w:val="20"/>
          <w:szCs w:val="20"/>
          <w:color w:val="auto"/>
        </w:rPr>
      </w:pPr>
    </w:p>
    <w:p>
      <w:pPr>
        <w:ind w:left="580" w:hanging="352"/>
        <w:spacing w:after="0"/>
        <w:tabs>
          <w:tab w:leader="none" w:pos="580" w:val="left"/>
        </w:tabs>
        <w:numPr>
          <w:ilvl w:val="0"/>
          <w:numId w:val="6"/>
        </w:numPr>
        <w:rPr>
          <w:rFonts w:ascii="Arial" w:cs="Arial" w:eastAsia="Arial" w:hAnsi="Arial"/>
          <w:sz w:val="18"/>
          <w:szCs w:val="18"/>
          <w:b w:val="1"/>
          <w:bCs w:val="1"/>
          <w:color w:val="008C9F"/>
        </w:rPr>
      </w:pPr>
      <w:r>
        <w:rPr>
          <w:rFonts w:ascii="Arial" w:cs="Arial" w:eastAsia="Arial" w:hAnsi="Arial"/>
          <w:sz w:val="18"/>
          <w:szCs w:val="18"/>
          <w:color w:val="auto"/>
        </w:rPr>
        <w:t>To hold an advisory vote to approve executive compensation</w:t>
      </w:r>
    </w:p>
    <w:p>
      <w:pPr>
        <w:spacing w:after="0" w:line="39" w:lineRule="exact"/>
        <w:rPr>
          <w:rFonts w:ascii="Arial" w:cs="Arial" w:eastAsia="Arial" w:hAnsi="Arial"/>
          <w:sz w:val="18"/>
          <w:szCs w:val="18"/>
          <w:b w:val="1"/>
          <w:bCs w:val="1"/>
          <w:color w:val="008C9F"/>
        </w:rPr>
      </w:pPr>
    </w:p>
    <w:p>
      <w:pPr>
        <w:ind w:left="580"/>
        <w:spacing w:after="0"/>
        <w:rPr>
          <w:rFonts w:ascii="Arial" w:cs="Arial" w:eastAsia="Arial" w:hAnsi="Arial"/>
          <w:sz w:val="18"/>
          <w:szCs w:val="18"/>
          <w:b w:val="1"/>
          <w:bCs w:val="1"/>
          <w:color w:val="008C9F"/>
        </w:rPr>
      </w:pPr>
      <w:r>
        <w:rPr>
          <w:rFonts w:ascii="Arial" w:cs="Arial" w:eastAsia="Arial" w:hAnsi="Arial"/>
          <w:sz w:val="1"/>
          <w:szCs w:val="1"/>
          <w:b w:val="1"/>
          <w:bCs w:val="1"/>
          <w:color w:val="008C9F"/>
        </w:rPr>
        <w:drawing>
          <wp:inline distT="0" distB="0" distL="0" distR="0">
            <wp:extent cx="154305" cy="142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54305" cy="142875"/>
                    </a:xfrm>
                    <a:prstGeom prst="rect">
                      <a:avLst/>
                    </a:prstGeom>
                    <a:noFill/>
                    <a:ln>
                      <a:noFill/>
                    </a:ln>
                  </pic:spPr>
                </pic:pic>
              </a:graphicData>
            </a:graphic>
          </wp:inline>
        </w:drawing>
      </w:r>
      <w:r>
        <w:rPr>
          <w:rFonts w:ascii="Arial" w:cs="Arial" w:eastAsia="Arial" w:hAnsi="Arial"/>
          <w:sz w:val="18"/>
          <w:szCs w:val="18"/>
          <w:b w:val="1"/>
          <w:bCs w:val="1"/>
          <w:color w:val="355675"/>
        </w:rPr>
        <w:t xml:space="preserve">   FOR</w:t>
      </w:r>
    </w:p>
    <w:p>
      <w:pPr>
        <w:spacing w:after="0" w:line="43" w:lineRule="exact"/>
        <w:rPr>
          <w:rFonts w:ascii="Arial" w:cs="Arial" w:eastAsia="Arial" w:hAnsi="Arial"/>
          <w:sz w:val="18"/>
          <w:szCs w:val="18"/>
          <w:b w:val="1"/>
          <w:bCs w:val="1"/>
          <w:color w:val="008C9F"/>
        </w:rPr>
      </w:pPr>
    </w:p>
    <w:p>
      <w:pPr>
        <w:ind w:left="580" w:right="720" w:hanging="352"/>
        <w:spacing w:after="0" w:line="266" w:lineRule="auto"/>
        <w:tabs>
          <w:tab w:leader="none" w:pos="580" w:val="left"/>
        </w:tabs>
        <w:numPr>
          <w:ilvl w:val="0"/>
          <w:numId w:val="6"/>
        </w:numPr>
        <w:rPr>
          <w:rFonts w:ascii="Arial" w:cs="Arial" w:eastAsia="Arial" w:hAnsi="Arial"/>
          <w:sz w:val="18"/>
          <w:szCs w:val="18"/>
          <w:b w:val="1"/>
          <w:bCs w:val="1"/>
          <w:color w:val="008C9F"/>
        </w:rPr>
      </w:pPr>
      <w:r>
        <w:rPr>
          <w:rFonts w:ascii="Arial" w:cs="Arial" w:eastAsia="Arial" w:hAnsi="Arial"/>
          <w:sz w:val="18"/>
          <w:szCs w:val="18"/>
          <w:color w:val="auto"/>
        </w:rPr>
        <w:t>To ratify the appointment of our independent accountant for the year ending December 31, 2022</w:t>
      </w:r>
    </w:p>
    <w:p>
      <w:pPr>
        <w:ind w:left="580"/>
        <w:spacing w:after="0"/>
        <w:rPr>
          <w:rFonts w:ascii="Arial" w:cs="Arial" w:eastAsia="Arial" w:hAnsi="Arial"/>
          <w:sz w:val="18"/>
          <w:szCs w:val="18"/>
          <w:b w:val="1"/>
          <w:bCs w:val="1"/>
          <w:color w:val="008C9F"/>
        </w:rPr>
      </w:pPr>
      <w:r>
        <w:rPr>
          <w:rFonts w:ascii="Arial" w:cs="Arial" w:eastAsia="Arial" w:hAnsi="Arial"/>
          <w:sz w:val="1"/>
          <w:szCs w:val="1"/>
          <w:b w:val="1"/>
          <w:bCs w:val="1"/>
          <w:color w:val="008C9F"/>
        </w:rPr>
        <w:drawing>
          <wp:inline distT="0" distB="0" distL="0" distR="0">
            <wp:extent cx="154305" cy="14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54305" cy="142875"/>
                    </a:xfrm>
                    <a:prstGeom prst="rect">
                      <a:avLst/>
                    </a:prstGeom>
                    <a:noFill/>
                    <a:ln>
                      <a:noFill/>
                    </a:ln>
                  </pic:spPr>
                </pic:pic>
              </a:graphicData>
            </a:graphic>
          </wp:inline>
        </w:drawing>
      </w:r>
      <w:r>
        <w:rPr>
          <w:rFonts w:ascii="Arial" w:cs="Arial" w:eastAsia="Arial" w:hAnsi="Arial"/>
          <w:sz w:val="18"/>
          <w:szCs w:val="18"/>
          <w:b w:val="1"/>
          <w:bCs w:val="1"/>
          <w:color w:val="355675"/>
        </w:rPr>
        <w:t xml:space="preserve">   FOR</w:t>
      </w:r>
    </w:p>
    <w:p>
      <w:pPr>
        <w:spacing w:after="0" w:line="51" w:lineRule="exact"/>
        <w:rPr>
          <w:rFonts w:ascii="Arial" w:cs="Arial" w:eastAsia="Arial" w:hAnsi="Arial"/>
          <w:sz w:val="18"/>
          <w:szCs w:val="18"/>
          <w:b w:val="1"/>
          <w:bCs w:val="1"/>
          <w:color w:val="008C9F"/>
        </w:rPr>
      </w:pPr>
    </w:p>
    <w:p>
      <w:pPr>
        <w:ind w:left="580" w:right="300" w:hanging="352"/>
        <w:spacing w:after="0" w:line="252" w:lineRule="auto"/>
        <w:tabs>
          <w:tab w:leader="none" w:pos="580" w:val="left"/>
        </w:tabs>
        <w:numPr>
          <w:ilvl w:val="0"/>
          <w:numId w:val="6"/>
        </w:numPr>
        <w:rPr>
          <w:rFonts w:ascii="Arial" w:cs="Arial" w:eastAsia="Arial" w:hAnsi="Arial"/>
          <w:sz w:val="18"/>
          <w:szCs w:val="18"/>
          <w:b w:val="1"/>
          <w:bCs w:val="1"/>
          <w:color w:val="008C9F"/>
        </w:rPr>
      </w:pPr>
      <w:r>
        <w:rPr>
          <w:rFonts w:ascii="Arial" w:cs="Arial" w:eastAsia="Arial" w:hAnsi="Arial"/>
          <w:sz w:val="18"/>
          <w:szCs w:val="18"/>
          <w:color w:val="auto"/>
        </w:rPr>
        <w:t>A shareholder proposal asking the Company to amend its governing documents to reduce the ownership threshold to 10% to call special shareholder meetings, if properly presented at the meeting.</w:t>
      </w:r>
    </w:p>
    <w:p>
      <w:pPr>
        <w:ind w:left="580"/>
        <w:spacing w:after="0"/>
        <w:rPr>
          <w:rFonts w:ascii="Arial" w:cs="Arial" w:eastAsia="Arial" w:hAnsi="Arial"/>
          <w:sz w:val="18"/>
          <w:szCs w:val="18"/>
          <w:b w:val="1"/>
          <w:bCs w:val="1"/>
          <w:color w:val="008C9F"/>
        </w:rPr>
      </w:pPr>
      <w:r>
        <w:rPr>
          <w:rFonts w:ascii="Arial" w:cs="Arial" w:eastAsia="Arial" w:hAnsi="Arial"/>
          <w:sz w:val="1"/>
          <w:szCs w:val="1"/>
          <w:b w:val="1"/>
          <w:bCs w:val="1"/>
          <w:color w:val="008C9F"/>
        </w:rPr>
        <w:drawing>
          <wp:inline distT="0" distB="0" distL="0" distR="0">
            <wp:extent cx="360045" cy="238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360045" cy="238125"/>
                    </a:xfrm>
                    <a:prstGeom prst="rect">
                      <a:avLst/>
                    </a:prstGeom>
                    <a:noFill/>
                    <a:ln>
                      <a:noFill/>
                    </a:ln>
                  </pic:spPr>
                </pic:pic>
              </a:graphicData>
            </a:graphic>
          </wp:inline>
        </w:drawing>
      </w:r>
      <w:r>
        <w:rPr>
          <w:rFonts w:ascii="Arial" w:cs="Arial" w:eastAsia="Arial" w:hAnsi="Arial"/>
          <w:sz w:val="18"/>
          <w:szCs w:val="18"/>
          <w:b w:val="1"/>
          <w:bCs w:val="1"/>
          <w:color w:val="EB2828"/>
        </w:rPr>
        <w:t>AGAINST</w:t>
      </w:r>
    </w:p>
    <w:p>
      <w:pPr>
        <w:spacing w:after="0" w:line="212" w:lineRule="exact"/>
        <w:rPr>
          <w:sz w:val="20"/>
          <w:szCs w:val="20"/>
          <w:color w:val="auto"/>
        </w:rPr>
      </w:pPr>
    </w:p>
    <w:p>
      <w:pPr>
        <w:ind w:right="620"/>
        <w:spacing w:after="0" w:line="253" w:lineRule="auto"/>
        <w:rPr>
          <w:sz w:val="20"/>
          <w:szCs w:val="20"/>
          <w:color w:val="auto"/>
        </w:rPr>
      </w:pPr>
      <w:r>
        <w:rPr>
          <w:rFonts w:ascii="Arial" w:cs="Arial" w:eastAsia="Arial" w:hAnsi="Arial"/>
          <w:sz w:val="18"/>
          <w:szCs w:val="18"/>
          <w:color w:val="auto"/>
        </w:rPr>
        <w:t>Your vote is important. Whether you plan to participate in the Annual Meeting or not, please promptly vote by telephone, over the Internet, by proxy card, or by voting instruction form.</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color w:val="auto"/>
        </w:rPr>
        <w:t>By order of the Board of Directors,</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DIANE WOOD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Corporate Secretary</w:t>
      </w:r>
    </w:p>
    <w:p>
      <w:pPr>
        <w:spacing w:after="0"/>
        <w:rPr>
          <w:sz w:val="20"/>
          <w:szCs w:val="20"/>
          <w:color w:val="auto"/>
        </w:rPr>
      </w:pPr>
      <w:r>
        <w:rPr>
          <w:rFonts w:ascii="Arial" w:cs="Arial" w:eastAsia="Arial" w:hAnsi="Arial"/>
          <w:sz w:val="18"/>
          <w:szCs w:val="18"/>
          <w:color w:val="auto"/>
        </w:rPr>
        <w:t>April 5, 2022</w:t>
      </w:r>
    </w:p>
    <w:p>
      <w:pPr>
        <w:spacing w:after="0" w:line="194" w:lineRule="exact"/>
        <w:rPr>
          <w:sz w:val="20"/>
          <w:szCs w:val="20"/>
          <w:color w:val="auto"/>
        </w:rPr>
      </w:pPr>
    </w:p>
    <w:p>
      <w:pPr>
        <w:ind w:right="220"/>
        <w:spacing w:after="0" w:line="271" w:lineRule="auto"/>
        <w:rPr>
          <w:sz w:val="20"/>
          <w:szCs w:val="20"/>
          <w:color w:val="auto"/>
        </w:rPr>
      </w:pPr>
      <w:r>
        <w:rPr>
          <w:rFonts w:ascii="Arial" w:cs="Arial" w:eastAsia="Arial" w:hAnsi="Arial"/>
          <w:sz w:val="18"/>
          <w:szCs w:val="18"/>
          <w:color w:val="auto"/>
        </w:rPr>
        <w:t>The Proxy Statement and form of proxy are first being made available to shareholders on or about April 5, 2022.</w:t>
      </w:r>
    </w:p>
    <w:p>
      <w:pPr>
        <w:spacing w:after="0" w:line="360" w:lineRule="exact"/>
        <w:rPr>
          <w:sz w:val="20"/>
          <w:szCs w:val="20"/>
          <w:color w:val="auto"/>
        </w:rPr>
      </w:pPr>
    </w:p>
    <w:p>
      <w:pPr>
        <w:spacing w:after="0"/>
        <w:rPr>
          <w:sz w:val="20"/>
          <w:szCs w:val="20"/>
          <w:color w:val="auto"/>
        </w:rPr>
      </w:pPr>
      <w:r>
        <w:rPr>
          <w:rFonts w:ascii="Arial" w:cs="Arial" w:eastAsia="Arial" w:hAnsi="Arial"/>
          <w:sz w:val="22"/>
          <w:szCs w:val="22"/>
          <w:b w:val="1"/>
          <w:bCs w:val="1"/>
          <w:color w:val="355675"/>
        </w:rPr>
        <w:t>EXECUTIVE OFFICES ADDRESS:</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color w:val="auto"/>
        </w:rPr>
        <w:t>PINNACLE WEST CAPITAL CORPORATION</w:t>
      </w:r>
    </w:p>
    <w:p>
      <w:pPr>
        <w:spacing w:after="0" w:line="234" w:lineRule="auto"/>
        <w:rPr>
          <w:sz w:val="20"/>
          <w:szCs w:val="20"/>
          <w:color w:val="auto"/>
        </w:rPr>
      </w:pPr>
      <w:r>
        <w:rPr>
          <w:rFonts w:ascii="Arial" w:cs="Arial" w:eastAsia="Arial" w:hAnsi="Arial"/>
          <w:sz w:val="18"/>
          <w:szCs w:val="18"/>
          <w:color w:val="auto"/>
        </w:rPr>
        <w:t>Post Office Box 53999</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Phoenix, Arizona 85072-3999</w:t>
      </w:r>
    </w:p>
    <w:p>
      <w:pPr>
        <w:spacing w:after="0" w:line="1583" w:lineRule="exact"/>
        <w:rPr>
          <w:sz w:val="20"/>
          <w:szCs w:val="20"/>
          <w:color w:val="auto"/>
        </w:rPr>
      </w:pPr>
    </w:p>
    <w:p>
      <w:pPr>
        <w:sectPr>
          <w:pgSz w:w="11900" w:h="16838" w:orient="portrait"/>
          <w:cols w:equalWidth="0" w:num="2">
            <w:col w:w="3320" w:space="640"/>
            <w:col w:w="7300"/>
          </w:cols>
          <w:pgMar w:left="320" w:top="125"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8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280" w:type="dxa"/>
            <w:vAlign w:val="bottom"/>
          </w:tcPr>
          <w:p>
            <w:pPr>
              <w:jc w:val="right"/>
              <w:spacing w:after="0"/>
              <w:rPr>
                <w:sz w:val="20"/>
                <w:szCs w:val="20"/>
                <w:color w:val="auto"/>
              </w:rPr>
            </w:pPr>
            <w:r>
              <w:rPr>
                <w:rFonts w:ascii="Arial" w:cs="Arial" w:eastAsia="Arial" w:hAnsi="Arial"/>
                <w:sz w:val="14"/>
                <w:szCs w:val="14"/>
                <w:b w:val="1"/>
                <w:bCs w:val="1"/>
                <w:color w:val="355675"/>
              </w:rPr>
              <w:t>1</w:t>
            </w:r>
          </w:p>
        </w:tc>
      </w:tr>
      <w:tr>
        <w:trPr>
          <w:trHeight w:val="93"/>
        </w:trPr>
        <w:tc>
          <w:tcPr>
            <w:tcW w:w="10980" w:type="dxa"/>
            <w:vAlign w:val="bottom"/>
            <w:tcBorders>
              <w:bottom w:val="single" w:sz="8" w:color="808080"/>
            </w:tcBorders>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10" w:name="page11"/>
    <w:bookmarkEnd w:id="1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7500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750062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Notice of the 2022 Annual Meeting of Shareholders</w:t>
      </w:r>
    </w:p>
    <w:p>
      <w:pPr>
        <w:spacing w:after="0" w:line="197"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Proxy Voting Roadmap</w:t>
      </w:r>
    </w:p>
    <w:p>
      <w:pPr>
        <w:spacing w:after="0" w:line="224" w:lineRule="exact"/>
        <w:rPr>
          <w:sz w:val="20"/>
          <w:szCs w:val="20"/>
          <w:color w:val="auto"/>
        </w:rPr>
      </w:pPr>
    </w:p>
    <w:p>
      <w:pPr>
        <w:ind w:left="100"/>
        <w:spacing w:after="0"/>
        <w:rPr>
          <w:sz w:val="20"/>
          <w:szCs w:val="20"/>
          <w:color w:val="auto"/>
        </w:rPr>
      </w:pPr>
      <w:r>
        <w:rPr>
          <w:rFonts w:ascii="Arial" w:cs="Arial" w:eastAsia="Arial" w:hAnsi="Arial"/>
          <w:sz w:val="31"/>
          <w:szCs w:val="31"/>
          <w:b w:val="1"/>
          <w:bCs w:val="1"/>
          <w:color w:val="355675"/>
        </w:rPr>
        <w:t>Proposal 1 – Election of Directors</w:t>
      </w:r>
    </w:p>
    <w:p>
      <w:pPr>
        <w:spacing w:after="0" w:line="235" w:lineRule="exact"/>
        <w:rPr>
          <w:sz w:val="20"/>
          <w:szCs w:val="20"/>
          <w:color w:val="auto"/>
        </w:rPr>
      </w:pPr>
    </w:p>
    <w:p>
      <w:pPr>
        <w:ind w:left="100" w:right="420"/>
        <w:spacing w:after="0" w:line="286" w:lineRule="auto"/>
        <w:rPr>
          <w:sz w:val="20"/>
          <w:szCs w:val="20"/>
          <w:color w:val="auto"/>
        </w:rPr>
      </w:pPr>
      <w:r>
        <w:rPr>
          <w:rFonts w:ascii="Arial" w:cs="Arial" w:eastAsia="Arial" w:hAnsi="Arial"/>
          <w:sz w:val="16"/>
          <w:szCs w:val="16"/>
          <w:color w:val="auto"/>
        </w:rPr>
        <w:t>The Board of Directors and the Corporate Governance and Public Responsibility Committee believe that the eleven nominees possess the skills and experience necessary to serve on the Board and have concluded that each nominee is qualified to serve as director.</w:t>
      </w:r>
    </w:p>
    <w:p>
      <w:pPr>
        <w:spacing w:after="0" w:line="233" w:lineRule="exact"/>
        <w:rPr>
          <w:sz w:val="20"/>
          <w:szCs w:val="20"/>
          <w:color w:val="auto"/>
        </w:rPr>
      </w:pPr>
    </w:p>
    <w:p>
      <w:pPr>
        <w:jc w:val="right"/>
        <w:spacing w:after="0"/>
        <w:rPr>
          <w:sz w:val="20"/>
          <w:szCs w:val="20"/>
          <w:color w:val="auto"/>
        </w:rPr>
      </w:pPr>
      <w:r>
        <w:rPr>
          <w:rFonts w:ascii="Arial" w:cs="Arial" w:eastAsia="Arial" w:hAnsi="Arial"/>
          <w:sz w:val="15"/>
          <w:szCs w:val="15"/>
          <w:color w:val="008C9F"/>
        </w:rPr>
        <w:t>To know more about this proposal, see page 44.</w:t>
      </w:r>
    </w:p>
    <w:p>
      <w:pPr>
        <w:spacing w:after="0" w:line="290" w:lineRule="exact"/>
        <w:rPr>
          <w:sz w:val="20"/>
          <w:szCs w:val="20"/>
          <w:color w:val="auto"/>
        </w:rPr>
      </w:pPr>
    </w:p>
    <w:p>
      <w:pPr>
        <w:ind w:left="980"/>
        <w:spacing w:after="0"/>
        <w:rPr>
          <w:sz w:val="20"/>
          <w:szCs w:val="20"/>
          <w:color w:val="auto"/>
        </w:rPr>
      </w:pPr>
      <w:r>
        <w:rPr>
          <w:rFonts w:ascii="Arial" w:cs="Arial" w:eastAsia="Arial" w:hAnsi="Arial"/>
          <w:sz w:val="16"/>
          <w:szCs w:val="16"/>
          <w:b w:val="1"/>
          <w:bCs w:val="1"/>
          <w:color w:val="auto"/>
        </w:rPr>
        <w:t xml:space="preserve">The Board of Directors unanimously recommends a vote </w:t>
      </w:r>
      <w:r>
        <w:rPr>
          <w:rFonts w:ascii="Arial" w:cs="Arial" w:eastAsia="Arial" w:hAnsi="Arial"/>
          <w:sz w:val="16"/>
          <w:szCs w:val="16"/>
          <w:b w:val="1"/>
          <w:bCs w:val="1"/>
          <w:color w:val="355675"/>
        </w:rPr>
        <w:t>FOR</w:t>
      </w:r>
      <w:r>
        <w:rPr>
          <w:rFonts w:ascii="Arial" w:cs="Arial" w:eastAsia="Arial" w:hAnsi="Arial"/>
          <w:sz w:val="16"/>
          <w:szCs w:val="16"/>
          <w:b w:val="1"/>
          <w:bCs w:val="1"/>
          <w:color w:val="auto"/>
        </w:rPr>
        <w:t xml:space="preserve"> the election of the nominated slate of directors.</w:t>
      </w:r>
    </w:p>
    <w:p>
      <w:pPr>
        <w:spacing w:after="0" w:line="385" w:lineRule="exact"/>
        <w:rPr>
          <w:sz w:val="20"/>
          <w:szCs w:val="20"/>
          <w:color w:val="auto"/>
        </w:rPr>
      </w:pPr>
    </w:p>
    <w:p>
      <w:pPr>
        <w:ind w:left="100"/>
        <w:spacing w:after="0"/>
        <w:rPr>
          <w:sz w:val="20"/>
          <w:szCs w:val="20"/>
          <w:color w:val="auto"/>
        </w:rPr>
      </w:pPr>
      <w:r>
        <w:rPr>
          <w:rFonts w:ascii="Arial" w:cs="Arial" w:eastAsia="Arial" w:hAnsi="Arial"/>
          <w:sz w:val="31"/>
          <w:szCs w:val="31"/>
          <w:b w:val="1"/>
          <w:bCs w:val="1"/>
          <w:color w:val="355675"/>
        </w:rPr>
        <w:t>Proposal 2 – Advisory Vote on Executive Compensation</w:t>
      </w:r>
    </w:p>
    <w:p>
      <w:pPr>
        <w:spacing w:after="0" w:line="235" w:lineRule="exact"/>
        <w:rPr>
          <w:sz w:val="20"/>
          <w:szCs w:val="20"/>
          <w:color w:val="auto"/>
        </w:rPr>
      </w:pPr>
    </w:p>
    <w:p>
      <w:pPr>
        <w:ind w:left="100" w:right="380"/>
        <w:spacing w:after="0" w:line="259" w:lineRule="auto"/>
        <w:rPr>
          <w:sz w:val="20"/>
          <w:szCs w:val="20"/>
          <w:color w:val="auto"/>
        </w:rPr>
      </w:pPr>
      <w:r>
        <w:rPr>
          <w:rFonts w:ascii="Arial" w:cs="Arial" w:eastAsia="Arial" w:hAnsi="Arial"/>
          <w:sz w:val="16"/>
          <w:szCs w:val="16"/>
          <w:color w:val="auto"/>
        </w:rPr>
        <w:t>The Company has designed its executive compensation program to align executives’ interests with those of our shareholders, make executives accountable for business and individual performance by putting pay at risk, and attract, retain and reward the executive talent required to achieve our corporate objectives and to increase long-term shareholder value. We believe that our compensation policies and practices promote a pay-at-risk philosophy and, as such, are aligned with the interests of our shareholders.</w:t>
      </w:r>
    </w:p>
    <w:p>
      <w:pPr>
        <w:spacing w:after="0" w:line="255" w:lineRule="exact"/>
        <w:rPr>
          <w:sz w:val="20"/>
          <w:szCs w:val="20"/>
          <w:color w:val="auto"/>
        </w:rPr>
      </w:pPr>
    </w:p>
    <w:p>
      <w:pPr>
        <w:jc w:val="right"/>
        <w:spacing w:after="0"/>
        <w:rPr>
          <w:sz w:val="20"/>
          <w:szCs w:val="20"/>
          <w:color w:val="auto"/>
        </w:rPr>
      </w:pPr>
      <w:r>
        <w:rPr>
          <w:rFonts w:ascii="Arial" w:cs="Arial" w:eastAsia="Arial" w:hAnsi="Arial"/>
          <w:sz w:val="15"/>
          <w:szCs w:val="15"/>
          <w:color w:val="008C9F"/>
        </w:rPr>
        <w:t>To know more about this proposal, see page 55.</w:t>
      </w:r>
    </w:p>
    <w:p>
      <w:pPr>
        <w:spacing w:after="0" w:line="290" w:lineRule="exact"/>
        <w:rPr>
          <w:sz w:val="20"/>
          <w:szCs w:val="20"/>
          <w:color w:val="auto"/>
        </w:rPr>
      </w:pPr>
    </w:p>
    <w:p>
      <w:pPr>
        <w:ind w:left="980"/>
        <w:spacing w:after="0"/>
        <w:rPr>
          <w:sz w:val="20"/>
          <w:szCs w:val="20"/>
          <w:color w:val="auto"/>
        </w:rPr>
      </w:pPr>
      <w:r>
        <w:rPr>
          <w:rFonts w:ascii="Arial" w:cs="Arial" w:eastAsia="Arial" w:hAnsi="Arial"/>
          <w:sz w:val="16"/>
          <w:szCs w:val="16"/>
          <w:b w:val="1"/>
          <w:bCs w:val="1"/>
          <w:color w:val="auto"/>
        </w:rPr>
        <w:t xml:space="preserve">The Board of Directors unanimously recommends a vote </w:t>
      </w:r>
      <w:r>
        <w:rPr>
          <w:rFonts w:ascii="Arial" w:cs="Arial" w:eastAsia="Arial" w:hAnsi="Arial"/>
          <w:sz w:val="16"/>
          <w:szCs w:val="16"/>
          <w:b w:val="1"/>
          <w:bCs w:val="1"/>
          <w:color w:val="355675"/>
        </w:rPr>
        <w:t>FOR</w:t>
      </w:r>
      <w:r>
        <w:rPr>
          <w:rFonts w:ascii="Arial" w:cs="Arial" w:eastAsia="Arial" w:hAnsi="Arial"/>
          <w:sz w:val="16"/>
          <w:szCs w:val="16"/>
          <w:b w:val="1"/>
          <w:bCs w:val="1"/>
          <w:color w:val="auto"/>
        </w:rPr>
        <w:t xml:space="preserve"> the approval of the Company’s executive compensation.</w:t>
      </w:r>
    </w:p>
    <w:p>
      <w:pPr>
        <w:spacing w:after="0" w:line="385" w:lineRule="exact"/>
        <w:rPr>
          <w:sz w:val="20"/>
          <w:szCs w:val="20"/>
          <w:color w:val="auto"/>
        </w:rPr>
      </w:pPr>
    </w:p>
    <w:p>
      <w:pPr>
        <w:ind w:left="100" w:right="800"/>
        <w:spacing w:after="0" w:line="290" w:lineRule="auto"/>
        <w:rPr>
          <w:sz w:val="20"/>
          <w:szCs w:val="20"/>
          <w:color w:val="auto"/>
        </w:rPr>
      </w:pPr>
      <w:r>
        <w:rPr>
          <w:rFonts w:ascii="Arial" w:cs="Arial" w:eastAsia="Arial" w:hAnsi="Arial"/>
          <w:sz w:val="31"/>
          <w:szCs w:val="31"/>
          <w:b w:val="1"/>
          <w:bCs w:val="1"/>
          <w:color w:val="355675"/>
        </w:rPr>
        <w:t>Proposal 3 – Ratification of The Appointment of Deloitte &amp; Touche LLP (“D&amp;T”) as the Independent Accountant for the Company</w:t>
      </w:r>
    </w:p>
    <w:p>
      <w:pPr>
        <w:spacing w:after="0" w:line="95" w:lineRule="exact"/>
        <w:rPr>
          <w:sz w:val="20"/>
          <w:szCs w:val="20"/>
          <w:color w:val="auto"/>
        </w:rPr>
      </w:pPr>
    </w:p>
    <w:p>
      <w:pPr>
        <w:ind w:left="100" w:right="760"/>
        <w:spacing w:after="0" w:line="286" w:lineRule="auto"/>
        <w:rPr>
          <w:sz w:val="20"/>
          <w:szCs w:val="20"/>
          <w:color w:val="auto"/>
        </w:rPr>
      </w:pPr>
      <w:r>
        <w:rPr>
          <w:rFonts w:ascii="Arial" w:cs="Arial" w:eastAsia="Arial" w:hAnsi="Arial"/>
          <w:sz w:val="16"/>
          <w:szCs w:val="16"/>
          <w:color w:val="auto"/>
        </w:rPr>
        <w:t>The Audit Committee has discussed the qualifications and performance of D&amp;T and believes that the continued retention of D&amp;T to serve as the Company’s independent accountant is in the best interest of the Company and its shareholders.</w:t>
      </w:r>
    </w:p>
    <w:p>
      <w:pPr>
        <w:spacing w:after="0" w:line="233" w:lineRule="exact"/>
        <w:rPr>
          <w:sz w:val="20"/>
          <w:szCs w:val="20"/>
          <w:color w:val="auto"/>
        </w:rPr>
      </w:pPr>
    </w:p>
    <w:p>
      <w:pPr>
        <w:ind w:left="7880"/>
        <w:spacing w:after="0"/>
        <w:rPr>
          <w:sz w:val="20"/>
          <w:szCs w:val="20"/>
          <w:color w:val="auto"/>
        </w:rPr>
      </w:pPr>
      <w:r>
        <w:rPr>
          <w:rFonts w:ascii="Arial" w:cs="Arial" w:eastAsia="Arial" w:hAnsi="Arial"/>
          <w:sz w:val="15"/>
          <w:szCs w:val="15"/>
          <w:color w:val="008C9F"/>
        </w:rPr>
        <w:t>To know more about this proposal, see page 99.</w:t>
      </w:r>
    </w:p>
    <w:p>
      <w:pPr>
        <w:spacing w:after="0" w:line="195" w:lineRule="exact"/>
        <w:rPr>
          <w:sz w:val="20"/>
          <w:szCs w:val="20"/>
          <w:color w:val="auto"/>
        </w:rPr>
      </w:pPr>
    </w:p>
    <w:p>
      <w:pPr>
        <w:ind w:left="980" w:right="900"/>
        <w:spacing w:after="0" w:line="296" w:lineRule="auto"/>
        <w:rPr>
          <w:sz w:val="20"/>
          <w:szCs w:val="20"/>
          <w:color w:val="auto"/>
        </w:rPr>
      </w:pPr>
      <w:r>
        <w:rPr>
          <w:rFonts w:ascii="Arial" w:cs="Arial" w:eastAsia="Arial" w:hAnsi="Arial"/>
          <w:sz w:val="16"/>
          <w:szCs w:val="16"/>
          <w:b w:val="1"/>
          <w:bCs w:val="1"/>
          <w:color w:val="auto"/>
        </w:rPr>
        <w:t xml:space="preserve">The Board of Directors unanimously recommends a vote </w:t>
      </w:r>
      <w:r>
        <w:rPr>
          <w:rFonts w:ascii="Arial" w:cs="Arial" w:eastAsia="Arial" w:hAnsi="Arial"/>
          <w:sz w:val="16"/>
          <w:szCs w:val="16"/>
          <w:b w:val="1"/>
          <w:bCs w:val="1"/>
          <w:color w:val="355675"/>
        </w:rPr>
        <w:t>FOR</w:t>
      </w:r>
      <w:r>
        <w:rPr>
          <w:rFonts w:ascii="Arial" w:cs="Arial" w:eastAsia="Arial" w:hAnsi="Arial"/>
          <w:sz w:val="16"/>
          <w:szCs w:val="16"/>
          <w:b w:val="1"/>
          <w:bCs w:val="1"/>
          <w:color w:val="auto"/>
        </w:rPr>
        <w:t xml:space="preserve"> ratification of the appointment of Deloitte &amp; Touche as the Company’s independent accountant for the year ending December 31, 2022.</w:t>
      </w:r>
    </w:p>
    <w:p>
      <w:pPr>
        <w:spacing w:after="0" w:line="210" w:lineRule="exact"/>
        <w:rPr>
          <w:sz w:val="20"/>
          <w:szCs w:val="20"/>
          <w:color w:val="auto"/>
        </w:rPr>
      </w:pPr>
    </w:p>
    <w:p>
      <w:pPr>
        <w:ind w:left="100"/>
        <w:spacing w:after="0"/>
        <w:rPr>
          <w:sz w:val="20"/>
          <w:szCs w:val="20"/>
          <w:color w:val="auto"/>
        </w:rPr>
      </w:pPr>
      <w:r>
        <w:rPr>
          <w:rFonts w:ascii="Arial" w:cs="Arial" w:eastAsia="Arial" w:hAnsi="Arial"/>
          <w:sz w:val="31"/>
          <w:szCs w:val="31"/>
          <w:b w:val="1"/>
          <w:bCs w:val="1"/>
          <w:color w:val="355675"/>
        </w:rPr>
        <w:t>Proposal 4 – A Shareholder Proposal</w:t>
      </w:r>
    </w:p>
    <w:p>
      <w:pPr>
        <w:spacing w:after="0" w:line="235" w:lineRule="exact"/>
        <w:rPr>
          <w:sz w:val="20"/>
          <w:szCs w:val="20"/>
          <w:color w:val="auto"/>
        </w:rPr>
      </w:pPr>
    </w:p>
    <w:p>
      <w:pPr>
        <w:ind w:left="100" w:right="240"/>
        <w:spacing w:after="0" w:line="286" w:lineRule="auto"/>
        <w:rPr>
          <w:sz w:val="20"/>
          <w:szCs w:val="20"/>
          <w:color w:val="auto"/>
        </w:rPr>
      </w:pPr>
      <w:r>
        <w:rPr>
          <w:rFonts w:ascii="Arial" w:cs="Arial" w:eastAsia="Arial" w:hAnsi="Arial"/>
          <w:sz w:val="16"/>
          <w:szCs w:val="16"/>
          <w:color w:val="auto"/>
        </w:rPr>
        <w:t>A shareholder proposal asking the Company to amend its governing documents to reduce the ownership threshold to 10% to call a special shareholder meeting, if properly presented at the 2022 Annual Meeting of Shareholders.</w:t>
      </w:r>
    </w:p>
    <w:p>
      <w:pPr>
        <w:spacing w:after="0" w:line="233" w:lineRule="exact"/>
        <w:rPr>
          <w:sz w:val="20"/>
          <w:szCs w:val="20"/>
          <w:color w:val="auto"/>
        </w:rPr>
      </w:pPr>
    </w:p>
    <w:p>
      <w:pPr>
        <w:jc w:val="right"/>
        <w:spacing w:after="0"/>
        <w:rPr>
          <w:sz w:val="20"/>
          <w:szCs w:val="20"/>
          <w:color w:val="auto"/>
        </w:rPr>
      </w:pPr>
      <w:r>
        <w:rPr>
          <w:rFonts w:ascii="Arial" w:cs="Arial" w:eastAsia="Arial" w:hAnsi="Arial"/>
          <w:sz w:val="15"/>
          <w:szCs w:val="15"/>
          <w:color w:val="008C9F"/>
        </w:rPr>
        <w:t>To know more about this proposal, see page 105.</w:t>
      </w:r>
    </w:p>
    <w:p>
      <w:pPr>
        <w:spacing w:after="0" w:line="290" w:lineRule="exact"/>
        <w:rPr>
          <w:sz w:val="20"/>
          <w:szCs w:val="20"/>
          <w:color w:val="auto"/>
        </w:rPr>
      </w:pPr>
    </w:p>
    <w:p>
      <w:pPr>
        <w:ind w:left="980"/>
        <w:spacing w:after="0"/>
        <w:rPr>
          <w:sz w:val="20"/>
          <w:szCs w:val="20"/>
          <w:color w:val="auto"/>
        </w:rPr>
      </w:pPr>
      <w:r>
        <w:rPr>
          <w:rFonts w:ascii="Arial" w:cs="Arial" w:eastAsia="Arial" w:hAnsi="Arial"/>
          <w:sz w:val="16"/>
          <w:szCs w:val="16"/>
          <w:b w:val="1"/>
          <w:bCs w:val="1"/>
          <w:color w:val="auto"/>
        </w:rPr>
        <w:t xml:space="preserve">The Board of Directors unanimously recommends a vote </w:t>
      </w:r>
      <w:r>
        <w:rPr>
          <w:rFonts w:ascii="Arial" w:cs="Arial" w:eastAsia="Arial" w:hAnsi="Arial"/>
          <w:sz w:val="16"/>
          <w:szCs w:val="16"/>
          <w:b w:val="1"/>
          <w:bCs w:val="1"/>
          <w:color w:val="EB2828"/>
        </w:rPr>
        <w:t>AGAINST</w:t>
      </w:r>
      <w:r>
        <w:rPr>
          <w:rFonts w:ascii="Arial" w:cs="Arial" w:eastAsia="Arial" w:hAnsi="Arial"/>
          <w:sz w:val="16"/>
          <w:szCs w:val="16"/>
          <w:b w:val="1"/>
          <w:bCs w:val="1"/>
          <w:color w:val="auto"/>
        </w:rPr>
        <w:t xml:space="preserve"> this proposal.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723900</wp:posOffset>
            </wp:positionV>
            <wp:extent cx="1191260" cy="231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40"/>
          </w:cols>
          <w:pgMar w:left="320" w:top="125" w:right="439" w:bottom="1440" w:gutter="0" w:footer="0" w:header="0"/>
        </w:sectPr>
      </w:pPr>
    </w:p>
    <w:bookmarkStart w:id="11" w:name="page12"/>
    <w:bookmarkEnd w:id="1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5836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32320" cy="6583680"/>
                    </a:xfrm>
                    <a:prstGeom prst="rect">
                      <a:avLst/>
                    </a:prstGeom>
                    <a:noFill/>
                  </pic:spPr>
                </pic:pic>
              </a:graphicData>
            </a:graphic>
          </wp:anchor>
        </w:drawing>
      </w:r>
    </w:p>
    <w:p>
      <w:pPr>
        <w:spacing w:after="0" w:line="200" w:lineRule="exact"/>
        <w:rPr>
          <w:sz w:val="20"/>
          <w:szCs w:val="20"/>
          <w:color w:val="auto"/>
        </w:rPr>
      </w:pPr>
    </w:p>
    <w:p>
      <w:pPr>
        <w:spacing w:after="0" w:line="273" w:lineRule="exact"/>
        <w:rPr>
          <w:sz w:val="20"/>
          <w:szCs w:val="20"/>
          <w:color w:val="auto"/>
        </w:rPr>
      </w:pPr>
    </w:p>
    <w:p>
      <w:pPr>
        <w:ind w:left="180"/>
        <w:spacing w:after="0"/>
        <w:rPr>
          <w:sz w:val="20"/>
          <w:szCs w:val="20"/>
          <w:color w:val="auto"/>
        </w:rPr>
      </w:pPr>
      <w:r>
        <w:rPr>
          <w:rFonts w:ascii="Arial" w:cs="Arial" w:eastAsia="Arial" w:hAnsi="Arial"/>
          <w:sz w:val="46"/>
          <w:szCs w:val="46"/>
          <w:b w:val="1"/>
          <w:bCs w:val="1"/>
          <w:color w:val="355675"/>
        </w:rPr>
        <w:t>Proxy Statement Summary</w:t>
      </w:r>
    </w:p>
    <w:p>
      <w:pPr>
        <w:spacing w:after="0" w:line="300" w:lineRule="exact"/>
        <w:rPr>
          <w:sz w:val="20"/>
          <w:szCs w:val="20"/>
          <w:color w:val="auto"/>
        </w:rPr>
      </w:pPr>
    </w:p>
    <w:p>
      <w:pPr>
        <w:ind w:left="180"/>
        <w:spacing w:after="0"/>
        <w:rPr>
          <w:sz w:val="20"/>
          <w:szCs w:val="20"/>
          <w:color w:val="auto"/>
        </w:rPr>
      </w:pPr>
      <w:r>
        <w:rPr>
          <w:rFonts w:ascii="Arial" w:cs="Arial" w:eastAsia="Arial" w:hAnsi="Arial"/>
          <w:sz w:val="40"/>
          <w:szCs w:val="40"/>
          <w:b w:val="1"/>
          <w:bCs w:val="1"/>
          <w:color w:val="008C9F"/>
        </w:rPr>
        <w:t>The Value We Create</w:t>
      </w:r>
    </w:p>
    <w:p>
      <w:pPr>
        <w:sectPr>
          <w:pgSz w:w="11900" w:h="16838" w:orient="portrait"/>
          <w:cols w:equalWidth="0" w:num="1">
            <w:col w:w="11260"/>
          </w:cols>
          <w:pgMar w:left="320" w:top="125" w:right="319" w:bottom="1440" w:gutter="0" w:footer="0" w:header="0"/>
        </w:sectPr>
      </w:pPr>
    </w:p>
    <w:p>
      <w:pPr>
        <w:spacing w:after="0" w:line="200" w:lineRule="exact"/>
        <w:rPr>
          <w:sz w:val="20"/>
          <w:szCs w:val="20"/>
          <w:color w:val="auto"/>
        </w:rPr>
      </w:pPr>
    </w:p>
    <w:p>
      <w:pPr>
        <w:spacing w:after="0" w:line="241" w:lineRule="exact"/>
        <w:rPr>
          <w:sz w:val="20"/>
          <w:szCs w:val="20"/>
          <w:color w:val="auto"/>
        </w:rPr>
      </w:pPr>
    </w:p>
    <w:p>
      <w:pPr>
        <w:ind w:left="1480"/>
        <w:spacing w:after="0"/>
        <w:rPr>
          <w:sz w:val="20"/>
          <w:szCs w:val="20"/>
          <w:color w:val="auto"/>
        </w:rPr>
      </w:pPr>
      <w:r>
        <w:rPr>
          <w:rFonts w:ascii="Arial" w:cs="Arial" w:eastAsia="Arial" w:hAnsi="Arial"/>
          <w:sz w:val="20"/>
          <w:szCs w:val="20"/>
          <w:b w:val="1"/>
          <w:bCs w:val="1"/>
          <w:color w:val="355675"/>
        </w:rPr>
        <w:t>The APS Promise</w:t>
      </w:r>
    </w:p>
    <w:p>
      <w:pPr>
        <w:spacing w:after="0" w:line="200" w:lineRule="exact"/>
        <w:rPr>
          <w:sz w:val="20"/>
          <w:szCs w:val="20"/>
          <w:color w:val="auto"/>
        </w:rPr>
      </w:pPr>
    </w:p>
    <w:p>
      <w:pPr>
        <w:spacing w:after="0" w:line="27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355675"/>
        </w:rPr>
        <w:t>Our Purpose</w:t>
      </w:r>
    </w:p>
    <w:p>
      <w:pPr>
        <w:spacing w:after="0" w:line="14" w:lineRule="exact"/>
        <w:rPr>
          <w:sz w:val="20"/>
          <w:szCs w:val="20"/>
          <w:color w:val="auto"/>
        </w:rPr>
      </w:pPr>
    </w:p>
    <w:p>
      <w:pPr>
        <w:ind w:left="460"/>
        <w:spacing w:after="0" w:line="250" w:lineRule="auto"/>
        <w:rPr>
          <w:sz w:val="20"/>
          <w:szCs w:val="20"/>
          <w:color w:val="auto"/>
        </w:rPr>
      </w:pPr>
      <w:r>
        <w:rPr>
          <w:rFonts w:ascii="Arial" w:cs="Arial" w:eastAsia="Arial" w:hAnsi="Arial"/>
          <w:sz w:val="18"/>
          <w:szCs w:val="18"/>
          <w:color w:val="auto"/>
        </w:rPr>
        <w:t>As Arizona stewards, we do what is right for the people and prosperity of our state.</w:t>
      </w:r>
    </w:p>
    <w:p>
      <w:pPr>
        <w:spacing w:after="0" w:line="17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355675"/>
        </w:rPr>
        <w:t>Our Vision</w:t>
      </w:r>
    </w:p>
    <w:p>
      <w:pPr>
        <w:spacing w:after="0" w:line="1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Create a sustainable energy future for Arizona.</w:t>
      </w:r>
    </w:p>
    <w:p>
      <w:pPr>
        <w:spacing w:after="0" w:line="19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355675"/>
        </w:rPr>
        <w:t>Our Mission</w:t>
      </w:r>
    </w:p>
    <w:p>
      <w:pPr>
        <w:spacing w:after="0" w:line="14" w:lineRule="exact"/>
        <w:rPr>
          <w:sz w:val="20"/>
          <w:szCs w:val="20"/>
          <w:color w:val="auto"/>
        </w:rPr>
      </w:pPr>
    </w:p>
    <w:p>
      <w:pPr>
        <w:ind w:left="460" w:right="340"/>
        <w:spacing w:after="0" w:line="250" w:lineRule="auto"/>
        <w:rPr>
          <w:sz w:val="20"/>
          <w:szCs w:val="20"/>
          <w:color w:val="auto"/>
        </w:rPr>
      </w:pPr>
      <w:r>
        <w:rPr>
          <w:rFonts w:ascii="Arial" w:cs="Arial" w:eastAsia="Arial" w:hAnsi="Arial"/>
          <w:sz w:val="18"/>
          <w:szCs w:val="18"/>
          <w:color w:val="auto"/>
        </w:rPr>
        <w:t>Serve our customers with clean, reliable and affordable energy.</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420"/>
        <w:spacing w:after="0"/>
        <w:rPr>
          <w:sz w:val="20"/>
          <w:szCs w:val="20"/>
          <w:color w:val="auto"/>
        </w:rPr>
      </w:pPr>
      <w:r>
        <w:rPr>
          <w:rFonts w:ascii="Arial" w:cs="Arial" w:eastAsia="Arial" w:hAnsi="Arial"/>
          <w:sz w:val="20"/>
          <w:szCs w:val="20"/>
          <w:b w:val="1"/>
          <w:bCs w:val="1"/>
          <w:color w:val="355675"/>
        </w:rPr>
        <w:t>Our Principles</w:t>
      </w:r>
    </w:p>
    <w:p>
      <w:pPr>
        <w:spacing w:after="0" w:line="200" w:lineRule="exact"/>
        <w:rPr>
          <w:sz w:val="20"/>
          <w:szCs w:val="20"/>
          <w:color w:val="auto"/>
        </w:rPr>
      </w:pPr>
    </w:p>
    <w:p>
      <w:pPr>
        <w:spacing w:after="0" w:line="290" w:lineRule="exact"/>
        <w:rPr>
          <w:sz w:val="20"/>
          <w:szCs w:val="20"/>
          <w:color w:val="auto"/>
        </w:rPr>
      </w:pPr>
    </w:p>
    <w:p>
      <w:pPr>
        <w:ind w:left="460" w:right="240"/>
        <w:spacing w:after="0" w:line="281" w:lineRule="auto"/>
        <w:rPr>
          <w:sz w:val="20"/>
          <w:szCs w:val="20"/>
          <w:color w:val="auto"/>
        </w:rPr>
      </w:pPr>
      <w:r>
        <w:rPr>
          <w:rFonts w:ascii="Arial" w:cs="Arial" w:eastAsia="Arial" w:hAnsi="Arial"/>
          <w:sz w:val="18"/>
          <w:szCs w:val="18"/>
          <w:color w:val="auto"/>
        </w:rPr>
        <w:t xml:space="preserve">The culture and behaviors that will enable us to fulfill our </w:t>
      </w:r>
      <w:r>
        <w:rPr>
          <w:rFonts w:ascii="Arial" w:cs="Arial" w:eastAsia="Arial" w:hAnsi="Arial"/>
          <w:sz w:val="18"/>
          <w:szCs w:val="18"/>
          <w:b w:val="1"/>
          <w:bCs w:val="1"/>
          <w:color w:val="auto"/>
        </w:rPr>
        <w:t>purpose</w:t>
      </w:r>
      <w:r>
        <w:rPr>
          <w:rFonts w:ascii="Arial" w:cs="Arial" w:eastAsia="Arial" w:hAnsi="Arial"/>
          <w:sz w:val="18"/>
          <w:szCs w:val="18"/>
          <w:color w:val="auto"/>
        </w:rPr>
        <w:t>,</w:t>
      </w:r>
      <w:r>
        <w:rPr>
          <w:rFonts w:ascii="Arial" w:cs="Arial" w:eastAsia="Arial" w:hAnsi="Arial"/>
          <w:sz w:val="18"/>
          <w:szCs w:val="18"/>
          <w:b w:val="1"/>
          <w:bCs w:val="1"/>
          <w:color w:val="auto"/>
        </w:rPr>
        <w:t xml:space="preserve"> vision </w:t>
      </w:r>
      <w:r>
        <w:rPr>
          <w:rFonts w:ascii="Arial" w:cs="Arial" w:eastAsia="Arial" w:hAnsi="Arial"/>
          <w:sz w:val="18"/>
          <w:szCs w:val="18"/>
          <w:color w:val="auto"/>
        </w:rPr>
        <w:t>and</w:t>
      </w:r>
      <w:r>
        <w:rPr>
          <w:rFonts w:ascii="Arial" w:cs="Arial" w:eastAsia="Arial" w:hAnsi="Arial"/>
          <w:sz w:val="18"/>
          <w:szCs w:val="18"/>
          <w:b w:val="1"/>
          <w:bCs w:val="1"/>
          <w:color w:val="auto"/>
        </w:rPr>
        <w:t xml:space="preserve"> mission</w:t>
      </w:r>
      <w:r>
        <w:rPr>
          <w:rFonts w:ascii="Arial" w:cs="Arial" w:eastAsia="Arial" w:hAnsi="Arial"/>
          <w:sz w:val="18"/>
          <w:szCs w:val="18"/>
          <w:color w:val="auto"/>
        </w:rPr>
        <w:t>.</w:t>
      </w:r>
    </w:p>
    <w:p>
      <w:pPr>
        <w:spacing w:after="0" w:line="13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355675"/>
        </w:rPr>
        <w:t>Design for Tomorrow</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See the Way Forward</w:t>
      </w:r>
    </w:p>
    <w:p>
      <w:pPr>
        <w:ind w:left="460"/>
        <w:spacing w:after="0" w:line="234" w:lineRule="auto"/>
        <w:rPr>
          <w:sz w:val="20"/>
          <w:szCs w:val="20"/>
          <w:color w:val="auto"/>
        </w:rPr>
      </w:pPr>
      <w:r>
        <w:rPr>
          <w:rFonts w:ascii="Arial" w:cs="Arial" w:eastAsia="Arial" w:hAnsi="Arial"/>
          <w:sz w:val="18"/>
          <w:szCs w:val="18"/>
          <w:color w:val="auto"/>
        </w:rPr>
        <w:t>Innovate with Courage</w:t>
      </w:r>
    </w:p>
    <w:p>
      <w:pPr>
        <w:spacing w:after="0" w:line="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Value Learning</w:t>
      </w:r>
    </w:p>
    <w:p>
      <w:pPr>
        <w:spacing w:after="0" w:line="19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355675"/>
        </w:rPr>
        <w:t>Empower Each Other</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Embrace Diverse Perspectives</w:t>
      </w:r>
    </w:p>
    <w:p>
      <w:pPr>
        <w:ind w:left="460"/>
        <w:spacing w:after="0" w:line="234" w:lineRule="auto"/>
        <w:rPr>
          <w:sz w:val="20"/>
          <w:szCs w:val="20"/>
          <w:color w:val="auto"/>
        </w:rPr>
      </w:pPr>
      <w:r>
        <w:rPr>
          <w:rFonts w:ascii="Arial" w:cs="Arial" w:eastAsia="Arial" w:hAnsi="Arial"/>
          <w:sz w:val="18"/>
          <w:szCs w:val="18"/>
          <w:color w:val="auto"/>
        </w:rPr>
        <w:t>Challenge Respectfully</w:t>
      </w:r>
    </w:p>
    <w:p>
      <w:pPr>
        <w:spacing w:after="0" w:line="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Unite as One Team</w:t>
      </w:r>
    </w:p>
    <w:p>
      <w:pPr>
        <w:spacing w:after="0" w:line="19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355675"/>
        </w:rPr>
        <w:t>Succeed Together</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Create Clarity</w:t>
      </w:r>
    </w:p>
    <w:p>
      <w:pPr>
        <w:ind w:left="460"/>
        <w:spacing w:after="0" w:line="234" w:lineRule="auto"/>
        <w:rPr>
          <w:sz w:val="20"/>
          <w:szCs w:val="20"/>
          <w:color w:val="auto"/>
        </w:rPr>
      </w:pPr>
      <w:r>
        <w:rPr>
          <w:rFonts w:ascii="Arial" w:cs="Arial" w:eastAsia="Arial" w:hAnsi="Arial"/>
          <w:sz w:val="18"/>
          <w:szCs w:val="18"/>
          <w:color w:val="auto"/>
        </w:rPr>
        <w:t>Anchor in Safety</w:t>
      </w:r>
    </w:p>
    <w:p>
      <w:pPr>
        <w:spacing w:after="0" w:line="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Deliver for the Community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1" w:lineRule="exact"/>
        <w:rPr>
          <w:sz w:val="20"/>
          <w:szCs w:val="20"/>
          <w:color w:val="auto"/>
        </w:rPr>
      </w:pPr>
    </w:p>
    <w:p>
      <w:pPr>
        <w:ind w:left="1020"/>
        <w:spacing w:after="0"/>
        <w:rPr>
          <w:sz w:val="20"/>
          <w:szCs w:val="20"/>
          <w:color w:val="auto"/>
        </w:rPr>
      </w:pPr>
      <w:r>
        <w:rPr>
          <w:rFonts w:ascii="Arial" w:cs="Arial" w:eastAsia="Arial" w:hAnsi="Arial"/>
          <w:sz w:val="20"/>
          <w:szCs w:val="20"/>
          <w:b w:val="1"/>
          <w:bCs w:val="1"/>
          <w:color w:val="355675"/>
        </w:rPr>
        <w:t>Our Strategy</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color w:val="auto"/>
        </w:rPr>
        <w:t>How we will execute our mission to achieve our vision.</w:t>
      </w:r>
    </w:p>
    <w:p>
      <w:pPr>
        <w:spacing w:after="0" w:line="396" w:lineRule="exact"/>
        <w:rPr>
          <w:sz w:val="20"/>
          <w:szCs w:val="20"/>
          <w:color w:val="auto"/>
        </w:rPr>
      </w:pPr>
    </w:p>
    <w:p>
      <w:pPr>
        <w:ind w:left="200"/>
        <w:spacing w:after="0"/>
        <w:rPr>
          <w:sz w:val="20"/>
          <w:szCs w:val="20"/>
          <w:color w:val="auto"/>
        </w:rPr>
      </w:pPr>
      <w:r>
        <w:rPr>
          <w:rFonts w:ascii="Arial" w:cs="Arial" w:eastAsia="Arial" w:hAnsi="Arial"/>
          <w:sz w:val="20"/>
          <w:szCs w:val="20"/>
          <w:b w:val="1"/>
          <w:bCs w:val="1"/>
          <w:color w:val="355675"/>
        </w:rPr>
        <w:t>Long-term issues and priority areas of focus</w:t>
      </w:r>
    </w:p>
    <w:p>
      <w:pPr>
        <w:spacing w:after="0" w:line="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for our business over the next ten years:</w:t>
      </w:r>
    </w:p>
    <w:p>
      <w:pPr>
        <w:spacing w:after="0" w:line="194" w:lineRule="exact"/>
        <w:rPr>
          <w:sz w:val="20"/>
          <w:szCs w:val="20"/>
          <w:color w:val="auto"/>
        </w:rPr>
      </w:pPr>
    </w:p>
    <w:p>
      <w:pPr>
        <w:ind w:left="380" w:right="1360" w:hanging="192"/>
        <w:spacing w:after="0" w:line="266" w:lineRule="auto"/>
        <w:tabs>
          <w:tab w:leader="none" w:pos="394" w:val="left"/>
        </w:tabs>
        <w:numPr>
          <w:ilvl w:val="0"/>
          <w:numId w:val="7"/>
        </w:numPr>
        <w:rPr>
          <w:rFonts w:ascii="Arial" w:cs="Arial" w:eastAsia="Arial" w:hAnsi="Arial"/>
          <w:sz w:val="18"/>
          <w:szCs w:val="18"/>
          <w:b w:val="1"/>
          <w:bCs w:val="1"/>
          <w:color w:val="355675"/>
        </w:rPr>
      </w:pPr>
      <w:r>
        <w:rPr>
          <w:rFonts w:ascii="Arial" w:cs="Arial" w:eastAsia="Arial" w:hAnsi="Arial"/>
          <w:sz w:val="18"/>
          <w:szCs w:val="18"/>
          <w:color w:val="auto"/>
        </w:rPr>
        <w:t>focus on customer experience and community stewardship;</w:t>
      </w:r>
    </w:p>
    <w:p>
      <w:pPr>
        <w:ind w:left="400" w:hanging="212"/>
        <w:spacing w:after="0"/>
        <w:tabs>
          <w:tab w:leader="none" w:pos="400" w:val="left"/>
        </w:tabs>
        <w:numPr>
          <w:ilvl w:val="0"/>
          <w:numId w:val="7"/>
        </w:numPr>
        <w:rPr>
          <w:rFonts w:ascii="Arial" w:cs="Arial" w:eastAsia="Arial" w:hAnsi="Arial"/>
          <w:sz w:val="18"/>
          <w:szCs w:val="18"/>
          <w:b w:val="1"/>
          <w:bCs w:val="1"/>
          <w:color w:val="355675"/>
        </w:rPr>
      </w:pPr>
      <w:r>
        <w:rPr>
          <w:rFonts w:ascii="Arial" w:cs="Arial" w:eastAsia="Arial" w:hAnsi="Arial"/>
          <w:sz w:val="18"/>
          <w:szCs w:val="18"/>
          <w:color w:val="auto"/>
        </w:rPr>
        <w:t>support an evolving workforce;</w:t>
      </w:r>
    </w:p>
    <w:p>
      <w:pPr>
        <w:spacing w:after="0" w:line="49" w:lineRule="exact"/>
        <w:rPr>
          <w:rFonts w:ascii="Arial" w:cs="Arial" w:eastAsia="Arial" w:hAnsi="Arial"/>
          <w:sz w:val="18"/>
          <w:szCs w:val="18"/>
          <w:b w:val="1"/>
          <w:bCs w:val="1"/>
          <w:color w:val="355675"/>
        </w:rPr>
      </w:pPr>
    </w:p>
    <w:p>
      <w:pPr>
        <w:ind w:left="400" w:hanging="212"/>
        <w:spacing w:after="0"/>
        <w:tabs>
          <w:tab w:leader="none" w:pos="400" w:val="left"/>
        </w:tabs>
        <w:numPr>
          <w:ilvl w:val="0"/>
          <w:numId w:val="7"/>
        </w:numPr>
        <w:rPr>
          <w:rFonts w:ascii="Arial" w:cs="Arial" w:eastAsia="Arial" w:hAnsi="Arial"/>
          <w:sz w:val="18"/>
          <w:szCs w:val="18"/>
          <w:b w:val="1"/>
          <w:bCs w:val="1"/>
          <w:color w:val="355675"/>
        </w:rPr>
      </w:pPr>
      <w:r>
        <w:rPr>
          <w:rFonts w:ascii="Arial" w:cs="Arial" w:eastAsia="Arial" w:hAnsi="Arial"/>
          <w:sz w:val="18"/>
          <w:szCs w:val="18"/>
          <w:color w:val="auto"/>
        </w:rPr>
        <w:t>decarbonize and manage generation resources;</w:t>
      </w:r>
    </w:p>
    <w:p>
      <w:pPr>
        <w:spacing w:after="0" w:line="49" w:lineRule="exact"/>
        <w:rPr>
          <w:rFonts w:ascii="Arial" w:cs="Arial" w:eastAsia="Arial" w:hAnsi="Arial"/>
          <w:sz w:val="18"/>
          <w:szCs w:val="18"/>
          <w:b w:val="1"/>
          <w:bCs w:val="1"/>
          <w:color w:val="355675"/>
        </w:rPr>
      </w:pPr>
    </w:p>
    <w:p>
      <w:pPr>
        <w:ind w:left="400" w:hanging="212"/>
        <w:spacing w:after="0"/>
        <w:tabs>
          <w:tab w:leader="none" w:pos="400" w:val="left"/>
        </w:tabs>
        <w:numPr>
          <w:ilvl w:val="0"/>
          <w:numId w:val="7"/>
        </w:numPr>
        <w:rPr>
          <w:rFonts w:ascii="Arial" w:cs="Arial" w:eastAsia="Arial" w:hAnsi="Arial"/>
          <w:sz w:val="17"/>
          <w:szCs w:val="17"/>
          <w:b w:val="1"/>
          <w:bCs w:val="1"/>
          <w:color w:val="355675"/>
        </w:rPr>
      </w:pPr>
      <w:r>
        <w:rPr>
          <w:rFonts w:ascii="Arial" w:cs="Arial" w:eastAsia="Arial" w:hAnsi="Arial"/>
          <w:sz w:val="17"/>
          <w:szCs w:val="17"/>
          <w:color w:val="auto"/>
        </w:rPr>
        <w:t>achieve a constructive regulatory environment; and</w:t>
      </w:r>
    </w:p>
    <w:p>
      <w:pPr>
        <w:spacing w:after="0" w:line="61" w:lineRule="exact"/>
        <w:rPr>
          <w:rFonts w:ascii="Arial" w:cs="Arial" w:eastAsia="Arial" w:hAnsi="Arial"/>
          <w:sz w:val="17"/>
          <w:szCs w:val="17"/>
          <w:b w:val="1"/>
          <w:bCs w:val="1"/>
          <w:color w:val="355675"/>
        </w:rPr>
      </w:pPr>
    </w:p>
    <w:p>
      <w:pPr>
        <w:ind w:left="400" w:hanging="212"/>
        <w:spacing w:after="0"/>
        <w:tabs>
          <w:tab w:leader="none" w:pos="400" w:val="left"/>
        </w:tabs>
        <w:numPr>
          <w:ilvl w:val="0"/>
          <w:numId w:val="7"/>
        </w:numPr>
        <w:rPr>
          <w:rFonts w:ascii="Arial" w:cs="Arial" w:eastAsia="Arial" w:hAnsi="Arial"/>
          <w:sz w:val="18"/>
          <w:szCs w:val="18"/>
          <w:b w:val="1"/>
          <w:bCs w:val="1"/>
          <w:color w:val="355675"/>
        </w:rPr>
      </w:pPr>
      <w:r>
        <w:rPr>
          <w:rFonts w:ascii="Arial" w:cs="Arial" w:eastAsia="Arial" w:hAnsi="Arial"/>
          <w:sz w:val="18"/>
          <w:szCs w:val="18"/>
          <w:color w:val="auto"/>
        </w:rPr>
        <w:t>ensure long-term financial health.</w:t>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Strategies and Goals</w:t>
      </w:r>
    </w:p>
    <w:p>
      <w:pPr>
        <w:spacing w:after="0" w:line="207" w:lineRule="exact"/>
        <w:rPr>
          <w:sz w:val="20"/>
          <w:szCs w:val="20"/>
          <w:color w:val="auto"/>
        </w:rPr>
      </w:pPr>
    </w:p>
    <w:p>
      <w:pPr>
        <w:ind w:right="1100"/>
        <w:spacing w:after="0" w:line="271" w:lineRule="auto"/>
        <w:rPr>
          <w:sz w:val="20"/>
          <w:szCs w:val="20"/>
          <w:color w:val="auto"/>
        </w:rPr>
      </w:pPr>
      <w:r>
        <w:rPr>
          <w:rFonts w:ascii="Arial" w:cs="Arial" w:eastAsia="Arial" w:hAnsi="Arial"/>
          <w:sz w:val="18"/>
          <w:szCs w:val="18"/>
          <w:color w:val="auto"/>
        </w:rPr>
        <w:t>Actions and targets that guide resources and efforts to address our long-term issues.</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Business Plan</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Defines how each business unit executes our strategy.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Tiered Metrics</w:t>
      </w:r>
    </w:p>
    <w:p>
      <w:pPr>
        <w:spacing w:after="0" w:line="14" w:lineRule="exact"/>
        <w:rPr>
          <w:sz w:val="20"/>
          <w:szCs w:val="20"/>
          <w:color w:val="auto"/>
        </w:rPr>
      </w:pPr>
    </w:p>
    <w:p>
      <w:pPr>
        <w:ind w:right="1120"/>
        <w:spacing w:after="0" w:line="250" w:lineRule="auto"/>
        <w:rPr>
          <w:sz w:val="20"/>
          <w:szCs w:val="20"/>
          <w:color w:val="auto"/>
        </w:rPr>
      </w:pPr>
      <w:r>
        <w:rPr>
          <w:rFonts w:ascii="Arial" w:cs="Arial" w:eastAsia="Arial" w:hAnsi="Arial"/>
          <w:sz w:val="18"/>
          <w:szCs w:val="18"/>
          <w:color w:val="auto"/>
        </w:rPr>
        <w:t>Provides a clear look at what the Company is trying to accomplish by measuring what matters.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Performance Management</w:t>
      </w:r>
    </w:p>
    <w:p>
      <w:pPr>
        <w:spacing w:after="0" w:line="14" w:lineRule="exact"/>
        <w:rPr>
          <w:sz w:val="20"/>
          <w:szCs w:val="20"/>
          <w:color w:val="auto"/>
        </w:rPr>
      </w:pPr>
    </w:p>
    <w:p>
      <w:pPr>
        <w:ind w:right="1060"/>
        <w:spacing w:after="0" w:line="250" w:lineRule="auto"/>
        <w:rPr>
          <w:sz w:val="20"/>
          <w:szCs w:val="20"/>
          <w:color w:val="auto"/>
        </w:rPr>
      </w:pPr>
      <w:r>
        <w:rPr>
          <w:rFonts w:ascii="Arial" w:cs="Arial" w:eastAsia="Arial" w:hAnsi="Arial"/>
          <w:sz w:val="18"/>
          <w:szCs w:val="18"/>
          <w:color w:val="auto"/>
        </w:rPr>
        <w:t>Recognizes and rewards the individual contributions to priority work.</w:t>
      </w:r>
    </w:p>
    <w:p>
      <w:pPr>
        <w:spacing w:after="0" w:line="704" w:lineRule="exact"/>
        <w:rPr>
          <w:sz w:val="20"/>
          <w:szCs w:val="20"/>
          <w:color w:val="auto"/>
        </w:rPr>
      </w:pPr>
    </w:p>
    <w:p>
      <w:pPr>
        <w:sectPr>
          <w:pgSz w:w="11900" w:h="16838" w:orient="portrait"/>
          <w:cols w:equalWidth="0" w:num="2">
            <w:col w:w="5180" w:space="660"/>
            <w:col w:w="5420"/>
          </w:cols>
          <w:pgMar w:left="320" w:top="125"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8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280" w:type="dxa"/>
            <w:vAlign w:val="bottom"/>
          </w:tcPr>
          <w:p>
            <w:pPr>
              <w:jc w:val="right"/>
              <w:spacing w:after="0"/>
              <w:rPr>
                <w:sz w:val="20"/>
                <w:szCs w:val="20"/>
                <w:color w:val="auto"/>
              </w:rPr>
            </w:pPr>
            <w:r>
              <w:rPr>
                <w:rFonts w:ascii="Arial" w:cs="Arial" w:eastAsia="Arial" w:hAnsi="Arial"/>
                <w:sz w:val="14"/>
                <w:szCs w:val="14"/>
                <w:b w:val="1"/>
                <w:bCs w:val="1"/>
                <w:color w:val="355675"/>
              </w:rPr>
              <w:t>3</w:t>
            </w:r>
          </w:p>
        </w:tc>
      </w:tr>
      <w:tr>
        <w:trPr>
          <w:trHeight w:val="93"/>
        </w:trPr>
        <w:tc>
          <w:tcPr>
            <w:tcW w:w="10980" w:type="dxa"/>
            <w:vAlign w:val="bottom"/>
            <w:tcBorders>
              <w:bottom w:val="single" w:sz="8" w:color="808080"/>
            </w:tcBorders>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12" w:name="page13"/>
    <w:bookmarkEnd w:id="1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0350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2320" cy="603504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Proxy Statement Summary</w:t>
      </w:r>
    </w:p>
    <w:p>
      <w:pPr>
        <w:spacing w:after="0" w:line="197"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The Value We Create for Our Stakeholders</w:t>
      </w:r>
    </w:p>
    <w:p>
      <w:pPr>
        <w:spacing w:after="0" w:line="252"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55675"/>
        </w:rPr>
        <w:t>Financial</w:t>
      </w:r>
    </w:p>
    <w:p>
      <w:pPr>
        <w:spacing w:after="0" w:line="9" w:lineRule="exact"/>
        <w:rPr>
          <w:sz w:val="20"/>
          <w:szCs w:val="20"/>
          <w:color w:val="auto"/>
        </w:rPr>
      </w:pPr>
    </w:p>
    <w:p>
      <w:pPr>
        <w:ind w:left="100" w:right="260"/>
        <w:spacing w:after="0" w:line="239" w:lineRule="auto"/>
        <w:rPr>
          <w:sz w:val="20"/>
          <w:szCs w:val="20"/>
          <w:color w:val="auto"/>
        </w:rPr>
      </w:pPr>
      <w:r>
        <w:rPr>
          <w:rFonts w:ascii="Arial" w:cs="Arial" w:eastAsia="Arial" w:hAnsi="Arial"/>
          <w:sz w:val="18"/>
          <w:szCs w:val="18"/>
          <w:color w:val="auto"/>
        </w:rPr>
        <w:t>Creating long-term value for our shareholders is dependent upon having the right strategy to drive our operational performance. We recognize the links between strong customer satisfaction, a constructive regulatory environment and financial health and stability. To support future value creation for our shareholders, we are committed to enhancing our customer focus and improving our regulatory relationships. In addition, our strong customer growth and clean energy investments distinguish our future potential to build shareholder value.</w:t>
      </w:r>
    </w:p>
    <w:p>
      <w:pPr>
        <w:spacing w:after="0" w:line="180" w:lineRule="exact"/>
        <w:rPr>
          <w:sz w:val="20"/>
          <w:szCs w:val="20"/>
          <w:color w:val="auto"/>
        </w:rPr>
      </w:pPr>
    </w:p>
    <w:p>
      <w:pPr>
        <w:ind w:left="100"/>
        <w:spacing w:after="0"/>
        <w:rPr>
          <w:sz w:val="20"/>
          <w:szCs w:val="20"/>
          <w:color w:val="auto"/>
        </w:rPr>
      </w:pPr>
      <w:r>
        <w:rPr>
          <w:sz w:val="1"/>
          <w:szCs w:val="1"/>
          <w:color w:val="auto"/>
        </w:rPr>
        <w:drawing>
          <wp:inline distT="0" distB="0" distL="0" distR="0">
            <wp:extent cx="59690" cy="68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9690" cy="68580"/>
                    </a:xfrm>
                    <a:prstGeom prst="rect">
                      <a:avLst/>
                    </a:prstGeom>
                    <a:noFill/>
                    <a:ln>
                      <a:noFill/>
                    </a:ln>
                  </pic:spPr>
                </pic:pic>
              </a:graphicData>
            </a:graphic>
          </wp:inline>
        </w:drawing>
      </w:r>
      <w:r>
        <w:rPr>
          <w:rFonts w:ascii="Arial" w:cs="Arial" w:eastAsia="Arial" w:hAnsi="Arial"/>
          <w:sz w:val="18"/>
          <w:szCs w:val="18"/>
          <w:color w:val="008C9F"/>
        </w:rPr>
        <w:t xml:space="preserve"> Page </w:t>
      </w:r>
      <w:r>
        <w:rPr>
          <w:rFonts w:ascii="Arial" w:cs="Arial" w:eastAsia="Arial" w:hAnsi="Arial"/>
          <w:sz w:val="18"/>
          <w:szCs w:val="18"/>
          <w:b w:val="1"/>
          <w:bCs w:val="1"/>
          <w:color w:val="008C9F"/>
        </w:rPr>
        <w:t>5</w:t>
      </w:r>
    </w:p>
    <w:p>
      <w:pPr>
        <w:spacing w:after="0" w:line="126"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55675"/>
        </w:rPr>
        <w:t>Customers</w:t>
      </w:r>
    </w:p>
    <w:p>
      <w:pPr>
        <w:spacing w:after="0" w:line="9" w:lineRule="exact"/>
        <w:rPr>
          <w:sz w:val="20"/>
          <w:szCs w:val="20"/>
          <w:color w:val="auto"/>
        </w:rPr>
      </w:pPr>
    </w:p>
    <w:p>
      <w:pPr>
        <w:ind w:left="100" w:right="160"/>
        <w:spacing w:after="0"/>
        <w:rPr>
          <w:sz w:val="20"/>
          <w:szCs w:val="20"/>
          <w:color w:val="auto"/>
        </w:rPr>
      </w:pPr>
      <w:r>
        <w:rPr>
          <w:rFonts w:ascii="Arial" w:cs="Arial" w:eastAsia="Arial" w:hAnsi="Arial"/>
          <w:sz w:val="18"/>
          <w:szCs w:val="18"/>
          <w:color w:val="auto"/>
        </w:rPr>
        <w:t>Customers are at the core of what we do every day at APS, and we are committed to providing options that make it easier for them to do business with us. We continually work to find new and better ways to meet our customers’ needs. Recognizing that creating customer value is inextricably linked to increasing shareholder value, our focus remains on our customers and achieving an industry-leading customer experience.</w:t>
      </w:r>
    </w:p>
    <w:p>
      <w:pPr>
        <w:spacing w:after="0" w:line="180" w:lineRule="exact"/>
        <w:rPr>
          <w:sz w:val="20"/>
          <w:szCs w:val="20"/>
          <w:color w:val="auto"/>
        </w:rPr>
      </w:pPr>
    </w:p>
    <w:p>
      <w:pPr>
        <w:ind w:left="100"/>
        <w:spacing w:after="0"/>
        <w:rPr>
          <w:sz w:val="20"/>
          <w:szCs w:val="20"/>
          <w:color w:val="auto"/>
        </w:rPr>
      </w:pPr>
      <w:r>
        <w:rPr>
          <w:sz w:val="1"/>
          <w:szCs w:val="1"/>
          <w:color w:val="auto"/>
        </w:rPr>
        <w:drawing>
          <wp:inline distT="0" distB="0" distL="0" distR="0">
            <wp:extent cx="59690" cy="68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59690" cy="68580"/>
                    </a:xfrm>
                    <a:prstGeom prst="rect">
                      <a:avLst/>
                    </a:prstGeom>
                    <a:noFill/>
                    <a:ln>
                      <a:noFill/>
                    </a:ln>
                  </pic:spPr>
                </pic:pic>
              </a:graphicData>
            </a:graphic>
          </wp:inline>
        </w:drawing>
      </w:r>
      <w:r>
        <w:rPr>
          <w:rFonts w:ascii="Arial" w:cs="Arial" w:eastAsia="Arial" w:hAnsi="Arial"/>
          <w:sz w:val="18"/>
          <w:szCs w:val="18"/>
          <w:color w:val="008C9F"/>
        </w:rPr>
        <w:t xml:space="preserve"> Page </w:t>
      </w:r>
      <w:r>
        <w:rPr>
          <w:rFonts w:ascii="Arial" w:cs="Arial" w:eastAsia="Arial" w:hAnsi="Arial"/>
          <w:sz w:val="18"/>
          <w:szCs w:val="18"/>
          <w:b w:val="1"/>
          <w:bCs w:val="1"/>
          <w:color w:val="008C9F"/>
        </w:rPr>
        <w:t>6</w:t>
      </w:r>
    </w:p>
    <w:p>
      <w:pPr>
        <w:spacing w:after="0" w:line="126"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55675"/>
        </w:rPr>
        <w:t>Employees</w:t>
      </w:r>
    </w:p>
    <w:p>
      <w:pPr>
        <w:spacing w:after="0" w:line="9" w:lineRule="exact"/>
        <w:rPr>
          <w:sz w:val="20"/>
          <w:szCs w:val="20"/>
          <w:color w:val="auto"/>
        </w:rPr>
      </w:pPr>
    </w:p>
    <w:p>
      <w:pPr>
        <w:ind w:left="100"/>
        <w:spacing w:after="0"/>
        <w:rPr>
          <w:sz w:val="20"/>
          <w:szCs w:val="20"/>
          <w:color w:val="auto"/>
        </w:rPr>
      </w:pPr>
      <w:r>
        <w:rPr>
          <w:rFonts w:ascii="Arial" w:cs="Arial" w:eastAsia="Arial" w:hAnsi="Arial"/>
          <w:sz w:val="18"/>
          <w:szCs w:val="18"/>
          <w:color w:val="auto"/>
        </w:rPr>
        <w:t>Our more than 5,800 dedicated employees strengthen our Company with their skills, experience and diverse perspectives. We recognize that the next generation of employees has its own unique career expectations, and our business is evolving to accommodate the changing workforce. We are taking steps to support the changing needs, skills and priorities of our employees. We also continue to develop new strategies to attract and retain our highly skilled employees, and ensure they remain engaged during this time of change.</w:t>
      </w:r>
    </w:p>
    <w:p>
      <w:pPr>
        <w:spacing w:after="0" w:line="180" w:lineRule="exact"/>
        <w:rPr>
          <w:sz w:val="20"/>
          <w:szCs w:val="20"/>
          <w:color w:val="auto"/>
        </w:rPr>
      </w:pPr>
    </w:p>
    <w:p>
      <w:pPr>
        <w:ind w:left="100"/>
        <w:spacing w:after="0"/>
        <w:rPr>
          <w:sz w:val="20"/>
          <w:szCs w:val="20"/>
          <w:color w:val="auto"/>
        </w:rPr>
      </w:pPr>
      <w:r>
        <w:rPr>
          <w:sz w:val="1"/>
          <w:szCs w:val="1"/>
          <w:color w:val="auto"/>
        </w:rPr>
        <w:drawing>
          <wp:inline distT="0" distB="0" distL="0" distR="0">
            <wp:extent cx="59690" cy="685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59690" cy="68580"/>
                    </a:xfrm>
                    <a:prstGeom prst="rect">
                      <a:avLst/>
                    </a:prstGeom>
                    <a:noFill/>
                    <a:ln>
                      <a:noFill/>
                    </a:ln>
                  </pic:spPr>
                </pic:pic>
              </a:graphicData>
            </a:graphic>
          </wp:inline>
        </w:drawing>
      </w:r>
      <w:r>
        <w:rPr>
          <w:rFonts w:ascii="Arial" w:cs="Arial" w:eastAsia="Arial" w:hAnsi="Arial"/>
          <w:sz w:val="18"/>
          <w:szCs w:val="18"/>
          <w:color w:val="008C9F"/>
        </w:rPr>
        <w:t xml:space="preserve"> Page </w:t>
      </w:r>
      <w:r>
        <w:rPr>
          <w:rFonts w:ascii="Arial" w:cs="Arial" w:eastAsia="Arial" w:hAnsi="Arial"/>
          <w:sz w:val="18"/>
          <w:szCs w:val="18"/>
          <w:b w:val="1"/>
          <w:bCs w:val="1"/>
          <w:color w:val="008C9F"/>
        </w:rPr>
        <w:t>8</w:t>
      </w:r>
    </w:p>
    <w:p>
      <w:pPr>
        <w:spacing w:after="0" w:line="126"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55675"/>
        </w:rPr>
        <w:t>Environment</w:t>
      </w:r>
    </w:p>
    <w:p>
      <w:pPr>
        <w:spacing w:after="0" w:line="9" w:lineRule="exact"/>
        <w:rPr>
          <w:sz w:val="20"/>
          <w:szCs w:val="20"/>
          <w:color w:val="auto"/>
        </w:rPr>
      </w:pPr>
    </w:p>
    <w:p>
      <w:pPr>
        <w:ind w:left="100" w:right="80"/>
        <w:spacing w:after="0"/>
        <w:rPr>
          <w:sz w:val="20"/>
          <w:szCs w:val="20"/>
          <w:color w:val="auto"/>
        </w:rPr>
      </w:pPr>
      <w:r>
        <w:rPr>
          <w:rFonts w:ascii="Arial" w:cs="Arial" w:eastAsia="Arial" w:hAnsi="Arial"/>
          <w:sz w:val="18"/>
          <w:szCs w:val="18"/>
          <w:color w:val="auto"/>
        </w:rPr>
        <w:t>APS is committed to its role as a leader in environmental and sustainability stewardship by establishing sound environmental policies, managing environmental risks, implementing world-class environmental management systems and driving the adoption of sustainable concepts. Anchored by our Clean Energy Commitment to provide 100% clean, carbon-free electricity by 2050, our sustainability initiatives also include ensuring adequate water security, waste management, and land use and biodiversity.</w:t>
      </w:r>
    </w:p>
    <w:p>
      <w:pPr>
        <w:spacing w:after="0" w:line="180" w:lineRule="exact"/>
        <w:rPr>
          <w:sz w:val="20"/>
          <w:szCs w:val="20"/>
          <w:color w:val="auto"/>
        </w:rPr>
      </w:pPr>
    </w:p>
    <w:p>
      <w:pPr>
        <w:ind w:left="100"/>
        <w:spacing w:after="0"/>
        <w:rPr>
          <w:sz w:val="20"/>
          <w:szCs w:val="20"/>
          <w:color w:val="auto"/>
        </w:rPr>
      </w:pPr>
      <w:r>
        <w:rPr>
          <w:sz w:val="1"/>
          <w:szCs w:val="1"/>
          <w:color w:val="auto"/>
        </w:rPr>
        <w:drawing>
          <wp:inline distT="0" distB="0" distL="0" distR="0">
            <wp:extent cx="59690" cy="685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59690" cy="68580"/>
                    </a:xfrm>
                    <a:prstGeom prst="rect">
                      <a:avLst/>
                    </a:prstGeom>
                    <a:noFill/>
                    <a:ln>
                      <a:noFill/>
                    </a:ln>
                  </pic:spPr>
                </pic:pic>
              </a:graphicData>
            </a:graphic>
          </wp:inline>
        </w:drawing>
      </w:r>
      <w:r>
        <w:rPr>
          <w:rFonts w:ascii="Arial" w:cs="Arial" w:eastAsia="Arial" w:hAnsi="Arial"/>
          <w:sz w:val="18"/>
          <w:szCs w:val="18"/>
          <w:color w:val="008C9F"/>
        </w:rPr>
        <w:t xml:space="preserve"> Page </w:t>
      </w:r>
      <w:r>
        <w:rPr>
          <w:rFonts w:ascii="Arial" w:cs="Arial" w:eastAsia="Arial" w:hAnsi="Arial"/>
          <w:sz w:val="18"/>
          <w:szCs w:val="18"/>
          <w:b w:val="1"/>
          <w:bCs w:val="1"/>
          <w:color w:val="008C9F"/>
        </w:rPr>
        <w:t>12</w:t>
      </w:r>
    </w:p>
    <w:p>
      <w:pPr>
        <w:spacing w:after="0" w:line="126"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55675"/>
        </w:rPr>
        <w:t>Communities</w:t>
      </w:r>
    </w:p>
    <w:p>
      <w:pPr>
        <w:spacing w:after="0" w:line="9" w:lineRule="exact"/>
        <w:rPr>
          <w:sz w:val="20"/>
          <w:szCs w:val="20"/>
          <w:color w:val="auto"/>
        </w:rPr>
      </w:pPr>
    </w:p>
    <w:p>
      <w:pPr>
        <w:ind w:left="100" w:right="100"/>
        <w:spacing w:after="0"/>
        <w:rPr>
          <w:sz w:val="20"/>
          <w:szCs w:val="20"/>
          <w:color w:val="auto"/>
        </w:rPr>
      </w:pPr>
      <w:r>
        <w:rPr>
          <w:rFonts w:ascii="Arial" w:cs="Arial" w:eastAsia="Arial" w:hAnsi="Arial"/>
          <w:sz w:val="18"/>
          <w:szCs w:val="18"/>
          <w:color w:val="auto"/>
        </w:rPr>
        <w:t>In addition to powering Arizona, we empower communities across Arizona through programs and partnerships dedicated to improving the lives of Arizonans. Our multifaceted approach to community engagement is grounded in our commitment to community development. We not only invest in the communities where we do business but also focus on building meaningful relationships, which help us manage our social, economic and environmental impact.</w:t>
      </w:r>
    </w:p>
    <w:p>
      <w:pPr>
        <w:spacing w:after="0" w:line="180" w:lineRule="exact"/>
        <w:rPr>
          <w:sz w:val="20"/>
          <w:szCs w:val="20"/>
          <w:color w:val="auto"/>
        </w:rPr>
      </w:pPr>
    </w:p>
    <w:p>
      <w:pPr>
        <w:ind w:left="100"/>
        <w:spacing w:after="0"/>
        <w:rPr>
          <w:sz w:val="20"/>
          <w:szCs w:val="20"/>
          <w:color w:val="auto"/>
        </w:rPr>
      </w:pPr>
      <w:r>
        <w:rPr>
          <w:sz w:val="1"/>
          <w:szCs w:val="1"/>
          <w:color w:val="auto"/>
        </w:rPr>
        <w:drawing>
          <wp:inline distT="0" distB="0" distL="0" distR="0">
            <wp:extent cx="59690" cy="685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9690" cy="68580"/>
                    </a:xfrm>
                    <a:prstGeom prst="rect">
                      <a:avLst/>
                    </a:prstGeom>
                    <a:noFill/>
                    <a:ln>
                      <a:noFill/>
                    </a:ln>
                  </pic:spPr>
                </pic:pic>
              </a:graphicData>
            </a:graphic>
          </wp:inline>
        </w:drawing>
      </w:r>
      <w:r>
        <w:rPr>
          <w:rFonts w:ascii="Arial" w:cs="Arial" w:eastAsia="Arial" w:hAnsi="Arial"/>
          <w:sz w:val="18"/>
          <w:szCs w:val="18"/>
          <w:color w:val="008C9F"/>
        </w:rPr>
        <w:t xml:space="preserve"> Page </w:t>
      </w:r>
      <w:r>
        <w:rPr>
          <w:rFonts w:ascii="Arial" w:cs="Arial" w:eastAsia="Arial" w:hAnsi="Arial"/>
          <w:sz w:val="18"/>
          <w:szCs w:val="18"/>
          <w:b w:val="1"/>
          <w:bCs w:val="1"/>
          <w:color w:val="008C9F"/>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231775</wp:posOffset>
            </wp:positionV>
            <wp:extent cx="1191260" cy="2311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75565</wp:posOffset>
            </wp:positionV>
            <wp:extent cx="7153275"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00"/>
          </w:cols>
          <w:pgMar w:left="320" w:top="125" w:right="479" w:bottom="1440" w:gutter="0" w:footer="0" w:header="0"/>
        </w:sectPr>
      </w:pPr>
    </w:p>
    <w:bookmarkStart w:id="13" w:name="page14"/>
    <w:bookmarkEnd w:id="1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77920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2320" cy="7792085"/>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355675"/>
        </w:rPr>
        <w:t>Proxy Statement Summary</w:t>
      </w:r>
    </w:p>
    <w:p>
      <w:pPr>
        <w:spacing w:after="0" w:line="197"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Financial Highlights</w:t>
      </w:r>
    </w:p>
    <w:p>
      <w:pPr>
        <w:spacing w:after="0" w:line="219"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355675"/>
        </w:rPr>
        <w:t>Shareholder Value</w:t>
      </w:r>
    </w:p>
    <w:p>
      <w:pPr>
        <w:spacing w:after="0" w:line="237" w:lineRule="exact"/>
        <w:rPr>
          <w:sz w:val="20"/>
          <w:szCs w:val="20"/>
          <w:color w:val="auto"/>
        </w:rPr>
      </w:pPr>
    </w:p>
    <w:p>
      <w:pPr>
        <w:ind w:left="100" w:right="180"/>
        <w:spacing w:after="0" w:line="239" w:lineRule="auto"/>
        <w:rPr>
          <w:sz w:val="20"/>
          <w:szCs w:val="20"/>
          <w:color w:val="auto"/>
        </w:rPr>
      </w:pPr>
      <w:r>
        <w:rPr>
          <w:rFonts w:ascii="Arial" w:cs="Arial" w:eastAsia="Arial" w:hAnsi="Arial"/>
          <w:sz w:val="18"/>
          <w:szCs w:val="18"/>
          <w:color w:val="auto"/>
        </w:rPr>
        <w:t>Our management team is committed to increasing shareholder value as one of our top priorities. One area where we underperformed compared to our historical track record was in total shareholder return, which combines stock price performance with dividends paid, at -7.8% for the year. Arizona Corporation Commission (“ACC”)-driven discussions and increased regulatory uncertainty leading up to a disappointing outcome in our 2019 rate case impacted total shareholder return. We are taking actions coming out of the 2019 rate case, including announcing that we plan to file another rate case in 2022 and plan to defer any equity issuances until after the next rate case. In addition, we anticipate further clarity around the regulatory environment in Arizona and look forward to the ability to have more detailed discussions regarding the execution of our clean energy commitment and growth profile. We are committed to cultivating robust communication and collaboration with the ACC and other stakeholders to find constructive solutions that support our customers while maintaining the financial health of our Company. We believe we have the right strategy and team in place to meet our near-term goals and deliver long-term shareholder value.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300" w:hanging="202"/>
        <w:spacing w:after="0"/>
        <w:tabs>
          <w:tab w:leader="none" w:pos="300" w:val="left"/>
        </w:tabs>
        <w:numPr>
          <w:ilvl w:val="0"/>
          <w:numId w:val="8"/>
        </w:numPr>
        <w:rPr>
          <w:rFonts w:ascii="Arial" w:cs="Arial" w:eastAsia="Arial" w:hAnsi="Arial"/>
          <w:sz w:val="14"/>
          <w:szCs w:val="14"/>
          <w:color w:val="auto"/>
        </w:rPr>
      </w:pPr>
      <w:r>
        <w:rPr>
          <w:rFonts w:ascii="Arial" w:cs="Arial" w:eastAsia="Arial" w:hAnsi="Arial"/>
          <w:sz w:val="14"/>
          <w:szCs w:val="14"/>
          <w:color w:val="auto"/>
        </w:rPr>
        <w:t>Value of $100 invested as of December 31, 2015, with dividends reinvested.</w:t>
      </w:r>
    </w:p>
    <w:p>
      <w:pPr>
        <w:spacing w:after="0" w:line="196"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355675"/>
        </w:rPr>
        <w:t>2021 Financial and Operating Highlights</w:t>
      </w:r>
    </w:p>
    <w:p>
      <w:pPr>
        <w:spacing w:after="0" w:line="246" w:lineRule="exact"/>
        <w:rPr>
          <w:sz w:val="20"/>
          <w:szCs w:val="20"/>
          <w:color w:val="auto"/>
        </w:rPr>
      </w:pPr>
    </w:p>
    <w:p>
      <w:pPr>
        <w:ind w:left="420"/>
        <w:spacing w:after="0"/>
        <w:rPr>
          <w:sz w:val="20"/>
          <w:szCs w:val="20"/>
          <w:color w:val="auto"/>
        </w:rPr>
      </w:pPr>
      <w:r>
        <w:rPr>
          <w:rFonts w:ascii="Arial" w:cs="Arial" w:eastAsia="Arial" w:hAnsi="Arial"/>
          <w:sz w:val="18"/>
          <w:szCs w:val="18"/>
          <w:color w:val="auto"/>
        </w:rPr>
        <w:t xml:space="preserve">PNW </w:t>
      </w:r>
      <w:r>
        <w:rPr>
          <w:rFonts w:ascii="Arial" w:cs="Arial" w:eastAsia="Arial" w:hAnsi="Arial"/>
          <w:sz w:val="18"/>
          <w:szCs w:val="18"/>
          <w:b w:val="1"/>
          <w:bCs w:val="1"/>
          <w:color w:val="008C9F"/>
        </w:rPr>
        <w:t>increased its dividend for the 10</w:t>
      </w:r>
      <w:r>
        <w:rPr>
          <w:rFonts w:ascii="Arial" w:cs="Arial" w:eastAsia="Arial" w:hAnsi="Arial"/>
          <w:sz w:val="29"/>
          <w:szCs w:val="29"/>
          <w:b w:val="1"/>
          <w:bCs w:val="1"/>
          <w:color w:val="008C9F"/>
          <w:vertAlign w:val="superscript"/>
        </w:rPr>
        <w:t>th</w:t>
      </w:r>
      <w:r>
        <w:rPr>
          <w:rFonts w:ascii="Arial" w:cs="Arial" w:eastAsia="Arial" w:hAnsi="Arial"/>
          <w:sz w:val="18"/>
          <w:szCs w:val="18"/>
          <w:color w:val="auto"/>
        </w:rPr>
        <w:t xml:space="preserve"> </w:t>
      </w:r>
      <w:r>
        <w:rPr>
          <w:rFonts w:ascii="Arial" w:cs="Arial" w:eastAsia="Arial" w:hAnsi="Arial"/>
          <w:sz w:val="18"/>
          <w:szCs w:val="18"/>
          <w:b w:val="1"/>
          <w:bCs w:val="1"/>
          <w:color w:val="008C9F"/>
        </w:rPr>
        <w:t>consecutive year</w:t>
      </w:r>
      <w:r>
        <w:rPr>
          <w:rFonts w:ascii="Arial" w:cs="Arial" w:eastAsia="Arial" w:hAnsi="Arial"/>
          <w:sz w:val="18"/>
          <w:szCs w:val="18"/>
          <w:color w:val="auto"/>
        </w:rPr>
        <w:t>.</w:t>
      </w:r>
    </w:p>
    <w:p>
      <w:pPr>
        <w:ind w:left="420"/>
        <w:spacing w:after="0"/>
        <w:rPr>
          <w:sz w:val="20"/>
          <w:szCs w:val="20"/>
          <w:color w:val="auto"/>
        </w:rPr>
      </w:pPr>
      <w:r>
        <w:rPr>
          <w:rFonts w:ascii="Arial" w:cs="Arial" w:eastAsia="Arial" w:hAnsi="Arial"/>
          <w:sz w:val="18"/>
          <w:szCs w:val="18"/>
          <w:color w:val="auto"/>
        </w:rPr>
        <w:t xml:space="preserve">Maintained </w:t>
      </w:r>
      <w:r>
        <w:rPr>
          <w:rFonts w:ascii="Arial" w:cs="Arial" w:eastAsia="Arial" w:hAnsi="Arial"/>
          <w:sz w:val="18"/>
          <w:szCs w:val="18"/>
          <w:b w:val="1"/>
          <w:bCs w:val="1"/>
          <w:color w:val="008C9F"/>
        </w:rPr>
        <w:t>solid credit ratings</w:t>
      </w:r>
      <w:r>
        <w:rPr>
          <w:rFonts w:ascii="Arial" w:cs="Arial" w:eastAsia="Arial" w:hAnsi="Arial"/>
          <w:sz w:val="18"/>
          <w:szCs w:val="18"/>
          <w:color w:val="auto"/>
        </w:rPr>
        <w:t xml:space="preserve"> from all three rating agencies despite a challenging rate case outcome.</w:t>
      </w:r>
    </w:p>
    <w:p>
      <w:pPr>
        <w:spacing w:after="0" w:line="32" w:lineRule="exact"/>
        <w:rPr>
          <w:sz w:val="20"/>
          <w:szCs w:val="20"/>
          <w:color w:val="auto"/>
        </w:rPr>
      </w:pPr>
    </w:p>
    <w:p>
      <w:pPr>
        <w:ind w:left="420" w:right="240"/>
        <w:spacing w:after="0" w:line="253" w:lineRule="auto"/>
        <w:rPr>
          <w:sz w:val="20"/>
          <w:szCs w:val="20"/>
          <w:color w:val="auto"/>
        </w:rPr>
      </w:pPr>
      <w:r>
        <w:rPr>
          <w:rFonts w:ascii="Arial" w:cs="Arial" w:eastAsia="Arial" w:hAnsi="Arial"/>
          <w:sz w:val="18"/>
          <w:szCs w:val="18"/>
          <w:color w:val="auto"/>
        </w:rPr>
        <w:t xml:space="preserve">In 2021, APS continued to </w:t>
      </w:r>
      <w:r>
        <w:rPr>
          <w:rFonts w:ascii="Arial" w:cs="Arial" w:eastAsia="Arial" w:hAnsi="Arial"/>
          <w:sz w:val="18"/>
          <w:szCs w:val="18"/>
          <w:b w:val="1"/>
          <w:bCs w:val="1"/>
          <w:color w:val="008C9F"/>
        </w:rPr>
        <w:t>drive our customer affordability initiative</w:t>
      </w:r>
      <w:r>
        <w:rPr>
          <w:rFonts w:ascii="Arial" w:cs="Arial" w:eastAsia="Arial" w:hAnsi="Arial"/>
          <w:sz w:val="18"/>
          <w:szCs w:val="18"/>
          <w:color w:val="auto"/>
        </w:rPr>
        <w:t xml:space="preserve"> to identify opportunities to streamline our business processes, which resulted in the Company identifying approximately $30 million in annual incremental cost saving opportunities starting in 2022 through LEAN principles.</w:t>
      </w:r>
    </w:p>
    <w:p>
      <w:pPr>
        <w:spacing w:after="0" w:line="7" w:lineRule="exact"/>
        <w:rPr>
          <w:sz w:val="20"/>
          <w:szCs w:val="20"/>
          <w:color w:val="auto"/>
        </w:rPr>
      </w:pPr>
    </w:p>
    <w:p>
      <w:pPr>
        <w:ind w:left="420" w:right="220"/>
        <w:spacing w:after="0" w:line="266" w:lineRule="auto"/>
        <w:rPr>
          <w:sz w:val="20"/>
          <w:szCs w:val="20"/>
          <w:color w:val="auto"/>
        </w:rPr>
      </w:pPr>
      <w:r>
        <w:rPr>
          <w:rFonts w:ascii="Arial" w:cs="Arial" w:eastAsia="Arial" w:hAnsi="Arial"/>
          <w:sz w:val="18"/>
          <w:szCs w:val="18"/>
          <w:b w:val="1"/>
          <w:bCs w:val="1"/>
          <w:color w:val="008C9F"/>
        </w:rPr>
        <w:t xml:space="preserve">Maintained reliable energy delivery </w:t>
      </w:r>
      <w:r>
        <w:rPr>
          <w:rFonts w:ascii="Arial" w:cs="Arial" w:eastAsia="Arial" w:hAnsi="Arial"/>
          <w:sz w:val="18"/>
          <w:szCs w:val="18"/>
          <w:color w:val="000000"/>
        </w:rPr>
        <w:t>to customers through the largest regional natural gas freeze-off event in recent history, loss of a</w:t>
      </w:r>
      <w:r>
        <w:rPr>
          <w:rFonts w:ascii="Arial" w:cs="Arial" w:eastAsia="Arial" w:hAnsi="Arial"/>
          <w:sz w:val="18"/>
          <w:szCs w:val="18"/>
          <w:b w:val="1"/>
          <w:bCs w:val="1"/>
          <w:color w:val="008C9F"/>
        </w:rPr>
        <w:t xml:space="preserve"> </w:t>
      </w:r>
      <w:r>
        <w:rPr>
          <w:rFonts w:ascii="Arial" w:cs="Arial" w:eastAsia="Arial" w:hAnsi="Arial"/>
          <w:sz w:val="18"/>
          <w:szCs w:val="18"/>
          <w:color w:val="000000"/>
        </w:rPr>
        <w:t>pipeline due to explosion, and severe transmission limitations due to wildfire.</w:t>
      </w:r>
    </w:p>
    <w:p>
      <w:pPr>
        <w:jc w:val="both"/>
        <w:ind w:left="420" w:right="420"/>
        <w:spacing w:after="0" w:line="281" w:lineRule="auto"/>
        <w:rPr>
          <w:sz w:val="20"/>
          <w:szCs w:val="20"/>
          <w:color w:val="auto"/>
        </w:rPr>
      </w:pPr>
      <w:r>
        <w:rPr>
          <w:rFonts w:ascii="Arial" w:cs="Arial" w:eastAsia="Arial" w:hAnsi="Arial"/>
          <w:sz w:val="17"/>
          <w:szCs w:val="17"/>
          <w:color w:val="auto"/>
        </w:rPr>
        <w:t>Non-nuclear generation units performed exceptionally well during the crucial summer run, with a summertime equivalent availability factor of 94.4%. This was our second highest performance percentage in the last 10 years, only second to 2020, which was 95.3%.</w:t>
      </w:r>
    </w:p>
    <w:p>
      <w:pPr>
        <w:spacing w:after="0" w:line="1" w:lineRule="exact"/>
        <w:rPr>
          <w:sz w:val="20"/>
          <w:szCs w:val="20"/>
          <w:color w:val="auto"/>
        </w:rPr>
      </w:pPr>
    </w:p>
    <w:p>
      <w:pPr>
        <w:ind w:left="420" w:right="280"/>
        <w:spacing w:after="0" w:line="281" w:lineRule="auto"/>
        <w:rPr>
          <w:sz w:val="20"/>
          <w:szCs w:val="20"/>
          <w:color w:val="auto"/>
        </w:rPr>
      </w:pPr>
      <w:r>
        <w:rPr>
          <w:rFonts w:ascii="Arial" w:cs="Arial" w:eastAsia="Arial" w:hAnsi="Arial"/>
          <w:sz w:val="18"/>
          <w:szCs w:val="18"/>
          <w:color w:val="auto"/>
        </w:rPr>
        <w:t xml:space="preserve">APS continued successful operation of Palo Verde Generating Station (“PVGS”), a nuclear energy facility that is the largest </w:t>
      </w:r>
      <w:r>
        <w:rPr>
          <w:rFonts w:ascii="Arial" w:cs="Arial" w:eastAsia="Arial" w:hAnsi="Arial"/>
          <w:sz w:val="18"/>
          <w:szCs w:val="18"/>
          <w:b w:val="1"/>
          <w:bCs w:val="1"/>
          <w:color w:val="008C9F"/>
        </w:rPr>
        <w:t>clean-air</w:t>
      </w:r>
      <w:r>
        <w:rPr>
          <w:rFonts w:ascii="Arial" w:cs="Arial" w:eastAsia="Arial" w:hAnsi="Arial"/>
          <w:sz w:val="18"/>
          <w:szCs w:val="18"/>
          <w:color w:val="auto"/>
        </w:rPr>
        <w:t xml:space="preserve"> </w:t>
      </w:r>
      <w:r>
        <w:rPr>
          <w:rFonts w:ascii="Arial" w:cs="Arial" w:eastAsia="Arial" w:hAnsi="Arial"/>
          <w:sz w:val="18"/>
          <w:szCs w:val="18"/>
          <w:b w:val="1"/>
          <w:bCs w:val="1"/>
          <w:color w:val="008C9F"/>
        </w:rPr>
        <w:t xml:space="preserve">generator </w:t>
      </w:r>
      <w:r>
        <w:rPr>
          <w:rFonts w:ascii="Arial" w:cs="Arial" w:eastAsia="Arial" w:hAnsi="Arial"/>
          <w:sz w:val="18"/>
          <w:szCs w:val="18"/>
          <w:color w:val="000000"/>
        </w:rPr>
        <w:t>in the United States.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8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280" w:type="dxa"/>
            <w:vAlign w:val="bottom"/>
          </w:tcPr>
          <w:p>
            <w:pPr>
              <w:jc w:val="right"/>
              <w:spacing w:after="0"/>
              <w:rPr>
                <w:sz w:val="20"/>
                <w:szCs w:val="20"/>
                <w:color w:val="auto"/>
              </w:rPr>
            </w:pPr>
            <w:r>
              <w:rPr>
                <w:rFonts w:ascii="Arial" w:cs="Arial" w:eastAsia="Arial" w:hAnsi="Arial"/>
                <w:sz w:val="14"/>
                <w:szCs w:val="14"/>
                <w:b w:val="1"/>
                <w:bCs w:val="1"/>
                <w:color w:val="355675"/>
              </w:rPr>
              <w:t>5</w:t>
            </w:r>
          </w:p>
        </w:tc>
      </w:tr>
      <w:tr>
        <w:trPr>
          <w:trHeight w:val="93"/>
        </w:trPr>
        <w:tc>
          <w:tcPr>
            <w:tcW w:w="10980" w:type="dxa"/>
            <w:vAlign w:val="bottom"/>
            <w:tcBorders>
              <w:bottom w:val="single" w:sz="8" w:color="808080"/>
            </w:tcBorders>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4" w:name="page15"/>
    <w:bookmarkEnd w:id="1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9011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2320" cy="690118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Proxy Statement Summary</w:t>
      </w:r>
    </w:p>
    <w:p>
      <w:pPr>
        <w:spacing w:after="0" w:line="197"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Customer Highlights</w:t>
      </w:r>
    </w:p>
    <w:p>
      <w:pPr>
        <w:spacing w:after="0" w:line="230" w:lineRule="exact"/>
        <w:rPr>
          <w:sz w:val="20"/>
          <w:szCs w:val="20"/>
          <w:color w:val="auto"/>
        </w:rPr>
      </w:pPr>
    </w:p>
    <w:p>
      <w:pPr>
        <w:ind w:left="100"/>
        <w:spacing w:after="0"/>
        <w:rPr>
          <w:sz w:val="20"/>
          <w:szCs w:val="20"/>
          <w:color w:val="auto"/>
        </w:rPr>
      </w:pPr>
      <w:r>
        <w:rPr>
          <w:rFonts w:ascii="Arial" w:cs="Arial" w:eastAsia="Arial" w:hAnsi="Arial"/>
          <w:sz w:val="18"/>
          <w:szCs w:val="18"/>
          <w:color w:val="auto"/>
        </w:rPr>
        <w:t>Recognizing that creating customer value is inextricably linked to increasing shareholder value, our focus remains on our customers and achieving an industry-leading customer experience. This multi-year objective includes incrementally improving our scores in the J.D. Power Electric Utility Residential Study Overall Customer Satisfaction Index (“J.D. Power Residential Customer Satisfaction Rating”). We made progress on that front in 2021. Our fourth-quarter overall customer satisfaction score in the J.D. Power Residential Customer Satisfaction Rating advanced to the third-quartile, and we made year-over-year improvements in several key areas important to customers, including power quality and reliability, billing and payment, and phone customer care. We also were named a 2021 Business Customer Champion by international market research firm Escalent. They recognized us as one of the top performing electric utilities in the nation for brand trust, product experience, service satisfaction and customer effort score for business customers.</w:t>
      </w:r>
    </w:p>
    <w:p>
      <w:pPr>
        <w:spacing w:after="0" w:line="180"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Customer Care Center</w:t>
      </w:r>
    </w:p>
    <w:p>
      <w:pPr>
        <w:spacing w:after="0" w:line="212" w:lineRule="exact"/>
        <w:rPr>
          <w:sz w:val="20"/>
          <w:szCs w:val="20"/>
          <w:color w:val="auto"/>
        </w:rPr>
      </w:pPr>
    </w:p>
    <w:p>
      <w:pPr>
        <w:ind w:left="100" w:right="100"/>
        <w:spacing w:after="0" w:line="244" w:lineRule="auto"/>
        <w:rPr>
          <w:sz w:val="20"/>
          <w:szCs w:val="20"/>
          <w:color w:val="auto"/>
        </w:rPr>
      </w:pPr>
      <w:r>
        <w:rPr>
          <w:rFonts w:ascii="Arial" w:cs="Arial" w:eastAsia="Arial" w:hAnsi="Arial"/>
          <w:sz w:val="18"/>
          <w:szCs w:val="18"/>
          <w:color w:val="auto"/>
        </w:rPr>
        <w:t>Our customers can contact us anytime – day or night – through our 24/7 Customer Care Center. In 2021, our call center performance improved, with associates answering about 76% of more than one million calls in 30 seconds or less. We also experienced growth of 53% in online transactions and engagements through digital customer platforms. Through our website and app, customers completed 26 million-plus transactions and engagements in 2021. Accordingly, customers collectively rate our app with over 4 stars on both Apple and Google app stores.</w:t>
      </w:r>
    </w:p>
    <w:p>
      <w:pPr>
        <w:spacing w:after="0" w:line="176"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Customer Advisory Board</w:t>
      </w:r>
    </w:p>
    <w:p>
      <w:pPr>
        <w:spacing w:after="0" w:line="212" w:lineRule="exact"/>
        <w:rPr>
          <w:sz w:val="20"/>
          <w:szCs w:val="20"/>
          <w:color w:val="auto"/>
        </w:rPr>
      </w:pPr>
    </w:p>
    <w:p>
      <w:pPr>
        <w:ind w:left="100" w:right="140"/>
        <w:spacing w:after="0" w:line="247" w:lineRule="auto"/>
        <w:rPr>
          <w:sz w:val="20"/>
          <w:szCs w:val="20"/>
          <w:color w:val="auto"/>
        </w:rPr>
      </w:pPr>
      <w:r>
        <w:rPr>
          <w:rFonts w:ascii="Arial" w:cs="Arial" w:eastAsia="Arial" w:hAnsi="Arial"/>
          <w:sz w:val="18"/>
          <w:szCs w:val="18"/>
          <w:color w:val="auto"/>
        </w:rPr>
        <w:t>Formed in 2020 and made up of a cross-section of customers and stakeholders, this group met several times in 2021 to inform us of customer needs, wants and perspectives. Their direct feedback facilitated improved analysis, education and communication to customers about rate plan options, rate names and related communications. Additionally, the Customer Advisory Board helped shape on-going redesign and enhancements to APS’s monthly bill based on customer feedback, research and industry best practices.</w:t>
      </w:r>
    </w:p>
    <w:p>
      <w:pPr>
        <w:spacing w:after="0" w:line="253" w:lineRule="exact"/>
        <w:rPr>
          <w:sz w:val="20"/>
          <w:szCs w:val="20"/>
          <w:color w:val="auto"/>
        </w:rPr>
      </w:pPr>
    </w:p>
    <w:p>
      <w:pPr>
        <w:ind w:left="880"/>
        <w:spacing w:after="0"/>
        <w:rPr>
          <w:sz w:val="20"/>
          <w:szCs w:val="20"/>
          <w:color w:val="auto"/>
        </w:rPr>
      </w:pPr>
      <w:r>
        <w:rPr>
          <w:rFonts w:ascii="Arial" w:cs="Arial" w:eastAsia="Arial" w:hAnsi="Arial"/>
          <w:sz w:val="29"/>
          <w:szCs w:val="29"/>
          <w:b w:val="1"/>
          <w:bCs w:val="1"/>
          <w:color w:val="008C9F"/>
        </w:rPr>
        <w:t>Customer Experience Strategy Council</w:t>
      </w:r>
    </w:p>
    <w:p>
      <w:pPr>
        <w:spacing w:after="0" w:line="330" w:lineRule="exact"/>
        <w:rPr>
          <w:sz w:val="20"/>
          <w:szCs w:val="20"/>
          <w:color w:val="auto"/>
        </w:rPr>
      </w:pPr>
    </w:p>
    <w:p>
      <w:pPr>
        <w:jc w:val="both"/>
        <w:ind w:left="100" w:right="140"/>
        <w:spacing w:after="0" w:line="253" w:lineRule="auto"/>
        <w:rPr>
          <w:sz w:val="20"/>
          <w:szCs w:val="20"/>
          <w:color w:val="auto"/>
        </w:rPr>
      </w:pPr>
      <w:r>
        <w:rPr>
          <w:rFonts w:ascii="Arial" w:cs="Arial" w:eastAsia="Arial" w:hAnsi="Arial"/>
          <w:sz w:val="18"/>
          <w:szCs w:val="18"/>
          <w:color w:val="auto"/>
        </w:rPr>
        <w:t>In 2021, we initiated an organization-wide customer experience strategy council designed to further drive a customer-oriented culture and improve J.D. Power Residential Customer Satisfaction Rating performance. Through this and other on-going customer-centric initiatives, we:</w:t>
      </w:r>
    </w:p>
    <w:p>
      <w:pPr>
        <w:spacing w:after="0" w:line="196" w:lineRule="exact"/>
        <w:rPr>
          <w:sz w:val="20"/>
          <w:szCs w:val="20"/>
          <w:color w:val="auto"/>
        </w:rPr>
      </w:pPr>
    </w:p>
    <w:p>
      <w:pPr>
        <w:ind w:left="280" w:hanging="182"/>
        <w:spacing w:after="0"/>
        <w:tabs>
          <w:tab w:leader="none" w:pos="280" w:val="left"/>
        </w:tabs>
        <w:numPr>
          <w:ilvl w:val="0"/>
          <w:numId w:val="9"/>
        </w:numPr>
        <w:rPr>
          <w:rFonts w:ascii="Arial" w:cs="Arial" w:eastAsia="Arial" w:hAnsi="Arial"/>
          <w:sz w:val="18"/>
          <w:szCs w:val="18"/>
          <w:b w:val="1"/>
          <w:bCs w:val="1"/>
          <w:color w:val="355675"/>
        </w:rPr>
      </w:pPr>
      <w:r>
        <w:rPr>
          <w:rFonts w:ascii="Arial" w:cs="Arial" w:eastAsia="Arial" w:hAnsi="Arial"/>
          <w:sz w:val="18"/>
          <w:szCs w:val="18"/>
          <w:color w:val="auto"/>
        </w:rPr>
        <w:t>Embraced increased empathy and knowledge training for care center associates;</w:t>
      </w:r>
    </w:p>
    <w:p>
      <w:pPr>
        <w:spacing w:after="0" w:line="198" w:lineRule="exact"/>
        <w:rPr>
          <w:rFonts w:ascii="Arial" w:cs="Arial" w:eastAsia="Arial" w:hAnsi="Arial"/>
          <w:sz w:val="18"/>
          <w:szCs w:val="18"/>
          <w:b w:val="1"/>
          <w:bCs w:val="1"/>
          <w:color w:val="355675"/>
        </w:rPr>
      </w:pPr>
    </w:p>
    <w:p>
      <w:pPr>
        <w:ind w:left="280" w:hanging="182"/>
        <w:spacing w:after="0"/>
        <w:tabs>
          <w:tab w:leader="none" w:pos="280" w:val="left"/>
        </w:tabs>
        <w:numPr>
          <w:ilvl w:val="0"/>
          <w:numId w:val="9"/>
        </w:numPr>
        <w:rPr>
          <w:rFonts w:ascii="Arial" w:cs="Arial" w:eastAsia="Arial" w:hAnsi="Arial"/>
          <w:sz w:val="18"/>
          <w:szCs w:val="18"/>
          <w:b w:val="1"/>
          <w:bCs w:val="1"/>
          <w:color w:val="355675"/>
        </w:rPr>
      </w:pPr>
      <w:r>
        <w:rPr>
          <w:rFonts w:ascii="Arial" w:cs="Arial" w:eastAsia="Arial" w:hAnsi="Arial"/>
          <w:sz w:val="18"/>
          <w:szCs w:val="18"/>
          <w:color w:val="auto"/>
        </w:rPr>
        <w:t>Adopted more flexible payment arrangements for customers;</w:t>
      </w:r>
    </w:p>
    <w:p>
      <w:pPr>
        <w:spacing w:after="0" w:line="198" w:lineRule="exact"/>
        <w:rPr>
          <w:rFonts w:ascii="Arial" w:cs="Arial" w:eastAsia="Arial" w:hAnsi="Arial"/>
          <w:sz w:val="18"/>
          <w:szCs w:val="18"/>
          <w:b w:val="1"/>
          <w:bCs w:val="1"/>
          <w:color w:val="355675"/>
        </w:rPr>
      </w:pPr>
    </w:p>
    <w:p>
      <w:pPr>
        <w:ind w:left="280" w:right="440" w:hanging="182"/>
        <w:spacing w:after="0" w:line="271" w:lineRule="auto"/>
        <w:tabs>
          <w:tab w:leader="none" w:pos="280" w:val="left"/>
        </w:tabs>
        <w:numPr>
          <w:ilvl w:val="0"/>
          <w:numId w:val="9"/>
        </w:numPr>
        <w:rPr>
          <w:rFonts w:ascii="Arial" w:cs="Arial" w:eastAsia="Arial" w:hAnsi="Arial"/>
          <w:sz w:val="18"/>
          <w:szCs w:val="18"/>
          <w:b w:val="1"/>
          <w:bCs w:val="1"/>
          <w:color w:val="355675"/>
        </w:rPr>
      </w:pPr>
      <w:r>
        <w:rPr>
          <w:rFonts w:ascii="Arial" w:cs="Arial" w:eastAsia="Arial" w:hAnsi="Arial"/>
          <w:sz w:val="18"/>
          <w:szCs w:val="18"/>
          <w:color w:val="auto"/>
        </w:rPr>
        <w:t>Simplified our financial assistance process for customers and community partner agencies by significantly increasing the number of customer and financial support provided to them;</w:t>
      </w:r>
    </w:p>
    <w:p>
      <w:pPr>
        <w:spacing w:after="0" w:line="140" w:lineRule="exact"/>
        <w:rPr>
          <w:rFonts w:ascii="Arial" w:cs="Arial" w:eastAsia="Arial" w:hAnsi="Arial"/>
          <w:sz w:val="18"/>
          <w:szCs w:val="18"/>
          <w:b w:val="1"/>
          <w:bCs w:val="1"/>
          <w:color w:val="355675"/>
        </w:rPr>
      </w:pPr>
    </w:p>
    <w:p>
      <w:pPr>
        <w:ind w:left="280" w:hanging="182"/>
        <w:spacing w:after="0" w:line="253" w:lineRule="auto"/>
        <w:tabs>
          <w:tab w:leader="none" w:pos="280" w:val="left"/>
        </w:tabs>
        <w:numPr>
          <w:ilvl w:val="0"/>
          <w:numId w:val="9"/>
        </w:numPr>
        <w:rPr>
          <w:rFonts w:ascii="Arial" w:cs="Arial" w:eastAsia="Arial" w:hAnsi="Arial"/>
          <w:sz w:val="18"/>
          <w:szCs w:val="18"/>
          <w:b w:val="1"/>
          <w:bCs w:val="1"/>
          <w:color w:val="355675"/>
        </w:rPr>
      </w:pPr>
      <w:r>
        <w:rPr>
          <w:rFonts w:ascii="Arial" w:cs="Arial" w:eastAsia="Arial" w:hAnsi="Arial"/>
          <w:sz w:val="18"/>
          <w:szCs w:val="18"/>
          <w:color w:val="auto"/>
        </w:rPr>
        <w:t>Implemented numerous customer web-based enhancements, including streamlined navigation and Spanish language transaction capabilities on aps.com; an enhanced online power outage center; and enrollment of more than 1 million customers for outage email and text notifications;</w:t>
      </w:r>
    </w:p>
    <w:p>
      <w:pPr>
        <w:spacing w:after="0" w:line="155" w:lineRule="exact"/>
        <w:rPr>
          <w:rFonts w:ascii="Arial" w:cs="Arial" w:eastAsia="Arial" w:hAnsi="Arial"/>
          <w:sz w:val="18"/>
          <w:szCs w:val="18"/>
          <w:b w:val="1"/>
          <w:bCs w:val="1"/>
          <w:color w:val="355675"/>
        </w:rPr>
      </w:pPr>
    </w:p>
    <w:p>
      <w:pPr>
        <w:ind w:left="280" w:hanging="182"/>
        <w:spacing w:after="0"/>
        <w:tabs>
          <w:tab w:leader="none" w:pos="280" w:val="left"/>
        </w:tabs>
        <w:numPr>
          <w:ilvl w:val="0"/>
          <w:numId w:val="9"/>
        </w:numPr>
        <w:rPr>
          <w:rFonts w:ascii="Arial" w:cs="Arial" w:eastAsia="Arial" w:hAnsi="Arial"/>
          <w:sz w:val="18"/>
          <w:szCs w:val="18"/>
          <w:b w:val="1"/>
          <w:bCs w:val="1"/>
          <w:color w:val="355675"/>
        </w:rPr>
      </w:pPr>
      <w:r>
        <w:rPr>
          <w:rFonts w:ascii="Arial" w:cs="Arial" w:eastAsia="Arial" w:hAnsi="Arial"/>
          <w:sz w:val="18"/>
          <w:szCs w:val="18"/>
          <w:color w:val="auto"/>
        </w:rPr>
        <w:t>Refined our communications and outreach strategy; and</w:t>
      </w:r>
    </w:p>
    <w:p>
      <w:pPr>
        <w:spacing w:after="0" w:line="198" w:lineRule="exact"/>
        <w:rPr>
          <w:rFonts w:ascii="Arial" w:cs="Arial" w:eastAsia="Arial" w:hAnsi="Arial"/>
          <w:sz w:val="18"/>
          <w:szCs w:val="18"/>
          <w:b w:val="1"/>
          <w:bCs w:val="1"/>
          <w:color w:val="355675"/>
        </w:rPr>
      </w:pPr>
    </w:p>
    <w:p>
      <w:pPr>
        <w:ind w:left="280" w:hanging="182"/>
        <w:spacing w:after="0"/>
        <w:tabs>
          <w:tab w:leader="none" w:pos="280" w:val="left"/>
        </w:tabs>
        <w:numPr>
          <w:ilvl w:val="0"/>
          <w:numId w:val="9"/>
        </w:numPr>
        <w:rPr>
          <w:rFonts w:ascii="Arial" w:cs="Arial" w:eastAsia="Arial" w:hAnsi="Arial"/>
          <w:sz w:val="18"/>
          <w:szCs w:val="18"/>
          <w:b w:val="1"/>
          <w:bCs w:val="1"/>
          <w:color w:val="355675"/>
        </w:rPr>
      </w:pPr>
      <w:r>
        <w:rPr>
          <w:rFonts w:ascii="Arial" w:cs="Arial" w:eastAsia="Arial" w:hAnsi="Arial"/>
          <w:sz w:val="18"/>
          <w:szCs w:val="18"/>
          <w:color w:val="auto"/>
        </w:rPr>
        <w:t>Launched a broad-reaching ad campaign focused on energy efficiency and financial assistance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231775</wp:posOffset>
            </wp:positionV>
            <wp:extent cx="1191260" cy="2317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39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40"/>
          </w:cols>
          <w:pgMar w:left="320" w:top="125" w:right="439" w:bottom="1440" w:gutter="0" w:footer="0" w:header="0"/>
        </w:sectPr>
      </w:pPr>
    </w:p>
    <w:bookmarkStart w:id="15" w:name="page16"/>
    <w:bookmarkEnd w:id="1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30861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32320" cy="308610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355675"/>
        </w:rPr>
        <w:t>Proxy Statement Summary</w:t>
      </w:r>
    </w:p>
    <w:p>
      <w:pPr>
        <w:spacing w:after="0" w:line="250" w:lineRule="exact"/>
        <w:rPr>
          <w:sz w:val="20"/>
          <w:szCs w:val="20"/>
          <w:color w:val="auto"/>
        </w:rPr>
      </w:pPr>
    </w:p>
    <w:p>
      <w:pPr>
        <w:ind w:left="840"/>
        <w:spacing w:after="0"/>
        <w:rPr>
          <w:sz w:val="20"/>
          <w:szCs w:val="20"/>
          <w:color w:val="auto"/>
        </w:rPr>
      </w:pPr>
      <w:r>
        <w:rPr>
          <w:rFonts w:ascii="Arial" w:cs="Arial" w:eastAsia="Arial" w:hAnsi="Arial"/>
          <w:sz w:val="29"/>
          <w:szCs w:val="29"/>
          <w:b w:val="1"/>
          <w:bCs w:val="1"/>
          <w:color w:val="008C9F"/>
        </w:rPr>
        <w:t>Limited Income Offerings</w:t>
      </w:r>
    </w:p>
    <w:p>
      <w:pPr>
        <w:spacing w:after="0" w:line="370" w:lineRule="exact"/>
        <w:rPr>
          <w:sz w:val="20"/>
          <w:szCs w:val="20"/>
          <w:color w:val="auto"/>
        </w:rPr>
      </w:pPr>
    </w:p>
    <w:p>
      <w:pPr>
        <w:ind w:left="100" w:right="240"/>
        <w:spacing w:after="0" w:line="271" w:lineRule="auto"/>
        <w:rPr>
          <w:sz w:val="20"/>
          <w:szCs w:val="20"/>
          <w:color w:val="auto"/>
        </w:rPr>
      </w:pPr>
      <w:r>
        <w:rPr>
          <w:rFonts w:ascii="Arial" w:cs="Arial" w:eastAsia="Arial" w:hAnsi="Arial"/>
          <w:sz w:val="18"/>
          <w:szCs w:val="18"/>
          <w:color w:val="auto"/>
        </w:rPr>
        <w:t>We have assistance programs that provide discounts to qualified limited-income customers as well as programs to help customers to stay on top of their bills:</w:t>
      </w:r>
    </w:p>
    <w:p>
      <w:pPr>
        <w:spacing w:after="0" w:line="181" w:lineRule="exact"/>
        <w:rPr>
          <w:sz w:val="20"/>
          <w:szCs w:val="20"/>
          <w:color w:val="auto"/>
        </w:rPr>
      </w:pPr>
    </w:p>
    <w:p>
      <w:pPr>
        <w:ind w:left="280" w:right="640" w:hanging="182"/>
        <w:spacing w:after="0" w:line="271" w:lineRule="auto"/>
        <w:tabs>
          <w:tab w:leader="none" w:pos="280" w:val="left"/>
        </w:tabs>
        <w:numPr>
          <w:ilvl w:val="0"/>
          <w:numId w:val="10"/>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Crisis Bill Assistance. </w:t>
      </w:r>
      <w:r>
        <w:rPr>
          <w:rFonts w:ascii="Arial" w:cs="Arial" w:eastAsia="Arial" w:hAnsi="Arial"/>
          <w:sz w:val="18"/>
          <w:szCs w:val="18"/>
          <w:color w:val="000000"/>
        </w:rPr>
        <w:t>Qualified customers experiencing an unplanned major expense or an unexpected reduction in income can</w:t>
      </w:r>
      <w:r>
        <w:rPr>
          <w:rFonts w:ascii="Arial" w:cs="Arial" w:eastAsia="Arial" w:hAnsi="Arial"/>
          <w:sz w:val="18"/>
          <w:szCs w:val="18"/>
          <w:b w:val="1"/>
          <w:bCs w:val="1"/>
          <w:color w:val="008C9F"/>
        </w:rPr>
        <w:t xml:space="preserve"> </w:t>
      </w:r>
      <w:r>
        <w:rPr>
          <w:rFonts w:ascii="Arial" w:cs="Arial" w:eastAsia="Arial" w:hAnsi="Arial"/>
          <w:sz w:val="18"/>
          <w:szCs w:val="18"/>
          <w:color w:val="000000"/>
        </w:rPr>
        <w:t>receive up to $800 a year to cover current or past due APS bills through the Crisis Bill Assistance program.</w:t>
      </w:r>
    </w:p>
    <w:p>
      <w:pPr>
        <w:spacing w:after="0" w:line="140" w:lineRule="exact"/>
        <w:rPr>
          <w:rFonts w:ascii="Arial" w:cs="Arial" w:eastAsia="Arial" w:hAnsi="Arial"/>
          <w:sz w:val="18"/>
          <w:szCs w:val="18"/>
          <w:b w:val="1"/>
          <w:bCs w:val="1"/>
          <w:color w:val="355675"/>
        </w:rPr>
      </w:pPr>
    </w:p>
    <w:p>
      <w:pPr>
        <w:ind w:left="280" w:right="280" w:hanging="182"/>
        <w:spacing w:after="0" w:line="271" w:lineRule="auto"/>
        <w:tabs>
          <w:tab w:leader="none" w:pos="280" w:val="left"/>
        </w:tabs>
        <w:numPr>
          <w:ilvl w:val="0"/>
          <w:numId w:val="10"/>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Energy Support. </w:t>
      </w:r>
      <w:r>
        <w:rPr>
          <w:rFonts w:ascii="Arial" w:cs="Arial" w:eastAsia="Arial" w:hAnsi="Arial"/>
          <w:sz w:val="18"/>
          <w:szCs w:val="18"/>
          <w:color w:val="000000"/>
        </w:rPr>
        <w:t>Funded at $48 million in 2021, our energy support program gives qualified limited-income customers a 25% discount</w:t>
      </w:r>
      <w:r>
        <w:rPr>
          <w:rFonts w:ascii="Arial" w:cs="Arial" w:eastAsia="Arial" w:hAnsi="Arial"/>
          <w:sz w:val="18"/>
          <w:szCs w:val="18"/>
          <w:b w:val="1"/>
          <w:bCs w:val="1"/>
          <w:color w:val="008C9F"/>
        </w:rPr>
        <w:t xml:space="preserve"> </w:t>
      </w:r>
      <w:r>
        <w:rPr>
          <w:rFonts w:ascii="Arial" w:cs="Arial" w:eastAsia="Arial" w:hAnsi="Arial"/>
          <w:sz w:val="18"/>
          <w:szCs w:val="18"/>
          <w:color w:val="000000"/>
        </w:rPr>
        <w:t>on their bill each month.</w:t>
      </w:r>
    </w:p>
    <w:p>
      <w:pPr>
        <w:spacing w:after="0" w:line="140" w:lineRule="exact"/>
        <w:rPr>
          <w:rFonts w:ascii="Arial" w:cs="Arial" w:eastAsia="Arial" w:hAnsi="Arial"/>
          <w:sz w:val="18"/>
          <w:szCs w:val="18"/>
          <w:b w:val="1"/>
          <w:bCs w:val="1"/>
          <w:color w:val="355675"/>
        </w:rPr>
      </w:pPr>
    </w:p>
    <w:p>
      <w:pPr>
        <w:ind w:left="280" w:right="300" w:hanging="182"/>
        <w:spacing w:after="0" w:line="253" w:lineRule="auto"/>
        <w:tabs>
          <w:tab w:leader="none" w:pos="280" w:val="left"/>
        </w:tabs>
        <w:numPr>
          <w:ilvl w:val="0"/>
          <w:numId w:val="10"/>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Project Share. </w:t>
      </w:r>
      <w:r>
        <w:rPr>
          <w:rFonts w:ascii="Arial" w:cs="Arial" w:eastAsia="Arial" w:hAnsi="Arial"/>
          <w:sz w:val="18"/>
          <w:szCs w:val="18"/>
          <w:color w:val="000000"/>
        </w:rPr>
        <w:t>This program encourages our customers and employees to make tax-deductible contributions through their monthly</w:t>
      </w:r>
      <w:r>
        <w:rPr>
          <w:rFonts w:ascii="Arial" w:cs="Arial" w:eastAsia="Arial" w:hAnsi="Arial"/>
          <w:sz w:val="18"/>
          <w:szCs w:val="18"/>
          <w:b w:val="1"/>
          <w:bCs w:val="1"/>
          <w:color w:val="008C9F"/>
        </w:rPr>
        <w:t xml:space="preserve"> </w:t>
      </w:r>
      <w:r>
        <w:rPr>
          <w:rFonts w:ascii="Arial" w:cs="Arial" w:eastAsia="Arial" w:hAnsi="Arial"/>
          <w:sz w:val="18"/>
          <w:szCs w:val="18"/>
          <w:color w:val="000000"/>
        </w:rPr>
        <w:t>electric bills and employee paychecks, respectively. In addition, we match employee contributions dollar-for-dollar. All contributions are then administered by the Salvation Army to assist limited-income customers in paying their utility bills.</w:t>
      </w:r>
    </w:p>
    <w:p>
      <w:pPr>
        <w:spacing w:after="0" w:line="155" w:lineRule="exact"/>
        <w:rPr>
          <w:rFonts w:ascii="Arial" w:cs="Arial" w:eastAsia="Arial" w:hAnsi="Arial"/>
          <w:sz w:val="18"/>
          <w:szCs w:val="18"/>
          <w:b w:val="1"/>
          <w:bCs w:val="1"/>
          <w:color w:val="355675"/>
        </w:rPr>
      </w:pPr>
    </w:p>
    <w:p>
      <w:pPr>
        <w:jc w:val="both"/>
        <w:ind w:left="280" w:right="620" w:hanging="182"/>
        <w:spacing w:after="0" w:line="253" w:lineRule="auto"/>
        <w:tabs>
          <w:tab w:leader="none" w:pos="280" w:val="left"/>
        </w:tabs>
        <w:numPr>
          <w:ilvl w:val="0"/>
          <w:numId w:val="10"/>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Safety Net and Guest Role. </w:t>
      </w:r>
      <w:r>
        <w:rPr>
          <w:rFonts w:ascii="Arial" w:cs="Arial" w:eastAsia="Arial" w:hAnsi="Arial"/>
          <w:sz w:val="18"/>
          <w:szCs w:val="18"/>
          <w:color w:val="000000"/>
        </w:rPr>
        <w:t>These programs allow customers to designate a friend or relative as a Safety Net partner or Guest to</w:t>
      </w:r>
      <w:r>
        <w:rPr>
          <w:rFonts w:ascii="Arial" w:cs="Arial" w:eastAsia="Arial" w:hAnsi="Arial"/>
          <w:sz w:val="18"/>
          <w:szCs w:val="18"/>
          <w:b w:val="1"/>
          <w:bCs w:val="1"/>
          <w:color w:val="008C9F"/>
        </w:rPr>
        <w:t xml:space="preserve"> </w:t>
      </w:r>
      <w:r>
        <w:rPr>
          <w:rFonts w:ascii="Arial" w:cs="Arial" w:eastAsia="Arial" w:hAnsi="Arial"/>
          <w:sz w:val="18"/>
          <w:szCs w:val="18"/>
          <w:color w:val="000000"/>
        </w:rPr>
        <w:t>receive a copy of their monthly energy bill as a reminder when payment is due and to be notified if the account becomes past-due. Guest roles also have access to account information with options to make payments and compare service plans.</w:t>
      </w:r>
    </w:p>
    <w:p>
      <w:pPr>
        <w:spacing w:after="0" w:line="314"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8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280" w:type="dxa"/>
            <w:vAlign w:val="bottom"/>
          </w:tcPr>
          <w:p>
            <w:pPr>
              <w:jc w:val="right"/>
              <w:spacing w:after="0"/>
              <w:rPr>
                <w:sz w:val="20"/>
                <w:szCs w:val="20"/>
                <w:color w:val="auto"/>
              </w:rPr>
            </w:pPr>
            <w:r>
              <w:rPr>
                <w:rFonts w:ascii="Arial" w:cs="Arial" w:eastAsia="Arial" w:hAnsi="Arial"/>
                <w:sz w:val="14"/>
                <w:szCs w:val="14"/>
                <w:b w:val="1"/>
                <w:bCs w:val="1"/>
                <w:color w:val="355675"/>
              </w:rPr>
              <w:t>7</w:t>
            </w:r>
          </w:p>
        </w:tc>
      </w:tr>
      <w:tr>
        <w:trPr>
          <w:trHeight w:val="93"/>
        </w:trPr>
        <w:tc>
          <w:tcPr>
            <w:tcW w:w="10980" w:type="dxa"/>
            <w:vAlign w:val="bottom"/>
            <w:tcBorders>
              <w:bottom w:val="single" w:sz="8" w:color="808080"/>
            </w:tcBorders>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6" w:name="page17"/>
    <w:bookmarkEnd w:id="1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8580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32320" cy="685800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Proxy Statement Summary</w:t>
      </w:r>
    </w:p>
    <w:p>
      <w:pPr>
        <w:spacing w:after="0" w:line="197"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Employee Highlights</w:t>
      </w:r>
    </w:p>
    <w:p>
      <w:pPr>
        <w:spacing w:after="0" w:line="230" w:lineRule="exact"/>
        <w:rPr>
          <w:sz w:val="20"/>
          <w:szCs w:val="20"/>
          <w:color w:val="auto"/>
        </w:rPr>
      </w:pPr>
    </w:p>
    <w:p>
      <w:pPr>
        <w:ind w:left="100"/>
        <w:spacing w:after="0" w:line="253" w:lineRule="auto"/>
        <w:rPr>
          <w:sz w:val="20"/>
          <w:szCs w:val="20"/>
          <w:color w:val="auto"/>
        </w:rPr>
      </w:pPr>
      <w:r>
        <w:rPr>
          <w:rFonts w:ascii="Arial" w:cs="Arial" w:eastAsia="Arial" w:hAnsi="Arial"/>
          <w:sz w:val="18"/>
          <w:szCs w:val="18"/>
          <w:color w:val="auto"/>
        </w:rPr>
        <w:t>Our more than 5,800 dedicated employees strengthen our Company with their skills, experience and diverse perspectives. Human capital measures and objectives that the Company focuses on in managing its business include the safety of its employees, diversity and inclusion, succession planning, hiring and retention of talent, compensation and benefits and employee engagement.</w:t>
      </w:r>
    </w:p>
    <w:p>
      <w:pPr>
        <w:spacing w:after="0" w:line="235" w:lineRule="exact"/>
        <w:rPr>
          <w:sz w:val="20"/>
          <w:szCs w:val="20"/>
          <w:color w:val="auto"/>
        </w:rPr>
      </w:pPr>
    </w:p>
    <w:p>
      <w:pPr>
        <w:ind w:left="880"/>
        <w:spacing w:after="0"/>
        <w:rPr>
          <w:sz w:val="20"/>
          <w:szCs w:val="20"/>
          <w:color w:val="auto"/>
        </w:rPr>
      </w:pPr>
      <w:r>
        <w:rPr>
          <w:rFonts w:ascii="Arial" w:cs="Arial" w:eastAsia="Arial" w:hAnsi="Arial"/>
          <w:sz w:val="29"/>
          <w:szCs w:val="29"/>
          <w:b w:val="1"/>
          <w:bCs w:val="1"/>
          <w:color w:val="008C9F"/>
        </w:rPr>
        <w:t>Focused on Our People</w:t>
      </w:r>
    </w:p>
    <w:p>
      <w:pPr>
        <w:spacing w:after="0" w:line="330" w:lineRule="exact"/>
        <w:rPr>
          <w:sz w:val="20"/>
          <w:szCs w:val="20"/>
          <w:color w:val="auto"/>
        </w:rPr>
      </w:pPr>
    </w:p>
    <w:p>
      <w:pPr>
        <w:ind w:left="100" w:right="480"/>
        <w:spacing w:after="0" w:line="253" w:lineRule="auto"/>
        <w:rPr>
          <w:sz w:val="20"/>
          <w:szCs w:val="20"/>
          <w:color w:val="auto"/>
        </w:rPr>
      </w:pPr>
      <w:r>
        <w:rPr>
          <w:rFonts w:ascii="Arial" w:cs="Arial" w:eastAsia="Arial" w:hAnsi="Arial"/>
          <w:sz w:val="18"/>
          <w:szCs w:val="18"/>
          <w:color w:val="auto"/>
        </w:rPr>
        <w:t>The Company seeks to attract the best employees, to retain those employees and to create a safe, inclusive and productive work environment for all employees. We believe the strength, talent, and commitment of our employees are significant contributors to our Company’s success.</w:t>
      </w:r>
    </w:p>
    <w:p>
      <w:pPr>
        <w:spacing w:after="0" w:line="169"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Talent Strategy</w:t>
      </w:r>
    </w:p>
    <w:p>
      <w:pPr>
        <w:spacing w:after="0" w:line="279" w:lineRule="exact"/>
        <w:rPr>
          <w:sz w:val="20"/>
          <w:szCs w:val="20"/>
          <w:color w:val="auto"/>
        </w:rPr>
      </w:pPr>
    </w:p>
    <w:p>
      <w:pPr>
        <w:ind w:left="280" w:hanging="182"/>
        <w:spacing w:after="0"/>
        <w:tabs>
          <w:tab w:leader="none" w:pos="280" w:val="left"/>
        </w:tabs>
        <w:numPr>
          <w:ilvl w:val="0"/>
          <w:numId w:val="1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Internship Programs: </w:t>
      </w:r>
      <w:r>
        <w:rPr>
          <w:rFonts w:ascii="Arial" w:cs="Arial" w:eastAsia="Arial" w:hAnsi="Arial"/>
          <w:sz w:val="18"/>
          <w:szCs w:val="18"/>
          <w:color w:val="000000"/>
        </w:rPr>
        <w:t>69 virtual summer internships in 2021, 68% of whom were diverse based on race, ethnicity, or gender</w:t>
      </w:r>
    </w:p>
    <w:p>
      <w:pPr>
        <w:spacing w:after="0" w:line="198"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1"/>
        </w:numPr>
        <w:rPr>
          <w:rFonts w:ascii="Arial" w:cs="Arial" w:eastAsia="Arial" w:hAnsi="Arial"/>
          <w:sz w:val="18"/>
          <w:szCs w:val="18"/>
          <w:b w:val="1"/>
          <w:bCs w:val="1"/>
          <w:color w:val="355675"/>
        </w:rPr>
      </w:pPr>
      <w:r>
        <w:rPr>
          <w:rFonts w:ascii="Arial" w:cs="Arial" w:eastAsia="Arial" w:hAnsi="Arial"/>
          <w:sz w:val="18"/>
          <w:szCs w:val="18"/>
          <w:b w:val="1"/>
          <w:bCs w:val="1"/>
          <w:color w:val="008C9F"/>
        </w:rPr>
        <w:t>Top 100 Internship Program award received from WayUp</w:t>
      </w:r>
      <w:r>
        <w:rPr>
          <w:rFonts w:ascii="Arial" w:cs="Arial" w:eastAsia="Arial" w:hAnsi="Arial"/>
          <w:sz w:val="18"/>
          <w:szCs w:val="18"/>
          <w:color w:val="000000"/>
        </w:rPr>
        <w:t>, for the second consecutive year in 2021</w:t>
      </w:r>
    </w:p>
    <w:p>
      <w:pPr>
        <w:spacing w:after="0" w:line="198"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Apprentice Programs: </w:t>
      </w:r>
      <w:r>
        <w:rPr>
          <w:rFonts w:ascii="Arial" w:cs="Arial" w:eastAsia="Arial" w:hAnsi="Arial"/>
          <w:sz w:val="18"/>
          <w:szCs w:val="18"/>
          <w:color w:val="000000"/>
        </w:rPr>
        <w:t>127 apprentices in the programs, 38 of whom were hired for the programs in 2021</w:t>
      </w:r>
    </w:p>
    <w:p>
      <w:pPr>
        <w:spacing w:after="0" w:line="198" w:lineRule="exact"/>
        <w:rPr>
          <w:rFonts w:ascii="Arial" w:cs="Arial" w:eastAsia="Arial" w:hAnsi="Arial"/>
          <w:sz w:val="18"/>
          <w:szCs w:val="18"/>
          <w:b w:val="1"/>
          <w:bCs w:val="1"/>
          <w:color w:val="355675"/>
        </w:rPr>
      </w:pPr>
    </w:p>
    <w:p>
      <w:pPr>
        <w:ind w:left="280" w:right="640" w:hanging="182"/>
        <w:spacing w:after="0" w:line="271" w:lineRule="auto"/>
        <w:tabs>
          <w:tab w:leader="none" w:pos="280" w:val="left"/>
        </w:tabs>
        <w:numPr>
          <w:ilvl w:val="0"/>
          <w:numId w:val="1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Incoming Engineer Programs: </w:t>
      </w:r>
      <w:r>
        <w:rPr>
          <w:rFonts w:ascii="Arial" w:cs="Arial" w:eastAsia="Arial" w:hAnsi="Arial"/>
          <w:sz w:val="18"/>
          <w:szCs w:val="18"/>
          <w:color w:val="000000"/>
        </w:rPr>
        <w:t>New Engineers in Operations Program (Fossil); Legacy Engineer Program (PVGS); Rotational</w:t>
      </w:r>
      <w:r>
        <w:rPr>
          <w:rFonts w:ascii="Arial" w:cs="Arial" w:eastAsia="Arial" w:hAnsi="Arial"/>
          <w:sz w:val="18"/>
          <w:szCs w:val="18"/>
          <w:b w:val="1"/>
          <w:bCs w:val="1"/>
          <w:color w:val="008C9F"/>
        </w:rPr>
        <w:t xml:space="preserve"> </w:t>
      </w:r>
      <w:r>
        <w:rPr>
          <w:rFonts w:ascii="Arial" w:cs="Arial" w:eastAsia="Arial" w:hAnsi="Arial"/>
          <w:sz w:val="18"/>
          <w:szCs w:val="18"/>
          <w:color w:val="000000"/>
        </w:rPr>
        <w:t>Engineer Program (Transmission and Distribution)</w:t>
      </w:r>
    </w:p>
    <w:p>
      <w:pPr>
        <w:spacing w:after="0" w:line="140" w:lineRule="exact"/>
        <w:rPr>
          <w:rFonts w:ascii="Arial" w:cs="Arial" w:eastAsia="Arial" w:hAnsi="Arial"/>
          <w:sz w:val="18"/>
          <w:szCs w:val="18"/>
          <w:b w:val="1"/>
          <w:bCs w:val="1"/>
          <w:color w:val="355675"/>
        </w:rPr>
      </w:pPr>
    </w:p>
    <w:p>
      <w:pPr>
        <w:ind w:left="280" w:right="420" w:hanging="182"/>
        <w:spacing w:after="0" w:line="271" w:lineRule="auto"/>
        <w:tabs>
          <w:tab w:leader="none" w:pos="280" w:val="left"/>
        </w:tabs>
        <w:numPr>
          <w:ilvl w:val="0"/>
          <w:numId w:val="1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Enhanced applicant experience </w:t>
      </w:r>
      <w:r>
        <w:rPr>
          <w:rFonts w:ascii="Arial" w:cs="Arial" w:eastAsia="Arial" w:hAnsi="Arial"/>
          <w:sz w:val="18"/>
          <w:szCs w:val="18"/>
          <w:color w:val="000000"/>
        </w:rPr>
        <w:t>and relationship management through the implementation of SuccessFactors applicant tracking</w:t>
      </w:r>
      <w:r>
        <w:rPr>
          <w:rFonts w:ascii="Arial" w:cs="Arial" w:eastAsia="Arial" w:hAnsi="Arial"/>
          <w:sz w:val="18"/>
          <w:szCs w:val="18"/>
          <w:b w:val="1"/>
          <w:bCs w:val="1"/>
          <w:color w:val="008C9F"/>
        </w:rPr>
        <w:t xml:space="preserve"> </w:t>
      </w:r>
      <w:r>
        <w:rPr>
          <w:rFonts w:ascii="Arial" w:cs="Arial" w:eastAsia="Arial" w:hAnsi="Arial"/>
          <w:sz w:val="18"/>
          <w:szCs w:val="18"/>
          <w:color w:val="000000"/>
        </w:rPr>
        <w:t>system</w:t>
      </w:r>
    </w:p>
    <w:p>
      <w:pPr>
        <w:spacing w:after="0" w:line="140" w:lineRule="exact"/>
        <w:rPr>
          <w:rFonts w:ascii="Arial" w:cs="Arial" w:eastAsia="Arial" w:hAnsi="Arial"/>
          <w:sz w:val="18"/>
          <w:szCs w:val="18"/>
          <w:b w:val="1"/>
          <w:bCs w:val="1"/>
          <w:color w:val="355675"/>
        </w:rPr>
      </w:pPr>
    </w:p>
    <w:p>
      <w:pPr>
        <w:ind w:left="280" w:right="660" w:hanging="182"/>
        <w:spacing w:after="0" w:line="271" w:lineRule="auto"/>
        <w:tabs>
          <w:tab w:leader="none" w:pos="280" w:val="left"/>
        </w:tabs>
        <w:numPr>
          <w:ilvl w:val="0"/>
          <w:numId w:val="1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Strong commitment to our communities: </w:t>
      </w:r>
      <w:r>
        <w:rPr>
          <w:rFonts w:ascii="Arial" w:cs="Arial" w:eastAsia="Arial" w:hAnsi="Arial"/>
          <w:sz w:val="18"/>
          <w:szCs w:val="18"/>
          <w:color w:val="000000"/>
        </w:rPr>
        <w:t>Our Company values and encourages active engagement by our employees in the</w:t>
      </w:r>
      <w:r>
        <w:rPr>
          <w:rFonts w:ascii="Arial" w:cs="Arial" w:eastAsia="Arial" w:hAnsi="Arial"/>
          <w:sz w:val="18"/>
          <w:szCs w:val="18"/>
          <w:b w:val="1"/>
          <w:bCs w:val="1"/>
          <w:color w:val="008C9F"/>
        </w:rPr>
        <w:t xml:space="preserve"> </w:t>
      </w:r>
      <w:r>
        <w:rPr>
          <w:rFonts w:ascii="Arial" w:cs="Arial" w:eastAsia="Arial" w:hAnsi="Arial"/>
          <w:sz w:val="18"/>
          <w:szCs w:val="18"/>
          <w:color w:val="000000"/>
        </w:rPr>
        <w:t>community, which is attractive to new employees</w:t>
      </w:r>
    </w:p>
    <w:p>
      <w:pPr>
        <w:spacing w:after="0" w:line="20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Retention</w:t>
      </w:r>
    </w:p>
    <w:p>
      <w:pPr>
        <w:spacing w:after="0" w:line="279" w:lineRule="exact"/>
        <w:rPr>
          <w:sz w:val="20"/>
          <w:szCs w:val="20"/>
          <w:color w:val="auto"/>
        </w:rPr>
      </w:pPr>
    </w:p>
    <w:p>
      <w:pPr>
        <w:ind w:left="280" w:hanging="182"/>
        <w:spacing w:after="0"/>
        <w:tabs>
          <w:tab w:leader="none" w:pos="280" w:val="left"/>
        </w:tabs>
        <w:numPr>
          <w:ilvl w:val="0"/>
          <w:numId w:val="12"/>
        </w:numPr>
        <w:rPr>
          <w:rFonts w:ascii="Arial" w:cs="Arial" w:eastAsia="Arial" w:hAnsi="Arial"/>
          <w:sz w:val="18"/>
          <w:szCs w:val="18"/>
          <w:b w:val="1"/>
          <w:bCs w:val="1"/>
          <w:color w:val="355675"/>
        </w:rPr>
      </w:pPr>
      <w:r>
        <w:rPr>
          <w:rFonts w:ascii="Arial" w:cs="Arial" w:eastAsia="Arial" w:hAnsi="Arial"/>
          <w:sz w:val="18"/>
          <w:szCs w:val="18"/>
          <w:b w:val="1"/>
          <w:bCs w:val="1"/>
          <w:color w:val="008C9F"/>
        </w:rPr>
        <w:t>Robust employee engagement</w:t>
      </w:r>
      <w:r>
        <w:rPr>
          <w:rFonts w:ascii="Arial" w:cs="Arial" w:eastAsia="Arial" w:hAnsi="Arial"/>
          <w:sz w:val="18"/>
          <w:szCs w:val="18"/>
          <w:color w:val="000000"/>
        </w:rPr>
        <w:t>, including</w:t>
      </w:r>
      <w:r>
        <w:rPr>
          <w:rFonts w:ascii="Arial" w:cs="Arial" w:eastAsia="Arial" w:hAnsi="Arial"/>
          <w:sz w:val="18"/>
          <w:szCs w:val="18"/>
          <w:b w:val="1"/>
          <w:bCs w:val="1"/>
          <w:color w:val="008C9F"/>
        </w:rPr>
        <w:t xml:space="preserve"> 10 Employee Network Groups </w:t>
      </w:r>
      <w:r>
        <w:rPr>
          <w:rFonts w:ascii="Arial" w:cs="Arial" w:eastAsia="Arial" w:hAnsi="Arial"/>
          <w:sz w:val="18"/>
          <w:szCs w:val="18"/>
          <w:color w:val="000000"/>
        </w:rPr>
        <w:t>(see page 11 of this Proxy Statement)</w:t>
      </w:r>
    </w:p>
    <w:p>
      <w:pPr>
        <w:spacing w:after="0" w:line="198"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2"/>
        </w:numPr>
        <w:rPr>
          <w:rFonts w:ascii="Arial" w:cs="Arial" w:eastAsia="Arial" w:hAnsi="Arial"/>
          <w:sz w:val="18"/>
          <w:szCs w:val="18"/>
          <w:b w:val="1"/>
          <w:bCs w:val="1"/>
          <w:color w:val="355675"/>
        </w:rPr>
      </w:pPr>
      <w:r>
        <w:rPr>
          <w:rFonts w:ascii="Arial" w:cs="Arial" w:eastAsia="Arial" w:hAnsi="Arial"/>
          <w:sz w:val="18"/>
          <w:szCs w:val="18"/>
          <w:color w:val="auto"/>
        </w:rPr>
        <w:t xml:space="preserve">Average </w:t>
      </w:r>
      <w:r>
        <w:rPr>
          <w:rFonts w:ascii="Arial" w:cs="Arial" w:eastAsia="Arial" w:hAnsi="Arial"/>
          <w:sz w:val="18"/>
          <w:szCs w:val="18"/>
          <w:b w:val="1"/>
          <w:bCs w:val="1"/>
          <w:color w:val="008C9F"/>
        </w:rPr>
        <w:t>employee tenure of 12.77 years</w:t>
      </w:r>
      <w:r>
        <w:rPr>
          <w:rFonts w:ascii="Arial" w:cs="Arial" w:eastAsia="Arial" w:hAnsi="Arial"/>
          <w:sz w:val="18"/>
          <w:szCs w:val="18"/>
          <w:color w:val="auto"/>
        </w:rPr>
        <w:t xml:space="preserve"> due to strong talent strategy</w:t>
      </w:r>
    </w:p>
    <w:p>
      <w:pPr>
        <w:spacing w:after="0" w:line="198"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2"/>
        </w:numPr>
        <w:rPr>
          <w:rFonts w:ascii="Arial" w:cs="Arial" w:eastAsia="Arial" w:hAnsi="Arial"/>
          <w:sz w:val="18"/>
          <w:szCs w:val="18"/>
          <w:b w:val="1"/>
          <w:bCs w:val="1"/>
          <w:color w:val="355675"/>
        </w:rPr>
      </w:pPr>
      <w:r>
        <w:rPr>
          <w:rFonts w:ascii="Arial" w:cs="Arial" w:eastAsia="Arial" w:hAnsi="Arial"/>
          <w:sz w:val="18"/>
          <w:szCs w:val="18"/>
          <w:color w:val="auto"/>
        </w:rPr>
        <w:t xml:space="preserve">Total </w:t>
      </w:r>
      <w:r>
        <w:rPr>
          <w:rFonts w:ascii="Arial" w:cs="Arial" w:eastAsia="Arial" w:hAnsi="Arial"/>
          <w:sz w:val="18"/>
          <w:szCs w:val="18"/>
          <w:b w:val="1"/>
          <w:bCs w:val="1"/>
          <w:color w:val="008C9F"/>
        </w:rPr>
        <w:t>turnover for 2021 was 9.8%</w:t>
      </w:r>
      <w:r>
        <w:rPr>
          <w:rFonts w:ascii="Arial" w:cs="Arial" w:eastAsia="Arial" w:hAnsi="Arial"/>
          <w:sz w:val="18"/>
          <w:szCs w:val="18"/>
          <w:color w:val="auto"/>
        </w:rPr>
        <w:t xml:space="preserve"> (4.1% of which were related to retirements)</w:t>
      </w:r>
    </w:p>
    <w:p>
      <w:pPr>
        <w:spacing w:after="0" w:line="198" w:lineRule="exact"/>
        <w:rPr>
          <w:rFonts w:ascii="Arial" w:cs="Arial" w:eastAsia="Arial" w:hAnsi="Arial"/>
          <w:sz w:val="18"/>
          <w:szCs w:val="18"/>
          <w:b w:val="1"/>
          <w:bCs w:val="1"/>
          <w:color w:val="355675"/>
        </w:rPr>
      </w:pPr>
    </w:p>
    <w:p>
      <w:pPr>
        <w:ind w:left="280" w:right="520" w:hanging="182"/>
        <w:spacing w:after="0" w:line="271" w:lineRule="auto"/>
        <w:tabs>
          <w:tab w:leader="none" w:pos="280" w:val="left"/>
        </w:tabs>
        <w:numPr>
          <w:ilvl w:val="0"/>
          <w:numId w:val="12"/>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Annual </w:t>
      </w:r>
      <w:r>
        <w:rPr>
          <w:rFonts w:ascii="Arial" w:cs="Arial" w:eastAsia="Arial" w:hAnsi="Arial"/>
          <w:sz w:val="18"/>
          <w:szCs w:val="18"/>
          <w:color w:val="000000"/>
        </w:rPr>
        <w:t>and focused</w:t>
      </w:r>
      <w:r>
        <w:rPr>
          <w:rFonts w:ascii="Arial" w:cs="Arial" w:eastAsia="Arial" w:hAnsi="Arial"/>
          <w:sz w:val="18"/>
          <w:szCs w:val="18"/>
          <w:b w:val="1"/>
          <w:bCs w:val="1"/>
          <w:color w:val="008C9F"/>
        </w:rPr>
        <w:t xml:space="preserve"> quarterly pulse surveys </w:t>
      </w:r>
      <w:r>
        <w:rPr>
          <w:rFonts w:ascii="Arial" w:cs="Arial" w:eastAsia="Arial" w:hAnsi="Arial"/>
          <w:sz w:val="18"/>
          <w:szCs w:val="18"/>
          <w:color w:val="000000"/>
        </w:rPr>
        <w:t>allow us to gather employee feedback, identify opportunities for improvement and</w:t>
      </w:r>
      <w:r>
        <w:rPr>
          <w:rFonts w:ascii="Arial" w:cs="Arial" w:eastAsia="Arial" w:hAnsi="Arial"/>
          <w:sz w:val="18"/>
          <w:szCs w:val="18"/>
          <w:b w:val="1"/>
          <w:bCs w:val="1"/>
          <w:color w:val="008C9F"/>
        </w:rPr>
        <w:t xml:space="preserve"> </w:t>
      </w:r>
      <w:r>
        <w:rPr>
          <w:rFonts w:ascii="Arial" w:cs="Arial" w:eastAsia="Arial" w:hAnsi="Arial"/>
          <w:sz w:val="18"/>
          <w:szCs w:val="18"/>
          <w:color w:val="000000"/>
        </w:rPr>
        <w:t>compare our performance to other companies</w:t>
      </w:r>
    </w:p>
    <w:p>
      <w:pPr>
        <w:spacing w:after="0" w:line="140"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2"/>
        </w:numPr>
        <w:rPr>
          <w:rFonts w:ascii="Arial" w:cs="Arial" w:eastAsia="Arial" w:hAnsi="Arial"/>
          <w:sz w:val="18"/>
          <w:szCs w:val="18"/>
          <w:b w:val="1"/>
          <w:bCs w:val="1"/>
          <w:color w:val="355675"/>
        </w:rPr>
      </w:pPr>
      <w:r>
        <w:rPr>
          <w:rFonts w:ascii="Arial" w:cs="Arial" w:eastAsia="Arial" w:hAnsi="Arial"/>
          <w:sz w:val="18"/>
          <w:szCs w:val="18"/>
          <w:color w:val="auto"/>
        </w:rPr>
        <w:t>The surveys allow us to track our Employee Experience Index and take meaningful action in response to survey results</w:t>
      </w:r>
    </w:p>
    <w:p>
      <w:pPr>
        <w:spacing w:after="0" w:line="198" w:lineRule="exact"/>
        <w:rPr>
          <w:rFonts w:ascii="Arial" w:cs="Arial" w:eastAsia="Arial" w:hAnsi="Arial"/>
          <w:sz w:val="18"/>
          <w:szCs w:val="18"/>
          <w:b w:val="1"/>
          <w:bCs w:val="1"/>
          <w:color w:val="355675"/>
        </w:rPr>
      </w:pPr>
    </w:p>
    <w:p>
      <w:pPr>
        <w:ind w:left="280" w:right="160" w:hanging="182"/>
        <w:spacing w:after="0" w:line="253" w:lineRule="auto"/>
        <w:tabs>
          <w:tab w:leader="none" w:pos="280" w:val="left"/>
        </w:tabs>
        <w:numPr>
          <w:ilvl w:val="0"/>
          <w:numId w:val="12"/>
        </w:numPr>
        <w:rPr>
          <w:rFonts w:ascii="Arial" w:cs="Arial" w:eastAsia="Arial" w:hAnsi="Arial"/>
          <w:sz w:val="18"/>
          <w:szCs w:val="18"/>
          <w:b w:val="1"/>
          <w:bCs w:val="1"/>
          <w:color w:val="355675"/>
        </w:rPr>
      </w:pPr>
      <w:r>
        <w:rPr>
          <w:rFonts w:ascii="Arial" w:cs="Arial" w:eastAsia="Arial" w:hAnsi="Arial"/>
          <w:sz w:val="18"/>
          <w:szCs w:val="18"/>
          <w:color w:val="auto"/>
        </w:rPr>
        <w:t>Actions taken in response to the surveys include enterprise-wide initiatives focused on improving communication between employees and management, removing obstacles that prevent job success, providing opportunities for employees to have more access to leadership, and improved meeting efficiency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205105</wp:posOffset>
            </wp:positionV>
            <wp:extent cx="1191260" cy="2317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020"/>
          </w:cols>
          <w:pgMar w:left="320" w:top="125" w:right="559" w:bottom="1440" w:gutter="0" w:footer="0" w:header="0"/>
        </w:sectPr>
      </w:pPr>
    </w:p>
    <w:bookmarkStart w:id="17" w:name="page18"/>
    <w:bookmarkEnd w:id="1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8834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32320" cy="688340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355675"/>
        </w:rPr>
        <w:t>Proxy Statement Summary</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Development and Succession Planning</w:t>
      </w:r>
    </w:p>
    <w:p>
      <w:pPr>
        <w:spacing w:after="0" w:line="279" w:lineRule="exact"/>
        <w:rPr>
          <w:sz w:val="20"/>
          <w:szCs w:val="20"/>
          <w:color w:val="auto"/>
        </w:rPr>
      </w:pPr>
    </w:p>
    <w:p>
      <w:pPr>
        <w:ind w:left="280" w:hanging="182"/>
        <w:spacing w:after="0"/>
        <w:tabs>
          <w:tab w:leader="none" w:pos="280" w:val="left"/>
        </w:tabs>
        <w:numPr>
          <w:ilvl w:val="0"/>
          <w:numId w:val="13"/>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Graduated 84 </w:t>
      </w:r>
      <w:r>
        <w:rPr>
          <w:rFonts w:ascii="Arial" w:cs="Arial" w:eastAsia="Arial" w:hAnsi="Arial"/>
          <w:sz w:val="18"/>
          <w:szCs w:val="18"/>
          <w:color w:val="000000"/>
        </w:rPr>
        <w:t>employees from our leadership academies in 2021</w:t>
      </w:r>
    </w:p>
    <w:p>
      <w:pPr>
        <w:spacing w:after="0" w:line="189"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3"/>
        </w:numPr>
        <w:rPr>
          <w:rFonts w:ascii="Arial" w:cs="Arial" w:eastAsia="Arial" w:hAnsi="Arial"/>
          <w:sz w:val="36"/>
          <w:szCs w:val="36"/>
          <w:b w:val="1"/>
          <w:bCs w:val="1"/>
          <w:color w:val="355675"/>
          <w:vertAlign w:val="superscript"/>
        </w:rPr>
      </w:pPr>
      <w:r>
        <w:rPr>
          <w:rFonts w:ascii="Arial" w:cs="Arial" w:eastAsia="Arial" w:hAnsi="Arial"/>
          <w:sz w:val="18"/>
          <w:szCs w:val="18"/>
          <w:b w:val="1"/>
          <w:bCs w:val="1"/>
          <w:color w:val="008C9F"/>
        </w:rPr>
        <w:t xml:space="preserve">68% </w:t>
      </w:r>
      <w:r>
        <w:rPr>
          <w:rFonts w:ascii="Arial" w:cs="Arial" w:eastAsia="Arial" w:hAnsi="Arial"/>
          <w:sz w:val="18"/>
          <w:szCs w:val="18"/>
          <w:color w:val="000000"/>
        </w:rPr>
        <w:t>of officers, including our CEO, were promoted from leadership positions within the Company</w:t>
      </w:r>
      <w:r>
        <w:rPr>
          <w:rFonts w:ascii="Arial" w:cs="Arial" w:eastAsia="Arial" w:hAnsi="Arial"/>
          <w:sz w:val="29"/>
          <w:szCs w:val="29"/>
          <w:color w:val="000000"/>
          <w:vertAlign w:val="superscript"/>
        </w:rPr>
        <w:t>(1)</w:t>
      </w:r>
    </w:p>
    <w:p>
      <w:pPr>
        <w:spacing w:after="0" w:line="85" w:lineRule="exact"/>
        <w:rPr>
          <w:rFonts w:ascii="Arial" w:cs="Arial" w:eastAsia="Arial" w:hAnsi="Arial"/>
          <w:sz w:val="36"/>
          <w:szCs w:val="36"/>
          <w:b w:val="1"/>
          <w:bCs w:val="1"/>
          <w:color w:val="355675"/>
          <w:vertAlign w:val="superscript"/>
        </w:rPr>
      </w:pPr>
    </w:p>
    <w:p>
      <w:pPr>
        <w:ind w:left="280" w:hanging="182"/>
        <w:spacing w:after="0" w:line="208" w:lineRule="auto"/>
        <w:tabs>
          <w:tab w:leader="none" w:pos="280" w:val="left"/>
        </w:tabs>
        <w:numPr>
          <w:ilvl w:val="0"/>
          <w:numId w:val="13"/>
        </w:numPr>
        <w:rPr>
          <w:rFonts w:ascii="Arial" w:cs="Arial" w:eastAsia="Arial" w:hAnsi="Arial"/>
          <w:sz w:val="36"/>
          <w:szCs w:val="36"/>
          <w:b w:val="1"/>
          <w:bCs w:val="1"/>
          <w:color w:val="355675"/>
          <w:vertAlign w:val="superscript"/>
        </w:rPr>
      </w:pPr>
      <w:r>
        <w:rPr>
          <w:rFonts w:ascii="Arial" w:cs="Arial" w:eastAsia="Arial" w:hAnsi="Arial"/>
          <w:sz w:val="18"/>
          <w:szCs w:val="18"/>
          <w:b w:val="1"/>
          <w:bCs w:val="1"/>
          <w:color w:val="008C9F"/>
        </w:rPr>
        <w:t xml:space="preserve">60% </w:t>
      </w:r>
      <w:r>
        <w:rPr>
          <w:rFonts w:ascii="Arial" w:cs="Arial" w:eastAsia="Arial" w:hAnsi="Arial"/>
          <w:sz w:val="18"/>
          <w:szCs w:val="18"/>
          <w:color w:val="000000"/>
        </w:rPr>
        <w:t>of officer positions have “ready-now” replacements identified</w:t>
      </w:r>
      <w:r>
        <w:rPr>
          <w:rFonts w:ascii="Arial" w:cs="Arial" w:eastAsia="Arial" w:hAnsi="Arial"/>
          <w:sz w:val="29"/>
          <w:szCs w:val="29"/>
          <w:color w:val="000000"/>
          <w:vertAlign w:val="superscript"/>
        </w:rPr>
        <w:t>(1)</w:t>
      </w:r>
    </w:p>
    <w:p>
      <w:pPr>
        <w:spacing w:after="0" w:line="59" w:lineRule="exact"/>
        <w:rPr>
          <w:rFonts w:ascii="Arial" w:cs="Arial" w:eastAsia="Arial" w:hAnsi="Arial"/>
          <w:sz w:val="36"/>
          <w:szCs w:val="36"/>
          <w:b w:val="1"/>
          <w:bCs w:val="1"/>
          <w:color w:val="355675"/>
          <w:vertAlign w:val="superscript"/>
        </w:rPr>
      </w:pPr>
    </w:p>
    <w:p>
      <w:pPr>
        <w:ind w:left="280" w:right="680" w:hanging="182"/>
        <w:spacing w:after="0" w:line="250" w:lineRule="auto"/>
        <w:tabs>
          <w:tab w:leader="none" w:pos="280" w:val="left"/>
        </w:tabs>
        <w:numPr>
          <w:ilvl w:val="0"/>
          <w:numId w:val="13"/>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Our Learning and Development organization was recognized as a top training organization, earning an APEX Award </w:t>
      </w:r>
      <w:r>
        <w:rPr>
          <w:rFonts w:ascii="Arial" w:cs="Arial" w:eastAsia="Arial" w:hAnsi="Arial"/>
          <w:sz w:val="18"/>
          <w:szCs w:val="18"/>
          <w:color w:val="000000"/>
        </w:rPr>
        <w:t>from</w:t>
      </w:r>
      <w:r>
        <w:rPr>
          <w:rFonts w:ascii="Arial" w:cs="Arial" w:eastAsia="Arial" w:hAnsi="Arial"/>
          <w:sz w:val="18"/>
          <w:szCs w:val="18"/>
          <w:b w:val="1"/>
          <w:bCs w:val="1"/>
          <w:color w:val="008C9F"/>
        </w:rPr>
        <w:t xml:space="preserve"> </w:t>
      </w:r>
      <w:r>
        <w:rPr>
          <w:rFonts w:ascii="Arial" w:cs="Arial" w:eastAsia="Arial" w:hAnsi="Arial"/>
          <w:sz w:val="18"/>
          <w:szCs w:val="18"/>
          <w:color w:val="000000"/>
        </w:rPr>
        <w:t>Training Magazine</w:t>
      </w:r>
    </w:p>
    <w:p>
      <w:pPr>
        <w:spacing w:after="0" w:line="158" w:lineRule="exact"/>
        <w:rPr>
          <w:rFonts w:ascii="Arial" w:cs="Arial" w:eastAsia="Arial" w:hAnsi="Arial"/>
          <w:sz w:val="18"/>
          <w:szCs w:val="18"/>
          <w:b w:val="1"/>
          <w:bCs w:val="1"/>
          <w:color w:val="355675"/>
        </w:rPr>
      </w:pPr>
    </w:p>
    <w:p>
      <w:pPr>
        <w:ind w:left="280" w:right="540" w:hanging="182"/>
        <w:spacing w:after="0" w:line="271" w:lineRule="auto"/>
        <w:tabs>
          <w:tab w:leader="none" w:pos="280" w:val="left"/>
        </w:tabs>
        <w:numPr>
          <w:ilvl w:val="0"/>
          <w:numId w:val="13"/>
        </w:numPr>
        <w:rPr>
          <w:rFonts w:ascii="Arial" w:cs="Arial" w:eastAsia="Arial" w:hAnsi="Arial"/>
          <w:sz w:val="18"/>
          <w:szCs w:val="18"/>
          <w:b w:val="1"/>
          <w:bCs w:val="1"/>
          <w:color w:val="355675"/>
        </w:rPr>
      </w:pPr>
      <w:r>
        <w:rPr>
          <w:rFonts w:ascii="Arial" w:cs="Arial" w:eastAsia="Arial" w:hAnsi="Arial"/>
          <w:sz w:val="18"/>
          <w:szCs w:val="18"/>
          <w:b w:val="1"/>
          <w:bCs w:val="1"/>
          <w:color w:val="008C9F"/>
        </w:rPr>
        <w:t>Launched a wide variety of on-demand training programs for all leaders</w:t>
      </w:r>
      <w:r>
        <w:rPr>
          <w:rFonts w:ascii="Arial" w:cs="Arial" w:eastAsia="Arial" w:hAnsi="Arial"/>
          <w:sz w:val="18"/>
          <w:szCs w:val="18"/>
          <w:color w:val="000000"/>
        </w:rPr>
        <w:t>, who collectively completed over 12,000 development</w:t>
      </w:r>
      <w:r>
        <w:rPr>
          <w:rFonts w:ascii="Arial" w:cs="Arial" w:eastAsia="Arial" w:hAnsi="Arial"/>
          <w:sz w:val="18"/>
          <w:szCs w:val="18"/>
          <w:b w:val="1"/>
          <w:bCs w:val="1"/>
          <w:color w:val="008C9F"/>
        </w:rPr>
        <w:t xml:space="preserve"> </w:t>
      </w:r>
      <w:r>
        <w:rPr>
          <w:rFonts w:ascii="Arial" w:cs="Arial" w:eastAsia="Arial" w:hAnsi="Arial"/>
          <w:sz w:val="18"/>
          <w:szCs w:val="18"/>
          <w:color w:val="000000"/>
        </w:rPr>
        <w:t>modules</w:t>
      </w:r>
    </w:p>
    <w:p>
      <w:pPr>
        <w:spacing w:after="0" w:line="140" w:lineRule="exact"/>
        <w:rPr>
          <w:rFonts w:ascii="Arial" w:cs="Arial" w:eastAsia="Arial" w:hAnsi="Arial"/>
          <w:sz w:val="18"/>
          <w:szCs w:val="18"/>
          <w:b w:val="1"/>
          <w:bCs w:val="1"/>
          <w:color w:val="355675"/>
        </w:rPr>
      </w:pPr>
    </w:p>
    <w:p>
      <w:pPr>
        <w:ind w:left="280" w:hanging="182"/>
        <w:spacing w:after="0"/>
        <w:tabs>
          <w:tab w:leader="none" w:pos="280" w:val="left"/>
        </w:tabs>
        <w:numPr>
          <w:ilvl w:val="0"/>
          <w:numId w:val="13"/>
        </w:numPr>
        <w:rPr>
          <w:rFonts w:ascii="Arial" w:cs="Arial" w:eastAsia="Arial" w:hAnsi="Arial"/>
          <w:sz w:val="18"/>
          <w:szCs w:val="18"/>
          <w:b w:val="1"/>
          <w:bCs w:val="1"/>
          <w:color w:val="355675"/>
        </w:rPr>
      </w:pPr>
      <w:r>
        <w:rPr>
          <w:rFonts w:ascii="Arial" w:cs="Arial" w:eastAsia="Arial" w:hAnsi="Arial"/>
          <w:sz w:val="18"/>
          <w:szCs w:val="18"/>
          <w:color w:val="auto"/>
        </w:rPr>
        <w:t>Officers and other select Company leaders attended Catalytic Leadership in Culture Transformation session</w:t>
      </w:r>
    </w:p>
    <w:p>
      <w:pPr>
        <w:spacing w:after="0" w:line="189" w:lineRule="exact"/>
        <w:rPr>
          <w:sz w:val="20"/>
          <w:szCs w:val="20"/>
          <w:color w:val="auto"/>
        </w:rPr>
      </w:pPr>
    </w:p>
    <w:p>
      <w:pPr>
        <w:ind w:left="400" w:hanging="302"/>
        <w:spacing w:after="0"/>
        <w:tabs>
          <w:tab w:leader="none" w:pos="400" w:val="left"/>
        </w:tabs>
        <w:numPr>
          <w:ilvl w:val="0"/>
          <w:numId w:val="14"/>
        </w:numPr>
        <w:rPr>
          <w:rFonts w:ascii="Arial" w:cs="Arial" w:eastAsia="Arial" w:hAnsi="Arial"/>
          <w:sz w:val="24"/>
          <w:szCs w:val="24"/>
          <w:color w:val="auto"/>
          <w:vertAlign w:val="superscript"/>
        </w:rPr>
      </w:pPr>
      <w:r>
        <w:rPr>
          <w:rFonts w:ascii="Arial" w:cs="Arial" w:eastAsia="Arial" w:hAnsi="Arial"/>
          <w:sz w:val="14"/>
          <w:szCs w:val="14"/>
          <w:color w:val="auto"/>
        </w:rPr>
        <w:t>As of March 1, 2022.</w:t>
      </w:r>
    </w:p>
    <w:p>
      <w:pPr>
        <w:spacing w:after="0" w:line="217" w:lineRule="exact"/>
        <w:rPr>
          <w:sz w:val="20"/>
          <w:szCs w:val="20"/>
          <w:color w:val="auto"/>
        </w:rPr>
      </w:pPr>
    </w:p>
    <w:p>
      <w:pPr>
        <w:ind w:left="840"/>
        <w:spacing w:after="0"/>
        <w:rPr>
          <w:sz w:val="20"/>
          <w:szCs w:val="20"/>
          <w:color w:val="auto"/>
        </w:rPr>
      </w:pPr>
      <w:r>
        <w:rPr>
          <w:rFonts w:ascii="Arial" w:cs="Arial" w:eastAsia="Arial" w:hAnsi="Arial"/>
          <w:sz w:val="29"/>
          <w:szCs w:val="29"/>
          <w:b w:val="1"/>
          <w:bCs w:val="1"/>
          <w:color w:val="008C9F"/>
        </w:rPr>
        <w:t>Diversity, Equity, and Inclusion (“DEI”)</w:t>
      </w:r>
    </w:p>
    <w:p>
      <w:pPr>
        <w:spacing w:after="0" w:line="370" w:lineRule="exact"/>
        <w:rPr>
          <w:sz w:val="20"/>
          <w:szCs w:val="20"/>
          <w:color w:val="auto"/>
        </w:rPr>
      </w:pPr>
    </w:p>
    <w:p>
      <w:pPr>
        <w:ind w:left="100" w:right="140"/>
        <w:spacing w:after="0" w:line="253" w:lineRule="auto"/>
        <w:rPr>
          <w:sz w:val="20"/>
          <w:szCs w:val="20"/>
          <w:color w:val="auto"/>
        </w:rPr>
      </w:pPr>
      <w:r>
        <w:rPr>
          <w:rFonts w:ascii="Arial" w:cs="Arial" w:eastAsia="Arial" w:hAnsi="Arial"/>
          <w:sz w:val="18"/>
          <w:szCs w:val="18"/>
          <w:color w:val="auto"/>
        </w:rPr>
        <w:t>At APS, we believe that belonging matters. When we feel seen, heard, and valued, we can more effectively unite behind our APS Promise. You can find more information on the APS Promise on page 35 of this Proxy Statement. We create this sense of belonging through our commitment to inclusion.</w:t>
      </w:r>
    </w:p>
    <w:p>
      <w:pPr>
        <w:spacing w:after="0" w:line="169" w:lineRule="exact"/>
        <w:rPr>
          <w:sz w:val="20"/>
          <w:szCs w:val="20"/>
          <w:color w:val="auto"/>
        </w:rPr>
      </w:pPr>
    </w:p>
    <w:p>
      <w:pPr>
        <w:jc w:val="both"/>
        <w:ind w:left="100" w:right="440"/>
        <w:spacing w:after="0" w:line="253" w:lineRule="auto"/>
        <w:rPr>
          <w:sz w:val="20"/>
          <w:szCs w:val="20"/>
          <w:color w:val="auto"/>
        </w:rPr>
      </w:pPr>
      <w:r>
        <w:rPr>
          <w:rFonts w:ascii="Arial" w:cs="Arial" w:eastAsia="Arial" w:hAnsi="Arial"/>
          <w:sz w:val="18"/>
          <w:szCs w:val="18"/>
          <w:color w:val="auto"/>
        </w:rPr>
        <w:t>Inclusion at APS involves taking deliberate action to embrace the unique perspectives of each employee. True inclusion brings greater appreciation for our diversity. This allows us to equitably leverage our powerful workforce so we can succeed together to bring our APS Promise to life.</w:t>
      </w:r>
    </w:p>
    <w:p>
      <w:pPr>
        <w:sectPr>
          <w:pgSz w:w="11900" w:h="16838" w:orient="portrait"/>
          <w:cols w:equalWidth="0" w:num="1">
            <w:col w:w="11260"/>
          </w:cols>
          <w:pgMar w:left="320" w:top="125" w:right="319" w:bottom="1440" w:gutter="0" w:footer="0" w:header="0"/>
        </w:sectPr>
      </w:pPr>
    </w:p>
    <w:p>
      <w:pPr>
        <w:spacing w:after="0" w:line="335" w:lineRule="exact"/>
        <w:rPr>
          <w:sz w:val="20"/>
          <w:szCs w:val="20"/>
          <w:color w:val="auto"/>
        </w:rPr>
      </w:pPr>
    </w:p>
    <w:p>
      <w:pPr>
        <w:ind w:left="1100"/>
        <w:spacing w:after="0"/>
        <w:rPr>
          <w:sz w:val="20"/>
          <w:szCs w:val="20"/>
          <w:color w:val="auto"/>
        </w:rPr>
      </w:pPr>
      <w:r>
        <w:rPr>
          <w:rFonts w:ascii="Arial" w:cs="Arial" w:eastAsia="Arial" w:hAnsi="Arial"/>
          <w:sz w:val="18"/>
          <w:szCs w:val="18"/>
          <w:b w:val="1"/>
          <w:bCs w:val="1"/>
          <w:color w:val="355675"/>
        </w:rPr>
        <w:t>Employee diversity:</w:t>
      </w:r>
      <w:r>
        <w:rPr>
          <w:rFonts w:ascii="Arial" w:cs="Arial" w:eastAsia="Arial" w:hAnsi="Arial"/>
          <w:sz w:val="29"/>
          <w:szCs w:val="29"/>
          <w:color w:val="355675"/>
          <w:vertAlign w:val="superscript"/>
        </w:rPr>
        <w:t>(1)</w:t>
      </w:r>
    </w:p>
    <w:p>
      <w:pPr>
        <w:spacing w:after="0" w:line="31" w:lineRule="exact"/>
        <w:rPr>
          <w:sz w:val="20"/>
          <w:szCs w:val="20"/>
          <w:color w:val="auto"/>
        </w:rPr>
      </w:pPr>
    </w:p>
    <w:p>
      <w:pPr>
        <w:ind w:left="1300" w:hanging="203"/>
        <w:spacing w:after="0"/>
        <w:tabs>
          <w:tab w:leader="none" w:pos="1300" w:val="left"/>
        </w:tabs>
        <w:numPr>
          <w:ilvl w:val="0"/>
          <w:numId w:val="15"/>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33% </w:t>
      </w:r>
      <w:r>
        <w:rPr>
          <w:rFonts w:ascii="Arial" w:cs="Arial" w:eastAsia="Arial" w:hAnsi="Arial"/>
          <w:sz w:val="18"/>
          <w:szCs w:val="18"/>
          <w:color w:val="000000"/>
        </w:rPr>
        <w:t>are ethnically or racially diverse</w:t>
      </w:r>
    </w:p>
    <w:p>
      <w:pPr>
        <w:spacing w:after="0" w:line="85" w:lineRule="exact"/>
        <w:rPr>
          <w:rFonts w:ascii="Arial" w:cs="Arial" w:eastAsia="Arial" w:hAnsi="Arial"/>
          <w:sz w:val="18"/>
          <w:szCs w:val="18"/>
          <w:b w:val="1"/>
          <w:bCs w:val="1"/>
          <w:color w:val="355675"/>
        </w:rPr>
      </w:pPr>
    </w:p>
    <w:p>
      <w:pPr>
        <w:ind w:left="1300" w:hanging="203"/>
        <w:spacing w:after="0"/>
        <w:tabs>
          <w:tab w:leader="none" w:pos="1300" w:val="left"/>
        </w:tabs>
        <w:numPr>
          <w:ilvl w:val="0"/>
          <w:numId w:val="15"/>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25% </w:t>
      </w:r>
      <w:r>
        <w:rPr>
          <w:rFonts w:ascii="Arial" w:cs="Arial" w:eastAsia="Arial" w:hAnsi="Arial"/>
          <w:sz w:val="18"/>
          <w:szCs w:val="18"/>
          <w:color w:val="000000"/>
        </w:rPr>
        <w:t>are female</w:t>
      </w:r>
    </w:p>
    <w:p>
      <w:pPr>
        <w:spacing w:after="0" w:line="103" w:lineRule="exact"/>
        <w:rPr>
          <w:rFonts w:ascii="Arial" w:cs="Arial" w:eastAsia="Arial" w:hAnsi="Arial"/>
          <w:sz w:val="18"/>
          <w:szCs w:val="18"/>
          <w:b w:val="1"/>
          <w:bCs w:val="1"/>
          <w:color w:val="355675"/>
        </w:rPr>
      </w:pPr>
    </w:p>
    <w:p>
      <w:pPr>
        <w:ind w:left="1300" w:hanging="203"/>
        <w:spacing w:after="0"/>
        <w:tabs>
          <w:tab w:leader="none" w:pos="1300" w:val="left"/>
        </w:tabs>
        <w:numPr>
          <w:ilvl w:val="0"/>
          <w:numId w:val="15"/>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16% </w:t>
      </w:r>
      <w:r>
        <w:rPr>
          <w:rFonts w:ascii="Arial" w:cs="Arial" w:eastAsia="Arial" w:hAnsi="Arial"/>
          <w:sz w:val="18"/>
          <w:szCs w:val="18"/>
          <w:color w:val="000000"/>
        </w:rPr>
        <w:t>are veterans</w:t>
      </w:r>
    </w:p>
    <w:p>
      <w:pPr>
        <w:spacing w:after="0" w:line="225" w:lineRule="exact"/>
        <w:rPr>
          <w:sz w:val="20"/>
          <w:szCs w:val="20"/>
          <w:color w:val="auto"/>
        </w:rPr>
      </w:pPr>
    </w:p>
    <w:p>
      <w:pPr>
        <w:ind w:left="1100"/>
        <w:spacing w:after="0"/>
        <w:rPr>
          <w:sz w:val="20"/>
          <w:szCs w:val="20"/>
          <w:color w:val="auto"/>
        </w:rPr>
      </w:pPr>
      <w:r>
        <w:rPr>
          <w:rFonts w:ascii="Arial" w:cs="Arial" w:eastAsia="Arial" w:hAnsi="Arial"/>
          <w:sz w:val="18"/>
          <w:szCs w:val="18"/>
          <w:b w:val="1"/>
          <w:bCs w:val="1"/>
          <w:color w:val="355675"/>
        </w:rPr>
        <w:t>New hires in 2021:</w:t>
      </w:r>
    </w:p>
    <w:p>
      <w:pPr>
        <w:spacing w:after="0" w:line="104" w:lineRule="exact"/>
        <w:rPr>
          <w:sz w:val="20"/>
          <w:szCs w:val="20"/>
          <w:color w:val="auto"/>
        </w:rPr>
      </w:pPr>
    </w:p>
    <w:p>
      <w:pPr>
        <w:ind w:left="1300" w:hanging="203"/>
        <w:spacing w:after="0"/>
        <w:tabs>
          <w:tab w:leader="none" w:pos="1300" w:val="left"/>
        </w:tabs>
        <w:numPr>
          <w:ilvl w:val="0"/>
          <w:numId w:val="16"/>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44% </w:t>
      </w:r>
      <w:r>
        <w:rPr>
          <w:rFonts w:ascii="Arial" w:cs="Arial" w:eastAsia="Arial" w:hAnsi="Arial"/>
          <w:sz w:val="18"/>
          <w:szCs w:val="18"/>
          <w:color w:val="000000"/>
        </w:rPr>
        <w:t>were ethnically or racially diverse</w:t>
      </w:r>
    </w:p>
    <w:p>
      <w:pPr>
        <w:spacing w:after="0" w:line="103" w:lineRule="exact"/>
        <w:rPr>
          <w:rFonts w:ascii="Arial" w:cs="Arial" w:eastAsia="Arial" w:hAnsi="Arial"/>
          <w:sz w:val="18"/>
          <w:szCs w:val="18"/>
          <w:b w:val="1"/>
          <w:bCs w:val="1"/>
          <w:color w:val="355675"/>
        </w:rPr>
      </w:pPr>
    </w:p>
    <w:p>
      <w:pPr>
        <w:ind w:left="1300" w:hanging="203"/>
        <w:spacing w:after="0"/>
        <w:tabs>
          <w:tab w:leader="none" w:pos="1300" w:val="left"/>
        </w:tabs>
        <w:numPr>
          <w:ilvl w:val="0"/>
          <w:numId w:val="16"/>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37% </w:t>
      </w:r>
      <w:r>
        <w:rPr>
          <w:rFonts w:ascii="Arial" w:cs="Arial" w:eastAsia="Arial" w:hAnsi="Arial"/>
          <w:sz w:val="18"/>
          <w:szCs w:val="18"/>
          <w:color w:val="000000"/>
        </w:rPr>
        <w:t>were female</w:t>
      </w:r>
    </w:p>
    <w:p>
      <w:pPr>
        <w:spacing w:after="0" w:line="103" w:lineRule="exact"/>
        <w:rPr>
          <w:rFonts w:ascii="Arial" w:cs="Arial" w:eastAsia="Arial" w:hAnsi="Arial"/>
          <w:sz w:val="18"/>
          <w:szCs w:val="18"/>
          <w:b w:val="1"/>
          <w:bCs w:val="1"/>
          <w:color w:val="355675"/>
        </w:rPr>
      </w:pPr>
    </w:p>
    <w:p>
      <w:pPr>
        <w:ind w:left="1300" w:hanging="203"/>
        <w:spacing w:after="0"/>
        <w:tabs>
          <w:tab w:leader="none" w:pos="1300" w:val="left"/>
        </w:tabs>
        <w:numPr>
          <w:ilvl w:val="0"/>
          <w:numId w:val="16"/>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10% </w:t>
      </w:r>
      <w:r>
        <w:rPr>
          <w:rFonts w:ascii="Arial" w:cs="Arial" w:eastAsia="Arial" w:hAnsi="Arial"/>
          <w:sz w:val="18"/>
          <w:szCs w:val="18"/>
          <w:color w:val="000000"/>
        </w:rPr>
        <w:t>were veterans</w:t>
      </w:r>
    </w:p>
    <w:p>
      <w:pPr>
        <w:spacing w:after="0" w:line="121" w:lineRule="exact"/>
        <w:rPr>
          <w:sz w:val="20"/>
          <w:szCs w:val="20"/>
          <w:color w:val="auto"/>
        </w:rPr>
      </w:pPr>
    </w:p>
    <w:p>
      <w:pPr>
        <w:ind w:left="1100"/>
        <w:spacing w:after="0"/>
        <w:rPr>
          <w:sz w:val="20"/>
          <w:szCs w:val="20"/>
          <w:color w:val="auto"/>
        </w:rPr>
      </w:pPr>
      <w:r>
        <w:rPr>
          <w:rFonts w:ascii="Arial" w:cs="Arial" w:eastAsia="Arial" w:hAnsi="Arial"/>
          <w:sz w:val="18"/>
          <w:szCs w:val="18"/>
          <w:b w:val="1"/>
          <w:bCs w:val="1"/>
          <w:color w:val="355675"/>
        </w:rPr>
        <w:t>40% of all officers are female</w:t>
      </w:r>
      <w:r>
        <w:rPr>
          <w:rFonts w:ascii="Arial" w:cs="Arial" w:eastAsia="Arial" w:hAnsi="Arial"/>
          <w:sz w:val="29"/>
          <w:szCs w:val="29"/>
          <w:b w:val="1"/>
          <w:bCs w:val="1"/>
          <w:color w:val="355675"/>
          <w:vertAlign w:val="superscript"/>
        </w:rPr>
        <w:t>(1)</w:t>
      </w:r>
    </w:p>
    <w:p>
      <w:pPr>
        <w:spacing w:after="0" w:line="20" w:lineRule="exact"/>
        <w:rPr>
          <w:sz w:val="20"/>
          <w:szCs w:val="20"/>
          <w:color w:val="auto"/>
        </w:rPr>
      </w:pPr>
      <w:r>
        <w:rPr>
          <w:sz w:val="20"/>
          <w:szCs w:val="20"/>
          <w:color w:val="auto"/>
        </w:rPr>
        <w:br w:type="column"/>
      </w:r>
    </w:p>
    <w:p>
      <w:pPr>
        <w:spacing w:after="0" w:line="324" w:lineRule="exact"/>
        <w:rPr>
          <w:sz w:val="20"/>
          <w:szCs w:val="20"/>
          <w:color w:val="auto"/>
        </w:rPr>
      </w:pPr>
    </w:p>
    <w:p>
      <w:pPr>
        <w:ind w:right="460"/>
        <w:spacing w:after="0" w:line="271" w:lineRule="auto"/>
        <w:rPr>
          <w:sz w:val="20"/>
          <w:szCs w:val="20"/>
          <w:color w:val="auto"/>
        </w:rPr>
      </w:pPr>
      <w:r>
        <w:rPr>
          <w:rFonts w:ascii="Arial" w:cs="Arial" w:eastAsia="Arial" w:hAnsi="Arial"/>
          <w:sz w:val="18"/>
          <w:szCs w:val="18"/>
          <w:color w:val="auto"/>
        </w:rPr>
        <w:t xml:space="preserve">In 2021 we </w:t>
      </w:r>
      <w:r>
        <w:rPr>
          <w:rFonts w:ascii="Arial" w:cs="Arial" w:eastAsia="Arial" w:hAnsi="Arial"/>
          <w:sz w:val="18"/>
          <w:szCs w:val="18"/>
          <w:b w:val="1"/>
          <w:bCs w:val="1"/>
          <w:color w:val="008C9F"/>
        </w:rPr>
        <w:t>launched our DEI Strategy</w:t>
      </w:r>
      <w:r>
        <w:rPr>
          <w:rFonts w:ascii="Arial" w:cs="Arial" w:eastAsia="Arial" w:hAnsi="Arial"/>
          <w:sz w:val="18"/>
          <w:szCs w:val="18"/>
          <w:color w:val="auto"/>
        </w:rPr>
        <w:t>, which covers eleven focus areas. Key activities in 2021 included:</w:t>
      </w:r>
    </w:p>
    <w:p>
      <w:pPr>
        <w:spacing w:after="0" w:line="154" w:lineRule="exact"/>
        <w:rPr>
          <w:sz w:val="20"/>
          <w:szCs w:val="20"/>
          <w:color w:val="auto"/>
        </w:rPr>
      </w:pPr>
    </w:p>
    <w:p>
      <w:pPr>
        <w:ind w:left="200" w:right="340" w:hanging="199"/>
        <w:spacing w:after="0" w:line="253" w:lineRule="auto"/>
        <w:tabs>
          <w:tab w:leader="none" w:pos="204" w:val="left"/>
        </w:tabs>
        <w:numPr>
          <w:ilvl w:val="0"/>
          <w:numId w:val="17"/>
        </w:numPr>
        <w:rPr>
          <w:rFonts w:ascii="Arial" w:cs="Arial" w:eastAsia="Arial" w:hAnsi="Arial"/>
          <w:sz w:val="18"/>
          <w:szCs w:val="18"/>
          <w:b w:val="1"/>
          <w:bCs w:val="1"/>
          <w:color w:val="355675"/>
        </w:rPr>
      </w:pPr>
      <w:r>
        <w:rPr>
          <w:rFonts w:ascii="Arial" w:cs="Arial" w:eastAsia="Arial" w:hAnsi="Arial"/>
          <w:sz w:val="18"/>
          <w:szCs w:val="18"/>
          <w:color w:val="auto"/>
        </w:rPr>
        <w:t>A four-part inclusive leadership education series for all officers and HR team members covering topics such as cultural competence, unconscious bias, and allyship.</w:t>
      </w:r>
    </w:p>
    <w:p>
      <w:pPr>
        <w:spacing w:after="0" w:line="60" w:lineRule="exact"/>
        <w:rPr>
          <w:rFonts w:ascii="Arial" w:cs="Arial" w:eastAsia="Arial" w:hAnsi="Arial"/>
          <w:sz w:val="18"/>
          <w:szCs w:val="18"/>
          <w:b w:val="1"/>
          <w:bCs w:val="1"/>
          <w:color w:val="355675"/>
        </w:rPr>
      </w:pPr>
    </w:p>
    <w:p>
      <w:pPr>
        <w:ind w:left="200" w:right="340" w:hanging="199"/>
        <w:spacing w:after="0" w:line="271" w:lineRule="auto"/>
        <w:tabs>
          <w:tab w:leader="none" w:pos="214" w:val="left"/>
        </w:tabs>
        <w:numPr>
          <w:ilvl w:val="0"/>
          <w:numId w:val="17"/>
        </w:numPr>
        <w:rPr>
          <w:rFonts w:ascii="Arial" w:cs="Arial" w:eastAsia="Arial" w:hAnsi="Arial"/>
          <w:sz w:val="18"/>
          <w:szCs w:val="18"/>
          <w:b w:val="1"/>
          <w:bCs w:val="1"/>
          <w:color w:val="355675"/>
        </w:rPr>
      </w:pPr>
      <w:r>
        <w:rPr>
          <w:rFonts w:ascii="Arial" w:cs="Arial" w:eastAsia="Arial" w:hAnsi="Arial"/>
          <w:sz w:val="18"/>
          <w:szCs w:val="18"/>
          <w:color w:val="auto"/>
        </w:rPr>
        <w:t>Launching a company-wide inclusion calendar to increase visibility to recognize and celebrate multiple cultures.</w:t>
      </w:r>
    </w:p>
    <w:p>
      <w:pPr>
        <w:spacing w:after="0" w:line="46" w:lineRule="exact"/>
        <w:rPr>
          <w:sz w:val="20"/>
          <w:szCs w:val="20"/>
          <w:color w:val="auto"/>
        </w:rPr>
      </w:pPr>
    </w:p>
    <w:p>
      <w:pPr>
        <w:ind w:right="500"/>
        <w:spacing w:after="0" w:line="253" w:lineRule="auto"/>
        <w:rPr>
          <w:sz w:val="20"/>
          <w:szCs w:val="20"/>
          <w:color w:val="auto"/>
        </w:rPr>
      </w:pPr>
      <w:r>
        <w:rPr>
          <w:rFonts w:ascii="Arial" w:cs="Arial" w:eastAsia="Arial" w:hAnsi="Arial"/>
          <w:sz w:val="18"/>
          <w:szCs w:val="18"/>
          <w:color w:val="auto"/>
        </w:rPr>
        <w:t>APS was honored with the 2021 Inclusive Workplace Award, a joint accolade from the Diversity Leadership Alliance and the Arizona Society of Human Resources Management.</w:t>
      </w:r>
    </w:p>
    <w:p>
      <w:pPr>
        <w:spacing w:after="0" w:line="679" w:lineRule="exact"/>
        <w:rPr>
          <w:sz w:val="20"/>
          <w:szCs w:val="20"/>
          <w:color w:val="auto"/>
        </w:rPr>
      </w:pPr>
    </w:p>
    <w:p>
      <w:pPr>
        <w:sectPr>
          <w:pgSz w:w="11900" w:h="16838" w:orient="portrait"/>
          <w:cols w:equalWidth="0" w:num="2">
            <w:col w:w="4700" w:space="720"/>
            <w:col w:w="5840"/>
          </w:cols>
          <w:pgMar w:left="320" w:top="125" w:right="319" w:bottom="1440" w:gutter="0" w:footer="0" w:header="0"/>
          <w:type w:val="continuous"/>
        </w:sectPr>
      </w:pPr>
    </w:p>
    <w:p>
      <w:pPr>
        <w:spacing w:after="0" w:line="196" w:lineRule="exact"/>
        <w:rPr>
          <w:sz w:val="20"/>
          <w:szCs w:val="20"/>
          <w:color w:val="auto"/>
        </w:rPr>
      </w:pPr>
    </w:p>
    <w:p>
      <w:pPr>
        <w:ind w:left="400" w:hanging="302"/>
        <w:spacing w:after="0"/>
        <w:tabs>
          <w:tab w:leader="none" w:pos="400" w:val="left"/>
        </w:tabs>
        <w:numPr>
          <w:ilvl w:val="0"/>
          <w:numId w:val="18"/>
        </w:numPr>
        <w:rPr>
          <w:rFonts w:ascii="Arial" w:cs="Arial" w:eastAsia="Arial" w:hAnsi="Arial"/>
          <w:sz w:val="24"/>
          <w:szCs w:val="24"/>
          <w:color w:val="auto"/>
          <w:vertAlign w:val="superscript"/>
        </w:rPr>
      </w:pPr>
      <w:r>
        <w:rPr>
          <w:rFonts w:ascii="Arial" w:cs="Arial" w:eastAsia="Arial" w:hAnsi="Arial"/>
          <w:sz w:val="14"/>
          <w:szCs w:val="14"/>
          <w:color w:val="auto"/>
        </w:rPr>
        <w:t>As of December 31, 2021.</w:t>
      </w:r>
    </w:p>
    <w:p>
      <w:pPr>
        <w:spacing w:after="0" w:line="29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8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280" w:type="dxa"/>
            <w:vAlign w:val="bottom"/>
          </w:tcPr>
          <w:p>
            <w:pPr>
              <w:jc w:val="right"/>
              <w:spacing w:after="0"/>
              <w:rPr>
                <w:sz w:val="20"/>
                <w:szCs w:val="20"/>
                <w:color w:val="auto"/>
              </w:rPr>
            </w:pPr>
            <w:r>
              <w:rPr>
                <w:rFonts w:ascii="Arial" w:cs="Arial" w:eastAsia="Arial" w:hAnsi="Arial"/>
                <w:sz w:val="14"/>
                <w:szCs w:val="14"/>
                <w:b w:val="1"/>
                <w:bCs w:val="1"/>
                <w:color w:val="355675"/>
              </w:rPr>
              <w:t>9</w:t>
            </w:r>
          </w:p>
        </w:tc>
      </w:tr>
      <w:tr>
        <w:trPr>
          <w:trHeight w:val="93"/>
        </w:trPr>
        <w:tc>
          <w:tcPr>
            <w:tcW w:w="10980" w:type="dxa"/>
            <w:vAlign w:val="bottom"/>
            <w:tcBorders>
              <w:bottom w:val="single" w:sz="8" w:color="808080"/>
            </w:tcBorders>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18" w:name="page19"/>
    <w:bookmarkEnd w:id="1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45091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32320" cy="4509135"/>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Proxy Statement Summary</w:t>
      </w:r>
    </w:p>
    <w:p>
      <w:pPr>
        <w:spacing w:after="0" w:line="196" w:lineRule="exact"/>
        <w:rPr>
          <w:sz w:val="20"/>
          <w:szCs w:val="20"/>
          <w:color w:val="auto"/>
        </w:rPr>
      </w:pPr>
    </w:p>
    <w:p>
      <w:pPr>
        <w:ind w:left="100"/>
        <w:spacing w:after="0"/>
        <w:rPr>
          <w:sz w:val="20"/>
          <w:szCs w:val="20"/>
          <w:color w:val="auto"/>
        </w:rPr>
      </w:pPr>
      <w:r>
        <w:rPr>
          <w:rFonts w:ascii="Arial" w:cs="Arial" w:eastAsia="Arial" w:hAnsi="Arial"/>
          <w:sz w:val="28"/>
          <w:szCs w:val="28"/>
          <w:b w:val="1"/>
          <w:bCs w:val="1"/>
          <w:color w:val="008C9F"/>
        </w:rPr>
        <w:t>Our DEI Strategy: Key Areas of Focus</w:t>
      </w:r>
    </w:p>
    <w:p>
      <w:pPr>
        <w:sectPr>
          <w:pgSz w:w="11900" w:h="16838" w:orient="portrait"/>
          <w:cols w:equalWidth="0" w:num="1">
            <w:col w:w="10900"/>
          </w:cols>
          <w:pgMar w:left="320" w:top="125" w:right="679" w:bottom="1440" w:gutter="0" w:footer="0" w:header="0"/>
        </w:sectPr>
      </w:pPr>
    </w:p>
    <w:p>
      <w:pPr>
        <w:spacing w:after="0" w:line="301"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Alignment &amp; Accountability</w:t>
      </w:r>
    </w:p>
    <w:p>
      <w:pPr>
        <w:spacing w:after="0" w:line="176" w:lineRule="exact"/>
        <w:rPr>
          <w:sz w:val="20"/>
          <w:szCs w:val="20"/>
          <w:color w:val="auto"/>
        </w:rPr>
      </w:pPr>
    </w:p>
    <w:p>
      <w:pPr>
        <w:ind w:left="640"/>
        <w:spacing w:after="0" w:line="266" w:lineRule="auto"/>
        <w:rPr>
          <w:sz w:val="20"/>
          <w:szCs w:val="20"/>
          <w:color w:val="auto"/>
        </w:rPr>
      </w:pPr>
      <w:r>
        <w:rPr>
          <w:rFonts w:ascii="Arial" w:cs="Arial" w:eastAsia="Arial" w:hAnsi="Arial"/>
          <w:sz w:val="16"/>
          <w:szCs w:val="16"/>
          <w:b w:val="1"/>
          <w:bCs w:val="1"/>
          <w:color w:val="008C9F"/>
        </w:rPr>
        <w:t xml:space="preserve">DEI Education and Dialogue </w:t>
      </w:r>
      <w:r>
        <w:rPr>
          <w:rFonts w:ascii="Arial" w:cs="Arial" w:eastAsia="Arial" w:hAnsi="Arial"/>
          <w:sz w:val="16"/>
          <w:szCs w:val="16"/>
          <w:color w:val="000000"/>
        </w:rPr>
        <w:t>— Create</w:t>
      </w:r>
      <w:r>
        <w:rPr>
          <w:rFonts w:ascii="Arial" w:cs="Arial" w:eastAsia="Arial" w:hAnsi="Arial"/>
          <w:sz w:val="16"/>
          <w:szCs w:val="16"/>
          <w:b w:val="1"/>
          <w:bCs w:val="1"/>
          <w:color w:val="008C9F"/>
        </w:rPr>
        <w:t xml:space="preserve"> </w:t>
      </w:r>
      <w:r>
        <w:rPr>
          <w:rFonts w:ascii="Arial" w:cs="Arial" w:eastAsia="Arial" w:hAnsi="Arial"/>
          <w:sz w:val="16"/>
          <w:szCs w:val="16"/>
          <w:color w:val="000000"/>
        </w:rPr>
        <w:t>experiential learning to ensure alignment around relevant concepts across the organization</w:t>
      </w:r>
    </w:p>
    <w:p>
      <w:pPr>
        <w:spacing w:after="0" w:line="239" w:lineRule="exact"/>
        <w:rPr>
          <w:sz w:val="20"/>
          <w:szCs w:val="20"/>
          <w:color w:val="auto"/>
        </w:rPr>
      </w:pPr>
    </w:p>
    <w:p>
      <w:pPr>
        <w:ind w:left="640" w:right="160"/>
        <w:spacing w:after="0" w:line="266" w:lineRule="auto"/>
        <w:rPr>
          <w:sz w:val="20"/>
          <w:szCs w:val="20"/>
          <w:color w:val="auto"/>
        </w:rPr>
      </w:pPr>
      <w:r>
        <w:rPr>
          <w:rFonts w:ascii="Arial" w:cs="Arial" w:eastAsia="Arial" w:hAnsi="Arial"/>
          <w:sz w:val="16"/>
          <w:szCs w:val="16"/>
          <w:b w:val="1"/>
          <w:bCs w:val="1"/>
          <w:color w:val="008C9F"/>
        </w:rPr>
        <w:t xml:space="preserve">DEI Governance and Influence </w:t>
      </w:r>
      <w:r>
        <w:rPr>
          <w:rFonts w:ascii="Arial" w:cs="Arial" w:eastAsia="Arial" w:hAnsi="Arial"/>
          <w:sz w:val="16"/>
          <w:szCs w:val="16"/>
          <w:color w:val="000000"/>
        </w:rPr>
        <w:t>— Build</w:t>
      </w:r>
      <w:r>
        <w:rPr>
          <w:rFonts w:ascii="Arial" w:cs="Arial" w:eastAsia="Arial" w:hAnsi="Arial"/>
          <w:sz w:val="16"/>
          <w:szCs w:val="16"/>
          <w:b w:val="1"/>
          <w:bCs w:val="1"/>
          <w:color w:val="008C9F"/>
        </w:rPr>
        <w:t xml:space="preserve"> </w:t>
      </w:r>
      <w:r>
        <w:rPr>
          <w:rFonts w:ascii="Arial" w:cs="Arial" w:eastAsia="Arial" w:hAnsi="Arial"/>
          <w:sz w:val="16"/>
          <w:szCs w:val="16"/>
          <w:color w:val="000000"/>
        </w:rPr>
        <w:t>governance structure to ensure alignment and accountability</w:t>
      </w:r>
    </w:p>
    <w:p>
      <w:pPr>
        <w:spacing w:after="0" w:line="239" w:lineRule="exact"/>
        <w:rPr>
          <w:sz w:val="20"/>
          <w:szCs w:val="20"/>
          <w:color w:val="auto"/>
        </w:rPr>
      </w:pPr>
    </w:p>
    <w:p>
      <w:pPr>
        <w:ind w:left="640" w:right="40"/>
        <w:spacing w:after="0" w:line="266" w:lineRule="auto"/>
        <w:rPr>
          <w:sz w:val="20"/>
          <w:szCs w:val="20"/>
          <w:color w:val="auto"/>
        </w:rPr>
      </w:pPr>
      <w:r>
        <w:rPr>
          <w:rFonts w:ascii="Arial" w:cs="Arial" w:eastAsia="Arial" w:hAnsi="Arial"/>
          <w:sz w:val="16"/>
          <w:szCs w:val="16"/>
          <w:b w:val="1"/>
          <w:bCs w:val="1"/>
          <w:color w:val="008C9F"/>
        </w:rPr>
        <w:t xml:space="preserve">DEI Analytics </w:t>
      </w:r>
      <w:r>
        <w:rPr>
          <w:rFonts w:ascii="Arial" w:cs="Arial" w:eastAsia="Arial" w:hAnsi="Arial"/>
          <w:sz w:val="16"/>
          <w:szCs w:val="16"/>
          <w:color w:val="000000"/>
        </w:rPr>
        <w:t>— Extract data-driven insights to</w:t>
      </w:r>
      <w:r>
        <w:rPr>
          <w:rFonts w:ascii="Arial" w:cs="Arial" w:eastAsia="Arial" w:hAnsi="Arial"/>
          <w:sz w:val="16"/>
          <w:szCs w:val="16"/>
          <w:b w:val="1"/>
          <w:bCs w:val="1"/>
          <w:color w:val="008C9F"/>
        </w:rPr>
        <w:t xml:space="preserve"> </w:t>
      </w:r>
      <w:r>
        <w:rPr>
          <w:rFonts w:ascii="Arial" w:cs="Arial" w:eastAsia="Arial" w:hAnsi="Arial"/>
          <w:sz w:val="16"/>
          <w:szCs w:val="16"/>
          <w:color w:val="000000"/>
        </w:rPr>
        <w:t>shape our DEI approach and monitor progress through meaningful measures</w:t>
      </w:r>
    </w:p>
    <w:p>
      <w:pPr>
        <w:spacing w:after="0" w:line="225" w:lineRule="exact"/>
        <w:rPr>
          <w:sz w:val="20"/>
          <w:szCs w:val="20"/>
          <w:color w:val="auto"/>
        </w:rPr>
      </w:pPr>
    </w:p>
    <w:p>
      <w:pPr>
        <w:ind w:left="640" w:right="140"/>
        <w:spacing w:after="0" w:line="286" w:lineRule="auto"/>
        <w:rPr>
          <w:sz w:val="20"/>
          <w:szCs w:val="20"/>
          <w:color w:val="auto"/>
        </w:rPr>
      </w:pPr>
      <w:r>
        <w:rPr>
          <w:rFonts w:ascii="Arial" w:cs="Arial" w:eastAsia="Arial" w:hAnsi="Arial"/>
          <w:sz w:val="16"/>
          <w:szCs w:val="16"/>
          <w:b w:val="1"/>
          <w:bCs w:val="1"/>
          <w:color w:val="008C9F"/>
        </w:rPr>
        <w:t xml:space="preserve">Policies &amp; Practices </w:t>
      </w:r>
      <w:r>
        <w:rPr>
          <w:rFonts w:ascii="Arial" w:cs="Arial" w:eastAsia="Arial" w:hAnsi="Arial"/>
          <w:sz w:val="16"/>
          <w:szCs w:val="16"/>
          <w:color w:val="000000"/>
        </w:rPr>
        <w:t>— Assess and revise</w:t>
      </w:r>
      <w:r>
        <w:rPr>
          <w:rFonts w:ascii="Arial" w:cs="Arial" w:eastAsia="Arial" w:hAnsi="Arial"/>
          <w:sz w:val="16"/>
          <w:szCs w:val="16"/>
          <w:b w:val="1"/>
          <w:bCs w:val="1"/>
          <w:color w:val="008C9F"/>
        </w:rPr>
        <w:t xml:space="preserve"> </w:t>
      </w:r>
      <w:r>
        <w:rPr>
          <w:rFonts w:ascii="Arial" w:cs="Arial" w:eastAsia="Arial" w:hAnsi="Arial"/>
          <w:sz w:val="16"/>
          <w:szCs w:val="16"/>
          <w:color w:val="000000"/>
        </w:rPr>
        <w:t>internal policies and practices to ensure equity</w:t>
      </w:r>
    </w:p>
    <w:p>
      <w:pPr>
        <w:spacing w:after="0" w:line="20" w:lineRule="exact"/>
        <w:rPr>
          <w:sz w:val="20"/>
          <w:szCs w:val="20"/>
          <w:color w:val="auto"/>
        </w:rPr>
      </w:pPr>
      <w:r>
        <w:rPr>
          <w:sz w:val="20"/>
          <w:szCs w:val="20"/>
          <w:color w:val="auto"/>
        </w:rPr>
        <w:br w:type="column"/>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Workforce Evolution</w:t>
      </w:r>
    </w:p>
    <w:p>
      <w:pPr>
        <w:spacing w:after="0" w:line="95" w:lineRule="exact"/>
        <w:rPr>
          <w:sz w:val="20"/>
          <w:szCs w:val="20"/>
          <w:color w:val="auto"/>
        </w:rPr>
      </w:pPr>
    </w:p>
    <w:p>
      <w:pPr>
        <w:ind w:left="540" w:right="120"/>
        <w:spacing w:after="0" w:line="259" w:lineRule="auto"/>
        <w:rPr>
          <w:sz w:val="20"/>
          <w:szCs w:val="20"/>
          <w:color w:val="auto"/>
        </w:rPr>
      </w:pPr>
      <w:r>
        <w:rPr>
          <w:rFonts w:ascii="Arial" w:cs="Arial" w:eastAsia="Arial" w:hAnsi="Arial"/>
          <w:sz w:val="16"/>
          <w:szCs w:val="16"/>
          <w:b w:val="1"/>
          <w:bCs w:val="1"/>
          <w:color w:val="008C9F"/>
        </w:rPr>
        <w:t xml:space="preserve">Talent Acquisition </w:t>
      </w:r>
      <w:r>
        <w:rPr>
          <w:rFonts w:ascii="Arial" w:cs="Arial" w:eastAsia="Arial" w:hAnsi="Arial"/>
          <w:sz w:val="16"/>
          <w:szCs w:val="16"/>
          <w:color w:val="000000"/>
        </w:rPr>
        <w:t>— Analyze and</w:t>
      </w:r>
      <w:r>
        <w:rPr>
          <w:rFonts w:ascii="Arial" w:cs="Arial" w:eastAsia="Arial" w:hAnsi="Arial"/>
          <w:sz w:val="16"/>
          <w:szCs w:val="16"/>
          <w:b w:val="1"/>
          <w:bCs w:val="1"/>
          <w:color w:val="008C9F"/>
        </w:rPr>
        <w:t xml:space="preserve"> </w:t>
      </w:r>
      <w:r>
        <w:rPr>
          <w:rFonts w:ascii="Arial" w:cs="Arial" w:eastAsia="Arial" w:hAnsi="Arial"/>
          <w:sz w:val="16"/>
          <w:szCs w:val="16"/>
          <w:color w:val="000000"/>
        </w:rPr>
        <w:t>evolve current recruiting and selection processes to improve external diverse hiring</w:t>
      </w:r>
    </w:p>
    <w:p>
      <w:pPr>
        <w:spacing w:after="0" w:line="286" w:lineRule="exact"/>
        <w:rPr>
          <w:sz w:val="20"/>
          <w:szCs w:val="20"/>
          <w:color w:val="auto"/>
        </w:rPr>
      </w:pPr>
    </w:p>
    <w:p>
      <w:pPr>
        <w:ind w:left="540"/>
        <w:spacing w:after="0"/>
        <w:rPr>
          <w:sz w:val="20"/>
          <w:szCs w:val="20"/>
          <w:color w:val="auto"/>
        </w:rPr>
      </w:pPr>
      <w:r>
        <w:rPr>
          <w:rFonts w:ascii="Arial" w:cs="Arial" w:eastAsia="Arial" w:hAnsi="Arial"/>
          <w:sz w:val="16"/>
          <w:szCs w:val="16"/>
          <w:b w:val="1"/>
          <w:bCs w:val="1"/>
          <w:color w:val="008C9F"/>
        </w:rPr>
        <w:t>Talent Development, Performance</w:t>
      </w:r>
    </w:p>
    <w:p>
      <w:pPr>
        <w:spacing w:after="0" w:line="21" w:lineRule="exact"/>
        <w:rPr>
          <w:sz w:val="20"/>
          <w:szCs w:val="20"/>
          <w:color w:val="auto"/>
        </w:rPr>
      </w:pPr>
    </w:p>
    <w:p>
      <w:pPr>
        <w:jc w:val="both"/>
        <w:ind w:left="540" w:right="120"/>
        <w:spacing w:after="0" w:line="252" w:lineRule="auto"/>
        <w:tabs>
          <w:tab w:leader="none" w:pos="702" w:val="left"/>
        </w:tabs>
        <w:numPr>
          <w:ilvl w:val="0"/>
          <w:numId w:val="19"/>
        </w:numPr>
        <w:rPr>
          <w:rFonts w:ascii="Arial" w:cs="Arial" w:eastAsia="Arial" w:hAnsi="Arial"/>
          <w:sz w:val="16"/>
          <w:szCs w:val="16"/>
          <w:b w:val="1"/>
          <w:bCs w:val="1"/>
          <w:color w:val="008C9F"/>
        </w:rPr>
      </w:pPr>
      <w:r>
        <w:rPr>
          <w:rFonts w:ascii="Arial" w:cs="Arial" w:eastAsia="Arial" w:hAnsi="Arial"/>
          <w:sz w:val="16"/>
          <w:szCs w:val="16"/>
          <w:b w:val="1"/>
          <w:bCs w:val="1"/>
          <w:color w:val="008C9F"/>
        </w:rPr>
        <w:t xml:space="preserve">Succession </w:t>
      </w:r>
      <w:r>
        <w:rPr>
          <w:rFonts w:ascii="Arial" w:cs="Arial" w:eastAsia="Arial" w:hAnsi="Arial"/>
          <w:sz w:val="16"/>
          <w:szCs w:val="16"/>
          <w:color w:val="000000"/>
        </w:rPr>
        <w:t>— Assess existing</w:t>
      </w:r>
      <w:r>
        <w:rPr>
          <w:rFonts w:ascii="Arial" w:cs="Arial" w:eastAsia="Arial" w:hAnsi="Arial"/>
          <w:sz w:val="16"/>
          <w:szCs w:val="16"/>
          <w:b w:val="1"/>
          <w:bCs w:val="1"/>
          <w:color w:val="008C9F"/>
        </w:rPr>
        <w:t xml:space="preserve"> </w:t>
      </w:r>
      <w:r>
        <w:rPr>
          <w:rFonts w:ascii="Arial" w:cs="Arial" w:eastAsia="Arial" w:hAnsi="Arial"/>
          <w:sz w:val="16"/>
          <w:szCs w:val="16"/>
          <w:color w:val="000000"/>
        </w:rPr>
        <w:t>talent processes to ensure equity and improve diverse representation among leadership</w:t>
      </w:r>
    </w:p>
    <w:p>
      <w:pPr>
        <w:spacing w:after="0" w:line="237" w:lineRule="exact"/>
        <w:rPr>
          <w:sz w:val="20"/>
          <w:szCs w:val="20"/>
          <w:color w:val="auto"/>
        </w:rPr>
      </w:pPr>
    </w:p>
    <w:p>
      <w:pPr>
        <w:ind w:left="540"/>
        <w:spacing w:after="0" w:line="256" w:lineRule="auto"/>
        <w:rPr>
          <w:sz w:val="20"/>
          <w:szCs w:val="20"/>
          <w:color w:val="auto"/>
        </w:rPr>
      </w:pPr>
      <w:r>
        <w:rPr>
          <w:rFonts w:ascii="Arial" w:cs="Arial" w:eastAsia="Arial" w:hAnsi="Arial"/>
          <w:sz w:val="16"/>
          <w:szCs w:val="16"/>
          <w:b w:val="1"/>
          <w:bCs w:val="1"/>
          <w:color w:val="008C9F"/>
        </w:rPr>
        <w:t xml:space="preserve">Workforce Development </w:t>
      </w:r>
      <w:r>
        <w:rPr>
          <w:rFonts w:ascii="Arial" w:cs="Arial" w:eastAsia="Arial" w:hAnsi="Arial"/>
          <w:sz w:val="16"/>
          <w:szCs w:val="16"/>
          <w:color w:val="000000"/>
        </w:rPr>
        <w:t>— Explore</w:t>
      </w:r>
      <w:r>
        <w:rPr>
          <w:rFonts w:ascii="Arial" w:cs="Arial" w:eastAsia="Arial" w:hAnsi="Arial"/>
          <w:sz w:val="16"/>
          <w:szCs w:val="16"/>
          <w:b w:val="1"/>
          <w:bCs w:val="1"/>
          <w:color w:val="008C9F"/>
        </w:rPr>
        <w:t xml:space="preserve"> </w:t>
      </w:r>
      <w:r>
        <w:rPr>
          <w:rFonts w:ascii="Arial" w:cs="Arial" w:eastAsia="Arial" w:hAnsi="Arial"/>
          <w:sz w:val="16"/>
          <w:szCs w:val="16"/>
          <w:color w:val="000000"/>
        </w:rPr>
        <w:t>our current activities and create clarity and ownership for developing talent pipelines to create a diverse workforce for the future</w:t>
      </w:r>
    </w:p>
    <w:p>
      <w:pPr>
        <w:spacing w:after="0" w:line="20" w:lineRule="exact"/>
        <w:rPr>
          <w:sz w:val="20"/>
          <w:szCs w:val="20"/>
          <w:color w:val="auto"/>
        </w:rPr>
      </w:pPr>
      <w:r>
        <w:rPr>
          <w:sz w:val="20"/>
          <w:szCs w:val="20"/>
          <w:color w:val="auto"/>
        </w:rPr>
        <w:br w:type="column"/>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Leveraging Connections</w:t>
      </w:r>
    </w:p>
    <w:p>
      <w:pPr>
        <w:spacing w:after="0" w:line="122" w:lineRule="exact"/>
        <w:rPr>
          <w:sz w:val="20"/>
          <w:szCs w:val="20"/>
          <w:color w:val="auto"/>
        </w:rPr>
      </w:pPr>
    </w:p>
    <w:p>
      <w:pPr>
        <w:ind w:left="540" w:right="120"/>
        <w:spacing w:after="0" w:line="259" w:lineRule="auto"/>
        <w:rPr>
          <w:sz w:val="20"/>
          <w:szCs w:val="20"/>
          <w:color w:val="auto"/>
        </w:rPr>
      </w:pPr>
      <w:r>
        <w:rPr>
          <w:rFonts w:ascii="Arial" w:cs="Arial" w:eastAsia="Arial" w:hAnsi="Arial"/>
          <w:sz w:val="16"/>
          <w:szCs w:val="16"/>
          <w:b w:val="1"/>
          <w:bCs w:val="1"/>
          <w:color w:val="008C9F"/>
        </w:rPr>
        <w:t xml:space="preserve">Employee Network Groups </w:t>
      </w:r>
      <w:r>
        <w:rPr>
          <w:rFonts w:ascii="Arial" w:cs="Arial" w:eastAsia="Arial" w:hAnsi="Arial"/>
          <w:sz w:val="16"/>
          <w:szCs w:val="16"/>
          <w:color w:val="000000"/>
        </w:rPr>
        <w:t>—</w:t>
      </w:r>
      <w:r>
        <w:rPr>
          <w:rFonts w:ascii="Arial" w:cs="Arial" w:eastAsia="Arial" w:hAnsi="Arial"/>
          <w:sz w:val="16"/>
          <w:szCs w:val="16"/>
          <w:b w:val="1"/>
          <w:bCs w:val="1"/>
          <w:color w:val="008C9F"/>
        </w:rPr>
        <w:t xml:space="preserve"> </w:t>
      </w:r>
      <w:r>
        <w:rPr>
          <w:rFonts w:ascii="Arial" w:cs="Arial" w:eastAsia="Arial" w:hAnsi="Arial"/>
          <w:sz w:val="16"/>
          <w:szCs w:val="16"/>
          <w:color w:val="000000"/>
        </w:rPr>
        <w:t>Evolve our ENGs to increasingly serve as business resources over time</w:t>
      </w:r>
    </w:p>
    <w:p>
      <w:pPr>
        <w:spacing w:after="0" w:line="164" w:lineRule="exact"/>
        <w:rPr>
          <w:sz w:val="20"/>
          <w:szCs w:val="20"/>
          <w:color w:val="auto"/>
        </w:rPr>
      </w:pPr>
    </w:p>
    <w:p>
      <w:pPr>
        <w:ind w:left="540" w:right="20"/>
        <w:spacing w:after="0" w:line="254" w:lineRule="auto"/>
        <w:rPr>
          <w:sz w:val="20"/>
          <w:szCs w:val="20"/>
          <w:color w:val="auto"/>
        </w:rPr>
      </w:pPr>
      <w:r>
        <w:rPr>
          <w:rFonts w:ascii="Arial" w:cs="Arial" w:eastAsia="Arial" w:hAnsi="Arial"/>
          <w:sz w:val="16"/>
          <w:szCs w:val="16"/>
          <w:b w:val="1"/>
          <w:bCs w:val="1"/>
          <w:color w:val="008C9F"/>
        </w:rPr>
        <w:t xml:space="preserve">Employee Communication &amp; Events </w:t>
      </w:r>
      <w:r>
        <w:rPr>
          <w:rFonts w:ascii="Arial" w:cs="Arial" w:eastAsia="Arial" w:hAnsi="Arial"/>
          <w:sz w:val="16"/>
          <w:szCs w:val="16"/>
          <w:color w:val="000000"/>
        </w:rPr>
        <w:t>— Visibly demonstrate our</w:t>
      </w:r>
      <w:r>
        <w:rPr>
          <w:rFonts w:ascii="Arial" w:cs="Arial" w:eastAsia="Arial" w:hAnsi="Arial"/>
          <w:sz w:val="16"/>
          <w:szCs w:val="16"/>
          <w:b w:val="1"/>
          <w:bCs w:val="1"/>
          <w:color w:val="008C9F"/>
        </w:rPr>
        <w:t xml:space="preserve"> </w:t>
      </w:r>
      <w:r>
        <w:rPr>
          <w:rFonts w:ascii="Arial" w:cs="Arial" w:eastAsia="Arial" w:hAnsi="Arial"/>
          <w:sz w:val="16"/>
          <w:szCs w:val="16"/>
          <w:color w:val="000000"/>
        </w:rPr>
        <w:t>commitment to diversity, expose employees to different cultures and perspectives and recognize key occasions</w:t>
      </w:r>
    </w:p>
    <w:p>
      <w:pPr>
        <w:spacing w:after="0" w:line="222" w:lineRule="exact"/>
        <w:rPr>
          <w:sz w:val="20"/>
          <w:szCs w:val="20"/>
          <w:color w:val="auto"/>
        </w:rPr>
      </w:pPr>
    </w:p>
    <w:p>
      <w:pPr>
        <w:ind w:left="540"/>
        <w:spacing w:after="0" w:line="259" w:lineRule="auto"/>
        <w:rPr>
          <w:sz w:val="20"/>
          <w:szCs w:val="20"/>
          <w:color w:val="auto"/>
        </w:rPr>
      </w:pPr>
      <w:r>
        <w:rPr>
          <w:rFonts w:ascii="Arial" w:cs="Arial" w:eastAsia="Arial" w:hAnsi="Arial"/>
          <w:sz w:val="16"/>
          <w:szCs w:val="16"/>
          <w:b w:val="1"/>
          <w:bCs w:val="1"/>
          <w:color w:val="008C9F"/>
        </w:rPr>
        <w:t xml:space="preserve">Internal Partnerships </w:t>
      </w:r>
      <w:r>
        <w:rPr>
          <w:rFonts w:ascii="Arial" w:cs="Arial" w:eastAsia="Arial" w:hAnsi="Arial"/>
          <w:sz w:val="16"/>
          <w:szCs w:val="16"/>
          <w:color w:val="000000"/>
        </w:rPr>
        <w:t>— Partner</w:t>
      </w:r>
      <w:r>
        <w:rPr>
          <w:rFonts w:ascii="Arial" w:cs="Arial" w:eastAsia="Arial" w:hAnsi="Arial"/>
          <w:sz w:val="16"/>
          <w:szCs w:val="16"/>
          <w:b w:val="1"/>
          <w:bCs w:val="1"/>
          <w:color w:val="008C9F"/>
        </w:rPr>
        <w:t xml:space="preserve"> </w:t>
      </w:r>
      <w:r>
        <w:rPr>
          <w:rFonts w:ascii="Arial" w:cs="Arial" w:eastAsia="Arial" w:hAnsi="Arial"/>
          <w:sz w:val="16"/>
          <w:szCs w:val="16"/>
          <w:color w:val="000000"/>
        </w:rPr>
        <w:t>with key internal stakeholder groups to ensure an integrated and aligned approach</w:t>
      </w:r>
    </w:p>
    <w:p>
      <w:pPr>
        <w:spacing w:after="0" w:line="272" w:lineRule="exact"/>
        <w:rPr>
          <w:sz w:val="20"/>
          <w:szCs w:val="20"/>
          <w:color w:val="auto"/>
        </w:rPr>
      </w:pPr>
    </w:p>
    <w:p>
      <w:pPr>
        <w:ind w:left="540" w:right="420"/>
        <w:spacing w:after="0" w:line="256" w:lineRule="auto"/>
        <w:rPr>
          <w:sz w:val="20"/>
          <w:szCs w:val="20"/>
          <w:color w:val="auto"/>
        </w:rPr>
      </w:pPr>
      <w:r>
        <w:rPr>
          <w:rFonts w:ascii="Arial" w:cs="Arial" w:eastAsia="Arial" w:hAnsi="Arial"/>
          <w:sz w:val="16"/>
          <w:szCs w:val="16"/>
          <w:b w:val="1"/>
          <w:bCs w:val="1"/>
          <w:color w:val="008C9F"/>
        </w:rPr>
        <w:t xml:space="preserve">External Partnerships &amp; Recognition </w:t>
      </w:r>
      <w:r>
        <w:rPr>
          <w:rFonts w:ascii="Arial" w:cs="Arial" w:eastAsia="Arial" w:hAnsi="Arial"/>
          <w:sz w:val="16"/>
          <w:szCs w:val="16"/>
          <w:color w:val="000000"/>
        </w:rPr>
        <w:t>— Partner with</w:t>
      </w:r>
      <w:r>
        <w:rPr>
          <w:rFonts w:ascii="Arial" w:cs="Arial" w:eastAsia="Arial" w:hAnsi="Arial"/>
          <w:sz w:val="16"/>
          <w:szCs w:val="16"/>
          <w:b w:val="1"/>
          <w:bCs w:val="1"/>
          <w:color w:val="008C9F"/>
        </w:rPr>
        <w:t xml:space="preserve"> </w:t>
      </w:r>
      <w:r>
        <w:rPr>
          <w:rFonts w:ascii="Arial" w:cs="Arial" w:eastAsia="Arial" w:hAnsi="Arial"/>
          <w:sz w:val="16"/>
          <w:szCs w:val="16"/>
          <w:color w:val="000000"/>
        </w:rPr>
        <w:t>external organizations to benchmark, innovate, and be recognized for our DEI efforts</w:t>
      </w:r>
    </w:p>
    <w:p>
      <w:pPr>
        <w:spacing w:after="0" w:line="200" w:lineRule="exact"/>
        <w:rPr>
          <w:sz w:val="20"/>
          <w:szCs w:val="20"/>
          <w:color w:val="auto"/>
        </w:rPr>
      </w:pPr>
    </w:p>
    <w:p>
      <w:pPr>
        <w:sectPr>
          <w:pgSz w:w="11900" w:h="16838" w:orient="portrait"/>
          <w:cols w:equalWidth="0" w:num="3">
            <w:col w:w="4100" w:space="300"/>
            <w:col w:w="3200" w:space="220"/>
            <w:col w:w="3080"/>
          </w:cols>
          <w:pgMar w:left="320" w:top="125" w:right="679" w:bottom="1440" w:gutter="0" w:footer="0" w:header="0"/>
          <w:type w:val="continuous"/>
        </w:sectPr>
      </w:pPr>
    </w:p>
    <w:p>
      <w:pPr>
        <w:spacing w:after="0" w:line="366" w:lineRule="exact"/>
        <w:rPr>
          <w:sz w:val="20"/>
          <w:szCs w:val="20"/>
          <w:color w:val="auto"/>
        </w:rPr>
      </w:pPr>
    </w:p>
    <w:p>
      <w:pPr>
        <w:ind w:left="100"/>
        <w:spacing w:after="0"/>
        <w:rPr>
          <w:sz w:val="20"/>
          <w:szCs w:val="20"/>
          <w:color w:val="auto"/>
        </w:rPr>
      </w:pPr>
      <w:r>
        <w:rPr>
          <w:rFonts w:ascii="Arial" w:cs="Arial" w:eastAsia="Arial" w:hAnsi="Arial"/>
          <w:sz w:val="17"/>
          <w:szCs w:val="17"/>
          <w:color w:val="auto"/>
        </w:rPr>
        <w:t>In 2021, we developed and implemented a multi-faceted DEI Strategy, focusing on eleven critical areas.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367665</wp:posOffset>
            </wp:positionV>
            <wp:extent cx="1191260" cy="2311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900"/>
          </w:cols>
          <w:pgMar w:left="320" w:top="125" w:right="679" w:bottom="1440" w:gutter="0" w:footer="0" w:header="0"/>
          <w:type w:val="continuous"/>
        </w:sectPr>
      </w:pPr>
    </w:p>
    <w:bookmarkStart w:id="19" w:name="page20"/>
    <w:bookmarkEnd w:id="1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7633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32320" cy="6763385"/>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355675"/>
        </w:rPr>
        <w:t>Proxy Statement Summary</w:t>
      </w:r>
    </w:p>
    <w:p>
      <w:pPr>
        <w:spacing w:after="0" w:line="173"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355675"/>
        </w:rPr>
        <w:t>Employee Network Groups</w:t>
      </w:r>
    </w:p>
    <w:p>
      <w:pPr>
        <w:spacing w:after="0" w:line="197" w:lineRule="exact"/>
        <w:rPr>
          <w:sz w:val="20"/>
          <w:szCs w:val="20"/>
          <w:color w:val="auto"/>
        </w:rPr>
      </w:pPr>
    </w:p>
    <w:p>
      <w:pPr>
        <w:ind w:left="100" w:right="180"/>
        <w:spacing w:after="0" w:line="271" w:lineRule="auto"/>
        <w:rPr>
          <w:sz w:val="20"/>
          <w:szCs w:val="20"/>
          <w:color w:val="auto"/>
        </w:rPr>
      </w:pPr>
      <w:r>
        <w:rPr>
          <w:rFonts w:ascii="Arial" w:cs="Arial" w:eastAsia="Arial" w:hAnsi="Arial"/>
          <w:sz w:val="18"/>
          <w:szCs w:val="18"/>
          <w:color w:val="231F20"/>
        </w:rPr>
        <w:t>To encourage employees to challenge themselves, develop additional skills and advance within their chosen fields, the Company supports 10 employee networks that enable employees to connect with one another and promote career development:</w:t>
      </w:r>
    </w:p>
    <w:p>
      <w:pPr>
        <w:spacing w:after="0" w:line="248" w:lineRule="exact"/>
        <w:rPr>
          <w:sz w:val="20"/>
          <w:szCs w:val="20"/>
          <w:color w:val="auto"/>
        </w:rPr>
      </w:pPr>
    </w:p>
    <w:p>
      <w:pPr>
        <w:ind w:left="2580" w:right="340"/>
        <w:spacing w:after="0" w:line="253" w:lineRule="auto"/>
        <w:rPr>
          <w:sz w:val="20"/>
          <w:szCs w:val="20"/>
          <w:color w:val="auto"/>
        </w:rPr>
      </w:pPr>
      <w:r>
        <w:rPr>
          <w:rFonts w:ascii="Arial" w:cs="Arial" w:eastAsia="Arial" w:hAnsi="Arial"/>
          <w:sz w:val="18"/>
          <w:szCs w:val="18"/>
          <w:color w:val="231F20"/>
        </w:rPr>
        <w:t>The African American Network for Diversity and Inclusion’s mission is to create a collaborative and highly engaged network of African-American employees that promote the interests of AANDI, its strategic initiatives and the values of APS.</w:t>
      </w:r>
    </w:p>
    <w:p>
      <w:pPr>
        <w:spacing w:after="0" w:line="236" w:lineRule="exact"/>
        <w:rPr>
          <w:sz w:val="20"/>
          <w:szCs w:val="20"/>
          <w:color w:val="auto"/>
        </w:rPr>
      </w:pPr>
    </w:p>
    <w:p>
      <w:pPr>
        <w:ind w:left="2580" w:right="260"/>
        <w:spacing w:after="0" w:line="271" w:lineRule="auto"/>
        <w:rPr>
          <w:sz w:val="20"/>
          <w:szCs w:val="20"/>
          <w:color w:val="auto"/>
        </w:rPr>
      </w:pPr>
      <w:r>
        <w:rPr>
          <w:rFonts w:ascii="Arial" w:cs="Arial" w:eastAsia="Arial" w:hAnsi="Arial"/>
          <w:sz w:val="18"/>
          <w:szCs w:val="18"/>
          <w:color w:val="231F20"/>
        </w:rPr>
        <w:t>The Lesbian, Gay, Bisexual &amp; Transgender Alliance’s mission is to empower inclusion through community, support, and education.</w:t>
      </w:r>
    </w:p>
    <w:p>
      <w:pPr>
        <w:spacing w:after="0" w:line="221" w:lineRule="exact"/>
        <w:rPr>
          <w:sz w:val="20"/>
          <w:szCs w:val="20"/>
          <w:color w:val="auto"/>
        </w:rPr>
      </w:pPr>
    </w:p>
    <w:p>
      <w:pPr>
        <w:jc w:val="both"/>
        <w:ind w:left="2580" w:right="280"/>
        <w:spacing w:after="0" w:line="253" w:lineRule="auto"/>
        <w:rPr>
          <w:sz w:val="20"/>
          <w:szCs w:val="20"/>
          <w:color w:val="auto"/>
        </w:rPr>
      </w:pPr>
      <w:r>
        <w:rPr>
          <w:rFonts w:ascii="Arial" w:cs="Arial" w:eastAsia="Arial" w:hAnsi="Arial"/>
          <w:sz w:val="18"/>
          <w:szCs w:val="18"/>
          <w:color w:val="231F20"/>
        </w:rPr>
        <w:t>The Veteran Engagement, Transition &amp; Retention Network’s mission is to develop opportunities benefiting our honored Arizona veterans. We strive to promote their service to our country, leadership skills, and the achievements of veterans in the organization.</w:t>
      </w:r>
    </w:p>
    <w:p>
      <w:pPr>
        <w:spacing w:after="0" w:line="317" w:lineRule="exact"/>
        <w:rPr>
          <w:sz w:val="20"/>
          <w:szCs w:val="20"/>
          <w:color w:val="auto"/>
        </w:rPr>
      </w:pPr>
    </w:p>
    <w:p>
      <w:pPr>
        <w:ind w:left="2580" w:right="140"/>
        <w:spacing w:after="0" w:line="271" w:lineRule="auto"/>
        <w:rPr>
          <w:sz w:val="20"/>
          <w:szCs w:val="20"/>
          <w:color w:val="auto"/>
        </w:rPr>
      </w:pPr>
      <w:r>
        <w:rPr>
          <w:rFonts w:ascii="Arial" w:cs="Arial" w:eastAsia="Arial" w:hAnsi="Arial"/>
          <w:sz w:val="18"/>
          <w:szCs w:val="18"/>
          <w:color w:val="231F20"/>
        </w:rPr>
        <w:t>Women in Search of Excellence’s mission is to build a community at APS to further develop women as they achieve their personal and professional excellence.</w:t>
      </w:r>
    </w:p>
    <w:p>
      <w:pPr>
        <w:spacing w:after="0" w:line="316" w:lineRule="exact"/>
        <w:rPr>
          <w:sz w:val="20"/>
          <w:szCs w:val="20"/>
          <w:color w:val="auto"/>
        </w:rPr>
      </w:pPr>
    </w:p>
    <w:p>
      <w:pPr>
        <w:ind w:left="2580" w:right="720"/>
        <w:spacing w:after="0" w:line="271" w:lineRule="auto"/>
        <w:rPr>
          <w:sz w:val="20"/>
          <w:szCs w:val="20"/>
          <w:color w:val="auto"/>
        </w:rPr>
      </w:pPr>
      <w:r>
        <w:rPr>
          <w:rFonts w:ascii="Arial" w:cs="Arial" w:eastAsia="Arial" w:hAnsi="Arial"/>
          <w:sz w:val="18"/>
          <w:szCs w:val="18"/>
          <w:color w:val="231F20"/>
        </w:rPr>
        <w:t>Palo Verde Young Generation in Nuclear’s mission is to unite young professionals for the purpose of strengthening its community by focusing on the success of nuclear technology.</w:t>
      </w:r>
    </w:p>
    <w:p>
      <w:pPr>
        <w:spacing w:after="0" w:line="200" w:lineRule="exact"/>
        <w:rPr>
          <w:sz w:val="20"/>
          <w:szCs w:val="20"/>
          <w:color w:val="auto"/>
        </w:rPr>
      </w:pPr>
    </w:p>
    <w:p>
      <w:pPr>
        <w:spacing w:after="0" w:line="291" w:lineRule="exact"/>
        <w:rPr>
          <w:sz w:val="20"/>
          <w:szCs w:val="20"/>
          <w:color w:val="auto"/>
        </w:rPr>
      </w:pPr>
    </w:p>
    <w:p>
      <w:pPr>
        <w:ind w:left="2580" w:right="340"/>
        <w:spacing w:after="0" w:line="271" w:lineRule="auto"/>
        <w:rPr>
          <w:sz w:val="20"/>
          <w:szCs w:val="20"/>
          <w:color w:val="auto"/>
        </w:rPr>
      </w:pPr>
      <w:r>
        <w:rPr>
          <w:rFonts w:ascii="Arial" w:cs="Arial" w:eastAsia="Arial" w:hAnsi="Arial"/>
          <w:sz w:val="18"/>
          <w:szCs w:val="18"/>
          <w:color w:val="231F20"/>
        </w:rPr>
        <w:t>Palo Verde Women in Nuclear’s mission is to promote an environment in which all employees are able to succeed while working to encourage public awareness about nuclear energy.</w:t>
      </w:r>
    </w:p>
    <w:p>
      <w:pPr>
        <w:spacing w:after="0" w:line="200" w:lineRule="exact"/>
        <w:rPr>
          <w:sz w:val="20"/>
          <w:szCs w:val="20"/>
          <w:color w:val="auto"/>
        </w:rPr>
      </w:pPr>
    </w:p>
    <w:p>
      <w:pPr>
        <w:spacing w:after="0" w:line="305" w:lineRule="exact"/>
        <w:rPr>
          <w:sz w:val="20"/>
          <w:szCs w:val="20"/>
          <w:color w:val="auto"/>
        </w:rPr>
      </w:pPr>
    </w:p>
    <w:p>
      <w:pPr>
        <w:jc w:val="both"/>
        <w:ind w:left="2580" w:right="380"/>
        <w:spacing w:after="0" w:line="253" w:lineRule="auto"/>
        <w:rPr>
          <w:sz w:val="20"/>
          <w:szCs w:val="20"/>
          <w:color w:val="auto"/>
        </w:rPr>
      </w:pPr>
      <w:r>
        <w:rPr>
          <w:rFonts w:ascii="Arial" w:cs="Arial" w:eastAsia="Arial" w:hAnsi="Arial"/>
          <w:sz w:val="18"/>
          <w:szCs w:val="18"/>
          <w:color w:val="231F20"/>
        </w:rPr>
        <w:t>The Native American Network Organization’s mission is to attract and develop Native American talent by providing professional development opportunities, assisting in recruiting and retention, and encouraging community development.</w:t>
      </w:r>
    </w:p>
    <w:p>
      <w:pPr>
        <w:spacing w:after="0" w:line="277" w:lineRule="exact"/>
        <w:rPr>
          <w:sz w:val="20"/>
          <w:szCs w:val="20"/>
          <w:color w:val="auto"/>
        </w:rPr>
      </w:pPr>
    </w:p>
    <w:p>
      <w:pPr>
        <w:ind w:left="2580" w:right="920"/>
        <w:spacing w:after="0" w:line="253" w:lineRule="auto"/>
        <w:rPr>
          <w:sz w:val="20"/>
          <w:szCs w:val="20"/>
          <w:color w:val="auto"/>
        </w:rPr>
      </w:pPr>
      <w:r>
        <w:rPr>
          <w:rFonts w:ascii="Arial" w:cs="Arial" w:eastAsia="Arial" w:hAnsi="Arial"/>
          <w:sz w:val="18"/>
          <w:szCs w:val="18"/>
          <w:color w:val="231F20"/>
        </w:rPr>
        <w:t>Next Gen’s mission is to unite professionals new to the utility industry by providing professional development opportunities, enhance recruitment and retention, and organize community outreach programs.</w:t>
      </w:r>
    </w:p>
    <w:p>
      <w:pPr>
        <w:spacing w:after="0" w:line="277" w:lineRule="exact"/>
        <w:rPr>
          <w:sz w:val="20"/>
          <w:szCs w:val="20"/>
          <w:color w:val="auto"/>
        </w:rPr>
      </w:pPr>
    </w:p>
    <w:p>
      <w:pPr>
        <w:ind w:left="2580" w:right="280"/>
        <w:spacing w:after="0" w:line="253" w:lineRule="auto"/>
        <w:rPr>
          <w:sz w:val="20"/>
          <w:szCs w:val="20"/>
          <w:color w:val="auto"/>
        </w:rPr>
      </w:pPr>
      <w:r>
        <w:rPr>
          <w:rFonts w:ascii="Arial" w:cs="Arial" w:eastAsia="Arial" w:hAnsi="Arial"/>
          <w:sz w:val="18"/>
          <w:szCs w:val="18"/>
          <w:color w:val="231F20"/>
        </w:rPr>
        <w:t>The Hispanic Organization for Leadership and Advancement promotes a culture of inclusiveness and community stewardship across APS, as well as develops high-performing leaders in pursuit of operational excellence and continuous self-improvement.</w:t>
      </w:r>
    </w:p>
    <w:p>
      <w:pPr>
        <w:spacing w:after="0" w:line="236" w:lineRule="exact"/>
        <w:rPr>
          <w:sz w:val="20"/>
          <w:szCs w:val="20"/>
          <w:color w:val="auto"/>
        </w:rPr>
      </w:pPr>
    </w:p>
    <w:p>
      <w:pPr>
        <w:ind w:left="2580" w:right="380"/>
        <w:spacing w:after="0" w:line="271" w:lineRule="auto"/>
        <w:rPr>
          <w:sz w:val="20"/>
          <w:szCs w:val="20"/>
          <w:color w:val="auto"/>
        </w:rPr>
      </w:pPr>
      <w:r>
        <w:rPr>
          <w:rFonts w:ascii="Arial" w:cs="Arial" w:eastAsia="Arial" w:hAnsi="Arial"/>
          <w:sz w:val="18"/>
          <w:szCs w:val="18"/>
          <w:color w:val="231F20"/>
        </w:rPr>
        <w:t>Links’ mission is to connect experienced employees with opportunities for development, networking, and engagement.</w:t>
      </w:r>
    </w:p>
    <w:p>
      <w:pPr>
        <w:spacing w:after="0" w:line="33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11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20" w:name="page21"/>
    <w:bookmarkEnd w:id="2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8148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32320" cy="6814820"/>
                    </a:xfrm>
                    <a:prstGeom prst="rect">
                      <a:avLst/>
                    </a:prstGeom>
                    <a:noFill/>
                  </pic:spPr>
                </pic:pic>
              </a:graphicData>
            </a:graphic>
          </wp:anchor>
        </w:drawing>
      </w:r>
    </w:p>
    <w:p>
      <w:pPr>
        <w:spacing w:after="0" w:line="399" w:lineRule="exact"/>
        <w:rPr>
          <w:sz w:val="20"/>
          <w:szCs w:val="20"/>
          <w:color w:val="auto"/>
        </w:rPr>
      </w:pPr>
    </w:p>
    <w:p>
      <w:pPr>
        <w:ind w:left="160"/>
        <w:spacing w:after="0"/>
        <w:rPr>
          <w:sz w:val="20"/>
          <w:szCs w:val="20"/>
          <w:color w:val="auto"/>
        </w:rPr>
      </w:pPr>
      <w:r>
        <w:rPr>
          <w:rFonts w:ascii="Arial" w:cs="Arial" w:eastAsia="Arial" w:hAnsi="Arial"/>
          <w:sz w:val="18"/>
          <w:szCs w:val="18"/>
          <w:b w:val="1"/>
          <w:bCs w:val="1"/>
          <w:color w:val="355675"/>
        </w:rPr>
        <w:t>Proxy Statement Summary</w:t>
      </w:r>
    </w:p>
    <w:p>
      <w:pPr>
        <w:spacing w:after="0" w:line="183"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Environmental Highlights</w:t>
      </w:r>
    </w:p>
    <w:p>
      <w:pPr>
        <w:spacing w:after="0" w:line="217" w:lineRule="exact"/>
        <w:rPr>
          <w:sz w:val="20"/>
          <w:szCs w:val="20"/>
          <w:color w:val="auto"/>
        </w:rPr>
      </w:pPr>
    </w:p>
    <w:p>
      <w:pPr>
        <w:ind w:left="100" w:right="400"/>
        <w:spacing w:after="0" w:line="271" w:lineRule="auto"/>
        <w:rPr>
          <w:sz w:val="20"/>
          <w:szCs w:val="20"/>
          <w:color w:val="auto"/>
        </w:rPr>
      </w:pPr>
      <w:r>
        <w:rPr>
          <w:rFonts w:ascii="Arial" w:cs="Arial" w:eastAsia="Arial" w:hAnsi="Arial"/>
          <w:sz w:val="18"/>
          <w:szCs w:val="18"/>
          <w:color w:val="231F20"/>
        </w:rPr>
        <w:t>Through our Clean Energy Commitment we are dedicated to providing clean, reliable and affordable electricity in order to achieve a sustainable future for our Company and our customers.</w:t>
      </w:r>
    </w:p>
    <w:p>
      <w:pPr>
        <w:spacing w:after="0" w:line="338" w:lineRule="exact"/>
        <w:rPr>
          <w:sz w:val="20"/>
          <w:szCs w:val="20"/>
          <w:color w:val="auto"/>
        </w:rPr>
      </w:pPr>
    </w:p>
    <w:p>
      <w:pPr>
        <w:ind w:left="680"/>
        <w:spacing w:after="0"/>
        <w:rPr>
          <w:sz w:val="20"/>
          <w:szCs w:val="20"/>
          <w:color w:val="auto"/>
        </w:rPr>
      </w:pPr>
      <w:r>
        <w:rPr>
          <w:rFonts w:ascii="Arial" w:cs="Arial" w:eastAsia="Arial" w:hAnsi="Arial"/>
          <w:sz w:val="20"/>
          <w:szCs w:val="20"/>
          <w:b w:val="1"/>
          <w:bCs w:val="1"/>
          <w:color w:val="355675"/>
        </w:rPr>
        <w:t>Recognition</w:t>
      </w:r>
    </w:p>
    <w:p>
      <w:pPr>
        <w:spacing w:after="0" w:line="274" w:lineRule="exact"/>
        <w:rPr>
          <w:sz w:val="20"/>
          <w:szCs w:val="20"/>
          <w:color w:val="auto"/>
        </w:rPr>
      </w:pPr>
    </w:p>
    <w:p>
      <w:pPr>
        <w:jc w:val="both"/>
        <w:ind w:left="500" w:right="4100" w:hanging="312"/>
        <w:spacing w:after="0" w:line="247" w:lineRule="auto"/>
        <w:tabs>
          <w:tab w:leader="none" w:pos="500" w:val="left"/>
        </w:tabs>
        <w:numPr>
          <w:ilvl w:val="0"/>
          <w:numId w:val="20"/>
        </w:numPr>
        <w:rPr>
          <w:rFonts w:ascii="Arial" w:cs="Arial" w:eastAsia="Arial" w:hAnsi="Arial"/>
          <w:sz w:val="18"/>
          <w:szCs w:val="18"/>
          <w:b w:val="1"/>
          <w:bCs w:val="1"/>
          <w:color w:val="355675"/>
        </w:rPr>
      </w:pPr>
      <w:r>
        <w:rPr>
          <w:rFonts w:ascii="Arial" w:cs="Arial" w:eastAsia="Arial" w:hAnsi="Arial"/>
          <w:sz w:val="18"/>
          <w:szCs w:val="18"/>
          <w:color w:val="auto"/>
        </w:rPr>
        <w:t xml:space="preserve">Pinnacle West is </w:t>
      </w:r>
      <w:r>
        <w:rPr>
          <w:rFonts w:ascii="Arial" w:cs="Arial" w:eastAsia="Arial" w:hAnsi="Arial"/>
          <w:sz w:val="18"/>
          <w:szCs w:val="18"/>
          <w:b w:val="1"/>
          <w:bCs w:val="1"/>
          <w:color w:val="008C9F"/>
        </w:rPr>
        <w:t>only one of two North American electric utility companies</w:t>
      </w:r>
      <w:r>
        <w:rPr>
          <w:rFonts w:ascii="Arial" w:cs="Arial" w:eastAsia="Arial" w:hAnsi="Arial"/>
          <w:sz w:val="18"/>
          <w:szCs w:val="18"/>
          <w:color w:val="auto"/>
        </w:rPr>
        <w:t xml:space="preserve"> </w:t>
      </w:r>
      <w:r>
        <w:rPr>
          <w:rFonts w:ascii="Arial" w:cs="Arial" w:eastAsia="Arial" w:hAnsi="Arial"/>
          <w:sz w:val="18"/>
          <w:szCs w:val="18"/>
          <w:b w:val="1"/>
          <w:bCs w:val="1"/>
          <w:color w:val="008C9F"/>
        </w:rPr>
        <w:t xml:space="preserve">to achieve leadership scores in both climate change and water security in 2021 </w:t>
      </w:r>
      <w:r>
        <w:rPr>
          <w:rFonts w:ascii="Arial" w:cs="Arial" w:eastAsia="Arial" w:hAnsi="Arial"/>
          <w:sz w:val="18"/>
          <w:szCs w:val="18"/>
          <w:color w:val="000000"/>
        </w:rPr>
        <w:t>by global environmental non-profit CDP. This is the third year in a row that</w:t>
      </w:r>
      <w:r>
        <w:rPr>
          <w:rFonts w:ascii="Arial" w:cs="Arial" w:eastAsia="Arial" w:hAnsi="Arial"/>
          <w:sz w:val="18"/>
          <w:szCs w:val="18"/>
          <w:b w:val="1"/>
          <w:bCs w:val="1"/>
          <w:color w:val="008C9F"/>
        </w:rPr>
        <w:t xml:space="preserve"> </w:t>
      </w:r>
      <w:r>
        <w:rPr>
          <w:rFonts w:ascii="Arial" w:cs="Arial" w:eastAsia="Arial" w:hAnsi="Arial"/>
          <w:sz w:val="18"/>
          <w:szCs w:val="18"/>
          <w:color w:val="000000"/>
        </w:rPr>
        <w:t>we are receiving leadership scores in both areas.</w:t>
      </w:r>
    </w:p>
    <w:p>
      <w:pPr>
        <w:spacing w:after="0" w:line="173" w:lineRule="exact"/>
        <w:rPr>
          <w:rFonts w:ascii="Arial" w:cs="Arial" w:eastAsia="Arial" w:hAnsi="Arial"/>
          <w:sz w:val="18"/>
          <w:szCs w:val="18"/>
          <w:b w:val="1"/>
          <w:bCs w:val="1"/>
          <w:color w:val="355675"/>
        </w:rPr>
      </w:pPr>
    </w:p>
    <w:p>
      <w:pPr>
        <w:ind w:left="500" w:right="4480" w:hanging="312"/>
        <w:spacing w:after="0" w:line="281" w:lineRule="auto"/>
        <w:tabs>
          <w:tab w:leader="none" w:pos="500" w:val="left"/>
        </w:tabs>
        <w:numPr>
          <w:ilvl w:val="0"/>
          <w:numId w:val="20"/>
        </w:numPr>
        <w:rPr>
          <w:rFonts w:ascii="Arial" w:cs="Arial" w:eastAsia="Arial" w:hAnsi="Arial"/>
          <w:sz w:val="18"/>
          <w:szCs w:val="18"/>
          <w:b w:val="1"/>
          <w:bCs w:val="1"/>
          <w:color w:val="355675"/>
        </w:rPr>
      </w:pPr>
      <w:r>
        <w:rPr>
          <w:rFonts w:ascii="Arial" w:cs="Arial" w:eastAsia="Arial" w:hAnsi="Arial"/>
          <w:sz w:val="18"/>
          <w:szCs w:val="18"/>
          <w:color w:val="auto"/>
        </w:rPr>
        <w:t xml:space="preserve">Pinnacle West </w:t>
      </w:r>
      <w:r>
        <w:rPr>
          <w:rFonts w:ascii="Arial" w:cs="Arial" w:eastAsia="Arial" w:hAnsi="Arial"/>
          <w:sz w:val="18"/>
          <w:szCs w:val="18"/>
          <w:b w:val="1"/>
          <w:bCs w:val="1"/>
          <w:color w:val="008C9F"/>
        </w:rPr>
        <w:t>moved up to a “AA” rating from Morgan Stanley Capital</w:t>
      </w:r>
      <w:r>
        <w:rPr>
          <w:rFonts w:ascii="Arial" w:cs="Arial" w:eastAsia="Arial" w:hAnsi="Arial"/>
          <w:sz w:val="18"/>
          <w:szCs w:val="18"/>
          <w:color w:val="auto"/>
        </w:rPr>
        <w:t xml:space="preserve"> </w:t>
      </w:r>
      <w:r>
        <w:rPr>
          <w:rFonts w:ascii="Arial" w:cs="Arial" w:eastAsia="Arial" w:hAnsi="Arial"/>
          <w:sz w:val="18"/>
          <w:szCs w:val="18"/>
          <w:b w:val="1"/>
          <w:bCs w:val="1"/>
          <w:color w:val="008C9F"/>
        </w:rPr>
        <w:t xml:space="preserve">International </w:t>
      </w:r>
      <w:r>
        <w:rPr>
          <w:rFonts w:ascii="Arial" w:cs="Arial" w:eastAsia="Arial" w:hAnsi="Arial"/>
          <w:sz w:val="18"/>
          <w:szCs w:val="18"/>
          <w:color w:val="000000"/>
        </w:rPr>
        <w:t>(“MSCI”) (as of April 27, 2021).</w:t>
      </w:r>
    </w:p>
    <w:p>
      <w:pPr>
        <w:spacing w:after="0" w:line="136" w:lineRule="exact"/>
        <w:rPr>
          <w:rFonts w:ascii="Arial" w:cs="Arial" w:eastAsia="Arial" w:hAnsi="Arial"/>
          <w:sz w:val="18"/>
          <w:szCs w:val="18"/>
          <w:b w:val="1"/>
          <w:bCs w:val="1"/>
          <w:color w:val="355675"/>
        </w:rPr>
      </w:pPr>
    </w:p>
    <w:p>
      <w:pPr>
        <w:ind w:left="500" w:right="4080" w:hanging="312"/>
        <w:spacing w:after="0" w:line="271" w:lineRule="auto"/>
        <w:tabs>
          <w:tab w:leader="none" w:pos="500" w:val="left"/>
        </w:tabs>
        <w:numPr>
          <w:ilvl w:val="0"/>
          <w:numId w:val="20"/>
        </w:numPr>
        <w:rPr>
          <w:rFonts w:ascii="Arial" w:cs="Arial" w:eastAsia="Arial" w:hAnsi="Arial"/>
          <w:sz w:val="18"/>
          <w:szCs w:val="18"/>
          <w:b w:val="1"/>
          <w:bCs w:val="1"/>
          <w:color w:val="355675"/>
        </w:rPr>
      </w:pPr>
      <w:r>
        <w:rPr>
          <w:rFonts w:ascii="Arial" w:cs="Arial" w:eastAsia="Arial" w:hAnsi="Arial"/>
          <w:sz w:val="18"/>
          <w:szCs w:val="18"/>
          <w:color w:val="auto"/>
        </w:rPr>
        <w:t xml:space="preserve">On the list of </w:t>
      </w:r>
      <w:r>
        <w:rPr>
          <w:rFonts w:ascii="Arial" w:cs="Arial" w:eastAsia="Arial" w:hAnsi="Arial"/>
          <w:sz w:val="18"/>
          <w:szCs w:val="18"/>
          <w:b w:val="1"/>
          <w:bCs w:val="1"/>
          <w:color w:val="008C9F"/>
        </w:rPr>
        <w:t>Top 100 Green Utilities</w:t>
      </w:r>
      <w:r>
        <w:rPr>
          <w:rFonts w:ascii="Arial" w:cs="Arial" w:eastAsia="Arial" w:hAnsi="Arial"/>
          <w:sz w:val="18"/>
          <w:szCs w:val="18"/>
          <w:color w:val="auto"/>
        </w:rPr>
        <w:t xml:space="preserve"> from Energy Intelligence for the third year in a row.</w:t>
      </w:r>
    </w:p>
    <w:p>
      <w:pPr>
        <w:sectPr>
          <w:pgSz w:w="11900" w:h="16838" w:orient="portrait"/>
          <w:cols w:equalWidth="0" w:num="1">
            <w:col w:w="10920"/>
          </w:cols>
          <w:pgMar w:left="320" w:top="125" w:right="659" w:bottom="1440" w:gutter="0" w:footer="0" w:header="0"/>
        </w:sectPr>
      </w:pPr>
    </w:p>
    <w:p>
      <w:pPr>
        <w:spacing w:after="0" w:line="243" w:lineRule="exact"/>
        <w:rPr>
          <w:sz w:val="20"/>
          <w:szCs w:val="20"/>
          <w:color w:val="auto"/>
        </w:rPr>
      </w:pPr>
    </w:p>
    <w:p>
      <w:pPr>
        <w:ind w:left="700"/>
        <w:spacing w:after="0"/>
        <w:rPr>
          <w:sz w:val="20"/>
          <w:szCs w:val="20"/>
          <w:color w:val="auto"/>
        </w:rPr>
      </w:pPr>
      <w:r>
        <w:rPr>
          <w:rFonts w:ascii="Arial" w:cs="Arial" w:eastAsia="Arial" w:hAnsi="Arial"/>
          <w:sz w:val="20"/>
          <w:szCs w:val="20"/>
          <w:b w:val="1"/>
          <w:bCs w:val="1"/>
          <w:color w:val="355675"/>
        </w:rPr>
        <w:t>Energy Innovation</w:t>
      </w:r>
    </w:p>
    <w:p>
      <w:pPr>
        <w:spacing w:after="0" w:line="180" w:lineRule="exact"/>
        <w:rPr>
          <w:sz w:val="20"/>
          <w:szCs w:val="20"/>
          <w:color w:val="auto"/>
        </w:rPr>
      </w:pPr>
    </w:p>
    <w:p>
      <w:pPr>
        <w:ind w:left="100" w:right="1840"/>
        <w:spacing w:after="0" w:line="281" w:lineRule="auto"/>
        <w:rPr>
          <w:sz w:val="20"/>
          <w:szCs w:val="20"/>
          <w:color w:val="auto"/>
        </w:rPr>
      </w:pPr>
      <w:r>
        <w:rPr>
          <w:rFonts w:ascii="Arial" w:cs="Arial" w:eastAsia="Arial" w:hAnsi="Arial"/>
          <w:sz w:val="18"/>
          <w:szCs w:val="18"/>
          <w:color w:val="auto"/>
        </w:rPr>
        <w:t xml:space="preserve">APS is in the midst of one of the </w:t>
      </w:r>
      <w:r>
        <w:rPr>
          <w:rFonts w:ascii="Arial" w:cs="Arial" w:eastAsia="Arial" w:hAnsi="Arial"/>
          <w:sz w:val="18"/>
          <w:szCs w:val="18"/>
          <w:b w:val="1"/>
          <w:bCs w:val="1"/>
          <w:color w:val="008C9F"/>
        </w:rPr>
        <w:t>greatest periods of change in our Company’s</w:t>
      </w:r>
      <w:r>
        <w:rPr>
          <w:rFonts w:ascii="Arial" w:cs="Arial" w:eastAsia="Arial" w:hAnsi="Arial"/>
          <w:sz w:val="18"/>
          <w:szCs w:val="18"/>
          <w:color w:val="auto"/>
        </w:rPr>
        <w:t xml:space="preserve"> </w:t>
      </w:r>
      <w:r>
        <w:rPr>
          <w:rFonts w:ascii="Arial" w:cs="Arial" w:eastAsia="Arial" w:hAnsi="Arial"/>
          <w:sz w:val="18"/>
          <w:szCs w:val="18"/>
          <w:b w:val="1"/>
          <w:bCs w:val="1"/>
          <w:color w:val="008C9F"/>
        </w:rPr>
        <w:t>130-plus year history</w:t>
      </w:r>
      <w:r>
        <w:rPr>
          <w:rFonts w:ascii="Arial" w:cs="Arial" w:eastAsia="Arial" w:hAnsi="Arial"/>
          <w:sz w:val="18"/>
          <w:szCs w:val="18"/>
          <w:color w:val="000000"/>
        </w:rPr>
        <w:t>.</w:t>
      </w:r>
    </w:p>
    <w:p>
      <w:pPr>
        <w:spacing w:after="0" w:line="96" w:lineRule="exact"/>
        <w:rPr>
          <w:sz w:val="20"/>
          <w:szCs w:val="20"/>
          <w:color w:val="auto"/>
        </w:rPr>
      </w:pPr>
    </w:p>
    <w:p>
      <w:pPr>
        <w:ind w:left="520" w:hanging="332"/>
        <w:spacing w:after="0"/>
        <w:tabs>
          <w:tab w:leader="none" w:pos="520" w:val="left"/>
        </w:tabs>
        <w:numPr>
          <w:ilvl w:val="0"/>
          <w:numId w:val="2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2,300 MW </w:t>
      </w:r>
      <w:r>
        <w:rPr>
          <w:rFonts w:ascii="Arial" w:cs="Arial" w:eastAsia="Arial" w:hAnsi="Arial"/>
          <w:sz w:val="18"/>
          <w:szCs w:val="18"/>
          <w:color w:val="000000"/>
        </w:rPr>
        <w:t>of renewable capacity today</w:t>
      </w:r>
    </w:p>
    <w:p>
      <w:pPr>
        <w:spacing w:after="0" w:line="171" w:lineRule="exact"/>
        <w:rPr>
          <w:rFonts w:ascii="Arial" w:cs="Arial" w:eastAsia="Arial" w:hAnsi="Arial"/>
          <w:sz w:val="18"/>
          <w:szCs w:val="18"/>
          <w:b w:val="1"/>
          <w:bCs w:val="1"/>
          <w:color w:val="355675"/>
        </w:rPr>
      </w:pPr>
    </w:p>
    <w:p>
      <w:pPr>
        <w:ind w:left="520" w:right="2000" w:hanging="332"/>
        <w:spacing w:after="0" w:line="271" w:lineRule="auto"/>
        <w:tabs>
          <w:tab w:leader="none" w:pos="520" w:val="left"/>
        </w:tabs>
        <w:numPr>
          <w:ilvl w:val="0"/>
          <w:numId w:val="21"/>
        </w:numPr>
        <w:rPr>
          <w:rFonts w:ascii="Arial" w:cs="Arial" w:eastAsia="Arial" w:hAnsi="Arial"/>
          <w:sz w:val="18"/>
          <w:szCs w:val="18"/>
          <w:b w:val="1"/>
          <w:bCs w:val="1"/>
          <w:color w:val="355675"/>
        </w:rPr>
      </w:pPr>
      <w:r>
        <w:rPr>
          <w:rFonts w:ascii="Arial" w:cs="Arial" w:eastAsia="Arial" w:hAnsi="Arial"/>
          <w:sz w:val="18"/>
          <w:szCs w:val="18"/>
          <w:color w:val="auto"/>
        </w:rPr>
        <w:t xml:space="preserve">Plan to add at least </w:t>
      </w:r>
      <w:r>
        <w:rPr>
          <w:rFonts w:ascii="Arial" w:cs="Arial" w:eastAsia="Arial" w:hAnsi="Arial"/>
          <w:sz w:val="18"/>
          <w:szCs w:val="18"/>
          <w:b w:val="1"/>
          <w:bCs w:val="1"/>
          <w:color w:val="008C9F"/>
        </w:rPr>
        <w:t>3,000 MW of additional clean energy technologies</w:t>
      </w:r>
      <w:r>
        <w:rPr>
          <w:rFonts w:ascii="Arial" w:cs="Arial" w:eastAsia="Arial" w:hAnsi="Arial"/>
          <w:sz w:val="18"/>
          <w:szCs w:val="18"/>
          <w:color w:val="auto"/>
        </w:rPr>
        <w:t>, including solar and storage, by 2025</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spacing w:after="0" w:line="255" w:lineRule="auto"/>
        <w:rPr>
          <w:sz w:val="20"/>
          <w:szCs w:val="20"/>
          <w:color w:val="auto"/>
        </w:rPr>
      </w:pPr>
      <w:r>
        <w:rPr>
          <w:rFonts w:ascii="Arial" w:cs="Arial" w:eastAsia="Arial" w:hAnsi="Arial"/>
          <w:sz w:val="17"/>
          <w:szCs w:val="17"/>
          <w:color w:val="auto"/>
        </w:rPr>
        <w:t xml:space="preserve">Our </w:t>
      </w:r>
      <w:r>
        <w:rPr>
          <w:rFonts w:ascii="Arial" w:cs="Arial" w:eastAsia="Arial" w:hAnsi="Arial"/>
          <w:sz w:val="17"/>
          <w:szCs w:val="17"/>
          <w:b w:val="1"/>
          <w:bCs w:val="1"/>
          <w:color w:val="008C9F"/>
        </w:rPr>
        <w:t>10 grid-scale</w:t>
      </w:r>
      <w:r>
        <w:rPr>
          <w:rFonts w:ascii="Arial" w:cs="Arial" w:eastAsia="Arial" w:hAnsi="Arial"/>
          <w:sz w:val="17"/>
          <w:szCs w:val="17"/>
          <w:color w:val="auto"/>
        </w:rPr>
        <w:t xml:space="preserve"> solar plants are powered by more than</w:t>
      </w:r>
    </w:p>
    <w:p>
      <w:pPr>
        <w:spacing w:after="0" w:line="2" w:lineRule="exact"/>
        <w:rPr>
          <w:sz w:val="20"/>
          <w:szCs w:val="20"/>
          <w:color w:val="auto"/>
        </w:rPr>
      </w:pPr>
    </w:p>
    <w:p>
      <w:pPr>
        <w:ind w:right="580"/>
        <w:spacing w:after="0" w:line="260" w:lineRule="auto"/>
        <w:rPr>
          <w:sz w:val="20"/>
          <w:szCs w:val="20"/>
          <w:color w:val="auto"/>
        </w:rPr>
      </w:pPr>
      <w:r>
        <w:rPr>
          <w:rFonts w:ascii="Arial" w:cs="Arial" w:eastAsia="Arial" w:hAnsi="Arial"/>
          <w:sz w:val="18"/>
          <w:szCs w:val="18"/>
          <w:b w:val="1"/>
          <w:bCs w:val="1"/>
          <w:color w:val="008C9F"/>
        </w:rPr>
        <w:t>1 million solar panels</w:t>
      </w:r>
    </w:p>
    <w:p>
      <w:pPr>
        <w:spacing w:after="0" w:line="538" w:lineRule="exact"/>
        <w:rPr>
          <w:sz w:val="20"/>
          <w:szCs w:val="20"/>
          <w:color w:val="auto"/>
        </w:rPr>
      </w:pPr>
    </w:p>
    <w:p>
      <w:pPr>
        <w:sectPr>
          <w:pgSz w:w="11900" w:h="16838" w:orient="portrait"/>
          <w:cols w:equalWidth="0" w:num="2">
            <w:col w:w="8420" w:space="720"/>
            <w:col w:w="1780"/>
          </w:cols>
          <w:pgMar w:left="320" w:top="125" w:right="659" w:bottom="1440" w:gutter="0" w:footer="0" w:header="0"/>
          <w:type w:val="continuous"/>
        </w:sectPr>
      </w:pPr>
    </w:p>
    <w:p>
      <w:pPr>
        <w:spacing w:after="0" w:line="124" w:lineRule="exact"/>
        <w:rPr>
          <w:sz w:val="20"/>
          <w:szCs w:val="20"/>
          <w:color w:val="auto"/>
        </w:rPr>
      </w:pPr>
    </w:p>
    <w:p>
      <w:pPr>
        <w:ind w:left="660"/>
        <w:spacing w:after="0"/>
        <w:rPr>
          <w:sz w:val="20"/>
          <w:szCs w:val="20"/>
          <w:color w:val="auto"/>
        </w:rPr>
      </w:pPr>
      <w:r>
        <w:rPr>
          <w:rFonts w:ascii="Arial" w:cs="Arial" w:eastAsia="Arial" w:hAnsi="Arial"/>
          <w:sz w:val="20"/>
          <w:szCs w:val="20"/>
          <w:b w:val="1"/>
          <w:bCs w:val="1"/>
          <w:color w:val="355675"/>
        </w:rPr>
        <w:t>Reducing Water Consumption</w:t>
      </w:r>
    </w:p>
    <w:p>
      <w:pPr>
        <w:spacing w:after="0" w:line="166" w:lineRule="exact"/>
        <w:rPr>
          <w:sz w:val="20"/>
          <w:szCs w:val="20"/>
          <w:color w:val="auto"/>
        </w:rPr>
      </w:pPr>
    </w:p>
    <w:p>
      <w:pPr>
        <w:ind w:left="100"/>
        <w:spacing w:after="0"/>
        <w:rPr>
          <w:sz w:val="20"/>
          <w:szCs w:val="20"/>
          <w:color w:val="auto"/>
        </w:rPr>
      </w:pPr>
      <w:r>
        <w:rPr>
          <w:rFonts w:ascii="Arial" w:cs="Arial" w:eastAsia="Arial" w:hAnsi="Arial"/>
          <w:sz w:val="18"/>
          <w:szCs w:val="18"/>
          <w:color w:val="auto"/>
        </w:rPr>
        <w:t xml:space="preserve">Operating in the water-constrained Southwest desert, APS is challenged to </w:t>
      </w:r>
      <w:r>
        <w:rPr>
          <w:rFonts w:ascii="Arial" w:cs="Arial" w:eastAsia="Arial" w:hAnsi="Arial"/>
          <w:sz w:val="18"/>
          <w:szCs w:val="18"/>
          <w:b w:val="1"/>
          <w:bCs w:val="1"/>
          <w:color w:val="008C9F"/>
        </w:rPr>
        <w:t>maximize our use of water resources:</w:t>
      </w:r>
    </w:p>
    <w:p>
      <w:pPr>
        <w:spacing w:after="0" w:line="252" w:lineRule="exact"/>
        <w:rPr>
          <w:sz w:val="20"/>
          <w:szCs w:val="20"/>
          <w:color w:val="auto"/>
        </w:rPr>
      </w:pPr>
    </w:p>
    <w:p>
      <w:pPr>
        <w:ind w:left="480" w:hanging="292"/>
        <w:spacing w:after="0"/>
        <w:tabs>
          <w:tab w:leader="none" w:pos="480" w:val="left"/>
        </w:tabs>
        <w:numPr>
          <w:ilvl w:val="0"/>
          <w:numId w:val="22"/>
        </w:numPr>
        <w:rPr>
          <w:rFonts w:ascii="Arial" w:cs="Arial" w:eastAsia="Arial" w:hAnsi="Arial"/>
          <w:sz w:val="36"/>
          <w:szCs w:val="36"/>
          <w:b w:val="1"/>
          <w:bCs w:val="1"/>
          <w:color w:val="355675"/>
          <w:vertAlign w:val="superscript"/>
        </w:rPr>
      </w:pPr>
      <w:r>
        <w:rPr>
          <w:rFonts w:ascii="Arial" w:cs="Arial" w:eastAsia="Arial" w:hAnsi="Arial"/>
          <w:sz w:val="18"/>
          <w:szCs w:val="18"/>
          <w:b w:val="1"/>
          <w:bCs w:val="1"/>
          <w:color w:val="008C9F"/>
        </w:rPr>
        <w:t>33% reduction</w:t>
      </w:r>
      <w:r>
        <w:rPr>
          <w:rFonts w:ascii="Arial" w:cs="Arial" w:eastAsia="Arial" w:hAnsi="Arial"/>
          <w:sz w:val="29"/>
          <w:szCs w:val="29"/>
          <w:b w:val="1"/>
          <w:bCs w:val="1"/>
          <w:color w:val="008C9F"/>
          <w:vertAlign w:val="superscript"/>
        </w:rPr>
        <w:t>(1)</w:t>
      </w:r>
      <w:r>
        <w:rPr>
          <w:rFonts w:ascii="Arial" w:cs="Arial" w:eastAsia="Arial" w:hAnsi="Arial"/>
          <w:sz w:val="18"/>
          <w:szCs w:val="18"/>
          <w:b w:val="1"/>
          <w:bCs w:val="1"/>
          <w:color w:val="008C9F"/>
        </w:rPr>
        <w:t xml:space="preserve"> </w:t>
      </w:r>
      <w:r>
        <w:rPr>
          <w:rFonts w:ascii="Arial" w:cs="Arial" w:eastAsia="Arial" w:hAnsi="Arial"/>
          <w:sz w:val="18"/>
          <w:szCs w:val="18"/>
          <w:color w:val="000000"/>
        </w:rPr>
        <w:t>in groundwater use in 2021</w:t>
      </w:r>
    </w:p>
    <w:p>
      <w:pPr>
        <w:spacing w:after="0" w:line="23" w:lineRule="exact"/>
        <w:rPr>
          <w:rFonts w:ascii="Arial" w:cs="Arial" w:eastAsia="Arial" w:hAnsi="Arial"/>
          <w:sz w:val="36"/>
          <w:szCs w:val="36"/>
          <w:b w:val="1"/>
          <w:bCs w:val="1"/>
          <w:color w:val="355675"/>
          <w:vertAlign w:val="superscript"/>
        </w:rPr>
      </w:pPr>
    </w:p>
    <w:p>
      <w:pPr>
        <w:ind w:left="480" w:hanging="292"/>
        <w:spacing w:after="0"/>
        <w:tabs>
          <w:tab w:leader="none" w:pos="480" w:val="left"/>
        </w:tabs>
        <w:numPr>
          <w:ilvl w:val="0"/>
          <w:numId w:val="22"/>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73% of water consumed by APS power plants </w:t>
      </w:r>
      <w:r>
        <w:rPr>
          <w:rFonts w:ascii="Arial" w:cs="Arial" w:eastAsia="Arial" w:hAnsi="Arial"/>
          <w:sz w:val="18"/>
          <w:szCs w:val="18"/>
          <w:color w:val="000000"/>
        </w:rPr>
        <w:t>in 2021 came from treated effluent water</w:t>
      </w:r>
    </w:p>
    <w:p>
      <w:pPr>
        <w:spacing w:after="0" w:line="180"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231F20"/>
        </w:rPr>
        <w:t>Projected Conservation of Non-Renewable Water Supplies:</w:t>
      </w:r>
    </w:p>
    <w:p>
      <w:pPr>
        <w:spacing w:after="0" w:line="198" w:lineRule="exact"/>
        <w:rPr>
          <w:sz w:val="20"/>
          <w:szCs w:val="20"/>
          <w:color w:val="auto"/>
        </w:rPr>
      </w:pPr>
    </w:p>
    <w:tbl>
      <w:tblPr>
        <w:tblLayout w:type="fixed"/>
        <w:tblInd w:w="100" w:type="dxa"/>
        <w:tblCellMar>
          <w:top w:w="0" w:type="dxa"/>
          <w:left w:w="0" w:type="dxa"/>
          <w:bottom w:w="0" w:type="dxa"/>
          <w:right w:w="0" w:type="dxa"/>
        </w:tblCellMar>
      </w:tblPr>
      <w:tr>
        <w:trPr>
          <w:trHeight w:val="239"/>
        </w:trPr>
        <w:tc>
          <w:tcPr>
            <w:tcW w:w="2360" w:type="dxa"/>
            <w:vAlign w:val="bottom"/>
          </w:tcPr>
          <w:p>
            <w:pPr>
              <w:spacing w:after="0"/>
              <w:rPr>
                <w:sz w:val="20"/>
                <w:szCs w:val="20"/>
                <w:color w:val="auto"/>
              </w:rPr>
            </w:pPr>
            <w:r>
              <w:rPr>
                <w:rFonts w:ascii="Arial" w:cs="Arial" w:eastAsia="Arial" w:hAnsi="Arial"/>
                <w:sz w:val="18"/>
                <w:szCs w:val="18"/>
                <w:color w:val="231F20"/>
              </w:rPr>
              <w:t>2025</w:t>
            </w:r>
          </w:p>
        </w:tc>
        <w:tc>
          <w:tcPr>
            <w:tcW w:w="2900" w:type="dxa"/>
            <w:vAlign w:val="bottom"/>
          </w:tcPr>
          <w:p>
            <w:pPr>
              <w:spacing w:after="0"/>
              <w:rPr>
                <w:sz w:val="20"/>
                <w:szCs w:val="20"/>
                <w:color w:val="auto"/>
              </w:rPr>
            </w:pPr>
          </w:p>
        </w:tc>
        <w:tc>
          <w:tcPr>
            <w:tcW w:w="2640" w:type="dxa"/>
            <w:vAlign w:val="bottom"/>
          </w:tcPr>
          <w:p>
            <w:pPr>
              <w:ind w:left="280"/>
              <w:spacing w:after="0"/>
              <w:rPr>
                <w:sz w:val="20"/>
                <w:szCs w:val="20"/>
                <w:color w:val="auto"/>
              </w:rPr>
            </w:pPr>
            <w:r>
              <w:rPr>
                <w:rFonts w:ascii="Arial" w:cs="Arial" w:eastAsia="Arial" w:hAnsi="Arial"/>
                <w:sz w:val="18"/>
                <w:szCs w:val="18"/>
                <w:color w:val="231F20"/>
              </w:rPr>
              <w:t>2035</w:t>
            </w:r>
          </w:p>
        </w:tc>
        <w:tc>
          <w:tcPr>
            <w:tcW w:w="2620" w:type="dxa"/>
            <w:vAlign w:val="bottom"/>
          </w:tcPr>
          <w:p>
            <w:pPr>
              <w:spacing w:after="0"/>
              <w:rPr>
                <w:sz w:val="20"/>
                <w:szCs w:val="20"/>
                <w:color w:val="auto"/>
              </w:rPr>
            </w:pPr>
          </w:p>
        </w:tc>
      </w:tr>
      <w:tr>
        <w:trPr>
          <w:trHeight w:val="481"/>
        </w:trPr>
        <w:tc>
          <w:tcPr>
            <w:tcW w:w="2360" w:type="dxa"/>
            <w:vAlign w:val="bottom"/>
          </w:tcPr>
          <w:p>
            <w:pPr>
              <w:spacing w:after="0"/>
              <w:rPr>
                <w:sz w:val="20"/>
                <w:szCs w:val="20"/>
                <w:color w:val="auto"/>
              </w:rPr>
            </w:pPr>
            <w:r>
              <w:rPr>
                <w:rFonts w:ascii="Arial" w:cs="Arial" w:eastAsia="Arial" w:hAnsi="Arial"/>
                <w:sz w:val="32"/>
                <w:szCs w:val="32"/>
                <w:b w:val="1"/>
                <w:bCs w:val="1"/>
                <w:color w:val="008C9F"/>
              </w:rPr>
              <w:t>50%</w:t>
            </w:r>
          </w:p>
        </w:tc>
        <w:tc>
          <w:tcPr>
            <w:tcW w:w="2900" w:type="dxa"/>
            <w:vAlign w:val="bottom"/>
          </w:tcPr>
          <w:p>
            <w:pPr>
              <w:ind w:left="400"/>
              <w:spacing w:after="0"/>
              <w:rPr>
                <w:sz w:val="20"/>
                <w:szCs w:val="20"/>
                <w:color w:val="auto"/>
              </w:rPr>
            </w:pPr>
            <w:r>
              <w:rPr>
                <w:rFonts w:ascii="Arial" w:cs="Arial" w:eastAsia="Arial" w:hAnsi="Arial"/>
                <w:sz w:val="32"/>
                <w:szCs w:val="32"/>
                <w:b w:val="1"/>
                <w:bCs w:val="1"/>
                <w:color w:val="008C9F"/>
              </w:rPr>
              <w:t>79%</w:t>
            </w:r>
          </w:p>
        </w:tc>
        <w:tc>
          <w:tcPr>
            <w:tcW w:w="2640" w:type="dxa"/>
            <w:vAlign w:val="bottom"/>
          </w:tcPr>
          <w:p>
            <w:pPr>
              <w:ind w:left="280"/>
              <w:spacing w:after="0"/>
              <w:rPr>
                <w:sz w:val="20"/>
                <w:szCs w:val="20"/>
                <w:color w:val="auto"/>
              </w:rPr>
            </w:pPr>
            <w:r>
              <w:rPr>
                <w:rFonts w:ascii="Arial" w:cs="Arial" w:eastAsia="Arial" w:hAnsi="Arial"/>
                <w:sz w:val="32"/>
                <w:szCs w:val="32"/>
                <w:b w:val="1"/>
                <w:bCs w:val="1"/>
                <w:color w:val="008C9F"/>
              </w:rPr>
              <w:t>80%</w:t>
            </w:r>
          </w:p>
        </w:tc>
        <w:tc>
          <w:tcPr>
            <w:tcW w:w="2620" w:type="dxa"/>
            <w:vAlign w:val="bottom"/>
          </w:tcPr>
          <w:p>
            <w:pPr>
              <w:ind w:left="380"/>
              <w:spacing w:after="0"/>
              <w:rPr>
                <w:sz w:val="20"/>
                <w:szCs w:val="20"/>
                <w:color w:val="auto"/>
              </w:rPr>
            </w:pPr>
            <w:r>
              <w:rPr>
                <w:rFonts w:ascii="Arial" w:cs="Arial" w:eastAsia="Arial" w:hAnsi="Arial"/>
                <w:sz w:val="32"/>
                <w:szCs w:val="32"/>
                <w:b w:val="1"/>
                <w:bCs w:val="1"/>
                <w:color w:val="008C9F"/>
              </w:rPr>
              <w:t>95%</w:t>
            </w:r>
          </w:p>
        </w:tc>
      </w:tr>
      <w:tr>
        <w:trPr>
          <w:trHeight w:val="429"/>
        </w:trPr>
        <w:tc>
          <w:tcPr>
            <w:tcW w:w="2360" w:type="dxa"/>
            <w:vAlign w:val="bottom"/>
          </w:tcPr>
          <w:p>
            <w:pPr>
              <w:spacing w:after="0"/>
              <w:rPr>
                <w:sz w:val="20"/>
                <w:szCs w:val="20"/>
                <w:color w:val="auto"/>
              </w:rPr>
            </w:pPr>
            <w:r>
              <w:rPr>
                <w:rFonts w:ascii="Arial" w:cs="Arial" w:eastAsia="Arial" w:hAnsi="Arial"/>
                <w:sz w:val="18"/>
                <w:szCs w:val="18"/>
                <w:color w:val="auto"/>
              </w:rPr>
              <w:t>groundwater reduction</w:t>
            </w:r>
            <w:r>
              <w:rPr>
                <w:rFonts w:ascii="Arial" w:cs="Arial" w:eastAsia="Arial" w:hAnsi="Arial"/>
                <w:sz w:val="29"/>
                <w:szCs w:val="29"/>
                <w:color w:val="auto"/>
                <w:vertAlign w:val="superscript"/>
              </w:rPr>
              <w:t>(1)</w:t>
            </w:r>
          </w:p>
        </w:tc>
        <w:tc>
          <w:tcPr>
            <w:tcW w:w="2900" w:type="dxa"/>
            <w:vAlign w:val="bottom"/>
          </w:tcPr>
          <w:p>
            <w:pPr>
              <w:ind w:left="400"/>
              <w:spacing w:after="0"/>
              <w:rPr>
                <w:sz w:val="20"/>
                <w:szCs w:val="20"/>
                <w:color w:val="auto"/>
              </w:rPr>
            </w:pPr>
            <w:r>
              <w:rPr>
                <w:rFonts w:ascii="Arial" w:cs="Arial" w:eastAsia="Arial" w:hAnsi="Arial"/>
                <w:sz w:val="18"/>
                <w:szCs w:val="18"/>
                <w:color w:val="auto"/>
              </w:rPr>
              <w:t>use of treated effluent water</w:t>
            </w:r>
          </w:p>
        </w:tc>
        <w:tc>
          <w:tcPr>
            <w:tcW w:w="2640" w:type="dxa"/>
            <w:vAlign w:val="bottom"/>
          </w:tcPr>
          <w:p>
            <w:pPr>
              <w:ind w:left="280"/>
              <w:spacing w:after="0"/>
              <w:rPr>
                <w:sz w:val="20"/>
                <w:szCs w:val="20"/>
                <w:color w:val="auto"/>
              </w:rPr>
            </w:pPr>
            <w:r>
              <w:rPr>
                <w:rFonts w:ascii="Arial" w:cs="Arial" w:eastAsia="Arial" w:hAnsi="Arial"/>
                <w:sz w:val="18"/>
                <w:szCs w:val="18"/>
                <w:color w:val="auto"/>
              </w:rPr>
              <w:t>groundwater reduction</w:t>
            </w:r>
            <w:r>
              <w:rPr>
                <w:rFonts w:ascii="Arial" w:cs="Arial" w:eastAsia="Arial" w:hAnsi="Arial"/>
                <w:sz w:val="29"/>
                <w:szCs w:val="29"/>
                <w:color w:val="auto"/>
                <w:vertAlign w:val="superscript"/>
              </w:rPr>
              <w:t>(1)</w:t>
            </w:r>
          </w:p>
        </w:tc>
        <w:tc>
          <w:tcPr>
            <w:tcW w:w="2620" w:type="dxa"/>
            <w:vAlign w:val="bottom"/>
          </w:tcPr>
          <w:p>
            <w:pPr>
              <w:ind w:left="380"/>
              <w:spacing w:after="0"/>
              <w:rPr>
                <w:sz w:val="20"/>
                <w:szCs w:val="20"/>
                <w:color w:val="auto"/>
              </w:rPr>
            </w:pPr>
            <w:r>
              <w:rPr>
                <w:rFonts w:ascii="Arial" w:cs="Arial" w:eastAsia="Arial" w:hAnsi="Arial"/>
                <w:sz w:val="18"/>
                <w:szCs w:val="18"/>
                <w:color w:val="auto"/>
                <w:w w:val="99"/>
              </w:rPr>
              <w:t>use of treated effluent water</w:t>
            </w:r>
          </w:p>
        </w:tc>
      </w:tr>
    </w:tbl>
    <w:p>
      <w:pPr>
        <w:ind w:left="420" w:hanging="322"/>
        <w:spacing w:after="0" w:line="180" w:lineRule="auto"/>
        <w:tabs>
          <w:tab w:leader="none" w:pos="420" w:val="left"/>
        </w:tabs>
        <w:numPr>
          <w:ilvl w:val="0"/>
          <w:numId w:val="23"/>
        </w:numPr>
        <w:rPr>
          <w:rFonts w:ascii="Arial" w:cs="Arial" w:eastAsia="Arial" w:hAnsi="Arial"/>
          <w:sz w:val="23"/>
          <w:szCs w:val="23"/>
          <w:color w:val="231F20"/>
          <w:vertAlign w:val="superscript"/>
        </w:rPr>
      </w:pPr>
      <w:r>
        <w:rPr>
          <w:rFonts w:ascii="Arial" w:cs="Arial" w:eastAsia="Arial" w:hAnsi="Arial"/>
          <w:sz w:val="14"/>
          <w:szCs w:val="14"/>
          <w:color w:val="231F20"/>
        </w:rPr>
        <w:t>Based on 2014 usage baseline.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271780</wp:posOffset>
            </wp:positionV>
            <wp:extent cx="1191260" cy="2317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920"/>
          </w:cols>
          <w:pgMar w:left="320" w:top="125" w:right="659" w:bottom="1440" w:gutter="0" w:footer="0" w:header="0"/>
          <w:type w:val="continuous"/>
        </w:sectPr>
      </w:pPr>
    </w:p>
    <w:bookmarkStart w:id="21" w:name="page22"/>
    <w:bookmarkEnd w:id="2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81095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32320" cy="8109585"/>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jc w:val="right"/>
        <w:ind w:right="80"/>
        <w:spacing w:after="0"/>
        <w:rPr>
          <w:sz w:val="20"/>
          <w:szCs w:val="20"/>
          <w:color w:val="auto"/>
        </w:rPr>
      </w:pPr>
      <w:r>
        <w:rPr>
          <w:rFonts w:ascii="Arial" w:cs="Arial" w:eastAsia="Arial" w:hAnsi="Arial"/>
          <w:sz w:val="18"/>
          <w:szCs w:val="18"/>
          <w:b w:val="1"/>
          <w:bCs w:val="1"/>
          <w:color w:val="355675"/>
        </w:rPr>
        <w:t>Proxy Statement Summary</w:t>
      </w:r>
    </w:p>
    <w:p>
      <w:pPr>
        <w:spacing w:after="0" w:line="173"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355675"/>
        </w:rPr>
        <w:t>APS Clean Energy Commitment</w:t>
      </w:r>
    </w:p>
    <w:p>
      <w:pPr>
        <w:spacing w:after="0" w:line="183" w:lineRule="exact"/>
        <w:rPr>
          <w:sz w:val="20"/>
          <w:szCs w:val="20"/>
          <w:color w:val="auto"/>
        </w:rPr>
      </w:pPr>
    </w:p>
    <w:p>
      <w:pPr>
        <w:ind w:left="100"/>
        <w:spacing w:after="0"/>
        <w:tabs>
          <w:tab w:leader="none" w:pos="8920" w:val="left"/>
        </w:tabs>
        <w:rPr>
          <w:sz w:val="20"/>
          <w:szCs w:val="20"/>
          <w:color w:val="auto"/>
        </w:rPr>
      </w:pPr>
      <w:r>
        <w:rPr>
          <w:rFonts w:ascii="Arial" w:cs="Arial" w:eastAsia="Arial" w:hAnsi="Arial"/>
          <w:sz w:val="18"/>
          <w:szCs w:val="18"/>
          <w:b w:val="1"/>
          <w:bCs w:val="1"/>
          <w:color w:val="355675"/>
        </w:rPr>
        <w:t>Our Commitment: 100% Clean Energy by 2050</w:t>
      </w:r>
      <w:r>
        <w:rPr>
          <w:sz w:val="20"/>
          <w:szCs w:val="20"/>
          <w:color w:val="auto"/>
        </w:rPr>
        <w:tab/>
      </w:r>
      <w:r>
        <w:rPr>
          <w:rFonts w:ascii="Arial" w:cs="Arial" w:eastAsia="Arial" w:hAnsi="Arial"/>
          <w:sz w:val="17"/>
          <w:szCs w:val="17"/>
          <w:b w:val="1"/>
          <w:bCs w:val="1"/>
          <w:color w:val="008C9F"/>
        </w:rPr>
        <w:t>Clean Energy Pathway</w:t>
      </w:r>
    </w:p>
    <w:p>
      <w:pPr>
        <w:spacing w:after="0" w:line="50" w:lineRule="exact"/>
        <w:rPr>
          <w:sz w:val="20"/>
          <w:szCs w:val="20"/>
          <w:color w:val="auto"/>
        </w:rPr>
      </w:pPr>
    </w:p>
    <w:p>
      <w:pPr>
        <w:ind w:left="100"/>
        <w:spacing w:after="0"/>
        <w:rPr>
          <w:sz w:val="20"/>
          <w:szCs w:val="20"/>
          <w:color w:val="auto"/>
        </w:rPr>
      </w:pPr>
      <w:r>
        <w:rPr>
          <w:rFonts w:ascii="Arial" w:cs="Arial" w:eastAsia="Arial" w:hAnsi="Arial"/>
          <w:sz w:val="18"/>
          <w:szCs w:val="18"/>
          <w:color w:val="231F20"/>
        </w:rPr>
        <w:t>We’ve set a bold, three-part goal to provide a clean energy future for our customers:</w:t>
      </w:r>
    </w:p>
    <w:p>
      <w:pPr>
        <w:spacing w:after="0" w:line="239" w:lineRule="exact"/>
        <w:rPr>
          <w:sz w:val="20"/>
          <w:szCs w:val="20"/>
          <w:color w:val="auto"/>
        </w:rPr>
      </w:pPr>
    </w:p>
    <w:p>
      <w:pPr>
        <w:ind w:left="440" w:hanging="342"/>
        <w:spacing w:after="0"/>
        <w:tabs>
          <w:tab w:leader="none" w:pos="440" w:val="left"/>
        </w:tabs>
        <w:numPr>
          <w:ilvl w:val="0"/>
          <w:numId w:val="24"/>
        </w:numPr>
        <w:rPr>
          <w:rFonts w:ascii="Arial" w:cs="Arial" w:eastAsia="Arial" w:hAnsi="Arial"/>
          <w:sz w:val="18"/>
          <w:szCs w:val="18"/>
          <w:b w:val="1"/>
          <w:bCs w:val="1"/>
          <w:color w:val="355675"/>
        </w:rPr>
      </w:pPr>
      <w:r>
        <w:rPr>
          <w:rFonts w:ascii="Arial" w:cs="Arial" w:eastAsia="Arial" w:hAnsi="Arial"/>
          <w:sz w:val="18"/>
          <w:szCs w:val="18"/>
          <w:color w:val="231F20"/>
        </w:rPr>
        <w:t>A 2050 goal to provide 100% clean, carbon-free electricity</w:t>
      </w:r>
    </w:p>
    <w:p>
      <w:pPr>
        <w:spacing w:after="0" w:line="198" w:lineRule="exact"/>
        <w:rPr>
          <w:rFonts w:ascii="Arial" w:cs="Arial" w:eastAsia="Arial" w:hAnsi="Arial"/>
          <w:sz w:val="18"/>
          <w:szCs w:val="18"/>
          <w:b w:val="1"/>
          <w:bCs w:val="1"/>
          <w:color w:val="355675"/>
        </w:rPr>
      </w:pPr>
    </w:p>
    <w:p>
      <w:pPr>
        <w:ind w:left="440" w:right="3240" w:hanging="342"/>
        <w:spacing w:after="0" w:line="271" w:lineRule="auto"/>
        <w:tabs>
          <w:tab w:leader="none" w:pos="440" w:val="left"/>
        </w:tabs>
        <w:numPr>
          <w:ilvl w:val="0"/>
          <w:numId w:val="24"/>
        </w:numPr>
        <w:rPr>
          <w:rFonts w:ascii="Arial" w:cs="Arial" w:eastAsia="Arial" w:hAnsi="Arial"/>
          <w:sz w:val="18"/>
          <w:szCs w:val="18"/>
          <w:b w:val="1"/>
          <w:bCs w:val="1"/>
          <w:color w:val="355675"/>
        </w:rPr>
      </w:pPr>
      <w:r>
        <w:rPr>
          <w:rFonts w:ascii="Arial" w:cs="Arial" w:eastAsia="Arial" w:hAnsi="Arial"/>
          <w:sz w:val="18"/>
          <w:szCs w:val="18"/>
          <w:color w:val="231F20"/>
        </w:rPr>
        <w:t>A 2030 target of achieving a resource mix that is 65% clean energy, with 45% of the generation portfolio coming from renewable energy</w:t>
      </w:r>
    </w:p>
    <w:p>
      <w:pPr>
        <w:spacing w:after="0" w:line="140" w:lineRule="exact"/>
        <w:rPr>
          <w:rFonts w:ascii="Arial" w:cs="Arial" w:eastAsia="Arial" w:hAnsi="Arial"/>
          <w:sz w:val="18"/>
          <w:szCs w:val="18"/>
          <w:b w:val="1"/>
          <w:bCs w:val="1"/>
          <w:color w:val="355675"/>
        </w:rPr>
      </w:pPr>
    </w:p>
    <w:p>
      <w:pPr>
        <w:ind w:left="440" w:hanging="342"/>
        <w:spacing w:after="0"/>
        <w:tabs>
          <w:tab w:leader="none" w:pos="440" w:val="left"/>
        </w:tabs>
        <w:numPr>
          <w:ilvl w:val="0"/>
          <w:numId w:val="24"/>
        </w:numPr>
        <w:rPr>
          <w:rFonts w:ascii="Arial" w:cs="Arial" w:eastAsia="Arial" w:hAnsi="Arial"/>
          <w:sz w:val="18"/>
          <w:szCs w:val="18"/>
          <w:b w:val="1"/>
          <w:bCs w:val="1"/>
          <w:color w:val="355675"/>
        </w:rPr>
      </w:pPr>
      <w:r>
        <w:rPr>
          <w:rFonts w:ascii="Arial" w:cs="Arial" w:eastAsia="Arial" w:hAnsi="Arial"/>
          <w:sz w:val="18"/>
          <w:szCs w:val="18"/>
          <w:color w:val="231F20"/>
        </w:rPr>
        <w:t>A commitment to end APS’s use of coal-fired generation by 2031</w:t>
      </w:r>
    </w:p>
    <w:p>
      <w:pPr>
        <w:spacing w:after="0" w:line="19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A Clean Economic Future</w:t>
      </w:r>
    </w:p>
    <w:p>
      <w:pPr>
        <w:spacing w:after="0" w:line="171" w:lineRule="exact"/>
        <w:rPr>
          <w:sz w:val="20"/>
          <w:szCs w:val="20"/>
          <w:color w:val="auto"/>
        </w:rPr>
      </w:pPr>
    </w:p>
    <w:p>
      <w:pPr>
        <w:ind w:left="440" w:right="2840" w:hanging="342"/>
        <w:spacing w:after="0" w:line="271" w:lineRule="auto"/>
        <w:tabs>
          <w:tab w:leader="none" w:pos="440" w:val="left"/>
        </w:tabs>
        <w:numPr>
          <w:ilvl w:val="0"/>
          <w:numId w:val="25"/>
        </w:numPr>
        <w:rPr>
          <w:rFonts w:ascii="Arial" w:cs="Arial" w:eastAsia="Arial" w:hAnsi="Arial"/>
          <w:sz w:val="18"/>
          <w:szCs w:val="18"/>
          <w:b w:val="1"/>
          <w:bCs w:val="1"/>
          <w:color w:val="355675"/>
        </w:rPr>
      </w:pPr>
      <w:r>
        <w:rPr>
          <w:rFonts w:ascii="Arial" w:cs="Arial" w:eastAsia="Arial" w:hAnsi="Arial"/>
          <w:sz w:val="18"/>
          <w:szCs w:val="18"/>
          <w:color w:val="231F20"/>
        </w:rPr>
        <w:t>Our clean energy plan will be guided by sound science and focused on achieving environmental and economic gains—all while maintaining affordable, reliable service for our customers</w:t>
      </w:r>
    </w:p>
    <w:p>
      <w:pPr>
        <w:spacing w:after="0" w:line="140" w:lineRule="exact"/>
        <w:rPr>
          <w:rFonts w:ascii="Arial" w:cs="Arial" w:eastAsia="Arial" w:hAnsi="Arial"/>
          <w:sz w:val="18"/>
          <w:szCs w:val="18"/>
          <w:b w:val="1"/>
          <w:bCs w:val="1"/>
          <w:color w:val="355675"/>
        </w:rPr>
      </w:pPr>
    </w:p>
    <w:p>
      <w:pPr>
        <w:ind w:left="440" w:right="2740" w:hanging="342"/>
        <w:spacing w:after="0" w:line="253" w:lineRule="auto"/>
        <w:tabs>
          <w:tab w:leader="none" w:pos="440" w:val="left"/>
        </w:tabs>
        <w:numPr>
          <w:ilvl w:val="0"/>
          <w:numId w:val="25"/>
        </w:numPr>
        <w:rPr>
          <w:rFonts w:ascii="Arial" w:cs="Arial" w:eastAsia="Arial" w:hAnsi="Arial"/>
          <w:sz w:val="18"/>
          <w:szCs w:val="18"/>
          <w:b w:val="1"/>
          <w:bCs w:val="1"/>
          <w:color w:val="355675"/>
        </w:rPr>
      </w:pPr>
      <w:r>
        <w:rPr>
          <w:rFonts w:ascii="Arial" w:cs="Arial" w:eastAsia="Arial" w:hAnsi="Arial"/>
          <w:sz w:val="18"/>
          <w:szCs w:val="18"/>
          <w:color w:val="231F20"/>
        </w:rPr>
        <w:t>Collaboration with customers, regulators and other stakeholders is key to our plan’s ultimate success. We look forward to working alongside those who believe in this vision to move forward together to keep Arizona clean, beautiful and thriving</w:t>
      </w:r>
    </w:p>
    <w:p>
      <w:pPr>
        <w:spacing w:after="0" w:line="155"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Pathways to 100% Clean</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180" w:type="dxa"/>
        <w:tblCellMar>
          <w:top w:w="0" w:type="dxa"/>
          <w:left w:w="0" w:type="dxa"/>
          <w:bottom w:w="0" w:type="dxa"/>
          <w:right w:w="0" w:type="dxa"/>
        </w:tblCellMar>
      </w:tblPr>
      <w:tr>
        <w:trPr>
          <w:trHeight w:val="247"/>
        </w:trPr>
        <w:tc>
          <w:tcPr>
            <w:tcW w:w="3960" w:type="dxa"/>
            <w:vAlign w:val="bottom"/>
            <w:vMerge w:val="restart"/>
          </w:tcPr>
          <w:p>
            <w:pPr>
              <w:spacing w:after="0"/>
              <w:rPr>
                <w:sz w:val="20"/>
                <w:szCs w:val="20"/>
                <w:color w:val="auto"/>
              </w:rPr>
            </w:pPr>
            <w:r>
              <w:rPr>
                <w:rFonts w:ascii="Arial" w:cs="Arial" w:eastAsia="Arial" w:hAnsi="Arial"/>
                <w:sz w:val="18"/>
                <w:szCs w:val="18"/>
                <w:b w:val="1"/>
                <w:bCs w:val="1"/>
                <w:color w:val="231F20"/>
              </w:rPr>
              <w:t>POLICY DECISIONS</w:t>
            </w:r>
          </w:p>
        </w:tc>
        <w:tc>
          <w:tcPr>
            <w:tcW w:w="4260" w:type="dxa"/>
            <w:vAlign w:val="bottom"/>
          </w:tcPr>
          <w:p>
            <w:pPr>
              <w:ind w:left="260"/>
              <w:spacing w:after="0"/>
              <w:rPr>
                <w:sz w:val="20"/>
                <w:szCs w:val="20"/>
                <w:color w:val="auto"/>
              </w:rPr>
            </w:pPr>
            <w:r>
              <w:rPr>
                <w:rFonts w:ascii="Arial" w:cs="Arial" w:eastAsia="Arial" w:hAnsi="Arial"/>
                <w:sz w:val="18"/>
                <w:szCs w:val="18"/>
                <w:b w:val="1"/>
                <w:bCs w:val="1"/>
                <w:color w:val="231F20"/>
              </w:rPr>
              <w:t>ELECTRIFICATION</w:t>
            </w:r>
          </w:p>
        </w:tc>
        <w:tc>
          <w:tcPr>
            <w:tcW w:w="0" w:type="dxa"/>
            <w:vAlign w:val="bottom"/>
          </w:tcPr>
          <w:p>
            <w:pPr>
              <w:spacing w:after="0"/>
              <w:rPr>
                <w:sz w:val="1"/>
                <w:szCs w:val="1"/>
                <w:color w:val="auto"/>
              </w:rPr>
            </w:pPr>
          </w:p>
        </w:tc>
      </w:tr>
      <w:tr>
        <w:trPr>
          <w:trHeight w:val="95"/>
        </w:trPr>
        <w:tc>
          <w:tcPr>
            <w:tcW w:w="3960" w:type="dxa"/>
            <w:vAlign w:val="bottom"/>
            <w:vMerge w:val="continue"/>
          </w:tcPr>
          <w:p>
            <w:pPr>
              <w:spacing w:after="0"/>
              <w:rPr>
                <w:sz w:val="8"/>
                <w:szCs w:val="8"/>
                <w:color w:val="auto"/>
              </w:rPr>
            </w:pPr>
          </w:p>
        </w:tc>
        <w:tc>
          <w:tcPr>
            <w:tcW w:w="4260" w:type="dxa"/>
            <w:vAlign w:val="bottom"/>
            <w:vMerge w:val="restart"/>
          </w:tcPr>
          <w:p>
            <w:pPr>
              <w:ind w:left="260"/>
              <w:spacing w:after="0"/>
              <w:rPr>
                <w:sz w:val="20"/>
                <w:szCs w:val="20"/>
                <w:color w:val="auto"/>
              </w:rPr>
            </w:pPr>
            <w:r>
              <w:rPr>
                <w:rFonts w:ascii="Arial" w:cs="Arial" w:eastAsia="Arial" w:hAnsi="Arial"/>
                <w:sz w:val="18"/>
                <w:szCs w:val="18"/>
                <w:color w:val="231F20"/>
                <w:w w:val="99"/>
              </w:rPr>
              <w:t>Electrification will drive a cleaner environment and</w:t>
            </w:r>
          </w:p>
        </w:tc>
        <w:tc>
          <w:tcPr>
            <w:tcW w:w="0" w:type="dxa"/>
            <w:vAlign w:val="bottom"/>
          </w:tcPr>
          <w:p>
            <w:pPr>
              <w:spacing w:after="0"/>
              <w:rPr>
                <w:sz w:val="1"/>
                <w:szCs w:val="1"/>
                <w:color w:val="auto"/>
              </w:rPr>
            </w:pPr>
          </w:p>
        </w:tc>
      </w:tr>
      <w:tr>
        <w:trPr>
          <w:trHeight w:val="118"/>
        </w:trPr>
        <w:tc>
          <w:tcPr>
            <w:tcW w:w="3960" w:type="dxa"/>
            <w:vAlign w:val="bottom"/>
            <w:vMerge w:val="restart"/>
          </w:tcPr>
          <w:p>
            <w:pPr>
              <w:spacing w:after="0"/>
              <w:rPr>
                <w:sz w:val="20"/>
                <w:szCs w:val="20"/>
                <w:color w:val="auto"/>
              </w:rPr>
            </w:pPr>
            <w:r>
              <w:rPr>
                <w:rFonts w:ascii="Arial" w:cs="Arial" w:eastAsia="Arial" w:hAnsi="Arial"/>
                <w:sz w:val="18"/>
                <w:szCs w:val="18"/>
                <w:color w:val="231F20"/>
              </w:rPr>
              <w:t>Support policy decisions that leverage market-</w:t>
            </w:r>
          </w:p>
        </w:tc>
        <w:tc>
          <w:tcPr>
            <w:tcW w:w="42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95"/>
        </w:trPr>
        <w:tc>
          <w:tcPr>
            <w:tcW w:w="3960" w:type="dxa"/>
            <w:vAlign w:val="bottom"/>
            <w:vMerge w:val="continue"/>
          </w:tcPr>
          <w:p>
            <w:pPr>
              <w:spacing w:after="0"/>
              <w:rPr>
                <w:sz w:val="8"/>
                <w:szCs w:val="8"/>
                <w:color w:val="auto"/>
              </w:rPr>
            </w:pPr>
          </w:p>
        </w:tc>
        <w:tc>
          <w:tcPr>
            <w:tcW w:w="4260" w:type="dxa"/>
            <w:vAlign w:val="bottom"/>
            <w:vMerge w:val="restart"/>
          </w:tcPr>
          <w:p>
            <w:pPr>
              <w:ind w:left="260"/>
              <w:spacing w:after="0" w:line="202" w:lineRule="exact"/>
              <w:rPr>
                <w:sz w:val="20"/>
                <w:szCs w:val="20"/>
                <w:color w:val="auto"/>
              </w:rPr>
            </w:pPr>
            <w:r>
              <w:rPr>
                <w:rFonts w:ascii="Arial" w:cs="Arial" w:eastAsia="Arial" w:hAnsi="Arial"/>
                <w:sz w:val="18"/>
                <w:szCs w:val="18"/>
                <w:color w:val="231F20"/>
              </w:rPr>
              <w:t>more energy-efficient operations throughout the</w:t>
            </w:r>
          </w:p>
        </w:tc>
        <w:tc>
          <w:tcPr>
            <w:tcW w:w="0" w:type="dxa"/>
            <w:vAlign w:val="bottom"/>
          </w:tcPr>
          <w:p>
            <w:pPr>
              <w:spacing w:after="0"/>
              <w:rPr>
                <w:sz w:val="1"/>
                <w:szCs w:val="1"/>
                <w:color w:val="auto"/>
              </w:rPr>
            </w:pPr>
          </w:p>
        </w:tc>
      </w:tr>
      <w:tr>
        <w:trPr>
          <w:trHeight w:val="108"/>
        </w:trPr>
        <w:tc>
          <w:tcPr>
            <w:tcW w:w="3960" w:type="dxa"/>
            <w:vAlign w:val="bottom"/>
            <w:vMerge w:val="restart"/>
          </w:tcPr>
          <w:p>
            <w:pPr>
              <w:spacing w:after="0" w:line="202" w:lineRule="exact"/>
              <w:rPr>
                <w:sz w:val="20"/>
                <w:szCs w:val="20"/>
                <w:color w:val="auto"/>
              </w:rPr>
            </w:pPr>
            <w:r>
              <w:rPr>
                <w:rFonts w:ascii="Arial" w:cs="Arial" w:eastAsia="Arial" w:hAnsi="Arial"/>
                <w:sz w:val="18"/>
                <w:szCs w:val="18"/>
                <w:color w:val="231F20"/>
              </w:rPr>
              <w:t>based technology and innovation to attract</w:t>
            </w:r>
          </w:p>
        </w:tc>
        <w:tc>
          <w:tcPr>
            <w:tcW w:w="42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5"/>
        </w:trPr>
        <w:tc>
          <w:tcPr>
            <w:tcW w:w="3960" w:type="dxa"/>
            <w:vAlign w:val="bottom"/>
            <w:vMerge w:val="continue"/>
          </w:tcPr>
          <w:p>
            <w:pPr>
              <w:spacing w:after="0"/>
              <w:rPr>
                <w:sz w:val="8"/>
                <w:szCs w:val="8"/>
                <w:color w:val="auto"/>
              </w:rPr>
            </w:pPr>
          </w:p>
        </w:tc>
        <w:tc>
          <w:tcPr>
            <w:tcW w:w="4260" w:type="dxa"/>
            <w:vAlign w:val="bottom"/>
            <w:vMerge w:val="restart"/>
          </w:tcPr>
          <w:p>
            <w:pPr>
              <w:ind w:left="260"/>
              <w:spacing w:after="0"/>
              <w:rPr>
                <w:sz w:val="20"/>
                <w:szCs w:val="20"/>
                <w:color w:val="auto"/>
              </w:rPr>
            </w:pPr>
            <w:r>
              <w:rPr>
                <w:rFonts w:ascii="Arial" w:cs="Arial" w:eastAsia="Arial" w:hAnsi="Arial"/>
                <w:sz w:val="18"/>
                <w:szCs w:val="18"/>
                <w:color w:val="231F20"/>
              </w:rPr>
              <w:t>economy</w:t>
            </w:r>
          </w:p>
        </w:tc>
        <w:tc>
          <w:tcPr>
            <w:tcW w:w="0" w:type="dxa"/>
            <w:vAlign w:val="bottom"/>
          </w:tcPr>
          <w:p>
            <w:pPr>
              <w:spacing w:after="0"/>
              <w:rPr>
                <w:sz w:val="1"/>
                <w:szCs w:val="1"/>
                <w:color w:val="auto"/>
              </w:rPr>
            </w:pPr>
          </w:p>
        </w:tc>
      </w:tr>
      <w:tr>
        <w:trPr>
          <w:trHeight w:val="144"/>
        </w:trPr>
        <w:tc>
          <w:tcPr>
            <w:tcW w:w="3960" w:type="dxa"/>
            <w:vAlign w:val="bottom"/>
            <w:vMerge w:val="restart"/>
          </w:tcPr>
          <w:p>
            <w:pPr>
              <w:spacing w:after="0"/>
              <w:rPr>
                <w:sz w:val="20"/>
                <w:szCs w:val="20"/>
                <w:color w:val="auto"/>
              </w:rPr>
            </w:pPr>
            <w:r>
              <w:rPr>
                <w:rFonts w:ascii="Arial" w:cs="Arial" w:eastAsia="Arial" w:hAnsi="Arial"/>
                <w:sz w:val="18"/>
                <w:szCs w:val="18"/>
                <w:color w:val="231F20"/>
              </w:rPr>
              <w:t>investment in Arizona</w:t>
            </w:r>
          </w:p>
        </w:tc>
        <w:tc>
          <w:tcPr>
            <w:tcW w:w="42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94"/>
        </w:trPr>
        <w:tc>
          <w:tcPr>
            <w:tcW w:w="3960" w:type="dxa"/>
            <w:vAlign w:val="bottom"/>
            <w:vMerge w:val="continue"/>
          </w:tcPr>
          <w:p>
            <w:pPr>
              <w:spacing w:after="0"/>
              <w:rPr>
                <w:sz w:val="8"/>
                <w:szCs w:val="8"/>
                <w:color w:val="auto"/>
              </w:rPr>
            </w:pPr>
          </w:p>
        </w:tc>
        <w:tc>
          <w:tcPr>
            <w:tcW w:w="42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tbl>
      <w:tblPr>
        <w:tblLayout w:type="fixed"/>
        <w:tblInd w:w="180" w:type="dxa"/>
        <w:tblCellMar>
          <w:top w:w="0" w:type="dxa"/>
          <w:left w:w="0" w:type="dxa"/>
          <w:bottom w:w="0" w:type="dxa"/>
          <w:right w:w="0" w:type="dxa"/>
        </w:tblCellMar>
      </w:tblPr>
      <w:tr>
        <w:trPr>
          <w:trHeight w:val="257"/>
        </w:trPr>
        <w:tc>
          <w:tcPr>
            <w:tcW w:w="4000" w:type="dxa"/>
            <w:vAlign w:val="bottom"/>
          </w:tcPr>
          <w:p>
            <w:pPr>
              <w:spacing w:after="0"/>
              <w:rPr>
                <w:sz w:val="20"/>
                <w:szCs w:val="20"/>
                <w:color w:val="auto"/>
              </w:rPr>
            </w:pPr>
            <w:r>
              <w:rPr>
                <w:rFonts w:ascii="Arial" w:cs="Arial" w:eastAsia="Arial" w:hAnsi="Arial"/>
                <w:sz w:val="18"/>
                <w:szCs w:val="18"/>
                <w:b w:val="1"/>
                <w:bCs w:val="1"/>
                <w:color w:val="231F20"/>
              </w:rPr>
              <w:t>EXISTING POWER SOURCES</w:t>
            </w:r>
          </w:p>
        </w:tc>
        <w:tc>
          <w:tcPr>
            <w:tcW w:w="3880" w:type="dxa"/>
            <w:vAlign w:val="bottom"/>
          </w:tcPr>
          <w:p>
            <w:pPr>
              <w:ind w:left="220"/>
              <w:spacing w:after="0"/>
              <w:rPr>
                <w:sz w:val="20"/>
                <w:szCs w:val="20"/>
                <w:color w:val="auto"/>
              </w:rPr>
            </w:pPr>
            <w:r>
              <w:rPr>
                <w:rFonts w:ascii="Arial" w:cs="Arial" w:eastAsia="Arial" w:hAnsi="Arial"/>
                <w:sz w:val="18"/>
                <w:szCs w:val="18"/>
                <w:b w:val="1"/>
                <w:bCs w:val="1"/>
                <w:color w:val="231F20"/>
                <w:w w:val="98"/>
              </w:rPr>
              <w:t>MODERNIZATION OF THE ELECTRIC GRID</w:t>
            </w:r>
          </w:p>
        </w:tc>
      </w:tr>
      <w:tr>
        <w:trPr>
          <w:trHeight w:val="203"/>
        </w:trPr>
        <w:tc>
          <w:tcPr>
            <w:tcW w:w="4000" w:type="dxa"/>
            <w:vAlign w:val="bottom"/>
          </w:tcPr>
          <w:p>
            <w:pPr>
              <w:spacing w:after="0" w:line="202" w:lineRule="exact"/>
              <w:rPr>
                <w:sz w:val="20"/>
                <w:szCs w:val="20"/>
                <w:color w:val="auto"/>
              </w:rPr>
            </w:pPr>
            <w:r>
              <w:rPr>
                <w:rFonts w:ascii="Arial" w:cs="Arial" w:eastAsia="Arial" w:hAnsi="Arial"/>
                <w:sz w:val="18"/>
                <w:szCs w:val="18"/>
                <w:color w:val="231F20"/>
              </w:rPr>
              <w:t>Near-term use of natural gas until technological</w:t>
            </w:r>
          </w:p>
        </w:tc>
        <w:tc>
          <w:tcPr>
            <w:tcW w:w="3880" w:type="dxa"/>
            <w:vAlign w:val="bottom"/>
          </w:tcPr>
          <w:p>
            <w:pPr>
              <w:ind w:left="220"/>
              <w:spacing w:after="0" w:line="202" w:lineRule="exact"/>
              <w:rPr>
                <w:sz w:val="20"/>
                <w:szCs w:val="20"/>
                <w:color w:val="auto"/>
              </w:rPr>
            </w:pPr>
            <w:r>
              <w:rPr>
                <w:rFonts w:ascii="Arial" w:cs="Arial" w:eastAsia="Arial" w:hAnsi="Arial"/>
                <w:sz w:val="18"/>
                <w:szCs w:val="18"/>
                <w:color w:val="231F20"/>
              </w:rPr>
              <w:t>Continue to advance infrastructure that is</w:t>
            </w:r>
          </w:p>
        </w:tc>
      </w:tr>
      <w:tr>
        <w:trPr>
          <w:trHeight w:val="203"/>
        </w:trPr>
        <w:tc>
          <w:tcPr>
            <w:tcW w:w="4000" w:type="dxa"/>
            <w:vAlign w:val="bottom"/>
          </w:tcPr>
          <w:p>
            <w:pPr>
              <w:spacing w:after="0" w:line="202" w:lineRule="exact"/>
              <w:rPr>
                <w:sz w:val="20"/>
                <w:szCs w:val="20"/>
                <w:color w:val="auto"/>
              </w:rPr>
            </w:pPr>
            <w:r>
              <w:rPr>
                <w:rFonts w:ascii="Arial" w:cs="Arial" w:eastAsia="Arial" w:hAnsi="Arial"/>
                <w:sz w:val="18"/>
                <w:szCs w:val="18"/>
                <w:color w:val="231F20"/>
              </w:rPr>
              <w:t>advances are available to maintain reliable</w:t>
            </w:r>
          </w:p>
        </w:tc>
        <w:tc>
          <w:tcPr>
            <w:tcW w:w="3880" w:type="dxa"/>
            <w:vAlign w:val="bottom"/>
          </w:tcPr>
          <w:p>
            <w:pPr>
              <w:ind w:left="220"/>
              <w:spacing w:after="0" w:line="202" w:lineRule="exact"/>
              <w:rPr>
                <w:sz w:val="20"/>
                <w:szCs w:val="20"/>
                <w:color w:val="auto"/>
              </w:rPr>
            </w:pPr>
            <w:r>
              <w:rPr>
                <w:rFonts w:ascii="Arial" w:cs="Arial" w:eastAsia="Arial" w:hAnsi="Arial"/>
                <w:sz w:val="18"/>
                <w:szCs w:val="18"/>
                <w:color w:val="231F20"/>
              </w:rPr>
              <w:t>responsive and resilient while providing</w:t>
            </w:r>
          </w:p>
        </w:tc>
      </w:tr>
      <w:tr>
        <w:trPr>
          <w:trHeight w:val="252"/>
        </w:trPr>
        <w:tc>
          <w:tcPr>
            <w:tcW w:w="4000" w:type="dxa"/>
            <w:vAlign w:val="bottom"/>
          </w:tcPr>
          <w:p>
            <w:pPr>
              <w:spacing w:after="0"/>
              <w:rPr>
                <w:sz w:val="20"/>
                <w:szCs w:val="20"/>
                <w:color w:val="auto"/>
              </w:rPr>
            </w:pPr>
            <w:r>
              <w:rPr>
                <w:rFonts w:ascii="Arial" w:cs="Arial" w:eastAsia="Arial" w:hAnsi="Arial"/>
                <w:sz w:val="18"/>
                <w:szCs w:val="18"/>
                <w:color w:val="231F20"/>
              </w:rPr>
              <w:t>service at reasonable prices</w:t>
            </w:r>
          </w:p>
        </w:tc>
        <w:tc>
          <w:tcPr>
            <w:tcW w:w="3880" w:type="dxa"/>
            <w:vAlign w:val="bottom"/>
          </w:tcPr>
          <w:p>
            <w:pPr>
              <w:ind w:left="220"/>
              <w:spacing w:after="0"/>
              <w:rPr>
                <w:sz w:val="20"/>
                <w:szCs w:val="20"/>
                <w:color w:val="auto"/>
              </w:rPr>
            </w:pPr>
            <w:r>
              <w:rPr>
                <w:rFonts w:ascii="Arial" w:cs="Arial" w:eastAsia="Arial" w:hAnsi="Arial"/>
                <w:sz w:val="18"/>
                <w:szCs w:val="18"/>
                <w:color w:val="231F20"/>
              </w:rPr>
              <w:t>customers more choice and control</w:t>
            </w:r>
          </w:p>
        </w:tc>
      </w:tr>
    </w:tbl>
    <w:p>
      <w:pPr>
        <w:spacing w:after="0" w:line="200" w:lineRule="exact"/>
        <w:rPr>
          <w:sz w:val="20"/>
          <w:szCs w:val="20"/>
          <w:color w:val="auto"/>
        </w:rPr>
      </w:pPr>
    </w:p>
    <w:p>
      <w:pPr>
        <w:spacing w:after="0" w:line="371" w:lineRule="exact"/>
        <w:rPr>
          <w:sz w:val="20"/>
          <w:szCs w:val="20"/>
          <w:color w:val="auto"/>
        </w:rPr>
      </w:pPr>
    </w:p>
    <w:tbl>
      <w:tblPr>
        <w:tblLayout w:type="fixed"/>
        <w:tblInd w:w="100" w:type="dxa"/>
        <w:tblCellMar>
          <w:top w:w="0" w:type="dxa"/>
          <w:left w:w="0" w:type="dxa"/>
          <w:bottom w:w="0" w:type="dxa"/>
          <w:right w:w="0" w:type="dxa"/>
        </w:tblCellMar>
      </w:tblPr>
      <w:tr>
        <w:trPr>
          <w:trHeight w:val="256"/>
        </w:trPr>
        <w:tc>
          <w:tcPr>
            <w:tcW w:w="4120" w:type="dxa"/>
            <w:vAlign w:val="bottom"/>
            <w:gridSpan w:val="3"/>
          </w:tcPr>
          <w:p>
            <w:pPr>
              <w:ind w:left="80"/>
              <w:spacing w:after="0"/>
              <w:rPr>
                <w:sz w:val="20"/>
                <w:szCs w:val="20"/>
                <w:color w:val="auto"/>
              </w:rPr>
            </w:pPr>
            <w:r>
              <w:rPr>
                <w:rFonts w:ascii="Arial" w:cs="Arial" w:eastAsia="Arial" w:hAnsi="Arial"/>
                <w:sz w:val="18"/>
                <w:szCs w:val="18"/>
                <w:b w:val="1"/>
                <w:bCs w:val="1"/>
                <w:color w:val="231F20"/>
              </w:rPr>
              <w:t>EVOLVING MARKET-BASED SOLUTIONS</w:t>
            </w:r>
          </w:p>
        </w:tc>
        <w:tc>
          <w:tcPr>
            <w:tcW w:w="6920" w:type="dxa"/>
            <w:vAlign w:val="bottom"/>
          </w:tcPr>
          <w:p>
            <w:pPr>
              <w:ind w:left="180"/>
              <w:spacing w:after="0"/>
              <w:rPr>
                <w:sz w:val="20"/>
                <w:szCs w:val="20"/>
                <w:color w:val="auto"/>
              </w:rPr>
            </w:pPr>
            <w:r>
              <w:rPr>
                <w:rFonts w:ascii="Arial" w:cs="Arial" w:eastAsia="Arial" w:hAnsi="Arial"/>
                <w:sz w:val="18"/>
                <w:szCs w:val="18"/>
                <w:b w:val="1"/>
                <w:bCs w:val="1"/>
                <w:color w:val="231F20"/>
              </w:rPr>
              <w:t>ENERGY STORAGE SOLUTIONS</w:t>
            </w:r>
          </w:p>
        </w:tc>
        <w:tc>
          <w:tcPr>
            <w:tcW w:w="0" w:type="dxa"/>
            <w:vAlign w:val="bottom"/>
          </w:tcPr>
          <w:p>
            <w:pPr>
              <w:spacing w:after="0"/>
              <w:rPr>
                <w:sz w:val="1"/>
                <w:szCs w:val="1"/>
                <w:color w:val="auto"/>
              </w:rPr>
            </w:pPr>
          </w:p>
        </w:tc>
      </w:tr>
      <w:tr>
        <w:trPr>
          <w:trHeight w:val="203"/>
        </w:trPr>
        <w:tc>
          <w:tcPr>
            <w:tcW w:w="4120" w:type="dxa"/>
            <w:vAlign w:val="bottom"/>
            <w:gridSpan w:val="3"/>
          </w:tcPr>
          <w:p>
            <w:pPr>
              <w:ind w:left="80"/>
              <w:spacing w:after="0" w:line="202" w:lineRule="exact"/>
              <w:rPr>
                <w:sz w:val="20"/>
                <w:szCs w:val="20"/>
                <w:color w:val="auto"/>
              </w:rPr>
            </w:pPr>
            <w:r>
              <w:rPr>
                <w:rFonts w:ascii="Arial" w:cs="Arial" w:eastAsia="Arial" w:hAnsi="Arial"/>
                <w:sz w:val="18"/>
                <w:szCs w:val="18"/>
                <w:color w:val="231F20"/>
              </w:rPr>
              <w:t>Participation in the Energy Imbalance Market</w:t>
            </w:r>
          </w:p>
        </w:tc>
        <w:tc>
          <w:tcPr>
            <w:tcW w:w="6920" w:type="dxa"/>
            <w:vAlign w:val="bottom"/>
          </w:tcPr>
          <w:p>
            <w:pPr>
              <w:ind w:left="180"/>
              <w:spacing w:after="0" w:line="202" w:lineRule="exact"/>
              <w:rPr>
                <w:sz w:val="20"/>
                <w:szCs w:val="20"/>
                <w:color w:val="auto"/>
              </w:rPr>
            </w:pPr>
            <w:r>
              <w:rPr>
                <w:rFonts w:ascii="Arial" w:cs="Arial" w:eastAsia="Arial" w:hAnsi="Arial"/>
                <w:sz w:val="18"/>
                <w:szCs w:val="18"/>
                <w:color w:val="231F20"/>
              </w:rPr>
              <w:t>Storage creates opportunities to take advantage</w:t>
            </w:r>
          </w:p>
        </w:tc>
        <w:tc>
          <w:tcPr>
            <w:tcW w:w="0" w:type="dxa"/>
            <w:vAlign w:val="bottom"/>
          </w:tcPr>
          <w:p>
            <w:pPr>
              <w:spacing w:after="0"/>
              <w:rPr>
                <w:sz w:val="1"/>
                <w:szCs w:val="1"/>
                <w:color w:val="auto"/>
              </w:rPr>
            </w:pPr>
          </w:p>
        </w:tc>
      </w:tr>
      <w:tr>
        <w:trPr>
          <w:trHeight w:val="203"/>
        </w:trPr>
        <w:tc>
          <w:tcPr>
            <w:tcW w:w="4120" w:type="dxa"/>
            <w:vAlign w:val="bottom"/>
            <w:gridSpan w:val="3"/>
          </w:tcPr>
          <w:p>
            <w:pPr>
              <w:ind w:left="80"/>
              <w:spacing w:after="0" w:line="202" w:lineRule="exact"/>
              <w:rPr>
                <w:sz w:val="20"/>
                <w:szCs w:val="20"/>
                <w:color w:val="auto"/>
              </w:rPr>
            </w:pPr>
            <w:r>
              <w:rPr>
                <w:rFonts w:ascii="Arial" w:cs="Arial" w:eastAsia="Arial" w:hAnsi="Arial"/>
                <w:sz w:val="18"/>
                <w:szCs w:val="18"/>
                <w:color w:val="231F20"/>
              </w:rPr>
              <w:t>provides access to clean energy resources while</w:t>
            </w:r>
          </w:p>
        </w:tc>
        <w:tc>
          <w:tcPr>
            <w:tcW w:w="6920" w:type="dxa"/>
            <w:vAlign w:val="bottom"/>
          </w:tcPr>
          <w:p>
            <w:pPr>
              <w:ind w:left="180"/>
              <w:spacing w:after="0" w:line="202" w:lineRule="exact"/>
              <w:rPr>
                <w:sz w:val="20"/>
                <w:szCs w:val="20"/>
                <w:color w:val="auto"/>
              </w:rPr>
            </w:pPr>
            <w:r>
              <w:rPr>
                <w:rFonts w:ascii="Arial" w:cs="Arial" w:eastAsia="Arial" w:hAnsi="Arial"/>
                <w:sz w:val="18"/>
                <w:szCs w:val="18"/>
                <w:color w:val="231F20"/>
              </w:rPr>
              <w:t>of midday solar generation and better respond to</w:t>
            </w:r>
          </w:p>
        </w:tc>
        <w:tc>
          <w:tcPr>
            <w:tcW w:w="0" w:type="dxa"/>
            <w:vAlign w:val="bottom"/>
          </w:tcPr>
          <w:p>
            <w:pPr>
              <w:spacing w:after="0"/>
              <w:rPr>
                <w:sz w:val="1"/>
                <w:szCs w:val="1"/>
                <w:color w:val="auto"/>
              </w:rPr>
            </w:pPr>
          </w:p>
        </w:tc>
      </w:tr>
      <w:tr>
        <w:trPr>
          <w:trHeight w:val="252"/>
        </w:trPr>
        <w:tc>
          <w:tcPr>
            <w:tcW w:w="4120" w:type="dxa"/>
            <w:vAlign w:val="bottom"/>
            <w:gridSpan w:val="3"/>
          </w:tcPr>
          <w:p>
            <w:pPr>
              <w:ind w:left="80"/>
              <w:spacing w:after="0"/>
              <w:rPr>
                <w:sz w:val="20"/>
                <w:szCs w:val="20"/>
                <w:color w:val="auto"/>
              </w:rPr>
            </w:pPr>
            <w:r>
              <w:rPr>
                <w:rFonts w:ascii="Arial" w:cs="Arial" w:eastAsia="Arial" w:hAnsi="Arial"/>
                <w:sz w:val="18"/>
                <w:szCs w:val="18"/>
                <w:color w:val="231F20"/>
              </w:rPr>
              <w:t>saving customers money</w:t>
            </w:r>
          </w:p>
        </w:tc>
        <w:tc>
          <w:tcPr>
            <w:tcW w:w="6920" w:type="dxa"/>
            <w:vAlign w:val="bottom"/>
          </w:tcPr>
          <w:p>
            <w:pPr>
              <w:ind w:left="180"/>
              <w:spacing w:after="0"/>
              <w:rPr>
                <w:sz w:val="20"/>
                <w:szCs w:val="20"/>
                <w:color w:val="auto"/>
              </w:rPr>
            </w:pPr>
            <w:r>
              <w:rPr>
                <w:rFonts w:ascii="Arial" w:cs="Arial" w:eastAsia="Arial" w:hAnsi="Arial"/>
                <w:sz w:val="18"/>
                <w:szCs w:val="18"/>
                <w:color w:val="231F20"/>
              </w:rPr>
              <w:t>peak demand</w:t>
            </w:r>
          </w:p>
        </w:tc>
        <w:tc>
          <w:tcPr>
            <w:tcW w:w="0" w:type="dxa"/>
            <w:vAlign w:val="bottom"/>
          </w:tcPr>
          <w:p>
            <w:pPr>
              <w:spacing w:after="0"/>
              <w:rPr>
                <w:sz w:val="1"/>
                <w:szCs w:val="1"/>
                <w:color w:val="auto"/>
              </w:rPr>
            </w:pPr>
          </w:p>
        </w:tc>
      </w:tr>
      <w:tr>
        <w:trPr>
          <w:trHeight w:val="212"/>
        </w:trPr>
        <w:tc>
          <w:tcPr>
            <w:tcW w:w="1340" w:type="dxa"/>
            <w:vAlign w:val="bottom"/>
            <w:vMerge w:val="restart"/>
          </w:tcPr>
          <w:p>
            <w:pPr>
              <w:spacing w:after="0"/>
              <w:rPr>
                <w:sz w:val="20"/>
                <w:szCs w:val="20"/>
                <w:color w:val="auto"/>
              </w:rPr>
            </w:pPr>
            <w:r>
              <w:rPr>
                <w:rFonts w:ascii="Arial" w:cs="Arial" w:eastAsia="Arial" w:hAnsi="Arial"/>
                <w:sz w:val="18"/>
                <w:szCs w:val="18"/>
                <w:b w:val="1"/>
                <w:bCs w:val="1"/>
                <w:color w:val="008C9F"/>
              </w:rPr>
              <w:t>NEXT</w:t>
            </w:r>
          </w:p>
        </w:tc>
        <w:tc>
          <w:tcPr>
            <w:tcW w:w="20" w:type="dxa"/>
            <w:vAlign w:val="bottom"/>
          </w:tcPr>
          <w:p>
            <w:pPr>
              <w:spacing w:after="0"/>
              <w:rPr>
                <w:sz w:val="18"/>
                <w:szCs w:val="18"/>
                <w:color w:val="auto"/>
              </w:rPr>
            </w:pPr>
          </w:p>
        </w:tc>
        <w:tc>
          <w:tcPr>
            <w:tcW w:w="9680" w:type="dxa"/>
            <w:vAlign w:val="bottom"/>
            <w:gridSpan w:val="2"/>
            <w:vMerge w:val="restart"/>
          </w:tcPr>
          <w:p>
            <w:pPr>
              <w:ind w:left="40"/>
              <w:spacing w:after="0"/>
              <w:rPr>
                <w:sz w:val="20"/>
                <w:szCs w:val="20"/>
                <w:color w:val="auto"/>
              </w:rPr>
            </w:pPr>
            <w:r>
              <w:rPr>
                <w:rFonts w:ascii="Arial" w:cs="Arial" w:eastAsia="Arial" w:hAnsi="Arial"/>
                <w:sz w:val="18"/>
                <w:szCs w:val="18"/>
                <w:b w:val="1"/>
                <w:bCs w:val="1"/>
                <w:color w:val="355675"/>
              </w:rPr>
              <w:t>Steady progress on our commitment:</w:t>
            </w:r>
          </w:p>
        </w:tc>
        <w:tc>
          <w:tcPr>
            <w:tcW w:w="0" w:type="dxa"/>
            <w:vAlign w:val="bottom"/>
          </w:tcPr>
          <w:p>
            <w:pPr>
              <w:spacing w:after="0"/>
              <w:rPr>
                <w:sz w:val="1"/>
                <w:szCs w:val="1"/>
                <w:color w:val="auto"/>
              </w:rPr>
            </w:pPr>
          </w:p>
        </w:tc>
      </w:tr>
      <w:tr>
        <w:trPr>
          <w:trHeight w:val="251"/>
        </w:trPr>
        <w:tc>
          <w:tcPr>
            <w:tcW w:w="1340" w:type="dxa"/>
            <w:vAlign w:val="bottom"/>
            <w:vMerge w:val="continue"/>
          </w:tcPr>
          <w:p>
            <w:pPr>
              <w:spacing w:after="0"/>
              <w:rPr>
                <w:sz w:val="21"/>
                <w:szCs w:val="21"/>
                <w:color w:val="auto"/>
              </w:rPr>
            </w:pPr>
          </w:p>
        </w:tc>
        <w:tc>
          <w:tcPr>
            <w:tcW w:w="20" w:type="dxa"/>
            <w:vAlign w:val="bottom"/>
            <w:shd w:val="clear" w:color="auto" w:fill="939598"/>
          </w:tcPr>
          <w:p>
            <w:pPr>
              <w:spacing w:after="0"/>
              <w:rPr>
                <w:sz w:val="21"/>
                <w:szCs w:val="21"/>
                <w:color w:val="auto"/>
              </w:rPr>
            </w:pPr>
          </w:p>
        </w:tc>
        <w:tc>
          <w:tcPr>
            <w:tcW w:w="9680" w:type="dxa"/>
            <w:vAlign w:val="bottom"/>
            <w:gridSpan w:val="2"/>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03"/>
        </w:trPr>
        <w:tc>
          <w:tcPr>
            <w:tcW w:w="1340" w:type="dxa"/>
            <w:vAlign w:val="bottom"/>
          </w:tcPr>
          <w:p>
            <w:pPr>
              <w:spacing w:after="0" w:line="202" w:lineRule="exact"/>
              <w:rPr>
                <w:sz w:val="20"/>
                <w:szCs w:val="20"/>
                <w:color w:val="auto"/>
              </w:rPr>
            </w:pPr>
            <w:r>
              <w:rPr>
                <w:rFonts w:ascii="Arial" w:cs="Arial" w:eastAsia="Arial" w:hAnsi="Arial"/>
                <w:sz w:val="18"/>
                <w:szCs w:val="18"/>
                <w:b w:val="1"/>
                <w:bCs w:val="1"/>
                <w:color w:val="008C9F"/>
              </w:rPr>
              <w:t>STEPS IN</w:t>
            </w:r>
          </w:p>
        </w:tc>
        <w:tc>
          <w:tcPr>
            <w:tcW w:w="20" w:type="dxa"/>
            <w:vAlign w:val="bottom"/>
            <w:shd w:val="clear" w:color="auto" w:fill="939598"/>
          </w:tcPr>
          <w:p>
            <w:pPr>
              <w:spacing w:after="0"/>
              <w:rPr>
                <w:sz w:val="17"/>
                <w:szCs w:val="17"/>
                <w:color w:val="auto"/>
              </w:rPr>
            </w:pPr>
          </w:p>
        </w:tc>
        <w:tc>
          <w:tcPr>
            <w:tcW w:w="2760" w:type="dxa"/>
            <w:vAlign w:val="bottom"/>
          </w:tcPr>
          <w:p>
            <w:pPr>
              <w:spacing w:after="0"/>
              <w:rPr>
                <w:sz w:val="17"/>
                <w:szCs w:val="17"/>
                <w:color w:val="auto"/>
              </w:rPr>
            </w:pPr>
          </w:p>
        </w:tc>
        <w:tc>
          <w:tcPr>
            <w:tcW w:w="69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1340" w:type="dxa"/>
            <w:vAlign w:val="bottom"/>
          </w:tcPr>
          <w:p>
            <w:pPr>
              <w:spacing w:after="0" w:line="202" w:lineRule="exact"/>
              <w:rPr>
                <w:sz w:val="20"/>
                <w:szCs w:val="20"/>
                <w:color w:val="auto"/>
              </w:rPr>
            </w:pPr>
            <w:r>
              <w:rPr>
                <w:rFonts w:ascii="Arial" w:cs="Arial" w:eastAsia="Arial" w:hAnsi="Arial"/>
                <w:sz w:val="18"/>
                <w:szCs w:val="18"/>
                <w:b w:val="1"/>
                <w:bCs w:val="1"/>
                <w:color w:val="008C9F"/>
              </w:rPr>
              <w:t>ACTION</w:t>
            </w:r>
          </w:p>
        </w:tc>
        <w:tc>
          <w:tcPr>
            <w:tcW w:w="20" w:type="dxa"/>
            <w:vAlign w:val="bottom"/>
            <w:shd w:val="clear" w:color="auto" w:fill="939598"/>
          </w:tcPr>
          <w:p>
            <w:pPr>
              <w:spacing w:after="0"/>
              <w:rPr>
                <w:sz w:val="17"/>
                <w:szCs w:val="17"/>
                <w:color w:val="auto"/>
              </w:rPr>
            </w:pPr>
          </w:p>
        </w:tc>
        <w:tc>
          <w:tcPr>
            <w:tcW w:w="9680" w:type="dxa"/>
            <w:vAlign w:val="bottom"/>
            <w:gridSpan w:val="2"/>
          </w:tcPr>
          <w:p>
            <w:pPr>
              <w:ind w:left="40"/>
              <w:spacing w:after="0" w:line="202" w:lineRule="exact"/>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231F20"/>
              </w:rPr>
              <w:t>Plans to transition the Four Corners Power Plant to seasonal operations beginning in 2023, which will result in up to</w:t>
            </w:r>
          </w:p>
        </w:tc>
        <w:tc>
          <w:tcPr>
            <w:tcW w:w="0" w:type="dxa"/>
            <w:vAlign w:val="bottom"/>
          </w:tcPr>
          <w:p>
            <w:pPr>
              <w:spacing w:after="0"/>
              <w:rPr>
                <w:sz w:val="1"/>
                <w:szCs w:val="1"/>
                <w:color w:val="auto"/>
              </w:rPr>
            </w:pPr>
          </w:p>
        </w:tc>
      </w:tr>
      <w:tr>
        <w:trPr>
          <w:trHeight w:val="239"/>
        </w:trPr>
        <w:tc>
          <w:tcPr>
            <w:tcW w:w="1340" w:type="dxa"/>
            <w:vAlign w:val="bottom"/>
          </w:tcPr>
          <w:p>
            <w:pPr>
              <w:spacing w:after="0"/>
              <w:rPr>
                <w:sz w:val="20"/>
                <w:szCs w:val="20"/>
                <w:color w:val="auto"/>
              </w:rPr>
            </w:pPr>
          </w:p>
        </w:tc>
        <w:tc>
          <w:tcPr>
            <w:tcW w:w="20" w:type="dxa"/>
            <w:vAlign w:val="bottom"/>
            <w:shd w:val="clear" w:color="auto" w:fill="939598"/>
          </w:tcPr>
          <w:p>
            <w:pPr>
              <w:spacing w:after="0"/>
              <w:rPr>
                <w:sz w:val="20"/>
                <w:szCs w:val="20"/>
                <w:color w:val="auto"/>
              </w:rPr>
            </w:pPr>
          </w:p>
        </w:tc>
        <w:tc>
          <w:tcPr>
            <w:tcW w:w="9680" w:type="dxa"/>
            <w:vAlign w:val="bottom"/>
            <w:gridSpan w:val="2"/>
          </w:tcPr>
          <w:p>
            <w:pPr>
              <w:ind w:left="400"/>
              <w:spacing w:after="0"/>
              <w:rPr>
                <w:sz w:val="20"/>
                <w:szCs w:val="20"/>
                <w:color w:val="auto"/>
              </w:rPr>
            </w:pPr>
            <w:r>
              <w:rPr>
                <w:rFonts w:ascii="Arial" w:cs="Arial" w:eastAsia="Arial" w:hAnsi="Arial"/>
                <w:sz w:val="18"/>
                <w:szCs w:val="18"/>
                <w:color w:val="231F20"/>
              </w:rPr>
              <w:t>25% reduction in annual CO2 emissions at the plant.</w:t>
            </w:r>
          </w:p>
        </w:tc>
        <w:tc>
          <w:tcPr>
            <w:tcW w:w="0" w:type="dxa"/>
            <w:vAlign w:val="bottom"/>
          </w:tcPr>
          <w:p>
            <w:pPr>
              <w:spacing w:after="0"/>
              <w:rPr>
                <w:sz w:val="1"/>
                <w:szCs w:val="1"/>
                <w:color w:val="auto"/>
              </w:rPr>
            </w:pPr>
          </w:p>
        </w:tc>
      </w:tr>
      <w:tr>
        <w:trPr>
          <w:trHeight w:val="342"/>
        </w:trPr>
        <w:tc>
          <w:tcPr>
            <w:tcW w:w="1340" w:type="dxa"/>
            <w:vAlign w:val="bottom"/>
          </w:tcPr>
          <w:p>
            <w:pPr>
              <w:spacing w:after="0"/>
              <w:rPr>
                <w:sz w:val="24"/>
                <w:szCs w:val="24"/>
                <w:color w:val="auto"/>
              </w:rPr>
            </w:pPr>
          </w:p>
        </w:tc>
        <w:tc>
          <w:tcPr>
            <w:tcW w:w="20" w:type="dxa"/>
            <w:vAlign w:val="bottom"/>
            <w:shd w:val="clear" w:color="auto" w:fill="939598"/>
          </w:tcPr>
          <w:p>
            <w:pPr>
              <w:spacing w:after="0"/>
              <w:rPr>
                <w:sz w:val="24"/>
                <w:szCs w:val="24"/>
                <w:color w:val="auto"/>
              </w:rPr>
            </w:pPr>
          </w:p>
        </w:tc>
        <w:tc>
          <w:tcPr>
            <w:tcW w:w="9680" w:type="dxa"/>
            <w:vAlign w:val="bottom"/>
            <w:gridSpan w:val="2"/>
          </w:tcPr>
          <w:p>
            <w:pPr>
              <w:ind w:left="4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231F20"/>
              </w:rPr>
              <w:t>Since 2020, we’ve procured nearly 1,400 MWs of additional clean energy and storage – all of which will be in service</w:t>
            </w:r>
          </w:p>
        </w:tc>
        <w:tc>
          <w:tcPr>
            <w:tcW w:w="0" w:type="dxa"/>
            <w:vAlign w:val="bottom"/>
          </w:tcPr>
          <w:p>
            <w:pPr>
              <w:spacing w:after="0"/>
              <w:rPr>
                <w:sz w:val="1"/>
                <w:szCs w:val="1"/>
                <w:color w:val="auto"/>
              </w:rPr>
            </w:pPr>
          </w:p>
        </w:tc>
      </w:tr>
      <w:tr>
        <w:trPr>
          <w:trHeight w:val="239"/>
        </w:trPr>
        <w:tc>
          <w:tcPr>
            <w:tcW w:w="1340" w:type="dxa"/>
            <w:vAlign w:val="bottom"/>
          </w:tcPr>
          <w:p>
            <w:pPr>
              <w:spacing w:after="0"/>
              <w:rPr>
                <w:sz w:val="20"/>
                <w:szCs w:val="20"/>
                <w:color w:val="auto"/>
              </w:rPr>
            </w:pPr>
          </w:p>
        </w:tc>
        <w:tc>
          <w:tcPr>
            <w:tcW w:w="20" w:type="dxa"/>
            <w:vAlign w:val="bottom"/>
            <w:shd w:val="clear" w:color="auto" w:fill="939598"/>
          </w:tcPr>
          <w:p>
            <w:pPr>
              <w:spacing w:after="0"/>
              <w:rPr>
                <w:sz w:val="20"/>
                <w:szCs w:val="20"/>
                <w:color w:val="auto"/>
              </w:rPr>
            </w:pPr>
          </w:p>
        </w:tc>
        <w:tc>
          <w:tcPr>
            <w:tcW w:w="2760" w:type="dxa"/>
            <w:vAlign w:val="bottom"/>
          </w:tcPr>
          <w:p>
            <w:pPr>
              <w:ind w:left="400"/>
              <w:spacing w:after="0"/>
              <w:rPr>
                <w:sz w:val="20"/>
                <w:szCs w:val="20"/>
                <w:color w:val="auto"/>
              </w:rPr>
            </w:pPr>
            <w:r>
              <w:rPr>
                <w:rFonts w:ascii="Arial" w:cs="Arial" w:eastAsia="Arial" w:hAnsi="Arial"/>
                <w:sz w:val="18"/>
                <w:szCs w:val="18"/>
                <w:color w:val="231F20"/>
              </w:rPr>
              <w:t>no later than 2024.</w:t>
            </w:r>
          </w:p>
        </w:tc>
        <w:tc>
          <w:tcPr>
            <w:tcW w:w="69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562"/>
        </w:trPr>
        <w:tc>
          <w:tcPr>
            <w:tcW w:w="1340" w:type="dxa"/>
            <w:vAlign w:val="bottom"/>
          </w:tcPr>
          <w:p>
            <w:pPr>
              <w:spacing w:after="0"/>
              <w:rPr>
                <w:sz w:val="24"/>
                <w:szCs w:val="24"/>
                <w:color w:val="auto"/>
              </w:rPr>
            </w:pPr>
          </w:p>
        </w:tc>
        <w:tc>
          <w:tcPr>
            <w:tcW w:w="20" w:type="dxa"/>
            <w:vAlign w:val="bottom"/>
            <w:shd w:val="clear" w:color="auto" w:fill="939598"/>
          </w:tcPr>
          <w:p>
            <w:pPr>
              <w:spacing w:after="0"/>
              <w:rPr>
                <w:sz w:val="24"/>
                <w:szCs w:val="24"/>
                <w:color w:val="auto"/>
              </w:rPr>
            </w:pPr>
          </w:p>
        </w:tc>
        <w:tc>
          <w:tcPr>
            <w:tcW w:w="9680" w:type="dxa"/>
            <w:vAlign w:val="bottom"/>
            <w:gridSpan w:val="2"/>
          </w:tcPr>
          <w:p>
            <w:pPr>
              <w:ind w:left="4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231F20"/>
              </w:rPr>
              <w:t>Deployed more than 57,000 residential thermostats with a capability of shedding more than 80 MWs of energy.</w:t>
            </w:r>
          </w:p>
        </w:tc>
        <w:tc>
          <w:tcPr>
            <w:tcW w:w="0" w:type="dxa"/>
            <w:vAlign w:val="bottom"/>
          </w:tcPr>
          <w:p>
            <w:pPr>
              <w:spacing w:after="0"/>
              <w:rPr>
                <w:sz w:val="1"/>
                <w:szCs w:val="1"/>
                <w:color w:val="auto"/>
              </w:rPr>
            </w:pPr>
          </w:p>
        </w:tc>
      </w:tr>
      <w:tr>
        <w:trPr>
          <w:trHeight w:val="379"/>
        </w:trPr>
        <w:tc>
          <w:tcPr>
            <w:tcW w:w="1340" w:type="dxa"/>
            <w:vAlign w:val="bottom"/>
          </w:tcPr>
          <w:p>
            <w:pPr>
              <w:spacing w:after="0"/>
              <w:rPr>
                <w:sz w:val="24"/>
                <w:szCs w:val="24"/>
                <w:color w:val="auto"/>
              </w:rPr>
            </w:pPr>
          </w:p>
        </w:tc>
        <w:tc>
          <w:tcPr>
            <w:tcW w:w="20" w:type="dxa"/>
            <w:vAlign w:val="bottom"/>
            <w:shd w:val="clear" w:color="auto" w:fill="939598"/>
          </w:tcPr>
          <w:p>
            <w:pPr>
              <w:spacing w:after="0"/>
              <w:rPr>
                <w:sz w:val="24"/>
                <w:szCs w:val="24"/>
                <w:color w:val="auto"/>
              </w:rPr>
            </w:pPr>
          </w:p>
        </w:tc>
        <w:tc>
          <w:tcPr>
            <w:tcW w:w="9680" w:type="dxa"/>
            <w:vAlign w:val="bottom"/>
            <w:gridSpan w:val="2"/>
          </w:tcPr>
          <w:p>
            <w:pPr>
              <w:ind w:left="4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231F20"/>
              </w:rPr>
              <w:t>You can learn more about our Clean Energy Commitment at</w:t>
            </w:r>
            <w:r>
              <w:rPr>
                <w:rFonts w:ascii="Arial" w:cs="Arial" w:eastAsia="Arial" w:hAnsi="Arial"/>
                <w:sz w:val="18"/>
                <w:szCs w:val="18"/>
                <w:b w:val="1"/>
                <w:bCs w:val="1"/>
                <w:color w:val="355675"/>
              </w:rPr>
              <w:t xml:space="preserve"> </w:t>
            </w:r>
            <w:r>
              <w:rPr>
                <w:rFonts w:ascii="Arial" w:cs="Arial" w:eastAsia="Arial" w:hAnsi="Arial"/>
                <w:sz w:val="18"/>
                <w:szCs w:val="18"/>
                <w:b w:val="1"/>
                <w:bCs w:val="1"/>
                <w:color w:val="008C9F"/>
              </w:rPr>
              <w:t>aps.com/cleanenergy</w:t>
            </w:r>
            <w:r>
              <w:rPr>
                <w:rFonts w:ascii="Arial" w:cs="Arial" w:eastAsia="Arial" w:hAnsi="Arial"/>
                <w:sz w:val="18"/>
                <w:szCs w:val="18"/>
                <w:color w:val="231F20"/>
              </w:rPr>
              <w:t>.</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1240"/>
          </w:cols>
          <w:pgMar w:left="320" w:top="125" w:right="339" w:bottom="1440" w:gutter="0" w:footer="0" w:header="0"/>
        </w:sectPr>
      </w:pPr>
    </w:p>
    <w:p>
      <w:pPr>
        <w:spacing w:after="0" w:line="61" w:lineRule="exact"/>
        <w:rPr>
          <w:sz w:val="20"/>
          <w:szCs w:val="20"/>
          <w:color w:val="auto"/>
        </w:rPr>
      </w:pPr>
    </w:p>
    <w:p>
      <w:pPr>
        <w:ind w:left="9380"/>
        <w:spacing w:after="0"/>
        <w:tabs>
          <w:tab w:leader="none" w:pos="11060" w:val="left"/>
        </w:tabs>
        <w:rPr>
          <w:sz w:val="20"/>
          <w:szCs w:val="20"/>
          <w:color w:val="auto"/>
        </w:rPr>
      </w:pPr>
      <w:r>
        <w:rPr>
          <w:rFonts w:ascii="Arial" w:cs="Arial" w:eastAsia="Arial" w:hAnsi="Arial"/>
          <w:sz w:val="14"/>
          <w:szCs w:val="14"/>
          <w:color w:val="395675"/>
        </w:rPr>
        <w:t>2022 Proxy Statement</w:t>
      </w:r>
      <w:r>
        <w:rPr>
          <w:sz w:val="20"/>
          <w:szCs w:val="20"/>
          <w:color w:val="auto"/>
        </w:rPr>
        <w:tab/>
      </w:r>
      <w:r>
        <w:rPr>
          <w:rFonts w:ascii="Arial" w:cs="Arial" w:eastAsia="Arial" w:hAnsi="Arial"/>
          <w:sz w:val="14"/>
          <w:szCs w:val="14"/>
          <w:b w:val="1"/>
          <w:bCs w:val="1"/>
          <w:color w:val="395675"/>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22" w:name="page23"/>
    <w:bookmarkEnd w:id="2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81438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32320" cy="8143875"/>
                    </a:xfrm>
                    <a:prstGeom prst="rect">
                      <a:avLst/>
                    </a:prstGeom>
                    <a:noFill/>
                  </pic:spPr>
                </pic:pic>
              </a:graphicData>
            </a:graphic>
          </wp:anchor>
        </w:drawing>
      </w:r>
    </w:p>
    <w:p>
      <w:pPr>
        <w:spacing w:after="0" w:line="399"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95675"/>
        </w:rPr>
        <w:t>Proxy Statement Summary</w:t>
      </w:r>
    </w:p>
    <w:p>
      <w:pPr>
        <w:spacing w:after="0" w:line="183"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Community Highlights</w:t>
      </w:r>
    </w:p>
    <w:p>
      <w:pPr>
        <w:spacing w:after="0" w:line="383" w:lineRule="exact"/>
        <w:rPr>
          <w:sz w:val="20"/>
          <w:szCs w:val="20"/>
          <w:color w:val="auto"/>
        </w:rPr>
      </w:pPr>
    </w:p>
    <w:p>
      <w:pPr>
        <w:ind w:left="100" w:right="120"/>
        <w:spacing w:after="0" w:line="286" w:lineRule="auto"/>
        <w:rPr>
          <w:sz w:val="20"/>
          <w:szCs w:val="20"/>
          <w:color w:val="auto"/>
        </w:rPr>
      </w:pPr>
      <w:r>
        <w:rPr>
          <w:rFonts w:ascii="Arial" w:cs="Arial" w:eastAsia="Arial" w:hAnsi="Arial"/>
          <w:sz w:val="16"/>
          <w:szCs w:val="16"/>
          <w:color w:val="231F20"/>
        </w:rPr>
        <w:t>Our multifaceted approach to community engagement is grounded in our commitment to community development. We not only invest in the communities where we do business but also focus on building meaningful relationships, which help us manage our social, economic and environmental impact.</w:t>
      </w:r>
    </w:p>
    <w:p>
      <w:pPr>
        <w:spacing w:after="0" w:line="102" w:lineRule="exact"/>
        <w:rPr>
          <w:sz w:val="20"/>
          <w:szCs w:val="20"/>
          <w:color w:val="auto"/>
        </w:rPr>
      </w:pPr>
    </w:p>
    <w:p>
      <w:pPr>
        <w:ind w:left="100" w:right="120"/>
        <w:spacing w:after="0" w:line="259" w:lineRule="auto"/>
        <w:rPr>
          <w:sz w:val="20"/>
          <w:szCs w:val="20"/>
          <w:color w:val="auto"/>
        </w:rPr>
      </w:pPr>
      <w:r>
        <w:rPr>
          <w:rFonts w:ascii="Arial" w:cs="Arial" w:eastAsia="Arial" w:hAnsi="Arial"/>
          <w:sz w:val="16"/>
          <w:szCs w:val="16"/>
          <w:color w:val="231F20"/>
        </w:rPr>
        <w:t>We use a variety of communication channels to develop dialogue in our communities, such as open houses, community summits, business forums and other special events. These enable us to gather feedback from participants, inform them about issues that affect their communities and APS, and identify issues and opportunities for action. We also develop strategic partnerships in areas such as diversity, inclusion and workforce development to advance social and economic goals.</w:t>
      </w:r>
    </w:p>
    <w:p>
      <w:pPr>
        <w:spacing w:after="0" w:line="317" w:lineRule="exact"/>
        <w:rPr>
          <w:sz w:val="20"/>
          <w:szCs w:val="20"/>
          <w:color w:val="auto"/>
        </w:rPr>
      </w:pPr>
    </w:p>
    <w:p>
      <w:pPr>
        <w:ind w:left="1140"/>
        <w:spacing w:after="0"/>
        <w:rPr>
          <w:sz w:val="20"/>
          <w:szCs w:val="20"/>
          <w:color w:val="auto"/>
        </w:rPr>
      </w:pPr>
      <w:r>
        <w:rPr>
          <w:rFonts w:ascii="Arial" w:cs="Arial" w:eastAsia="Arial" w:hAnsi="Arial"/>
          <w:sz w:val="20"/>
          <w:szCs w:val="20"/>
          <w:b w:val="1"/>
          <w:bCs w:val="1"/>
          <w:color w:val="355675"/>
        </w:rPr>
        <w:t>Coal Communities Transition</w:t>
      </w:r>
    </w:p>
    <w:p>
      <w:pPr>
        <w:spacing w:after="0" w:line="252" w:lineRule="exact"/>
        <w:rPr>
          <w:sz w:val="20"/>
          <w:szCs w:val="20"/>
          <w:color w:val="auto"/>
        </w:rPr>
      </w:pPr>
    </w:p>
    <w:p>
      <w:pPr>
        <w:ind w:left="100" w:right="40"/>
        <w:spacing w:after="0" w:line="253" w:lineRule="auto"/>
        <w:rPr>
          <w:sz w:val="20"/>
          <w:szCs w:val="20"/>
          <w:color w:val="auto"/>
        </w:rPr>
      </w:pPr>
      <w:r>
        <w:rPr>
          <w:rFonts w:ascii="Arial" w:cs="Arial" w:eastAsia="Arial" w:hAnsi="Arial"/>
          <w:sz w:val="16"/>
          <w:szCs w:val="16"/>
          <w:color w:val="auto"/>
        </w:rPr>
        <w:t xml:space="preserve">The transition away from coal-fired power plants toward a clean energy future will pose unique economic challenges for the communities around these plants. We worked collaboratively with community leaders and stakeholders to propose a comprehensive </w:t>
      </w:r>
      <w:r>
        <w:rPr>
          <w:rFonts w:ascii="Arial" w:cs="Arial" w:eastAsia="Arial" w:hAnsi="Arial"/>
          <w:sz w:val="16"/>
          <w:szCs w:val="16"/>
          <w:b w:val="1"/>
          <w:bCs w:val="1"/>
          <w:color w:val="008C9F"/>
        </w:rPr>
        <w:t>Coal Communities Transition Plan</w:t>
      </w:r>
      <w:r>
        <w:rPr>
          <w:rFonts w:ascii="Arial" w:cs="Arial" w:eastAsia="Arial" w:hAnsi="Arial"/>
          <w:sz w:val="16"/>
          <w:szCs w:val="16"/>
          <w:color w:val="auto"/>
        </w:rPr>
        <w:t>. The proposed framework provides substantial financial and economic development support to build new economic opportunities and addresses a transition strategy for plant employees. We are committed to continuing our long-running partnership with the Navajo Nation in other areas as well, including expanding electrification and developing tribal renewable projects. Our proposed plan supports the Navajo Nation, where the Four Corners Power Plant is located, the communities surrounding the Cholla Power Plant and the Hopi Tribe, which is impacted by closure of the Navajo Generating Station. The ACC approved a portion of the plan in the 2019 rate case decision, and continues to discuss possible further action in a separate docket.</w:t>
      </w:r>
    </w:p>
    <w:p>
      <w:pPr>
        <w:spacing w:after="0" w:line="266" w:lineRule="exact"/>
        <w:rPr>
          <w:sz w:val="20"/>
          <w:szCs w:val="20"/>
          <w:color w:val="auto"/>
        </w:rPr>
      </w:pPr>
    </w:p>
    <w:p>
      <w:pPr>
        <w:ind w:left="1140"/>
        <w:spacing w:after="0"/>
        <w:rPr>
          <w:sz w:val="20"/>
          <w:szCs w:val="20"/>
          <w:color w:val="auto"/>
        </w:rPr>
      </w:pPr>
      <w:r>
        <w:rPr>
          <w:rFonts w:ascii="Arial" w:cs="Arial" w:eastAsia="Arial" w:hAnsi="Arial"/>
          <w:sz w:val="20"/>
          <w:szCs w:val="20"/>
          <w:b w:val="1"/>
          <w:bCs w:val="1"/>
          <w:color w:val="355675"/>
        </w:rPr>
        <w:t>Community Engagement</w:t>
      </w:r>
    </w:p>
    <w:p>
      <w:pPr>
        <w:spacing w:after="0" w:line="212" w:lineRule="exact"/>
        <w:rPr>
          <w:sz w:val="20"/>
          <w:szCs w:val="20"/>
          <w:color w:val="auto"/>
        </w:rPr>
      </w:pPr>
    </w:p>
    <w:p>
      <w:pPr>
        <w:ind w:left="100" w:right="60"/>
        <w:spacing w:after="0" w:line="256" w:lineRule="auto"/>
        <w:rPr>
          <w:sz w:val="20"/>
          <w:szCs w:val="20"/>
          <w:color w:val="auto"/>
        </w:rPr>
      </w:pPr>
      <w:r>
        <w:rPr>
          <w:rFonts w:ascii="Arial" w:cs="Arial" w:eastAsia="Arial" w:hAnsi="Arial"/>
          <w:sz w:val="16"/>
          <w:szCs w:val="16"/>
          <w:color w:val="231F20"/>
        </w:rPr>
        <w:t>At APS, we initiate and maintain relationships with stakeholders to understand our communities’ needs and identify opportunities to build healthy, sustainable communities. Our community engagement teams collaborate with representatives from a wide range of community and government entities – including state, county, municipal and tribal governments; military bases; school districts; nonprofits; business organizations; and public interest groups. The relationships are one important way we collect, record and address feedback so that we work together to address concerns. In addition, the ACC has a grievance process for our customers.</w:t>
      </w:r>
    </w:p>
    <w:p>
      <w:pPr>
        <w:spacing w:after="0" w:line="305" w:lineRule="exact"/>
        <w:rPr>
          <w:sz w:val="20"/>
          <w:szCs w:val="20"/>
          <w:color w:val="auto"/>
        </w:rPr>
      </w:pPr>
    </w:p>
    <w:p>
      <w:pPr>
        <w:ind w:left="1140"/>
        <w:spacing w:after="0"/>
        <w:rPr>
          <w:sz w:val="20"/>
          <w:szCs w:val="20"/>
          <w:color w:val="auto"/>
        </w:rPr>
      </w:pPr>
      <w:r>
        <w:rPr>
          <w:rFonts w:ascii="Arial" w:cs="Arial" w:eastAsia="Arial" w:hAnsi="Arial"/>
          <w:sz w:val="20"/>
          <w:szCs w:val="20"/>
          <w:b w:val="1"/>
          <w:bCs w:val="1"/>
          <w:color w:val="355675"/>
        </w:rPr>
        <w:t>Philanthropy and Volunteerism</w:t>
      </w:r>
    </w:p>
    <w:p>
      <w:pPr>
        <w:spacing w:after="0" w:line="252" w:lineRule="exact"/>
        <w:rPr>
          <w:sz w:val="20"/>
          <w:szCs w:val="20"/>
          <w:color w:val="auto"/>
        </w:rPr>
      </w:pPr>
    </w:p>
    <w:p>
      <w:pPr>
        <w:ind w:left="100" w:right="60"/>
        <w:spacing w:after="0" w:line="286" w:lineRule="auto"/>
        <w:rPr>
          <w:sz w:val="20"/>
          <w:szCs w:val="20"/>
          <w:color w:val="auto"/>
        </w:rPr>
      </w:pPr>
      <w:r>
        <w:rPr>
          <w:rFonts w:ascii="Arial" w:cs="Arial" w:eastAsia="Arial" w:hAnsi="Arial"/>
          <w:sz w:val="16"/>
          <w:szCs w:val="16"/>
          <w:color w:val="231F20"/>
        </w:rPr>
        <w:t>We are actively involved in the communities we serve. We partner with nonprofit organizations and community groups across the state to build a stronger, healthier Arizona. Our efforts include financial support, board service and volunteer assistance.</w:t>
      </w:r>
    </w:p>
    <w:p>
      <w:pPr>
        <w:spacing w:after="0" w:line="102" w:lineRule="exact"/>
        <w:rPr>
          <w:sz w:val="20"/>
          <w:szCs w:val="20"/>
          <w:color w:val="auto"/>
        </w:rPr>
      </w:pPr>
    </w:p>
    <w:p>
      <w:pPr>
        <w:ind w:left="100" w:right="220"/>
        <w:spacing w:after="0" w:line="286" w:lineRule="auto"/>
        <w:rPr>
          <w:sz w:val="20"/>
          <w:szCs w:val="20"/>
          <w:color w:val="auto"/>
        </w:rPr>
      </w:pPr>
      <w:r>
        <w:rPr>
          <w:rFonts w:ascii="Arial" w:cs="Arial" w:eastAsia="Arial" w:hAnsi="Arial"/>
          <w:sz w:val="16"/>
          <w:szCs w:val="16"/>
          <w:b w:val="1"/>
          <w:bCs w:val="1"/>
          <w:color w:val="008C9F"/>
        </w:rPr>
        <w:t xml:space="preserve">We donated more than $12.9 million </w:t>
      </w:r>
      <w:r>
        <w:rPr>
          <w:rFonts w:ascii="Arial" w:cs="Arial" w:eastAsia="Arial" w:hAnsi="Arial"/>
          <w:sz w:val="16"/>
          <w:szCs w:val="16"/>
          <w:color w:val="000000"/>
        </w:rPr>
        <w:t>to worthwhile causes in 2021. This includes our corporate giving program, which funds organizations that</w:t>
      </w:r>
      <w:r>
        <w:rPr>
          <w:rFonts w:ascii="Arial" w:cs="Arial" w:eastAsia="Arial" w:hAnsi="Arial"/>
          <w:sz w:val="16"/>
          <w:szCs w:val="16"/>
          <w:b w:val="1"/>
          <w:bCs w:val="1"/>
          <w:color w:val="008C9F"/>
        </w:rPr>
        <w:t xml:space="preserve"> </w:t>
      </w:r>
      <w:r>
        <w:rPr>
          <w:rFonts w:ascii="Arial" w:cs="Arial" w:eastAsia="Arial" w:hAnsi="Arial"/>
          <w:sz w:val="16"/>
          <w:szCs w:val="16"/>
          <w:color w:val="000000"/>
        </w:rPr>
        <w:t>contribute to the vitality of Arizona, with a focus on arts and culture, civic and economic development, education and employment, and human services.</w:t>
      </w:r>
    </w:p>
    <w:p>
      <w:pPr>
        <w:spacing w:after="0" w:line="129" w:lineRule="exact"/>
        <w:rPr>
          <w:sz w:val="20"/>
          <w:szCs w:val="20"/>
          <w:color w:val="auto"/>
        </w:rPr>
      </w:pPr>
    </w:p>
    <w:p>
      <w:pPr>
        <w:ind w:left="100"/>
        <w:spacing w:after="0" w:line="266" w:lineRule="auto"/>
        <w:rPr>
          <w:sz w:val="20"/>
          <w:szCs w:val="20"/>
          <w:color w:val="auto"/>
        </w:rPr>
      </w:pPr>
      <w:r>
        <w:rPr>
          <w:rFonts w:ascii="Arial" w:cs="Arial" w:eastAsia="Arial" w:hAnsi="Arial"/>
          <w:sz w:val="16"/>
          <w:szCs w:val="16"/>
          <w:color w:val="231F20"/>
        </w:rPr>
        <w:t>Giving back to our communities is an integral part of the APS culture, and our employees donate their time and talents to a wide range of charitable organizations and civic initiatives. In 2021, our employees volunteered an estimated 91,000 hours of time, both in-person and virtually, to causes important to them.</w:t>
      </w:r>
    </w:p>
    <w:p>
      <w:pPr>
        <w:spacing w:after="0" w:line="117" w:lineRule="exact"/>
        <w:rPr>
          <w:sz w:val="20"/>
          <w:szCs w:val="20"/>
          <w:color w:val="auto"/>
        </w:rPr>
      </w:pPr>
    </w:p>
    <w:p>
      <w:pPr>
        <w:ind w:left="100"/>
        <w:spacing w:after="0" w:line="266" w:lineRule="auto"/>
        <w:rPr>
          <w:sz w:val="20"/>
          <w:szCs w:val="20"/>
          <w:color w:val="auto"/>
        </w:rPr>
      </w:pPr>
      <w:r>
        <w:rPr>
          <w:rFonts w:ascii="Arial" w:cs="Arial" w:eastAsia="Arial" w:hAnsi="Arial"/>
          <w:sz w:val="16"/>
          <w:szCs w:val="16"/>
          <w:color w:val="231F20"/>
        </w:rPr>
        <w:t>Our employees sit on the boards of more than 400 Arizona community organizations, nonprofit organizations, and industry groups. Employee engagement of this kind not only assists those nonprofits but also produces valuable human-capital development, as volunteerism increases loyalty, performance and job satisfaction while providing employees with professional development opportunities.</w:t>
      </w:r>
    </w:p>
    <w:p>
      <w:pPr>
        <w:spacing w:after="0" w:line="117" w:lineRule="exact"/>
        <w:rPr>
          <w:sz w:val="20"/>
          <w:szCs w:val="20"/>
          <w:color w:val="auto"/>
        </w:rPr>
      </w:pPr>
    </w:p>
    <w:p>
      <w:pPr>
        <w:ind w:left="100"/>
        <w:spacing w:after="0"/>
        <w:rPr>
          <w:sz w:val="20"/>
          <w:szCs w:val="20"/>
          <w:color w:val="auto"/>
        </w:rPr>
      </w:pPr>
      <w:r>
        <w:rPr>
          <w:rFonts w:ascii="Arial" w:cs="Arial" w:eastAsia="Arial" w:hAnsi="Arial"/>
          <w:sz w:val="16"/>
          <w:szCs w:val="16"/>
          <w:color w:val="231F20"/>
        </w:rPr>
        <w:t>Other accomplishments for 2021 include:</w:t>
      </w:r>
    </w:p>
    <w:p>
      <w:pPr>
        <w:spacing w:after="0" w:line="167" w:lineRule="exact"/>
        <w:rPr>
          <w:sz w:val="20"/>
          <w:szCs w:val="20"/>
          <w:color w:val="auto"/>
        </w:rPr>
      </w:pPr>
    </w:p>
    <w:p>
      <w:pPr>
        <w:ind w:left="340" w:right="100" w:hanging="242"/>
        <w:spacing w:after="0" w:line="286" w:lineRule="auto"/>
        <w:tabs>
          <w:tab w:leader="none" w:pos="340" w:val="left"/>
        </w:tabs>
        <w:numPr>
          <w:ilvl w:val="0"/>
          <w:numId w:val="26"/>
        </w:numPr>
        <w:rPr>
          <w:rFonts w:ascii="Arial" w:cs="Arial" w:eastAsia="Arial" w:hAnsi="Arial"/>
          <w:sz w:val="16"/>
          <w:szCs w:val="16"/>
          <w:b w:val="1"/>
          <w:bCs w:val="1"/>
          <w:color w:val="355675"/>
        </w:rPr>
      </w:pPr>
      <w:r>
        <w:rPr>
          <w:rFonts w:ascii="Arial" w:cs="Arial" w:eastAsia="Arial" w:hAnsi="Arial"/>
          <w:sz w:val="16"/>
          <w:szCs w:val="16"/>
          <w:b w:val="1"/>
          <w:bCs w:val="1"/>
          <w:color w:val="008C9F"/>
        </w:rPr>
        <w:t xml:space="preserve">Employees pledged $2 million </w:t>
      </w:r>
      <w:r>
        <w:rPr>
          <w:rFonts w:ascii="Arial" w:cs="Arial" w:eastAsia="Arial" w:hAnsi="Arial"/>
          <w:sz w:val="16"/>
          <w:szCs w:val="16"/>
          <w:color w:val="000000"/>
        </w:rPr>
        <w:t>to the 2021 Community Service Fund campaign (United Way) and the Company matched those pledges for a total of</w:t>
      </w:r>
      <w:r>
        <w:rPr>
          <w:rFonts w:ascii="Arial" w:cs="Arial" w:eastAsia="Arial" w:hAnsi="Arial"/>
          <w:sz w:val="16"/>
          <w:szCs w:val="16"/>
          <w:b w:val="1"/>
          <w:bCs w:val="1"/>
          <w:color w:val="008C9F"/>
        </w:rPr>
        <w:t xml:space="preserve"> </w:t>
      </w:r>
      <w:r>
        <w:rPr>
          <w:rFonts w:ascii="Arial" w:cs="Arial" w:eastAsia="Arial" w:hAnsi="Arial"/>
          <w:sz w:val="16"/>
          <w:szCs w:val="16"/>
          <w:color w:val="000000"/>
        </w:rPr>
        <w:t>$4 million donated.</w:t>
      </w:r>
    </w:p>
    <w:p>
      <w:pPr>
        <w:spacing w:after="0" w:line="128" w:lineRule="exact"/>
        <w:rPr>
          <w:rFonts w:ascii="Arial" w:cs="Arial" w:eastAsia="Arial" w:hAnsi="Arial"/>
          <w:sz w:val="16"/>
          <w:szCs w:val="16"/>
          <w:b w:val="1"/>
          <w:bCs w:val="1"/>
          <w:color w:val="355675"/>
        </w:rPr>
      </w:pPr>
    </w:p>
    <w:p>
      <w:pPr>
        <w:ind w:left="340" w:right="100" w:hanging="242"/>
        <w:spacing w:after="0" w:line="296" w:lineRule="auto"/>
        <w:tabs>
          <w:tab w:leader="none" w:pos="340" w:val="left"/>
        </w:tabs>
        <w:numPr>
          <w:ilvl w:val="0"/>
          <w:numId w:val="26"/>
        </w:numPr>
        <w:rPr>
          <w:rFonts w:ascii="Arial" w:cs="Arial" w:eastAsia="Arial" w:hAnsi="Arial"/>
          <w:sz w:val="16"/>
          <w:szCs w:val="16"/>
          <w:b w:val="1"/>
          <w:bCs w:val="1"/>
          <w:color w:val="355675"/>
        </w:rPr>
      </w:pPr>
      <w:r>
        <w:rPr>
          <w:rFonts w:ascii="Arial" w:cs="Arial" w:eastAsia="Arial" w:hAnsi="Arial"/>
          <w:sz w:val="16"/>
          <w:szCs w:val="16"/>
          <w:color w:val="auto"/>
        </w:rPr>
        <w:t xml:space="preserve">For the fourth consecutive year, we supported Arizona teachers through our </w:t>
      </w:r>
      <w:r>
        <w:rPr>
          <w:rFonts w:ascii="Arial" w:cs="Arial" w:eastAsia="Arial" w:hAnsi="Arial"/>
          <w:sz w:val="16"/>
          <w:szCs w:val="16"/>
          <w:b w:val="1"/>
          <w:bCs w:val="1"/>
          <w:color w:val="008C9F"/>
        </w:rPr>
        <w:t>Supply My Class</w:t>
      </w:r>
      <w:r>
        <w:rPr>
          <w:rFonts w:ascii="Arial" w:cs="Arial" w:eastAsia="Arial" w:hAnsi="Arial"/>
          <w:sz w:val="16"/>
          <w:szCs w:val="16"/>
          <w:color w:val="auto"/>
        </w:rPr>
        <w:t xml:space="preserve"> awards program, in which </w:t>
      </w:r>
      <w:r>
        <w:rPr>
          <w:rFonts w:ascii="Arial" w:cs="Arial" w:eastAsia="Arial" w:hAnsi="Arial"/>
          <w:sz w:val="16"/>
          <w:szCs w:val="16"/>
          <w:b w:val="1"/>
          <w:bCs w:val="1"/>
          <w:color w:val="008C9F"/>
        </w:rPr>
        <w:t>500 Arizona K-12 teachers</w:t>
      </w:r>
      <w:r>
        <w:rPr>
          <w:rFonts w:ascii="Arial" w:cs="Arial" w:eastAsia="Arial" w:hAnsi="Arial"/>
          <w:sz w:val="16"/>
          <w:szCs w:val="16"/>
          <w:color w:val="auto"/>
        </w:rPr>
        <w:t xml:space="preserve"> </w:t>
      </w:r>
      <w:r>
        <w:rPr>
          <w:rFonts w:ascii="Arial" w:cs="Arial" w:eastAsia="Arial" w:hAnsi="Arial"/>
          <w:sz w:val="16"/>
          <w:szCs w:val="16"/>
          <w:b w:val="1"/>
          <w:bCs w:val="1"/>
          <w:color w:val="008C9F"/>
        </w:rPr>
        <w:t xml:space="preserve">from 266 schools received $500 each </w:t>
      </w:r>
      <w:r>
        <w:rPr>
          <w:rFonts w:ascii="Arial" w:cs="Arial" w:eastAsia="Arial" w:hAnsi="Arial"/>
          <w:sz w:val="16"/>
          <w:szCs w:val="16"/>
          <w:color w:val="000000"/>
        </w:rPr>
        <w:t>to purchase much-needed classroom supplies.</w:t>
      </w:r>
    </w:p>
    <w:p>
      <w:pPr>
        <w:spacing w:after="0" w:line="113" w:lineRule="exact"/>
        <w:rPr>
          <w:rFonts w:ascii="Arial" w:cs="Arial" w:eastAsia="Arial" w:hAnsi="Arial"/>
          <w:sz w:val="16"/>
          <w:szCs w:val="16"/>
          <w:b w:val="1"/>
          <w:bCs w:val="1"/>
          <w:color w:val="355675"/>
        </w:rPr>
      </w:pPr>
    </w:p>
    <w:p>
      <w:pPr>
        <w:ind w:left="340" w:right="40" w:hanging="242"/>
        <w:spacing w:after="0" w:line="296" w:lineRule="auto"/>
        <w:tabs>
          <w:tab w:leader="none" w:pos="340" w:val="left"/>
        </w:tabs>
        <w:numPr>
          <w:ilvl w:val="0"/>
          <w:numId w:val="26"/>
        </w:numPr>
        <w:rPr>
          <w:rFonts w:ascii="Arial" w:cs="Arial" w:eastAsia="Arial" w:hAnsi="Arial"/>
          <w:sz w:val="16"/>
          <w:szCs w:val="16"/>
          <w:b w:val="1"/>
          <w:bCs w:val="1"/>
          <w:color w:val="355675"/>
        </w:rPr>
      </w:pPr>
      <w:r>
        <w:rPr>
          <w:rFonts w:ascii="Arial" w:cs="Arial" w:eastAsia="Arial" w:hAnsi="Arial"/>
          <w:sz w:val="16"/>
          <w:szCs w:val="16"/>
          <w:b w:val="1"/>
          <w:bCs w:val="1"/>
          <w:color w:val="008C9F"/>
        </w:rPr>
        <w:t>In partnership with key nonprofit partners</w:t>
      </w:r>
      <w:r>
        <w:rPr>
          <w:rFonts w:ascii="Arial" w:cs="Arial" w:eastAsia="Arial" w:hAnsi="Arial"/>
          <w:sz w:val="16"/>
          <w:szCs w:val="16"/>
          <w:color w:val="000000"/>
        </w:rPr>
        <w:t>, we launched a</w:t>
      </w:r>
      <w:r>
        <w:rPr>
          <w:rFonts w:ascii="Arial" w:cs="Arial" w:eastAsia="Arial" w:hAnsi="Arial"/>
          <w:sz w:val="16"/>
          <w:szCs w:val="16"/>
          <w:b w:val="1"/>
          <w:bCs w:val="1"/>
          <w:color w:val="008C9F"/>
        </w:rPr>
        <w:t xml:space="preserve"> heat relief strategy aimed at expanding assistance to vulnerable individuals during Arizona’s hot summer months</w:t>
      </w:r>
      <w:r>
        <w:rPr>
          <w:rFonts w:ascii="Arial" w:cs="Arial" w:eastAsia="Arial" w:hAnsi="Arial"/>
          <w:sz w:val="16"/>
          <w:szCs w:val="16"/>
          <w:color w:val="000000"/>
        </w:rPr>
        <w:t>, including:</w:t>
      </w:r>
    </w:p>
    <w:p>
      <w:pPr>
        <w:spacing w:after="0" w:line="108" w:lineRule="exact"/>
        <w:rPr>
          <w:rFonts w:ascii="Arial" w:cs="Arial" w:eastAsia="Arial" w:hAnsi="Arial"/>
          <w:sz w:val="16"/>
          <w:szCs w:val="16"/>
          <w:b w:val="1"/>
          <w:bCs w:val="1"/>
          <w:color w:val="355675"/>
        </w:rPr>
      </w:pPr>
    </w:p>
    <w:p>
      <w:pPr>
        <w:ind w:left="560" w:right="460" w:hanging="260"/>
        <w:spacing w:after="0" w:line="281" w:lineRule="auto"/>
        <w:tabs>
          <w:tab w:leader="none" w:pos="560" w:val="left"/>
        </w:tabs>
        <w:numPr>
          <w:ilvl w:val="1"/>
          <w:numId w:val="26"/>
        </w:numPr>
        <w:rPr>
          <w:rFonts w:ascii="Arial" w:cs="Arial" w:eastAsia="Arial" w:hAnsi="Arial"/>
          <w:sz w:val="18"/>
          <w:szCs w:val="18"/>
          <w:b w:val="1"/>
          <w:bCs w:val="1"/>
          <w:color w:val="355675"/>
        </w:rPr>
      </w:pPr>
      <w:r>
        <w:rPr>
          <w:rFonts w:ascii="Arial" w:cs="Arial" w:eastAsia="Arial" w:hAnsi="Arial"/>
          <w:sz w:val="18"/>
          <w:szCs w:val="18"/>
          <w:color w:val="auto"/>
        </w:rPr>
        <w:t xml:space="preserve">In partnership with the Foundation for Senior Living, we provided 30 APS vulnerable customers with emergency air conditioning repair or replacement through the </w:t>
      </w:r>
      <w:r>
        <w:rPr>
          <w:rFonts w:ascii="Arial" w:cs="Arial" w:eastAsia="Arial" w:hAnsi="Arial"/>
          <w:sz w:val="18"/>
          <w:szCs w:val="18"/>
          <w:b w:val="1"/>
          <w:bCs w:val="1"/>
          <w:color w:val="008C9F"/>
        </w:rPr>
        <w:t>APS Healthy Homes AC Pilot Program</w:t>
      </w:r>
      <w:r>
        <w:rPr>
          <w:rFonts w:ascii="Arial" w:cs="Arial" w:eastAsia="Arial" w:hAnsi="Arial"/>
          <w:sz w:val="18"/>
          <w:szCs w:val="18"/>
          <w:color w:val="auto"/>
        </w:rPr>
        <w:t>.</w:t>
      </w:r>
    </w:p>
    <w:p>
      <w:pPr>
        <w:spacing w:after="0" w:line="122" w:lineRule="exact"/>
        <w:rPr>
          <w:rFonts w:ascii="Arial" w:cs="Arial" w:eastAsia="Arial" w:hAnsi="Arial"/>
          <w:sz w:val="18"/>
          <w:szCs w:val="18"/>
          <w:b w:val="1"/>
          <w:bCs w:val="1"/>
          <w:color w:val="355675"/>
        </w:rPr>
      </w:pPr>
    </w:p>
    <w:p>
      <w:pPr>
        <w:ind w:left="560" w:hanging="260"/>
        <w:spacing w:after="0"/>
        <w:tabs>
          <w:tab w:leader="none" w:pos="560" w:val="left"/>
        </w:tabs>
        <w:numPr>
          <w:ilvl w:val="1"/>
          <w:numId w:val="26"/>
        </w:numPr>
        <w:rPr>
          <w:rFonts w:ascii="Arial" w:cs="Arial" w:eastAsia="Arial" w:hAnsi="Arial"/>
          <w:sz w:val="18"/>
          <w:szCs w:val="18"/>
          <w:b w:val="1"/>
          <w:bCs w:val="1"/>
          <w:color w:val="355675"/>
        </w:rPr>
      </w:pPr>
      <w:r>
        <w:rPr>
          <w:rFonts w:ascii="Arial" w:cs="Arial" w:eastAsia="Arial" w:hAnsi="Arial"/>
          <w:sz w:val="18"/>
          <w:szCs w:val="18"/>
          <w:color w:val="auto"/>
        </w:rPr>
        <w:t>In partnership with St. Vincent de Paul, we provided rent and utility assistance to 72 households and 503 individuals.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137795</wp:posOffset>
            </wp:positionV>
            <wp:extent cx="1191260" cy="2317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ectPr>
          <w:pgSz w:w="11900" w:h="16838" w:orient="portrait"/>
          <w:cols w:equalWidth="0" w:num="1">
            <w:col w:w="11140"/>
          </w:cols>
          <w:pgMar w:left="320" w:top="125" w:right="439" w:bottom="1440" w:gutter="0" w:footer="0" w:header="0"/>
        </w:sectPr>
      </w:pP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40"/>
          </w:cols>
          <w:pgMar w:left="320" w:top="125" w:right="439" w:bottom="1440" w:gutter="0" w:footer="0" w:header="0"/>
          <w:type w:val="continuous"/>
        </w:sectPr>
      </w:pPr>
    </w:p>
    <w:bookmarkStart w:id="23" w:name="page24"/>
    <w:bookmarkEnd w:id="2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839216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32320" cy="8392160"/>
                    </a:xfrm>
                    <a:prstGeom prst="rect">
                      <a:avLst/>
                    </a:prstGeom>
                    <a:noFill/>
                  </pic:spPr>
                </pic:pic>
              </a:graphicData>
            </a:graphic>
          </wp:anchor>
        </w:drawing>
      </w:r>
    </w:p>
    <w:p>
      <w:pPr>
        <w:spacing w:after="0" w:line="399" w:lineRule="exact"/>
        <w:rPr>
          <w:sz w:val="20"/>
          <w:szCs w:val="20"/>
          <w:color w:val="auto"/>
        </w:rPr>
      </w:pPr>
    </w:p>
    <w:p>
      <w:pPr>
        <w:jc w:val="right"/>
        <w:ind w:right="80"/>
        <w:spacing w:after="0"/>
        <w:rPr>
          <w:sz w:val="20"/>
          <w:szCs w:val="20"/>
          <w:color w:val="auto"/>
        </w:rPr>
      </w:pPr>
      <w:r>
        <w:rPr>
          <w:rFonts w:ascii="Arial" w:cs="Arial" w:eastAsia="Arial" w:hAnsi="Arial"/>
          <w:sz w:val="18"/>
          <w:szCs w:val="18"/>
          <w:b w:val="1"/>
          <w:bCs w:val="1"/>
          <w:color w:val="395675"/>
        </w:rPr>
        <w:t>Proxy Statement Summary</w:t>
      </w:r>
    </w:p>
    <w:p>
      <w:pPr>
        <w:spacing w:after="0" w:line="372" w:lineRule="exact"/>
        <w:rPr>
          <w:sz w:val="20"/>
          <w:szCs w:val="20"/>
          <w:color w:val="auto"/>
        </w:rPr>
      </w:pPr>
    </w:p>
    <w:p>
      <w:pPr>
        <w:ind w:left="100"/>
        <w:spacing w:after="0"/>
        <w:rPr>
          <w:sz w:val="20"/>
          <w:szCs w:val="20"/>
          <w:color w:val="auto"/>
        </w:rPr>
      </w:pPr>
      <w:r>
        <w:rPr>
          <w:rFonts w:ascii="Arial" w:cs="Arial" w:eastAsia="Arial" w:hAnsi="Arial"/>
          <w:sz w:val="40"/>
          <w:szCs w:val="40"/>
          <w:b w:val="1"/>
          <w:bCs w:val="1"/>
          <w:color w:val="008C9F"/>
        </w:rPr>
        <w:t>Governance Highlights</w:t>
      </w:r>
    </w:p>
    <w:p>
      <w:pPr>
        <w:spacing w:after="0" w:line="200" w:lineRule="exact"/>
        <w:rPr>
          <w:sz w:val="20"/>
          <w:szCs w:val="20"/>
          <w:color w:val="auto"/>
        </w:rPr>
      </w:pPr>
    </w:p>
    <w:p>
      <w:pPr>
        <w:spacing w:after="0" w:line="219" w:lineRule="exact"/>
        <w:rPr>
          <w:sz w:val="20"/>
          <w:szCs w:val="20"/>
          <w:color w:val="auto"/>
        </w:rPr>
      </w:pPr>
    </w:p>
    <w:p>
      <w:pPr>
        <w:ind w:left="100" w:right="880"/>
        <w:spacing w:after="0" w:line="271" w:lineRule="auto"/>
        <w:rPr>
          <w:sz w:val="20"/>
          <w:szCs w:val="20"/>
          <w:color w:val="auto"/>
        </w:rPr>
      </w:pPr>
      <w:r>
        <w:rPr>
          <w:rFonts w:ascii="Arial" w:cs="Arial" w:eastAsia="Arial" w:hAnsi="Arial"/>
          <w:sz w:val="18"/>
          <w:szCs w:val="18"/>
          <w:color w:val="231F20"/>
        </w:rPr>
        <w:t>Our strong corporate governance practices demonstrate the Board’s commitment to enabling an effective structure to support the successful execution of our strategic priorities.</w:t>
      </w:r>
    </w:p>
    <w:p>
      <w:pPr>
        <w:sectPr>
          <w:pgSz w:w="11900" w:h="16838" w:orient="portrait"/>
          <w:cols w:equalWidth="0" w:num="1">
            <w:col w:w="11240"/>
          </w:cols>
          <w:pgMar w:left="320" w:top="125" w:right="339" w:bottom="1440" w:gutter="0" w:footer="0" w:header="0"/>
        </w:sectPr>
      </w:pPr>
    </w:p>
    <w:p>
      <w:pPr>
        <w:spacing w:after="0" w:line="194"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Board Independence</w:t>
      </w:r>
    </w:p>
    <w:p>
      <w:pPr>
        <w:spacing w:after="0" w:line="117" w:lineRule="exact"/>
        <w:rPr>
          <w:sz w:val="20"/>
          <w:szCs w:val="20"/>
          <w:color w:val="auto"/>
        </w:rPr>
      </w:pPr>
    </w:p>
    <w:p>
      <w:pPr>
        <w:ind w:left="360" w:hanging="262"/>
        <w:spacing w:after="0" w:line="253" w:lineRule="auto"/>
        <w:tabs>
          <w:tab w:leader="none" w:pos="348" w:val="left"/>
        </w:tabs>
        <w:numPr>
          <w:ilvl w:val="0"/>
          <w:numId w:val="27"/>
        </w:numPr>
        <w:rPr>
          <w:rFonts w:ascii="Arial" w:cs="Arial" w:eastAsia="Arial" w:hAnsi="Arial"/>
          <w:sz w:val="18"/>
          <w:szCs w:val="18"/>
          <w:color w:val="355675"/>
        </w:rPr>
      </w:pPr>
      <w:r>
        <w:rPr>
          <w:rFonts w:ascii="Arial" w:cs="Arial" w:eastAsia="Arial" w:hAnsi="Arial"/>
          <w:sz w:val="18"/>
          <w:szCs w:val="18"/>
          <w:b w:val="1"/>
          <w:bCs w:val="1"/>
          <w:color w:val="008C9F"/>
        </w:rPr>
        <w:t xml:space="preserve">Independent Lead Director </w:t>
      </w:r>
      <w:r>
        <w:rPr>
          <w:rFonts w:ascii="Arial" w:cs="Arial" w:eastAsia="Arial" w:hAnsi="Arial"/>
          <w:sz w:val="18"/>
          <w:szCs w:val="18"/>
          <w:color w:val="231F20"/>
        </w:rPr>
        <w:t>role with</w:t>
      </w:r>
      <w:r>
        <w:rPr>
          <w:rFonts w:ascii="Arial" w:cs="Arial" w:eastAsia="Arial" w:hAnsi="Arial"/>
          <w:sz w:val="18"/>
          <w:szCs w:val="18"/>
          <w:b w:val="1"/>
          <w:bCs w:val="1"/>
          <w:color w:val="008C9F"/>
        </w:rPr>
        <w:t xml:space="preserve"> </w:t>
      </w:r>
      <w:r>
        <w:rPr>
          <w:rFonts w:ascii="Arial" w:cs="Arial" w:eastAsia="Arial" w:hAnsi="Arial"/>
          <w:sz w:val="18"/>
          <w:szCs w:val="18"/>
          <w:color w:val="231F20"/>
        </w:rPr>
        <w:t>clearly defined and robust responsibilities</w:t>
      </w:r>
    </w:p>
    <w:p>
      <w:pPr>
        <w:spacing w:after="0" w:line="128" w:lineRule="exact"/>
        <w:rPr>
          <w:rFonts w:ascii="Arial" w:cs="Arial" w:eastAsia="Arial" w:hAnsi="Arial"/>
          <w:sz w:val="18"/>
          <w:szCs w:val="18"/>
          <w:color w:val="355675"/>
        </w:rPr>
      </w:pPr>
    </w:p>
    <w:p>
      <w:pPr>
        <w:ind w:left="360" w:right="60" w:hanging="262"/>
        <w:spacing w:after="0" w:line="247" w:lineRule="auto"/>
        <w:tabs>
          <w:tab w:leader="none" w:pos="348" w:val="left"/>
        </w:tabs>
        <w:numPr>
          <w:ilvl w:val="0"/>
          <w:numId w:val="27"/>
        </w:numPr>
        <w:rPr>
          <w:rFonts w:ascii="Arial" w:cs="Arial" w:eastAsia="Arial" w:hAnsi="Arial"/>
          <w:sz w:val="18"/>
          <w:szCs w:val="18"/>
          <w:color w:val="355675"/>
        </w:rPr>
      </w:pPr>
      <w:r>
        <w:rPr>
          <w:rFonts w:ascii="Arial" w:cs="Arial" w:eastAsia="Arial" w:hAnsi="Arial"/>
          <w:sz w:val="18"/>
          <w:szCs w:val="18"/>
          <w:b w:val="1"/>
          <w:bCs w:val="1"/>
          <w:color w:val="008C9F"/>
        </w:rPr>
        <w:t xml:space="preserve">Ten of our eleven Director nominees are independent </w:t>
      </w:r>
      <w:r>
        <w:rPr>
          <w:rFonts w:ascii="Arial" w:cs="Arial" w:eastAsia="Arial" w:hAnsi="Arial"/>
          <w:sz w:val="18"/>
          <w:szCs w:val="18"/>
          <w:color w:val="231F20"/>
        </w:rPr>
        <w:t>and the</w:t>
      </w:r>
      <w:r>
        <w:rPr>
          <w:rFonts w:ascii="Arial" w:cs="Arial" w:eastAsia="Arial" w:hAnsi="Arial"/>
          <w:sz w:val="18"/>
          <w:szCs w:val="18"/>
          <w:b w:val="1"/>
          <w:bCs w:val="1"/>
          <w:color w:val="008C9F"/>
        </w:rPr>
        <w:t xml:space="preserve"> </w:t>
      </w:r>
      <w:r>
        <w:rPr>
          <w:rFonts w:ascii="Arial" w:cs="Arial" w:eastAsia="Arial" w:hAnsi="Arial"/>
          <w:sz w:val="18"/>
          <w:szCs w:val="18"/>
          <w:color w:val="231F20"/>
        </w:rPr>
        <w:t>members of all of the Board committees are independent</w:t>
      </w: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1380"/>
        <w:spacing w:after="0"/>
        <w:rPr>
          <w:sz w:val="20"/>
          <w:szCs w:val="20"/>
          <w:color w:val="auto"/>
        </w:rPr>
      </w:pPr>
      <w:r>
        <w:rPr>
          <w:rFonts w:ascii="Arial" w:cs="Arial" w:eastAsia="Arial" w:hAnsi="Arial"/>
          <w:sz w:val="25"/>
          <w:szCs w:val="25"/>
          <w:b w:val="1"/>
          <w:bCs w:val="1"/>
          <w:color w:val="355675"/>
        </w:rPr>
        <w:t>10/11</w:t>
      </w:r>
    </w:p>
    <w:p>
      <w:pPr>
        <w:spacing w:after="0" w:line="39" w:lineRule="exact"/>
        <w:rPr>
          <w:sz w:val="20"/>
          <w:szCs w:val="20"/>
          <w:color w:val="auto"/>
        </w:rPr>
      </w:pPr>
    </w:p>
    <w:p>
      <w:pPr>
        <w:ind w:left="1380"/>
        <w:spacing w:after="0"/>
        <w:rPr>
          <w:sz w:val="20"/>
          <w:szCs w:val="20"/>
          <w:color w:val="auto"/>
        </w:rPr>
      </w:pPr>
      <w:r>
        <w:rPr>
          <w:rFonts w:ascii="Arial" w:cs="Arial" w:eastAsia="Arial" w:hAnsi="Arial"/>
          <w:sz w:val="14"/>
          <w:szCs w:val="14"/>
          <w:color w:val="auto"/>
        </w:rPr>
        <w:t>independent</w:t>
      </w:r>
    </w:p>
    <w:p>
      <w:pPr>
        <w:spacing w:after="0" w:line="1" w:lineRule="exact"/>
        <w:rPr>
          <w:sz w:val="20"/>
          <w:szCs w:val="20"/>
          <w:color w:val="auto"/>
        </w:rPr>
      </w:pPr>
    </w:p>
    <w:p>
      <w:pPr>
        <w:ind w:left="1380"/>
        <w:spacing w:after="0"/>
        <w:rPr>
          <w:sz w:val="20"/>
          <w:szCs w:val="20"/>
          <w:color w:val="auto"/>
        </w:rPr>
      </w:pPr>
      <w:r>
        <w:rPr>
          <w:rFonts w:ascii="Arial" w:cs="Arial" w:eastAsia="Arial" w:hAnsi="Arial"/>
          <w:sz w:val="14"/>
          <w:szCs w:val="14"/>
          <w:color w:val="auto"/>
        </w:rPr>
        <w:t>director nominees</w:t>
      </w:r>
    </w:p>
    <w:p>
      <w:pPr>
        <w:spacing w:after="0" w:line="20" w:lineRule="exact"/>
        <w:rPr>
          <w:sz w:val="20"/>
          <w:szCs w:val="20"/>
          <w:color w:val="auto"/>
        </w:rPr>
      </w:pPr>
      <w:r>
        <w:rPr>
          <w:sz w:val="20"/>
          <w:szCs w:val="20"/>
          <w:color w:val="auto"/>
        </w:rPr>
        <w:br w:type="column"/>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Board Oversight</w:t>
      </w:r>
    </w:p>
    <w:p>
      <w:pPr>
        <w:spacing w:after="0" w:line="117" w:lineRule="exact"/>
        <w:rPr>
          <w:sz w:val="20"/>
          <w:szCs w:val="20"/>
          <w:color w:val="auto"/>
        </w:rPr>
      </w:pPr>
    </w:p>
    <w:p>
      <w:pPr>
        <w:ind w:left="280" w:right="240" w:hanging="272"/>
        <w:spacing w:after="0" w:line="244" w:lineRule="auto"/>
        <w:tabs>
          <w:tab w:leader="none" w:pos="269" w:val="left"/>
        </w:tabs>
        <w:numPr>
          <w:ilvl w:val="0"/>
          <w:numId w:val="28"/>
        </w:numPr>
        <w:rPr>
          <w:rFonts w:ascii="Arial" w:cs="Arial" w:eastAsia="Arial" w:hAnsi="Arial"/>
          <w:sz w:val="18"/>
          <w:szCs w:val="18"/>
          <w:color w:val="355675"/>
        </w:rPr>
      </w:pPr>
      <w:r>
        <w:rPr>
          <w:rFonts w:ascii="Arial" w:cs="Arial" w:eastAsia="Arial" w:hAnsi="Arial"/>
          <w:sz w:val="18"/>
          <w:szCs w:val="18"/>
          <w:color w:val="231F20"/>
        </w:rPr>
        <w:t xml:space="preserve">Defined </w:t>
      </w:r>
      <w:r>
        <w:rPr>
          <w:rFonts w:ascii="Arial" w:cs="Arial" w:eastAsia="Arial" w:hAnsi="Arial"/>
          <w:sz w:val="18"/>
          <w:szCs w:val="18"/>
          <w:b w:val="1"/>
          <w:bCs w:val="1"/>
          <w:color w:val="008C9F"/>
        </w:rPr>
        <w:t>oversight of</w:t>
      </w:r>
      <w:r>
        <w:rPr>
          <w:rFonts w:ascii="Arial" w:cs="Arial" w:eastAsia="Arial" w:hAnsi="Arial"/>
          <w:sz w:val="18"/>
          <w:szCs w:val="18"/>
          <w:color w:val="231F20"/>
        </w:rPr>
        <w:t xml:space="preserve"> </w:t>
      </w:r>
      <w:r>
        <w:rPr>
          <w:rFonts w:ascii="Arial" w:cs="Arial" w:eastAsia="Arial" w:hAnsi="Arial"/>
          <w:sz w:val="18"/>
          <w:szCs w:val="18"/>
          <w:b w:val="1"/>
          <w:bCs w:val="1"/>
          <w:color w:val="008C9F"/>
        </w:rPr>
        <w:t xml:space="preserve">environmental, social, and governance practices </w:t>
      </w:r>
      <w:r>
        <w:rPr>
          <w:rFonts w:ascii="Arial" w:cs="Arial" w:eastAsia="Arial" w:hAnsi="Arial"/>
          <w:sz w:val="18"/>
          <w:szCs w:val="18"/>
          <w:color w:val="231F20"/>
        </w:rPr>
        <w:t>by the</w:t>
      </w:r>
      <w:r>
        <w:rPr>
          <w:rFonts w:ascii="Arial" w:cs="Arial" w:eastAsia="Arial" w:hAnsi="Arial"/>
          <w:sz w:val="18"/>
          <w:szCs w:val="18"/>
          <w:b w:val="1"/>
          <w:bCs w:val="1"/>
          <w:color w:val="008C9F"/>
        </w:rPr>
        <w:t xml:space="preserve"> </w:t>
      </w:r>
      <w:r>
        <w:rPr>
          <w:rFonts w:ascii="Arial" w:cs="Arial" w:eastAsia="Arial" w:hAnsi="Arial"/>
          <w:sz w:val="18"/>
          <w:szCs w:val="18"/>
          <w:color w:val="231F20"/>
        </w:rPr>
        <w:t>Corporate Governance and Public Responsibility Committee</w:t>
      </w:r>
    </w:p>
    <w:p>
      <w:pPr>
        <w:spacing w:after="0" w:line="135" w:lineRule="exact"/>
        <w:rPr>
          <w:rFonts w:ascii="Arial" w:cs="Arial" w:eastAsia="Arial" w:hAnsi="Arial"/>
          <w:sz w:val="18"/>
          <w:szCs w:val="18"/>
          <w:color w:val="355675"/>
        </w:rPr>
      </w:pPr>
    </w:p>
    <w:p>
      <w:pPr>
        <w:ind w:left="280" w:right="280" w:hanging="272"/>
        <w:spacing w:after="0" w:line="281" w:lineRule="auto"/>
        <w:tabs>
          <w:tab w:leader="none" w:pos="269" w:val="left"/>
        </w:tabs>
        <w:numPr>
          <w:ilvl w:val="0"/>
          <w:numId w:val="28"/>
        </w:numPr>
        <w:rPr>
          <w:rFonts w:ascii="Arial" w:cs="Arial" w:eastAsia="Arial" w:hAnsi="Arial"/>
          <w:sz w:val="18"/>
          <w:szCs w:val="18"/>
          <w:color w:val="355675"/>
        </w:rPr>
      </w:pPr>
      <w:r>
        <w:rPr>
          <w:rFonts w:ascii="Arial" w:cs="Arial" w:eastAsia="Arial" w:hAnsi="Arial"/>
          <w:sz w:val="18"/>
          <w:szCs w:val="18"/>
          <w:color w:val="231F20"/>
        </w:rPr>
        <w:t xml:space="preserve">Robust management </w:t>
      </w:r>
      <w:r>
        <w:rPr>
          <w:rFonts w:ascii="Arial" w:cs="Arial" w:eastAsia="Arial" w:hAnsi="Arial"/>
          <w:sz w:val="18"/>
          <w:szCs w:val="18"/>
          <w:b w:val="1"/>
          <w:bCs w:val="1"/>
          <w:color w:val="008C9F"/>
        </w:rPr>
        <w:t>succession</w:t>
      </w:r>
      <w:r>
        <w:rPr>
          <w:rFonts w:ascii="Arial" w:cs="Arial" w:eastAsia="Arial" w:hAnsi="Arial"/>
          <w:sz w:val="18"/>
          <w:szCs w:val="18"/>
          <w:color w:val="231F20"/>
        </w:rPr>
        <w:t xml:space="preserve"> </w:t>
      </w:r>
      <w:r>
        <w:rPr>
          <w:rFonts w:ascii="Arial" w:cs="Arial" w:eastAsia="Arial" w:hAnsi="Arial"/>
          <w:sz w:val="18"/>
          <w:szCs w:val="18"/>
          <w:b w:val="1"/>
          <w:bCs w:val="1"/>
          <w:color w:val="008C9F"/>
        </w:rPr>
        <w:t>planning</w:t>
      </w:r>
    </w:p>
    <w:p>
      <w:pPr>
        <w:spacing w:after="0" w:line="109" w:lineRule="exact"/>
        <w:rPr>
          <w:rFonts w:ascii="Arial" w:cs="Arial" w:eastAsia="Arial" w:hAnsi="Arial"/>
          <w:sz w:val="18"/>
          <w:szCs w:val="18"/>
          <w:color w:val="355675"/>
        </w:rPr>
      </w:pPr>
    </w:p>
    <w:p>
      <w:pPr>
        <w:ind w:left="280" w:right="20" w:hanging="272"/>
        <w:spacing w:after="0" w:line="281" w:lineRule="auto"/>
        <w:tabs>
          <w:tab w:leader="none" w:pos="269" w:val="left"/>
        </w:tabs>
        <w:numPr>
          <w:ilvl w:val="0"/>
          <w:numId w:val="28"/>
        </w:numPr>
        <w:rPr>
          <w:rFonts w:ascii="Arial" w:cs="Arial" w:eastAsia="Arial" w:hAnsi="Arial"/>
          <w:sz w:val="18"/>
          <w:szCs w:val="18"/>
          <w:color w:val="355675"/>
        </w:rPr>
      </w:pPr>
      <w:r>
        <w:rPr>
          <w:rFonts w:ascii="Arial" w:cs="Arial" w:eastAsia="Arial" w:hAnsi="Arial"/>
          <w:sz w:val="18"/>
          <w:szCs w:val="18"/>
          <w:color w:val="231F20"/>
        </w:rPr>
        <w:t xml:space="preserve">Focused Board oversight of </w:t>
      </w:r>
      <w:r>
        <w:rPr>
          <w:rFonts w:ascii="Arial" w:cs="Arial" w:eastAsia="Arial" w:hAnsi="Arial"/>
          <w:sz w:val="18"/>
          <w:szCs w:val="18"/>
          <w:b w:val="1"/>
          <w:bCs w:val="1"/>
          <w:color w:val="008C9F"/>
        </w:rPr>
        <w:t>strategy</w:t>
      </w:r>
      <w:r>
        <w:rPr>
          <w:rFonts w:ascii="Arial" w:cs="Arial" w:eastAsia="Arial" w:hAnsi="Arial"/>
          <w:sz w:val="18"/>
          <w:szCs w:val="18"/>
          <w:color w:val="231F20"/>
        </w:rPr>
        <w:t xml:space="preserve"> </w:t>
      </w:r>
      <w:r>
        <w:rPr>
          <w:rFonts w:ascii="Arial" w:cs="Arial" w:eastAsia="Arial" w:hAnsi="Arial"/>
          <w:sz w:val="18"/>
          <w:szCs w:val="18"/>
          <w:b w:val="1"/>
          <w:bCs w:val="1"/>
          <w:color w:val="008C9F"/>
        </w:rPr>
        <w:t>and risk</w:t>
      </w:r>
    </w:p>
    <w:p>
      <w:pPr>
        <w:spacing w:after="0" w:line="95" w:lineRule="exact"/>
        <w:rPr>
          <w:rFonts w:ascii="Arial" w:cs="Arial" w:eastAsia="Arial" w:hAnsi="Arial"/>
          <w:sz w:val="18"/>
          <w:szCs w:val="18"/>
          <w:color w:val="355675"/>
        </w:rPr>
      </w:pPr>
    </w:p>
    <w:p>
      <w:pPr>
        <w:ind w:left="280" w:right="700" w:hanging="272"/>
        <w:spacing w:after="0" w:line="271" w:lineRule="auto"/>
        <w:tabs>
          <w:tab w:leader="none" w:pos="265" w:val="left"/>
        </w:tabs>
        <w:numPr>
          <w:ilvl w:val="0"/>
          <w:numId w:val="28"/>
        </w:numPr>
        <w:rPr>
          <w:rFonts w:ascii="Arial" w:cs="Arial" w:eastAsia="Arial" w:hAnsi="Arial"/>
          <w:sz w:val="18"/>
          <w:szCs w:val="18"/>
          <w:color w:val="355675"/>
        </w:rPr>
      </w:pPr>
      <w:r>
        <w:rPr>
          <w:rFonts w:ascii="Arial" w:cs="Arial" w:eastAsia="Arial" w:hAnsi="Arial"/>
          <w:sz w:val="18"/>
          <w:szCs w:val="18"/>
          <w:color w:val="231F20"/>
        </w:rPr>
        <w:t>Thorough CEO performance oversight process</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Board Performance</w:t>
      </w:r>
    </w:p>
    <w:p>
      <w:pPr>
        <w:spacing w:after="0" w:line="185" w:lineRule="exact"/>
        <w:rPr>
          <w:sz w:val="20"/>
          <w:szCs w:val="20"/>
          <w:color w:val="auto"/>
        </w:rPr>
      </w:pPr>
    </w:p>
    <w:p>
      <w:pPr>
        <w:ind w:left="280" w:hanging="272"/>
        <w:spacing w:after="0" w:line="275" w:lineRule="auto"/>
        <w:tabs>
          <w:tab w:leader="none" w:pos="268" w:val="left"/>
        </w:tabs>
        <w:numPr>
          <w:ilvl w:val="0"/>
          <w:numId w:val="29"/>
        </w:numPr>
        <w:rPr>
          <w:rFonts w:ascii="Arial" w:cs="Arial" w:eastAsia="Arial" w:hAnsi="Arial"/>
          <w:sz w:val="17"/>
          <w:szCs w:val="17"/>
          <w:color w:val="355675"/>
        </w:rPr>
      </w:pPr>
      <w:r>
        <w:rPr>
          <w:rFonts w:ascii="Arial" w:cs="Arial" w:eastAsia="Arial" w:hAnsi="Arial"/>
          <w:sz w:val="17"/>
          <w:szCs w:val="17"/>
          <w:b w:val="1"/>
          <w:bCs w:val="1"/>
          <w:color w:val="008C9F"/>
        </w:rPr>
        <w:t xml:space="preserve">Annual Board, committee and individual Director evaluations </w:t>
      </w:r>
      <w:r>
        <w:rPr>
          <w:rFonts w:ascii="Arial" w:cs="Arial" w:eastAsia="Arial" w:hAnsi="Arial"/>
          <w:sz w:val="17"/>
          <w:szCs w:val="17"/>
          <w:color w:val="231F20"/>
        </w:rPr>
        <w:t>and</w:t>
      </w:r>
      <w:r>
        <w:rPr>
          <w:rFonts w:ascii="Arial" w:cs="Arial" w:eastAsia="Arial" w:hAnsi="Arial"/>
          <w:sz w:val="17"/>
          <w:szCs w:val="17"/>
          <w:b w:val="1"/>
          <w:bCs w:val="1"/>
          <w:color w:val="008C9F"/>
        </w:rPr>
        <w:t xml:space="preserve"> </w:t>
      </w:r>
      <w:r>
        <w:rPr>
          <w:rFonts w:ascii="Arial" w:cs="Arial" w:eastAsia="Arial" w:hAnsi="Arial"/>
          <w:sz w:val="17"/>
          <w:szCs w:val="17"/>
          <w:color w:val="231F20"/>
        </w:rPr>
        <w:t>discussions with the Lead Director</w:t>
      </w:r>
    </w:p>
    <w:p>
      <w:pPr>
        <w:spacing w:after="0" w:line="111" w:lineRule="exact"/>
        <w:rPr>
          <w:rFonts w:ascii="Arial" w:cs="Arial" w:eastAsia="Arial" w:hAnsi="Arial"/>
          <w:sz w:val="17"/>
          <w:szCs w:val="17"/>
          <w:color w:val="355675"/>
        </w:rPr>
      </w:pPr>
    </w:p>
    <w:p>
      <w:pPr>
        <w:ind w:left="280" w:right="220" w:hanging="272"/>
        <w:spacing w:after="0" w:line="257" w:lineRule="auto"/>
        <w:tabs>
          <w:tab w:leader="none" w:pos="269" w:val="left"/>
        </w:tabs>
        <w:numPr>
          <w:ilvl w:val="0"/>
          <w:numId w:val="29"/>
        </w:numPr>
        <w:rPr>
          <w:rFonts w:ascii="Arial" w:cs="Arial" w:eastAsia="Arial" w:hAnsi="Arial"/>
          <w:sz w:val="18"/>
          <w:szCs w:val="18"/>
          <w:color w:val="355675"/>
        </w:rPr>
      </w:pPr>
      <w:r>
        <w:rPr>
          <w:rFonts w:ascii="Arial" w:cs="Arial" w:eastAsia="Arial" w:hAnsi="Arial"/>
          <w:sz w:val="18"/>
          <w:szCs w:val="18"/>
          <w:color w:val="231F20"/>
        </w:rPr>
        <w:t xml:space="preserve">Director skills and experience necessary to provide </w:t>
      </w:r>
      <w:r>
        <w:rPr>
          <w:rFonts w:ascii="Arial" w:cs="Arial" w:eastAsia="Arial" w:hAnsi="Arial"/>
          <w:sz w:val="18"/>
          <w:szCs w:val="18"/>
          <w:b w:val="1"/>
          <w:bCs w:val="1"/>
          <w:color w:val="008C9F"/>
        </w:rPr>
        <w:t>oversight of</w:t>
      </w:r>
      <w:r>
        <w:rPr>
          <w:rFonts w:ascii="Arial" w:cs="Arial" w:eastAsia="Arial" w:hAnsi="Arial"/>
          <w:sz w:val="18"/>
          <w:szCs w:val="18"/>
          <w:color w:val="231F20"/>
        </w:rPr>
        <w:t xml:space="preserve"> </w:t>
      </w:r>
      <w:r>
        <w:rPr>
          <w:rFonts w:ascii="Arial" w:cs="Arial" w:eastAsia="Arial" w:hAnsi="Arial"/>
          <w:sz w:val="18"/>
          <w:szCs w:val="18"/>
          <w:b w:val="1"/>
          <w:bCs w:val="1"/>
          <w:color w:val="008C9F"/>
        </w:rPr>
        <w:t>our strategy and operations</w:t>
      </w:r>
    </w:p>
    <w:p>
      <w:pPr>
        <w:spacing w:after="0" w:line="118" w:lineRule="exact"/>
        <w:rPr>
          <w:rFonts w:ascii="Arial" w:cs="Arial" w:eastAsia="Arial" w:hAnsi="Arial"/>
          <w:sz w:val="18"/>
          <w:szCs w:val="18"/>
          <w:color w:val="355675"/>
        </w:rPr>
      </w:pPr>
    </w:p>
    <w:p>
      <w:pPr>
        <w:ind w:left="280" w:right="280" w:hanging="272"/>
        <w:spacing w:after="0" w:line="271" w:lineRule="auto"/>
        <w:tabs>
          <w:tab w:leader="none" w:pos="268" w:val="left"/>
        </w:tabs>
        <w:numPr>
          <w:ilvl w:val="0"/>
          <w:numId w:val="29"/>
        </w:numPr>
        <w:rPr>
          <w:rFonts w:ascii="Arial" w:cs="Arial" w:eastAsia="Arial" w:hAnsi="Arial"/>
          <w:sz w:val="18"/>
          <w:szCs w:val="18"/>
          <w:color w:val="355675"/>
        </w:rPr>
      </w:pPr>
      <w:r>
        <w:rPr>
          <w:rFonts w:ascii="Arial" w:cs="Arial" w:eastAsia="Arial" w:hAnsi="Arial"/>
          <w:sz w:val="18"/>
          <w:szCs w:val="18"/>
          <w:b w:val="1"/>
          <w:bCs w:val="1"/>
          <w:color w:val="008C9F"/>
        </w:rPr>
        <w:t>Robust Board refreshment</w:t>
      </w:r>
      <w:r>
        <w:rPr>
          <w:rFonts w:ascii="Arial" w:cs="Arial" w:eastAsia="Arial" w:hAnsi="Arial"/>
          <w:sz w:val="18"/>
          <w:szCs w:val="18"/>
          <w:color w:val="231F20"/>
        </w:rPr>
        <w:t>, with</w:t>
      </w:r>
      <w:r>
        <w:rPr>
          <w:rFonts w:ascii="Arial" w:cs="Arial" w:eastAsia="Arial" w:hAnsi="Arial"/>
          <w:sz w:val="18"/>
          <w:szCs w:val="18"/>
          <w:b w:val="1"/>
          <w:bCs w:val="1"/>
          <w:color w:val="008C9F"/>
        </w:rPr>
        <w:t xml:space="preserve"> </w:t>
      </w:r>
      <w:r>
        <w:rPr>
          <w:rFonts w:ascii="Arial" w:cs="Arial" w:eastAsia="Arial" w:hAnsi="Arial"/>
          <w:sz w:val="18"/>
          <w:szCs w:val="18"/>
          <w:color w:val="231F20"/>
        </w:rPr>
        <w:t>director retirement policy</w:t>
      </w:r>
    </w:p>
    <w:p>
      <w:pPr>
        <w:spacing w:after="0" w:line="20" w:lineRule="exact"/>
        <w:rPr>
          <w:sz w:val="20"/>
          <w:szCs w:val="20"/>
          <w:color w:val="auto"/>
        </w:rPr>
      </w:pPr>
      <w:r>
        <w:rPr>
          <w:sz w:val="20"/>
          <w:szCs w:val="20"/>
          <w:color w:val="auto"/>
        </w:rPr>
        <w:br w:type="column"/>
      </w:r>
    </w:p>
    <w:p>
      <w:pPr>
        <w:spacing w:after="0" w:line="174" w:lineRule="exact"/>
        <w:rPr>
          <w:sz w:val="20"/>
          <w:szCs w:val="20"/>
          <w:color w:val="auto"/>
        </w:rPr>
      </w:pPr>
    </w:p>
    <w:p>
      <w:pPr>
        <w:ind w:left="8"/>
        <w:spacing w:after="0"/>
        <w:rPr>
          <w:sz w:val="20"/>
          <w:szCs w:val="20"/>
          <w:color w:val="auto"/>
        </w:rPr>
      </w:pPr>
      <w:r>
        <w:rPr>
          <w:rFonts w:ascii="Arial" w:cs="Arial" w:eastAsia="Arial" w:hAnsi="Arial"/>
          <w:sz w:val="18"/>
          <w:szCs w:val="18"/>
          <w:b w:val="1"/>
          <w:bCs w:val="1"/>
          <w:color w:val="355675"/>
        </w:rPr>
        <w:t>Shareholder Rights</w:t>
      </w:r>
    </w:p>
    <w:p>
      <w:pPr>
        <w:spacing w:after="0" w:line="117" w:lineRule="exact"/>
        <w:rPr>
          <w:sz w:val="20"/>
          <w:szCs w:val="20"/>
          <w:color w:val="auto"/>
        </w:rPr>
      </w:pPr>
    </w:p>
    <w:p>
      <w:pPr>
        <w:ind w:left="268" w:right="800" w:hanging="268"/>
        <w:spacing w:after="0" w:line="281" w:lineRule="auto"/>
        <w:tabs>
          <w:tab w:leader="none" w:pos="257" w:val="left"/>
        </w:tabs>
        <w:numPr>
          <w:ilvl w:val="0"/>
          <w:numId w:val="30"/>
        </w:numPr>
        <w:rPr>
          <w:rFonts w:ascii="Arial" w:cs="Arial" w:eastAsia="Arial" w:hAnsi="Arial"/>
          <w:sz w:val="18"/>
          <w:szCs w:val="18"/>
          <w:color w:val="355675"/>
        </w:rPr>
      </w:pPr>
      <w:r>
        <w:rPr>
          <w:rFonts w:ascii="Arial" w:cs="Arial" w:eastAsia="Arial" w:hAnsi="Arial"/>
          <w:sz w:val="18"/>
          <w:szCs w:val="18"/>
          <w:b w:val="1"/>
          <w:bCs w:val="1"/>
          <w:color w:val="008C9F"/>
        </w:rPr>
        <w:t>Reduced threshold to call a special meeting to 15%</w:t>
      </w:r>
    </w:p>
    <w:p>
      <w:pPr>
        <w:spacing w:after="0" w:line="95" w:lineRule="exact"/>
        <w:rPr>
          <w:rFonts w:ascii="Arial" w:cs="Arial" w:eastAsia="Arial" w:hAnsi="Arial"/>
          <w:sz w:val="18"/>
          <w:szCs w:val="18"/>
          <w:color w:val="355675"/>
        </w:rPr>
      </w:pPr>
    </w:p>
    <w:p>
      <w:pPr>
        <w:ind w:left="268" w:right="800" w:hanging="268"/>
        <w:spacing w:after="0" w:line="271" w:lineRule="auto"/>
        <w:tabs>
          <w:tab w:leader="none" w:pos="257" w:val="left"/>
        </w:tabs>
        <w:numPr>
          <w:ilvl w:val="0"/>
          <w:numId w:val="30"/>
        </w:numPr>
        <w:rPr>
          <w:rFonts w:ascii="Arial" w:cs="Arial" w:eastAsia="Arial" w:hAnsi="Arial"/>
          <w:sz w:val="18"/>
          <w:szCs w:val="18"/>
          <w:color w:val="355675"/>
        </w:rPr>
      </w:pPr>
      <w:r>
        <w:rPr>
          <w:rFonts w:ascii="Arial" w:cs="Arial" w:eastAsia="Arial" w:hAnsi="Arial"/>
          <w:sz w:val="18"/>
          <w:szCs w:val="18"/>
          <w:b w:val="1"/>
          <w:bCs w:val="1"/>
          <w:color w:val="008C9F"/>
        </w:rPr>
        <w:t xml:space="preserve">Annual elections </w:t>
      </w:r>
      <w:r>
        <w:rPr>
          <w:rFonts w:ascii="Arial" w:cs="Arial" w:eastAsia="Arial" w:hAnsi="Arial"/>
          <w:sz w:val="18"/>
          <w:szCs w:val="18"/>
          <w:color w:val="231F20"/>
        </w:rPr>
        <w:t>of all Directors with</w:t>
      </w:r>
      <w:r>
        <w:rPr>
          <w:rFonts w:ascii="Arial" w:cs="Arial" w:eastAsia="Arial" w:hAnsi="Arial"/>
          <w:sz w:val="18"/>
          <w:szCs w:val="18"/>
          <w:b w:val="1"/>
          <w:bCs w:val="1"/>
          <w:color w:val="008C9F"/>
        </w:rPr>
        <w:t xml:space="preserve"> </w:t>
      </w:r>
      <w:r>
        <w:rPr>
          <w:rFonts w:ascii="Arial" w:cs="Arial" w:eastAsia="Arial" w:hAnsi="Arial"/>
          <w:sz w:val="18"/>
          <w:szCs w:val="18"/>
          <w:color w:val="231F20"/>
        </w:rPr>
        <w:t>cumulative voting</w:t>
      </w:r>
    </w:p>
    <w:p>
      <w:pPr>
        <w:spacing w:after="0" w:line="126" w:lineRule="exact"/>
        <w:rPr>
          <w:rFonts w:ascii="Arial" w:cs="Arial" w:eastAsia="Arial" w:hAnsi="Arial"/>
          <w:sz w:val="18"/>
          <w:szCs w:val="18"/>
          <w:color w:val="355675"/>
        </w:rPr>
      </w:pPr>
    </w:p>
    <w:p>
      <w:pPr>
        <w:ind w:left="268" w:right="340" w:hanging="268"/>
        <w:spacing w:after="0" w:line="271" w:lineRule="auto"/>
        <w:tabs>
          <w:tab w:leader="none" w:pos="257" w:val="left"/>
        </w:tabs>
        <w:numPr>
          <w:ilvl w:val="0"/>
          <w:numId w:val="30"/>
        </w:numPr>
        <w:rPr>
          <w:rFonts w:ascii="Arial" w:cs="Arial" w:eastAsia="Arial" w:hAnsi="Arial"/>
          <w:sz w:val="18"/>
          <w:szCs w:val="18"/>
          <w:color w:val="355675"/>
        </w:rPr>
      </w:pPr>
      <w:r>
        <w:rPr>
          <w:rFonts w:ascii="Arial" w:cs="Arial" w:eastAsia="Arial" w:hAnsi="Arial"/>
          <w:sz w:val="18"/>
          <w:szCs w:val="18"/>
          <w:b w:val="1"/>
          <w:bCs w:val="1"/>
          <w:color w:val="008C9F"/>
        </w:rPr>
        <w:t xml:space="preserve">No poison pill plan </w:t>
      </w:r>
      <w:r>
        <w:rPr>
          <w:rFonts w:ascii="Arial" w:cs="Arial" w:eastAsia="Arial" w:hAnsi="Arial"/>
          <w:sz w:val="18"/>
          <w:szCs w:val="18"/>
          <w:color w:val="231F20"/>
        </w:rPr>
        <w:t>or similar anti-takeover</w:t>
      </w:r>
      <w:r>
        <w:rPr>
          <w:rFonts w:ascii="Arial" w:cs="Arial" w:eastAsia="Arial" w:hAnsi="Arial"/>
          <w:sz w:val="18"/>
          <w:szCs w:val="18"/>
          <w:b w:val="1"/>
          <w:bCs w:val="1"/>
          <w:color w:val="008C9F"/>
        </w:rPr>
        <w:t xml:space="preserve"> </w:t>
      </w:r>
      <w:r>
        <w:rPr>
          <w:rFonts w:ascii="Arial" w:cs="Arial" w:eastAsia="Arial" w:hAnsi="Arial"/>
          <w:sz w:val="18"/>
          <w:szCs w:val="18"/>
          <w:color w:val="231F20"/>
        </w:rPr>
        <w:t>provision in place</w:t>
      </w:r>
    </w:p>
    <w:p>
      <w:pPr>
        <w:spacing w:after="0" w:line="113" w:lineRule="exact"/>
        <w:rPr>
          <w:rFonts w:ascii="Arial" w:cs="Arial" w:eastAsia="Arial" w:hAnsi="Arial"/>
          <w:sz w:val="18"/>
          <w:szCs w:val="18"/>
          <w:color w:val="355675"/>
        </w:rPr>
      </w:pPr>
    </w:p>
    <w:p>
      <w:pPr>
        <w:ind w:left="268" w:right="240" w:hanging="268"/>
        <w:spacing w:after="0" w:line="271" w:lineRule="auto"/>
        <w:tabs>
          <w:tab w:leader="none" w:pos="257" w:val="left"/>
        </w:tabs>
        <w:numPr>
          <w:ilvl w:val="0"/>
          <w:numId w:val="30"/>
        </w:numPr>
        <w:rPr>
          <w:rFonts w:ascii="Arial" w:cs="Arial" w:eastAsia="Arial" w:hAnsi="Arial"/>
          <w:sz w:val="18"/>
          <w:szCs w:val="18"/>
          <w:color w:val="355675"/>
        </w:rPr>
      </w:pPr>
      <w:r>
        <w:rPr>
          <w:rFonts w:ascii="Arial" w:cs="Arial" w:eastAsia="Arial" w:hAnsi="Arial"/>
          <w:sz w:val="18"/>
          <w:szCs w:val="18"/>
          <w:b w:val="1"/>
          <w:bCs w:val="1"/>
          <w:color w:val="008C9F"/>
        </w:rPr>
        <w:t xml:space="preserve">No supermajority provisions </w:t>
      </w:r>
      <w:r>
        <w:rPr>
          <w:rFonts w:ascii="Arial" w:cs="Arial" w:eastAsia="Arial" w:hAnsi="Arial"/>
          <w:sz w:val="18"/>
          <w:szCs w:val="18"/>
          <w:color w:val="231F20"/>
        </w:rPr>
        <w:t>in our Articles</w:t>
      </w:r>
      <w:r>
        <w:rPr>
          <w:rFonts w:ascii="Arial" w:cs="Arial" w:eastAsia="Arial" w:hAnsi="Arial"/>
          <w:sz w:val="18"/>
          <w:szCs w:val="18"/>
          <w:b w:val="1"/>
          <w:bCs w:val="1"/>
          <w:color w:val="008C9F"/>
        </w:rPr>
        <w:t xml:space="preserve"> </w:t>
      </w:r>
      <w:r>
        <w:rPr>
          <w:rFonts w:ascii="Arial" w:cs="Arial" w:eastAsia="Arial" w:hAnsi="Arial"/>
          <w:sz w:val="18"/>
          <w:szCs w:val="18"/>
          <w:color w:val="231F20"/>
        </w:rPr>
        <w:t>of Incorporation or Bylaws</w:t>
      </w:r>
    </w:p>
    <w:p>
      <w:pPr>
        <w:spacing w:after="0" w:line="113" w:lineRule="exact"/>
        <w:rPr>
          <w:rFonts w:ascii="Arial" w:cs="Arial" w:eastAsia="Arial" w:hAnsi="Arial"/>
          <w:sz w:val="18"/>
          <w:szCs w:val="18"/>
          <w:color w:val="355675"/>
        </w:rPr>
      </w:pPr>
    </w:p>
    <w:p>
      <w:pPr>
        <w:ind w:left="268" w:right="340" w:hanging="268"/>
        <w:spacing w:after="0" w:line="247" w:lineRule="auto"/>
        <w:tabs>
          <w:tab w:leader="none" w:pos="257" w:val="left"/>
        </w:tabs>
        <w:numPr>
          <w:ilvl w:val="0"/>
          <w:numId w:val="30"/>
        </w:numPr>
        <w:rPr>
          <w:rFonts w:ascii="Arial" w:cs="Arial" w:eastAsia="Arial" w:hAnsi="Arial"/>
          <w:sz w:val="18"/>
          <w:szCs w:val="18"/>
          <w:color w:val="355675"/>
        </w:rPr>
      </w:pPr>
      <w:r>
        <w:rPr>
          <w:rFonts w:ascii="Arial" w:cs="Arial" w:eastAsia="Arial" w:hAnsi="Arial"/>
          <w:sz w:val="18"/>
          <w:szCs w:val="18"/>
          <w:b w:val="1"/>
          <w:bCs w:val="1"/>
          <w:color w:val="008C9F"/>
        </w:rPr>
        <w:t xml:space="preserve">Proxy access rights </w:t>
      </w:r>
      <w:r>
        <w:rPr>
          <w:rFonts w:ascii="Arial" w:cs="Arial" w:eastAsia="Arial" w:hAnsi="Arial"/>
          <w:sz w:val="18"/>
          <w:szCs w:val="18"/>
          <w:color w:val="231F20"/>
        </w:rPr>
        <w:t>allowing up to 20</w:t>
      </w:r>
      <w:r>
        <w:rPr>
          <w:rFonts w:ascii="Arial" w:cs="Arial" w:eastAsia="Arial" w:hAnsi="Arial"/>
          <w:sz w:val="18"/>
          <w:szCs w:val="18"/>
          <w:b w:val="1"/>
          <w:bCs w:val="1"/>
          <w:color w:val="008C9F"/>
        </w:rPr>
        <w:t xml:space="preserve"> </w:t>
      </w:r>
      <w:r>
        <w:rPr>
          <w:rFonts w:ascii="Arial" w:cs="Arial" w:eastAsia="Arial" w:hAnsi="Arial"/>
          <w:sz w:val="18"/>
          <w:szCs w:val="18"/>
          <w:color w:val="231F20"/>
        </w:rPr>
        <w:t>shareholders owning 3% of our outstanding stock for at least 3 years to nominate up to 25% of the Board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568"/>
        <w:spacing w:after="0"/>
        <w:rPr>
          <w:sz w:val="20"/>
          <w:szCs w:val="20"/>
          <w:color w:val="auto"/>
        </w:rPr>
      </w:pPr>
      <w:r>
        <w:rPr>
          <w:rFonts w:ascii="Arial" w:cs="Arial" w:eastAsia="Arial" w:hAnsi="Arial"/>
          <w:sz w:val="20"/>
          <w:szCs w:val="20"/>
          <w:b w:val="1"/>
          <w:bCs w:val="1"/>
          <w:color w:val="355675"/>
        </w:rPr>
        <w:t>3% | 3 years | 20 shareholders</w:t>
      </w:r>
    </w:p>
    <w:p>
      <w:pPr>
        <w:spacing w:after="0" w:line="1063" w:lineRule="exact"/>
        <w:rPr>
          <w:sz w:val="20"/>
          <w:szCs w:val="20"/>
          <w:color w:val="auto"/>
        </w:rPr>
      </w:pPr>
    </w:p>
    <w:p>
      <w:pPr>
        <w:sectPr>
          <w:pgSz w:w="11900" w:h="16838" w:orient="portrait"/>
          <w:cols w:equalWidth="0" w:num="3">
            <w:col w:w="3360" w:space="280"/>
            <w:col w:w="3240" w:space="292"/>
            <w:col w:w="4068"/>
          </w:cols>
          <w:pgMar w:left="320" w:top="125" w:right="339" w:bottom="1440" w:gutter="0" w:footer="0" w:header="0"/>
          <w:type w:val="continuous"/>
        </w:sectPr>
      </w:pPr>
    </w:p>
    <w:p>
      <w:pPr>
        <w:spacing w:after="0" w:line="129"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Compensation Governance</w:t>
      </w:r>
    </w:p>
    <w:p>
      <w:pPr>
        <w:spacing w:after="0" w:line="198" w:lineRule="exact"/>
        <w:rPr>
          <w:sz w:val="20"/>
          <w:szCs w:val="20"/>
          <w:color w:val="auto"/>
        </w:rPr>
      </w:pPr>
    </w:p>
    <w:p>
      <w:pPr>
        <w:ind w:left="440" w:hanging="342"/>
        <w:spacing w:after="0"/>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Shareholder feedback </w:t>
      </w:r>
      <w:r>
        <w:rPr>
          <w:rFonts w:ascii="Arial" w:cs="Arial" w:eastAsia="Arial" w:hAnsi="Arial"/>
          <w:sz w:val="18"/>
          <w:szCs w:val="18"/>
          <w:color w:val="000000"/>
        </w:rPr>
        <w:t>informs compensation program design</w:t>
      </w:r>
    </w:p>
    <w:p>
      <w:pPr>
        <w:spacing w:after="0" w:line="171" w:lineRule="exact"/>
        <w:rPr>
          <w:rFonts w:ascii="Arial" w:cs="Arial" w:eastAsia="Arial" w:hAnsi="Arial"/>
          <w:sz w:val="18"/>
          <w:szCs w:val="18"/>
          <w:b w:val="1"/>
          <w:bCs w:val="1"/>
          <w:color w:val="355675"/>
        </w:rPr>
      </w:pPr>
    </w:p>
    <w:p>
      <w:pPr>
        <w:ind w:left="440" w:right="60" w:hanging="342"/>
        <w:spacing w:after="0" w:line="271" w:lineRule="auto"/>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color w:val="231F20"/>
        </w:rPr>
        <w:t>Substantial proportion of target compensation is at risk (83% for the CEO and 70% for other NEOs)</w:t>
      </w:r>
    </w:p>
    <w:p>
      <w:pPr>
        <w:spacing w:after="0" w:line="113" w:lineRule="exact"/>
        <w:rPr>
          <w:rFonts w:ascii="Arial" w:cs="Arial" w:eastAsia="Arial" w:hAnsi="Arial"/>
          <w:sz w:val="18"/>
          <w:szCs w:val="18"/>
          <w:b w:val="1"/>
          <w:bCs w:val="1"/>
          <w:color w:val="355675"/>
        </w:rPr>
      </w:pPr>
    </w:p>
    <w:p>
      <w:pPr>
        <w:ind w:left="440" w:right="120" w:hanging="342"/>
        <w:spacing w:after="0" w:line="244" w:lineRule="auto"/>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Performance shares are 100% tied to relative performance </w:t>
      </w:r>
      <w:r>
        <w:rPr>
          <w:rFonts w:ascii="Arial" w:cs="Arial" w:eastAsia="Arial" w:hAnsi="Arial"/>
          <w:sz w:val="18"/>
          <w:szCs w:val="18"/>
          <w:color w:val="000000"/>
        </w:rPr>
        <w:t>(50% on</w:t>
      </w:r>
      <w:r>
        <w:rPr>
          <w:rFonts w:ascii="Arial" w:cs="Arial" w:eastAsia="Arial" w:hAnsi="Arial"/>
          <w:sz w:val="18"/>
          <w:szCs w:val="18"/>
          <w:b w:val="1"/>
          <w:bCs w:val="1"/>
          <w:color w:val="008C9F"/>
        </w:rPr>
        <w:t xml:space="preserve"> </w:t>
      </w:r>
      <w:r>
        <w:rPr>
          <w:rFonts w:ascii="Arial" w:cs="Arial" w:eastAsia="Arial" w:hAnsi="Arial"/>
          <w:sz w:val="18"/>
          <w:szCs w:val="18"/>
          <w:color w:val="000000"/>
        </w:rPr>
        <w:t>relative TSR and 50% on relative operational metrics and beginning with the grants in 2022, we have changed the metrics and added a clean megawatt installed metric) and require 90th percentile performance for maximum payouts</w:t>
      </w:r>
    </w:p>
    <w:p>
      <w:pPr>
        <w:spacing w:after="0" w:line="135" w:lineRule="exact"/>
        <w:rPr>
          <w:rFonts w:ascii="Arial" w:cs="Arial" w:eastAsia="Arial" w:hAnsi="Arial"/>
          <w:sz w:val="18"/>
          <w:szCs w:val="18"/>
          <w:b w:val="1"/>
          <w:bCs w:val="1"/>
          <w:color w:val="355675"/>
        </w:rPr>
      </w:pPr>
    </w:p>
    <w:p>
      <w:pPr>
        <w:ind w:left="440" w:right="540" w:hanging="342"/>
        <w:spacing w:after="0" w:line="271" w:lineRule="auto"/>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No excise tax gross-up provisions </w:t>
      </w:r>
      <w:r>
        <w:rPr>
          <w:rFonts w:ascii="Arial" w:cs="Arial" w:eastAsia="Arial" w:hAnsi="Arial"/>
          <w:sz w:val="18"/>
          <w:szCs w:val="18"/>
          <w:color w:val="000000"/>
        </w:rPr>
        <w:t>in new or materially amended</w:t>
      </w:r>
      <w:r>
        <w:rPr>
          <w:rFonts w:ascii="Arial" w:cs="Arial" w:eastAsia="Arial" w:hAnsi="Arial"/>
          <w:sz w:val="18"/>
          <w:szCs w:val="18"/>
          <w:b w:val="1"/>
          <w:bCs w:val="1"/>
          <w:color w:val="008C9F"/>
        </w:rPr>
        <w:t xml:space="preserve"> </w:t>
      </w:r>
      <w:r>
        <w:rPr>
          <w:rFonts w:ascii="Arial" w:cs="Arial" w:eastAsia="Arial" w:hAnsi="Arial"/>
          <w:sz w:val="18"/>
          <w:szCs w:val="18"/>
          <w:color w:val="000000"/>
        </w:rPr>
        <w:t>Change of Control Agreements with our NEOs</w:t>
      </w:r>
    </w:p>
    <w:p>
      <w:pPr>
        <w:spacing w:after="0" w:line="113" w:lineRule="exact"/>
        <w:rPr>
          <w:rFonts w:ascii="Arial" w:cs="Arial" w:eastAsia="Arial" w:hAnsi="Arial"/>
          <w:sz w:val="18"/>
          <w:szCs w:val="18"/>
          <w:b w:val="1"/>
          <w:bCs w:val="1"/>
          <w:color w:val="355675"/>
        </w:rPr>
      </w:pPr>
    </w:p>
    <w:p>
      <w:pPr>
        <w:ind w:left="440" w:hanging="342"/>
        <w:spacing w:after="0" w:line="271" w:lineRule="auto"/>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Anti-hedging policy </w:t>
      </w:r>
      <w:r>
        <w:rPr>
          <w:rFonts w:ascii="Arial" w:cs="Arial" w:eastAsia="Arial" w:hAnsi="Arial"/>
          <w:sz w:val="18"/>
          <w:szCs w:val="18"/>
          <w:color w:val="000000"/>
        </w:rPr>
        <w:t>for all Directors, officers and all employees and anti-pledging policy for all Directors and officers</w:t>
      </w:r>
    </w:p>
    <w:p>
      <w:pPr>
        <w:spacing w:after="0" w:line="113" w:lineRule="exact"/>
        <w:rPr>
          <w:rFonts w:ascii="Arial" w:cs="Arial" w:eastAsia="Arial" w:hAnsi="Arial"/>
          <w:sz w:val="18"/>
          <w:szCs w:val="18"/>
          <w:b w:val="1"/>
          <w:bCs w:val="1"/>
          <w:color w:val="355675"/>
        </w:rPr>
      </w:pPr>
    </w:p>
    <w:p>
      <w:pPr>
        <w:ind w:left="440" w:right="180" w:hanging="342"/>
        <w:spacing w:after="0" w:line="271" w:lineRule="auto"/>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Stock ownership guidelines </w:t>
      </w:r>
      <w:r>
        <w:rPr>
          <w:rFonts w:ascii="Arial" w:cs="Arial" w:eastAsia="Arial" w:hAnsi="Arial"/>
          <w:sz w:val="18"/>
          <w:szCs w:val="18"/>
          <w:color w:val="000000"/>
        </w:rPr>
        <w:t>for all NEOs (all NEOs are in compliance</w:t>
      </w:r>
      <w:r>
        <w:rPr>
          <w:rFonts w:ascii="Arial" w:cs="Arial" w:eastAsia="Arial" w:hAnsi="Arial"/>
          <w:sz w:val="18"/>
          <w:szCs w:val="18"/>
          <w:b w:val="1"/>
          <w:bCs w:val="1"/>
          <w:color w:val="008C9F"/>
        </w:rPr>
        <w:t xml:space="preserve"> </w:t>
      </w:r>
      <w:r>
        <w:rPr>
          <w:rFonts w:ascii="Arial" w:cs="Arial" w:eastAsia="Arial" w:hAnsi="Arial"/>
          <w:sz w:val="18"/>
          <w:szCs w:val="18"/>
          <w:color w:val="000000"/>
        </w:rPr>
        <w:t>with the stock ownership guidelines)</w:t>
      </w:r>
    </w:p>
    <w:p>
      <w:pPr>
        <w:spacing w:after="0" w:line="113" w:lineRule="exact"/>
        <w:rPr>
          <w:rFonts w:ascii="Arial" w:cs="Arial" w:eastAsia="Arial" w:hAnsi="Arial"/>
          <w:sz w:val="18"/>
          <w:szCs w:val="18"/>
          <w:b w:val="1"/>
          <w:bCs w:val="1"/>
          <w:color w:val="355675"/>
        </w:rPr>
      </w:pPr>
    </w:p>
    <w:p>
      <w:pPr>
        <w:ind w:left="440" w:right="340" w:hanging="342"/>
        <w:spacing w:after="0" w:line="271" w:lineRule="auto"/>
        <w:tabs>
          <w:tab w:leader="none" w:pos="440" w:val="left"/>
        </w:tabs>
        <w:numPr>
          <w:ilvl w:val="0"/>
          <w:numId w:val="31"/>
        </w:numPr>
        <w:rPr>
          <w:rFonts w:ascii="Arial" w:cs="Arial" w:eastAsia="Arial" w:hAnsi="Arial"/>
          <w:sz w:val="18"/>
          <w:szCs w:val="18"/>
          <w:b w:val="1"/>
          <w:bCs w:val="1"/>
          <w:color w:val="355675"/>
        </w:rPr>
      </w:pPr>
      <w:r>
        <w:rPr>
          <w:rFonts w:ascii="Arial" w:cs="Arial" w:eastAsia="Arial" w:hAnsi="Arial"/>
          <w:sz w:val="18"/>
          <w:szCs w:val="18"/>
          <w:b w:val="1"/>
          <w:bCs w:val="1"/>
          <w:color w:val="008C9F"/>
        </w:rPr>
        <w:t xml:space="preserve">Clawback policy </w:t>
      </w:r>
      <w:r>
        <w:rPr>
          <w:rFonts w:ascii="Arial" w:cs="Arial" w:eastAsia="Arial" w:hAnsi="Arial"/>
          <w:sz w:val="18"/>
          <w:szCs w:val="18"/>
          <w:color w:val="000000"/>
        </w:rPr>
        <w:t>for our current or former executive officers covering</w:t>
      </w:r>
      <w:r>
        <w:rPr>
          <w:rFonts w:ascii="Arial" w:cs="Arial" w:eastAsia="Arial" w:hAnsi="Arial"/>
          <w:sz w:val="18"/>
          <w:szCs w:val="18"/>
          <w:b w:val="1"/>
          <w:bCs w:val="1"/>
          <w:color w:val="008C9F"/>
        </w:rPr>
        <w:t xml:space="preserve"> </w:t>
      </w:r>
      <w:r>
        <w:rPr>
          <w:rFonts w:ascii="Arial" w:cs="Arial" w:eastAsia="Arial" w:hAnsi="Arial"/>
          <w:sz w:val="18"/>
          <w:szCs w:val="18"/>
          <w:color w:val="000000"/>
        </w:rPr>
        <w:t>short- and long-term incentive awards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right="120"/>
        <w:spacing w:after="0" w:line="242" w:lineRule="auto"/>
        <w:rPr>
          <w:sz w:val="20"/>
          <w:szCs w:val="20"/>
          <w:color w:val="auto"/>
        </w:rPr>
      </w:pPr>
      <w:r>
        <w:rPr>
          <w:rFonts w:ascii="Arial" w:cs="Arial" w:eastAsia="Arial" w:hAnsi="Arial"/>
          <w:sz w:val="18"/>
          <w:szCs w:val="18"/>
          <w:color w:val="231F20"/>
        </w:rPr>
        <w:t>While we have historically had strong support for our program, after a disappointing say-on-pay vote result in 2017, significant changes were made in direct response to our shareholder outreach and feedback provided to the Board, resulting in strong support for our compensation program since 2017.</w:t>
      </w:r>
    </w:p>
    <w:p>
      <w:pPr>
        <w:spacing w:after="0" w:line="346" w:lineRule="exact"/>
        <w:rPr>
          <w:sz w:val="20"/>
          <w:szCs w:val="20"/>
          <w:color w:val="auto"/>
        </w:rPr>
      </w:pPr>
    </w:p>
    <w:p>
      <w:pPr>
        <w:sectPr>
          <w:pgSz w:w="11900" w:h="16838" w:orient="portrait"/>
          <w:cols w:equalWidth="0" w:num="2">
            <w:col w:w="6300" w:space="420"/>
            <w:col w:w="4520"/>
          </w:cols>
          <w:pgMar w:left="320" w:top="125" w:right="339" w:bottom="1440" w:gutter="0" w:footer="0" w:header="0"/>
          <w:type w:val="continuous"/>
        </w:sectPr>
      </w:pPr>
    </w:p>
    <w:p>
      <w:pPr>
        <w:spacing w:after="0" w:line="125" w:lineRule="exact"/>
        <w:rPr>
          <w:sz w:val="20"/>
          <w:szCs w:val="20"/>
          <w:color w:val="auto"/>
        </w:rPr>
      </w:pPr>
    </w:p>
    <w:p>
      <w:pPr>
        <w:ind w:left="9380"/>
        <w:spacing w:after="0"/>
        <w:tabs>
          <w:tab w:leader="none" w:pos="11060" w:val="left"/>
        </w:tabs>
        <w:rPr>
          <w:sz w:val="20"/>
          <w:szCs w:val="20"/>
          <w:color w:val="auto"/>
        </w:rPr>
      </w:pPr>
      <w:r>
        <w:rPr>
          <w:rFonts w:ascii="Arial" w:cs="Arial" w:eastAsia="Arial" w:hAnsi="Arial"/>
          <w:sz w:val="14"/>
          <w:szCs w:val="14"/>
          <w:color w:val="395675"/>
        </w:rPr>
        <w:t>2022 Proxy Statement</w:t>
      </w:r>
      <w:r>
        <w:rPr>
          <w:sz w:val="20"/>
          <w:szCs w:val="20"/>
          <w:color w:val="auto"/>
        </w:rPr>
        <w:tab/>
      </w:r>
      <w:r>
        <w:rPr>
          <w:rFonts w:ascii="Arial" w:cs="Arial" w:eastAsia="Arial" w:hAnsi="Arial"/>
          <w:sz w:val="14"/>
          <w:szCs w:val="14"/>
          <w:b w:val="1"/>
          <w:bCs w:val="1"/>
          <w:color w:val="395675"/>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24" w:name="page25"/>
    <w:bookmarkEnd w:id="2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149225</wp:posOffset>
            </wp:positionV>
            <wp:extent cx="6429375" cy="839216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429375" cy="8392160"/>
                    </a:xfrm>
                    <a:prstGeom prst="rect">
                      <a:avLst/>
                    </a:prstGeom>
                    <a:noFill/>
                  </pic:spPr>
                </pic:pic>
              </a:graphicData>
            </a:graphic>
          </wp:anchor>
        </w:drawing>
      </w:r>
    </w:p>
    <w:p>
      <w:pPr>
        <w:spacing w:after="0" w:line="27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355675"/>
        </w:rPr>
        <w:t>Proxy Statement Summary</w:t>
      </w:r>
    </w:p>
    <w:p>
      <w:pPr>
        <w:spacing w:after="0" w:line="143" w:lineRule="exact"/>
        <w:rPr>
          <w:sz w:val="20"/>
          <w:szCs w:val="20"/>
          <w:color w:val="auto"/>
        </w:rPr>
      </w:pPr>
    </w:p>
    <w:p>
      <w:pPr>
        <w:ind w:left="920"/>
        <w:spacing w:after="0"/>
        <w:rPr>
          <w:sz w:val="20"/>
          <w:szCs w:val="20"/>
          <w:color w:val="auto"/>
        </w:rPr>
      </w:pPr>
      <w:r>
        <w:rPr>
          <w:rFonts w:ascii="Arial" w:cs="Arial" w:eastAsia="Arial" w:hAnsi="Arial"/>
          <w:sz w:val="40"/>
          <w:szCs w:val="40"/>
          <w:b w:val="1"/>
          <w:bCs w:val="1"/>
          <w:color w:val="008C9F"/>
        </w:rPr>
        <w:t>Board</w:t>
      </w:r>
    </w:p>
    <w:p>
      <w:pPr>
        <w:spacing w:after="0" w:line="39" w:lineRule="exact"/>
        <w:rPr>
          <w:sz w:val="20"/>
          <w:szCs w:val="20"/>
          <w:color w:val="auto"/>
        </w:rPr>
      </w:pPr>
    </w:p>
    <w:p>
      <w:pPr>
        <w:ind w:left="920"/>
        <w:spacing w:after="0"/>
        <w:rPr>
          <w:sz w:val="20"/>
          <w:szCs w:val="20"/>
          <w:color w:val="auto"/>
        </w:rPr>
      </w:pPr>
      <w:r>
        <w:rPr>
          <w:rFonts w:ascii="Arial" w:cs="Arial" w:eastAsia="Arial" w:hAnsi="Arial"/>
          <w:sz w:val="40"/>
          <w:szCs w:val="40"/>
          <w:b w:val="1"/>
          <w:bCs w:val="1"/>
          <w:color w:val="008C9F"/>
        </w:rPr>
        <w:t>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7607935</wp:posOffset>
            </wp:positionV>
            <wp:extent cx="1191260" cy="2317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type w:val="continuous"/>
        </w:sectPr>
      </w:pPr>
    </w:p>
    <w:bookmarkStart w:id="25" w:name="page26"/>
    <w:bookmarkEnd w:id="2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149225</wp:posOffset>
            </wp:positionV>
            <wp:extent cx="6429375" cy="850392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429375" cy="8503920"/>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jc w:val="right"/>
        <w:ind w:right="1280"/>
        <w:spacing w:after="0"/>
        <w:rPr>
          <w:sz w:val="20"/>
          <w:szCs w:val="20"/>
          <w:color w:val="auto"/>
        </w:rPr>
      </w:pPr>
      <w:r>
        <w:rPr>
          <w:rFonts w:ascii="Arial" w:cs="Arial" w:eastAsia="Arial" w:hAnsi="Arial"/>
          <w:sz w:val="18"/>
          <w:szCs w:val="18"/>
          <w:b w:val="1"/>
          <w:bCs w:val="1"/>
          <w:color w:val="355675"/>
        </w:rPr>
        <w:t>Proxy Statement Summary</w:t>
      </w:r>
    </w:p>
    <w:p>
      <w:pPr>
        <w:sectPr>
          <w:pgSz w:w="11900" w:h="16838" w:orient="portrait"/>
          <w:cols w:equalWidth="0" w:num="1">
            <w:col w:w="11240"/>
          </w:cols>
          <w:pgMar w:left="320" w:top="125"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9380"/>
        <w:spacing w:after="0"/>
        <w:tabs>
          <w:tab w:leader="none" w:pos="1106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26" w:name="page27"/>
    <w:bookmarkEnd w:id="2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365"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95675"/>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132320" cy="69437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32320" cy="6943725"/>
                    </a:xfrm>
                    <a:prstGeom prst="rect">
                      <a:avLst/>
                    </a:prstGeom>
                    <a:noFill/>
                  </pic:spPr>
                </pic:pic>
              </a:graphicData>
            </a:graphic>
          </wp:anchor>
        </w:drawing>
      </w:r>
    </w:p>
    <w:p>
      <w:pPr>
        <w:spacing w:after="0" w:line="151"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DIRECTORS’ KEY SKILLS AND EXPERIENCE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60"/>
        <w:spacing w:after="0"/>
        <w:rPr>
          <w:sz w:val="20"/>
          <w:szCs w:val="20"/>
          <w:color w:val="auto"/>
        </w:rPr>
      </w:pPr>
      <w:r>
        <w:rPr>
          <w:rFonts w:ascii="Arial" w:cs="Arial" w:eastAsia="Arial" w:hAnsi="Arial"/>
          <w:sz w:val="16"/>
          <w:szCs w:val="16"/>
          <w:b w:val="1"/>
          <w:bCs w:val="1"/>
          <w:color w:val="231F20"/>
        </w:rPr>
        <w:t>DIVERSITY</w:t>
      </w:r>
    </w:p>
    <w:p>
      <w:pPr>
        <w:spacing w:after="0" w:line="113"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Gender or Ethnicity</w:t>
      </w:r>
    </w:p>
    <w:p>
      <w:pPr>
        <w:spacing w:after="0" w:line="127" w:lineRule="exact"/>
        <w:rPr>
          <w:sz w:val="20"/>
          <w:szCs w:val="20"/>
          <w:color w:val="auto"/>
        </w:rPr>
      </w:pPr>
    </w:p>
    <w:p>
      <w:pPr>
        <w:ind w:left="160"/>
        <w:spacing w:after="0"/>
        <w:rPr>
          <w:sz w:val="20"/>
          <w:szCs w:val="20"/>
          <w:color w:val="auto"/>
        </w:rPr>
      </w:pPr>
      <w:r>
        <w:rPr>
          <w:rFonts w:ascii="Arial" w:cs="Arial" w:eastAsia="Arial" w:hAnsi="Arial"/>
          <w:sz w:val="16"/>
          <w:szCs w:val="16"/>
          <w:b w:val="1"/>
          <w:bCs w:val="1"/>
          <w:color w:val="231F20"/>
        </w:rPr>
        <w:t>FINANCE &amp; ACCOUNTING</w:t>
      </w:r>
    </w:p>
    <w:p>
      <w:pPr>
        <w:spacing w:after="0" w:line="140"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Audit Expertise</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Finance/Capital Allocation</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Financial Literacy and Accounting</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Investment Experience</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b w:val="1"/>
          <w:bCs w:val="1"/>
          <w:color w:val="231F20"/>
        </w:rPr>
        <w:t>BUSINESS OPERATIONS AND STRATEGY</w:t>
      </w:r>
    </w:p>
    <w:p>
      <w:pPr>
        <w:spacing w:after="0" w:line="140"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Business Strategy</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Complex Operations Experience</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Corporate Governance</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Customer Perspectives</w:t>
      </w:r>
    </w:p>
    <w:p>
      <w:pPr>
        <w:spacing w:after="0" w:line="167" w:lineRule="exact"/>
        <w:rPr>
          <w:sz w:val="20"/>
          <w:szCs w:val="20"/>
          <w:color w:val="auto"/>
        </w:rPr>
      </w:pPr>
    </w:p>
    <w:p>
      <w:pPr>
        <w:ind w:left="160" w:right="5739"/>
        <w:spacing w:after="0" w:line="457" w:lineRule="auto"/>
        <w:rPr>
          <w:sz w:val="20"/>
          <w:szCs w:val="20"/>
          <w:color w:val="auto"/>
        </w:rPr>
      </w:pPr>
      <w:r>
        <w:rPr>
          <w:rFonts w:ascii="Arial" w:cs="Arial" w:eastAsia="Arial" w:hAnsi="Arial"/>
          <w:sz w:val="16"/>
          <w:szCs w:val="16"/>
          <w:color w:val="auto"/>
        </w:rPr>
        <w:t>Extensive Knowledge of Company’s Business Environment Sustainability</w:t>
      </w:r>
    </w:p>
    <w:p>
      <w:pPr>
        <w:spacing w:after="0" w:line="1" w:lineRule="exact"/>
        <w:rPr>
          <w:sz w:val="20"/>
          <w:szCs w:val="20"/>
          <w:color w:val="auto"/>
        </w:rPr>
      </w:pPr>
    </w:p>
    <w:p>
      <w:pPr>
        <w:ind w:left="160" w:right="6839"/>
        <w:spacing w:after="0" w:line="466" w:lineRule="auto"/>
        <w:rPr>
          <w:sz w:val="20"/>
          <w:szCs w:val="20"/>
          <w:color w:val="auto"/>
        </w:rPr>
      </w:pPr>
      <w:r>
        <w:rPr>
          <w:rFonts w:ascii="Arial" w:cs="Arial" w:eastAsia="Arial" w:hAnsi="Arial"/>
          <w:sz w:val="16"/>
          <w:szCs w:val="16"/>
          <w:b w:val="1"/>
          <w:bCs w:val="1"/>
          <w:color w:val="231F20"/>
        </w:rPr>
        <w:t xml:space="preserve">LARGE ORGANIZATIONAL LEADERSHIP </w:t>
      </w:r>
      <w:r>
        <w:rPr>
          <w:rFonts w:ascii="Arial" w:cs="Arial" w:eastAsia="Arial" w:hAnsi="Arial"/>
          <w:sz w:val="16"/>
          <w:szCs w:val="16"/>
          <w:color w:val="231F20"/>
        </w:rPr>
        <w:t>CEO/Senior Leadership</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Public Board Service</w:t>
      </w:r>
    </w:p>
    <w:p>
      <w:pPr>
        <w:spacing w:after="0" w:line="19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Human Capital Management</w:t>
      </w:r>
    </w:p>
    <w:p>
      <w:pPr>
        <w:spacing w:after="0" w:line="181" w:lineRule="exact"/>
        <w:rPr>
          <w:sz w:val="20"/>
          <w:szCs w:val="20"/>
          <w:color w:val="auto"/>
        </w:rPr>
      </w:pPr>
    </w:p>
    <w:p>
      <w:pPr>
        <w:ind w:left="160"/>
        <w:spacing w:after="0"/>
        <w:rPr>
          <w:sz w:val="20"/>
          <w:szCs w:val="20"/>
          <w:color w:val="auto"/>
        </w:rPr>
      </w:pPr>
      <w:r>
        <w:rPr>
          <w:rFonts w:ascii="Arial" w:cs="Arial" w:eastAsia="Arial" w:hAnsi="Arial"/>
          <w:sz w:val="16"/>
          <w:szCs w:val="16"/>
          <w:b w:val="1"/>
          <w:bCs w:val="1"/>
          <w:color w:val="231F20"/>
        </w:rPr>
        <w:t>THE COMPANY’S INDUSTRY</w:t>
      </w:r>
    </w:p>
    <w:p>
      <w:pPr>
        <w:spacing w:after="0" w:line="140"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Nuclear Experience</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Utility Industry Experience</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b w:val="1"/>
          <w:bCs w:val="1"/>
          <w:color w:val="231F20"/>
        </w:rPr>
        <w:t>PUBLIC POLICY AND REGULATORY COMPLIANCE</w:t>
      </w:r>
    </w:p>
    <w:p>
      <w:pPr>
        <w:spacing w:after="0" w:line="140"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Government/Public Policy/Regulatory</w:t>
      </w:r>
    </w:p>
    <w:p>
      <w:pPr>
        <w:spacing w:after="0" w:line="154" w:lineRule="exact"/>
        <w:rPr>
          <w:sz w:val="20"/>
          <w:szCs w:val="20"/>
          <w:color w:val="auto"/>
        </w:rPr>
      </w:pPr>
    </w:p>
    <w:p>
      <w:pPr>
        <w:ind w:left="160"/>
        <w:spacing w:after="0"/>
        <w:rPr>
          <w:sz w:val="20"/>
          <w:szCs w:val="20"/>
          <w:color w:val="auto"/>
        </w:rPr>
      </w:pPr>
      <w:r>
        <w:rPr>
          <w:rFonts w:ascii="Arial" w:cs="Arial" w:eastAsia="Arial" w:hAnsi="Arial"/>
          <w:sz w:val="16"/>
          <w:szCs w:val="16"/>
          <w:b w:val="1"/>
          <w:bCs w:val="1"/>
          <w:color w:val="231F20"/>
        </w:rPr>
        <w:t>RISK OVERSIGHT AND RISK MANAGEMENT</w:t>
      </w:r>
    </w:p>
    <w:p>
      <w:pPr>
        <w:spacing w:after="0" w:line="140" w:lineRule="exact"/>
        <w:rPr>
          <w:sz w:val="20"/>
          <w:szCs w:val="20"/>
          <w:color w:val="auto"/>
        </w:rPr>
      </w:pPr>
    </w:p>
    <w:p>
      <w:pPr>
        <w:ind w:left="160"/>
        <w:spacing w:after="0"/>
        <w:rPr>
          <w:sz w:val="20"/>
          <w:szCs w:val="20"/>
          <w:color w:val="auto"/>
        </w:rPr>
      </w:pPr>
      <w:r>
        <w:rPr>
          <w:rFonts w:ascii="Arial" w:cs="Arial" w:eastAsia="Arial" w:hAnsi="Arial"/>
          <w:sz w:val="16"/>
          <w:szCs w:val="16"/>
          <w:color w:val="231F20"/>
        </w:rPr>
        <w:t>Risk Oversight and Risk Management</w:t>
      </w:r>
    </w:p>
    <w:p>
      <w:pPr>
        <w:spacing w:after="0" w:line="208" w:lineRule="exact"/>
        <w:rPr>
          <w:sz w:val="20"/>
          <w:szCs w:val="20"/>
          <w:color w:val="auto"/>
        </w:rPr>
      </w:pPr>
    </w:p>
    <w:p>
      <w:pPr>
        <w:ind w:left="100"/>
        <w:spacing w:after="0"/>
        <w:rPr>
          <w:sz w:val="20"/>
          <w:szCs w:val="20"/>
          <w:color w:val="auto"/>
        </w:rPr>
      </w:pPr>
      <w:r>
        <w:rPr>
          <w:sz w:val="1"/>
          <w:szCs w:val="1"/>
          <w:color w:val="auto"/>
        </w:rPr>
        <w:drawing>
          <wp:inline distT="0" distB="0" distL="0" distR="0">
            <wp:extent cx="128270" cy="1289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28270" cy="128905"/>
                    </a:xfrm>
                    <a:prstGeom prst="rect">
                      <a:avLst/>
                    </a:prstGeom>
                    <a:noFill/>
                    <a:ln>
                      <a:noFill/>
                    </a:ln>
                  </pic:spPr>
                </pic:pic>
              </a:graphicData>
            </a:graphic>
          </wp:inline>
        </w:drawing>
      </w:r>
      <w:r>
        <w:rPr>
          <w:rFonts w:ascii="Arial" w:cs="Arial" w:eastAsia="Arial" w:hAnsi="Arial"/>
          <w:sz w:val="18"/>
          <w:szCs w:val="18"/>
          <w:color w:val="231F20"/>
        </w:rPr>
        <w:t xml:space="preserve"> Board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130175</wp:posOffset>
            </wp:positionV>
            <wp:extent cx="1191260" cy="2317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bookmarkStart w:id="27" w:name="page28"/>
    <w:bookmarkEnd w:id="2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63004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32320" cy="6300470"/>
                    </a:xfrm>
                    <a:prstGeom prst="rect">
                      <a:avLst/>
                    </a:prstGeom>
                    <a:noFill/>
                  </pic:spPr>
                </pic:pic>
              </a:graphicData>
            </a:graphic>
          </wp:anchor>
        </w:drawing>
      </w:r>
    </w:p>
    <w:p>
      <w:pPr>
        <w:spacing w:after="0" w:line="200" w:lineRule="exact"/>
        <w:rPr>
          <w:sz w:val="20"/>
          <w:szCs w:val="20"/>
          <w:color w:val="auto"/>
        </w:rPr>
      </w:pPr>
    </w:p>
    <w:p>
      <w:pPr>
        <w:spacing w:after="0" w:line="361" w:lineRule="exact"/>
        <w:rPr>
          <w:sz w:val="20"/>
          <w:szCs w:val="20"/>
          <w:color w:val="auto"/>
        </w:rPr>
      </w:pPr>
    </w:p>
    <w:p>
      <w:pPr>
        <w:jc w:val="right"/>
        <w:ind w:right="200"/>
        <w:spacing w:after="0"/>
        <w:rPr>
          <w:sz w:val="20"/>
          <w:szCs w:val="20"/>
          <w:color w:val="auto"/>
        </w:rPr>
      </w:pPr>
      <w:r>
        <w:rPr>
          <w:rFonts w:ascii="Arial" w:cs="Arial" w:eastAsia="Arial" w:hAnsi="Arial"/>
          <w:sz w:val="18"/>
          <w:szCs w:val="18"/>
          <w:b w:val="1"/>
          <w:bCs w:val="1"/>
          <w:color w:val="355675"/>
        </w:rPr>
        <w:t>Proxy Statement Summary</w:t>
      </w:r>
    </w:p>
    <w:p>
      <w:pPr>
        <w:spacing w:after="0" w:line="156" w:lineRule="exact"/>
        <w:rPr>
          <w:sz w:val="20"/>
          <w:szCs w:val="20"/>
          <w:color w:val="auto"/>
        </w:rPr>
      </w:pPr>
    </w:p>
    <w:p>
      <w:pPr>
        <w:ind w:left="180"/>
        <w:spacing w:after="0"/>
        <w:rPr>
          <w:sz w:val="20"/>
          <w:szCs w:val="20"/>
          <w:color w:val="auto"/>
        </w:rPr>
      </w:pPr>
      <w:r>
        <w:rPr>
          <w:rFonts w:ascii="Arial" w:cs="Arial" w:eastAsia="Arial" w:hAnsi="Arial"/>
          <w:sz w:val="40"/>
          <w:szCs w:val="40"/>
          <w:b w:val="1"/>
          <w:bCs w:val="1"/>
          <w:color w:val="1C8EA0"/>
        </w:rPr>
        <w:t>Compensation Highlights</w:t>
      </w:r>
    </w:p>
    <w:p>
      <w:pPr>
        <w:spacing w:after="0" w:line="190" w:lineRule="exact"/>
        <w:rPr>
          <w:sz w:val="20"/>
          <w:szCs w:val="20"/>
          <w:color w:val="auto"/>
        </w:rPr>
      </w:pPr>
    </w:p>
    <w:p>
      <w:pPr>
        <w:jc w:val="both"/>
        <w:ind w:left="180" w:right="260"/>
        <w:spacing w:after="0" w:line="253" w:lineRule="auto"/>
        <w:rPr>
          <w:sz w:val="20"/>
          <w:szCs w:val="20"/>
          <w:color w:val="auto"/>
        </w:rPr>
      </w:pPr>
      <w:r>
        <w:rPr>
          <w:rFonts w:ascii="Arial" w:cs="Arial" w:eastAsia="Arial" w:hAnsi="Arial"/>
          <w:sz w:val="18"/>
          <w:szCs w:val="18"/>
          <w:color w:val="auto"/>
        </w:rPr>
        <w:t>Our compensation program is designed to be transparent with a clear emphasis on putting pay at risk and retaining key executives. Our executive compensation philosophy centers on the core objectives of maintaining alignment with shareholder interests and retaining key management.</w:t>
      </w:r>
    </w:p>
    <w:p>
      <w:pPr>
        <w:spacing w:after="0" w:line="131" w:lineRule="exact"/>
        <w:rPr>
          <w:sz w:val="20"/>
          <w:szCs w:val="20"/>
          <w:color w:val="auto"/>
        </w:rPr>
      </w:pPr>
    </w:p>
    <w:p>
      <w:pPr>
        <w:ind w:left="180"/>
        <w:spacing w:after="0"/>
        <w:rPr>
          <w:sz w:val="20"/>
          <w:szCs w:val="20"/>
          <w:color w:val="auto"/>
        </w:rPr>
      </w:pPr>
      <w:r>
        <w:rPr>
          <w:rFonts w:ascii="Arial" w:cs="Arial" w:eastAsia="Arial" w:hAnsi="Arial"/>
          <w:sz w:val="32"/>
          <w:szCs w:val="32"/>
          <w:b w:val="1"/>
          <w:bCs w:val="1"/>
          <w:color w:val="355675"/>
        </w:rPr>
        <w:t>Pay at Risk</w:t>
      </w:r>
    </w:p>
    <w:p>
      <w:pPr>
        <w:spacing w:after="0" w:line="197" w:lineRule="exact"/>
        <w:rPr>
          <w:sz w:val="20"/>
          <w:szCs w:val="20"/>
          <w:color w:val="auto"/>
        </w:rPr>
      </w:pPr>
    </w:p>
    <w:p>
      <w:pPr>
        <w:ind w:left="180" w:right="400"/>
        <w:spacing w:after="0" w:line="271" w:lineRule="auto"/>
        <w:rPr>
          <w:sz w:val="20"/>
          <w:szCs w:val="20"/>
          <w:color w:val="auto"/>
        </w:rPr>
      </w:pPr>
      <w:r>
        <w:rPr>
          <w:rFonts w:ascii="Arial" w:cs="Arial" w:eastAsia="Arial" w:hAnsi="Arial"/>
          <w:sz w:val="18"/>
          <w:szCs w:val="18"/>
          <w:color w:val="auto"/>
        </w:rPr>
        <w:t>The Company believes that a significant portion of each NEO’s total compensation opportunity should reflect both upside potential and downside risk. We place a strong emphasis on performance-based, shareholder-aligned incentive compensation.</w:t>
      </w:r>
    </w:p>
    <w:p>
      <w:pPr>
        <w:spacing w:after="0" w:line="117" w:lineRule="exact"/>
        <w:rPr>
          <w:sz w:val="20"/>
          <w:szCs w:val="20"/>
          <w:color w:val="auto"/>
        </w:rPr>
      </w:pPr>
    </w:p>
    <w:p>
      <w:pPr>
        <w:ind w:left="180"/>
        <w:spacing w:after="0"/>
        <w:rPr>
          <w:sz w:val="20"/>
          <w:szCs w:val="20"/>
          <w:color w:val="auto"/>
        </w:rPr>
      </w:pPr>
      <w:r>
        <w:rPr>
          <w:rFonts w:ascii="Arial" w:cs="Arial" w:eastAsia="Arial" w:hAnsi="Arial"/>
          <w:sz w:val="18"/>
          <w:szCs w:val="18"/>
          <w:color w:val="auto"/>
        </w:rPr>
        <w:t>For 2021, the Company’s core executive compensation program for our NEOs consisted of the following key components</w:t>
      </w:r>
      <w:r>
        <w:rPr>
          <w:rFonts w:ascii="Arial" w:cs="Arial" w:eastAsia="Arial" w:hAnsi="Arial"/>
          <w:sz w:val="29"/>
          <w:szCs w:val="29"/>
          <w:color w:val="auto"/>
          <w:vertAlign w:val="superscript"/>
        </w:rPr>
        <w:t>(1)</w:t>
      </w:r>
      <w:r>
        <w:rPr>
          <w:rFonts w:ascii="Arial" w:cs="Arial" w:eastAsia="Arial" w:hAnsi="Arial"/>
          <w:sz w:val="18"/>
          <w:szCs w:val="18"/>
          <w:color w:val="auto"/>
        </w:rPr>
        <w:t>:</w:t>
      </w:r>
    </w:p>
    <w:p>
      <w:pPr>
        <w:spacing w:after="0" w:line="185" w:lineRule="exact"/>
        <w:rPr>
          <w:sz w:val="20"/>
          <w:szCs w:val="20"/>
          <w:color w:val="auto"/>
        </w:rPr>
      </w:pPr>
    </w:p>
    <w:tbl>
      <w:tblPr>
        <w:tblLayout w:type="fixed"/>
        <w:tblInd w:w="960" w:type="dxa"/>
        <w:tblCellMar>
          <w:top w:w="0" w:type="dxa"/>
          <w:left w:w="0" w:type="dxa"/>
          <w:bottom w:w="0" w:type="dxa"/>
          <w:right w:w="0" w:type="dxa"/>
        </w:tblCellMar>
      </w:tblPr>
      <w:tr>
        <w:trPr>
          <w:trHeight w:val="162"/>
        </w:trPr>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160" w:type="dxa"/>
            <w:vAlign w:val="bottom"/>
          </w:tcPr>
          <w:p>
            <w:pPr>
              <w:spacing w:after="0"/>
              <w:rPr>
                <w:sz w:val="20"/>
                <w:szCs w:val="20"/>
                <w:color w:val="auto"/>
              </w:rPr>
            </w:pPr>
            <w:r>
              <w:rPr>
                <w:rFonts w:ascii="Arial" w:cs="Arial" w:eastAsia="Arial" w:hAnsi="Arial"/>
                <w:sz w:val="14"/>
                <w:szCs w:val="14"/>
                <w:b w:val="1"/>
                <w:bCs w:val="1"/>
                <w:color w:val="355675"/>
              </w:rPr>
              <w:t>Measurement</w:t>
            </w:r>
          </w:p>
        </w:tc>
        <w:tc>
          <w:tcPr>
            <w:tcW w:w="2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8"/>
        </w:trPr>
        <w:tc>
          <w:tcPr>
            <w:tcW w:w="1540" w:type="dxa"/>
            <w:vAlign w:val="bottom"/>
            <w:tcBorders>
              <w:bottom w:val="single" w:sz="8" w:color="355675"/>
            </w:tcBorders>
          </w:tcPr>
          <w:p>
            <w:pPr>
              <w:ind w:left="20"/>
              <w:spacing w:after="0"/>
              <w:rPr>
                <w:sz w:val="20"/>
                <w:szCs w:val="20"/>
                <w:color w:val="auto"/>
              </w:rPr>
            </w:pPr>
            <w:r>
              <w:rPr>
                <w:rFonts w:ascii="Arial" w:cs="Arial" w:eastAsia="Arial" w:hAnsi="Arial"/>
                <w:sz w:val="14"/>
                <w:szCs w:val="14"/>
                <w:b w:val="1"/>
                <w:bCs w:val="1"/>
                <w:color w:val="355675"/>
              </w:rPr>
              <w:t>Pay Element</w:t>
            </w:r>
          </w:p>
        </w:tc>
        <w:tc>
          <w:tcPr>
            <w:tcW w:w="120" w:type="dxa"/>
            <w:vAlign w:val="bottom"/>
          </w:tcPr>
          <w:p>
            <w:pPr>
              <w:spacing w:after="0"/>
              <w:rPr>
                <w:sz w:val="15"/>
                <w:szCs w:val="15"/>
                <w:color w:val="auto"/>
              </w:rPr>
            </w:pPr>
          </w:p>
        </w:tc>
        <w:tc>
          <w:tcPr>
            <w:tcW w:w="2160" w:type="dxa"/>
            <w:vAlign w:val="bottom"/>
            <w:tcBorders>
              <w:bottom w:val="single" w:sz="8" w:color="355675"/>
            </w:tcBorders>
          </w:tcPr>
          <w:p>
            <w:pPr>
              <w:spacing w:after="0"/>
              <w:rPr>
                <w:sz w:val="20"/>
                <w:szCs w:val="20"/>
                <w:color w:val="auto"/>
              </w:rPr>
            </w:pPr>
            <w:r>
              <w:rPr>
                <w:rFonts w:ascii="Arial" w:cs="Arial" w:eastAsia="Arial" w:hAnsi="Arial"/>
                <w:sz w:val="14"/>
                <w:szCs w:val="14"/>
                <w:b w:val="1"/>
                <w:bCs w:val="1"/>
                <w:color w:val="355675"/>
              </w:rPr>
              <w:t>Period</w:t>
            </w:r>
          </w:p>
        </w:tc>
        <w:tc>
          <w:tcPr>
            <w:tcW w:w="2160" w:type="dxa"/>
            <w:vAlign w:val="bottom"/>
            <w:tcBorders>
              <w:bottom w:val="single" w:sz="8" w:color="355675"/>
            </w:tcBorders>
            <w:gridSpan w:val="2"/>
          </w:tcPr>
          <w:p>
            <w:pPr>
              <w:spacing w:after="0"/>
              <w:rPr>
                <w:sz w:val="20"/>
                <w:szCs w:val="20"/>
                <w:color w:val="auto"/>
              </w:rPr>
            </w:pPr>
            <w:r>
              <w:rPr>
                <w:rFonts w:ascii="Arial" w:cs="Arial" w:eastAsia="Arial" w:hAnsi="Arial"/>
                <w:sz w:val="14"/>
                <w:szCs w:val="14"/>
                <w:b w:val="1"/>
                <w:bCs w:val="1"/>
                <w:color w:val="355675"/>
              </w:rPr>
              <w:t>Performance Link</w:t>
            </w:r>
          </w:p>
        </w:tc>
        <w:tc>
          <w:tcPr>
            <w:tcW w:w="4120" w:type="dxa"/>
            <w:vAlign w:val="bottom"/>
            <w:tcBorders>
              <w:bottom w:val="single" w:sz="8" w:color="355675"/>
            </w:tcBorders>
          </w:tcPr>
          <w:p>
            <w:pPr>
              <w:spacing w:after="0"/>
              <w:rPr>
                <w:sz w:val="20"/>
                <w:szCs w:val="20"/>
                <w:color w:val="auto"/>
              </w:rPr>
            </w:pPr>
            <w:r>
              <w:rPr>
                <w:rFonts w:ascii="Arial" w:cs="Arial" w:eastAsia="Arial" w:hAnsi="Arial"/>
                <w:sz w:val="14"/>
                <w:szCs w:val="14"/>
                <w:b w:val="1"/>
                <w:bCs w:val="1"/>
                <w:color w:val="355675"/>
              </w:rPr>
              <w:t>Description</w:t>
            </w:r>
          </w:p>
        </w:tc>
        <w:tc>
          <w:tcPr>
            <w:tcW w:w="0" w:type="dxa"/>
            <w:vAlign w:val="bottom"/>
          </w:tcPr>
          <w:p>
            <w:pPr>
              <w:spacing w:after="0"/>
              <w:rPr>
                <w:sz w:val="1"/>
                <w:szCs w:val="1"/>
                <w:color w:val="auto"/>
              </w:rPr>
            </w:pPr>
          </w:p>
        </w:tc>
      </w:tr>
      <w:tr>
        <w:trPr>
          <w:trHeight w:val="296"/>
        </w:trPr>
        <w:tc>
          <w:tcPr>
            <w:tcW w:w="1660" w:type="dxa"/>
            <w:vAlign w:val="bottom"/>
            <w:gridSpan w:val="2"/>
            <w:vMerge w:val="restart"/>
          </w:tcPr>
          <w:p>
            <w:pPr>
              <w:ind w:left="20"/>
              <w:spacing w:after="0"/>
              <w:rPr>
                <w:sz w:val="20"/>
                <w:szCs w:val="20"/>
                <w:color w:val="auto"/>
              </w:rPr>
            </w:pPr>
            <w:r>
              <w:rPr>
                <w:rFonts w:ascii="Arial" w:cs="Arial" w:eastAsia="Arial" w:hAnsi="Arial"/>
                <w:sz w:val="16"/>
                <w:szCs w:val="16"/>
                <w:b w:val="1"/>
                <w:bCs w:val="1"/>
                <w:color w:val="939598"/>
              </w:rPr>
              <w:t>Cash</w:t>
            </w:r>
          </w:p>
        </w:tc>
        <w:tc>
          <w:tcPr>
            <w:tcW w:w="8440" w:type="dxa"/>
            <w:vAlign w:val="bottom"/>
            <w:gridSpan w:val="4"/>
          </w:tcPr>
          <w:p>
            <w:pPr>
              <w:spacing w:after="0"/>
              <w:rPr>
                <w:sz w:val="20"/>
                <w:szCs w:val="20"/>
                <w:color w:val="auto"/>
              </w:rPr>
            </w:pPr>
            <w:r>
              <w:rPr>
                <w:rFonts w:ascii="Arial" w:cs="Arial" w:eastAsia="Arial" w:hAnsi="Arial"/>
                <w:sz w:val="16"/>
                <w:szCs w:val="16"/>
                <w:color w:val="auto"/>
              </w:rPr>
              <w:t>Salary is based on experience, performance and responsibilities and is benchmarked to a peer group and market</w:t>
            </w:r>
          </w:p>
        </w:tc>
        <w:tc>
          <w:tcPr>
            <w:tcW w:w="0" w:type="dxa"/>
            <w:vAlign w:val="bottom"/>
          </w:tcPr>
          <w:p>
            <w:pPr>
              <w:spacing w:after="0"/>
              <w:rPr>
                <w:sz w:val="1"/>
                <w:szCs w:val="1"/>
                <w:color w:val="auto"/>
              </w:rPr>
            </w:pPr>
          </w:p>
        </w:tc>
      </w:tr>
      <w:tr>
        <w:trPr>
          <w:trHeight w:val="128"/>
        </w:trPr>
        <w:tc>
          <w:tcPr>
            <w:tcW w:w="1660" w:type="dxa"/>
            <w:vAlign w:val="bottom"/>
            <w:gridSpan w:val="2"/>
            <w:vMerge w:val="continue"/>
          </w:tcPr>
          <w:p>
            <w:pPr>
              <w:spacing w:after="0"/>
              <w:rPr>
                <w:sz w:val="11"/>
                <w:szCs w:val="11"/>
                <w:color w:val="auto"/>
              </w:rPr>
            </w:pPr>
          </w:p>
        </w:tc>
        <w:tc>
          <w:tcPr>
            <w:tcW w:w="4320" w:type="dxa"/>
            <w:vAlign w:val="bottom"/>
            <w:gridSpan w:val="3"/>
            <w:vMerge w:val="restart"/>
          </w:tcPr>
          <w:p>
            <w:pPr>
              <w:spacing w:after="0"/>
              <w:rPr>
                <w:sz w:val="20"/>
                <w:szCs w:val="20"/>
                <w:color w:val="auto"/>
              </w:rPr>
            </w:pPr>
            <w:r>
              <w:rPr>
                <w:rFonts w:ascii="Arial" w:cs="Arial" w:eastAsia="Arial" w:hAnsi="Arial"/>
                <w:sz w:val="16"/>
                <w:szCs w:val="16"/>
                <w:color w:val="auto"/>
              </w:rPr>
              <w:t>survey data to align with competitive levels.</w:t>
            </w:r>
          </w:p>
        </w:tc>
        <w:tc>
          <w:tcPr>
            <w:tcW w:w="4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86"/>
        </w:trPr>
        <w:tc>
          <w:tcPr>
            <w:tcW w:w="1540" w:type="dxa"/>
            <w:vAlign w:val="bottom"/>
          </w:tcPr>
          <w:p>
            <w:pPr>
              <w:spacing w:after="0"/>
              <w:rPr>
                <w:sz w:val="7"/>
                <w:szCs w:val="7"/>
                <w:color w:val="auto"/>
              </w:rPr>
            </w:pPr>
          </w:p>
        </w:tc>
        <w:tc>
          <w:tcPr>
            <w:tcW w:w="120" w:type="dxa"/>
            <w:vAlign w:val="bottom"/>
          </w:tcPr>
          <w:p>
            <w:pPr>
              <w:spacing w:after="0"/>
              <w:rPr>
                <w:sz w:val="7"/>
                <w:szCs w:val="7"/>
                <w:color w:val="auto"/>
              </w:rPr>
            </w:pPr>
          </w:p>
        </w:tc>
        <w:tc>
          <w:tcPr>
            <w:tcW w:w="4320" w:type="dxa"/>
            <w:vAlign w:val="bottom"/>
            <w:gridSpan w:val="3"/>
            <w:vMerge w:val="continue"/>
          </w:tcPr>
          <w:p>
            <w:pPr>
              <w:spacing w:after="0"/>
              <w:rPr>
                <w:sz w:val="7"/>
                <w:szCs w:val="7"/>
                <w:color w:val="auto"/>
              </w:rPr>
            </w:pPr>
          </w:p>
        </w:tc>
        <w:tc>
          <w:tcPr>
            <w:tcW w:w="41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4"/>
        </w:trPr>
        <w:tc>
          <w:tcPr>
            <w:tcW w:w="1540" w:type="dxa"/>
            <w:vAlign w:val="bottom"/>
            <w:tcBorders>
              <w:bottom w:val="single" w:sz="8" w:color="939598"/>
            </w:tcBorders>
          </w:tcPr>
          <w:p>
            <w:pPr>
              <w:spacing w:after="0"/>
              <w:rPr>
                <w:sz w:val="10"/>
                <w:szCs w:val="10"/>
                <w:color w:val="auto"/>
              </w:rPr>
            </w:pPr>
          </w:p>
        </w:tc>
        <w:tc>
          <w:tcPr>
            <w:tcW w:w="120" w:type="dxa"/>
            <w:vAlign w:val="bottom"/>
          </w:tcPr>
          <w:p>
            <w:pPr>
              <w:spacing w:after="0"/>
              <w:rPr>
                <w:sz w:val="10"/>
                <w:szCs w:val="10"/>
                <w:color w:val="auto"/>
              </w:rPr>
            </w:pPr>
          </w:p>
        </w:tc>
        <w:tc>
          <w:tcPr>
            <w:tcW w:w="2160" w:type="dxa"/>
            <w:vAlign w:val="bottom"/>
            <w:tcBorders>
              <w:bottom w:val="single" w:sz="8" w:color="939598"/>
            </w:tcBorders>
          </w:tcPr>
          <w:p>
            <w:pPr>
              <w:spacing w:after="0"/>
              <w:rPr>
                <w:sz w:val="10"/>
                <w:szCs w:val="10"/>
                <w:color w:val="auto"/>
              </w:rPr>
            </w:pPr>
          </w:p>
        </w:tc>
        <w:tc>
          <w:tcPr>
            <w:tcW w:w="2160" w:type="dxa"/>
            <w:vAlign w:val="bottom"/>
            <w:tcBorders>
              <w:bottom w:val="single" w:sz="8" w:color="939598"/>
            </w:tcBorders>
            <w:gridSpan w:val="2"/>
          </w:tcPr>
          <w:p>
            <w:pPr>
              <w:spacing w:after="0"/>
              <w:rPr>
                <w:sz w:val="10"/>
                <w:szCs w:val="10"/>
                <w:color w:val="auto"/>
              </w:rPr>
            </w:pPr>
          </w:p>
        </w:tc>
        <w:tc>
          <w:tcPr>
            <w:tcW w:w="4120" w:type="dxa"/>
            <w:vAlign w:val="bottom"/>
            <w:tcBorders>
              <w:bottom w:val="single" w:sz="8" w:color="939598"/>
            </w:tcBorders>
          </w:tcPr>
          <w:p>
            <w:pPr>
              <w:spacing w:after="0"/>
              <w:rPr>
                <w:sz w:val="10"/>
                <w:szCs w:val="10"/>
                <w:color w:val="auto"/>
              </w:rPr>
            </w:pPr>
          </w:p>
        </w:tc>
        <w:tc>
          <w:tcPr>
            <w:tcW w:w="0" w:type="dxa"/>
            <w:vAlign w:val="bottom"/>
          </w:tcPr>
          <w:p>
            <w:pPr>
              <w:spacing w:after="0"/>
              <w:rPr>
                <w:sz w:val="1"/>
                <w:szCs w:val="1"/>
                <w:color w:val="auto"/>
              </w:rPr>
            </w:pPr>
          </w:p>
        </w:tc>
      </w:tr>
      <w:tr>
        <w:trPr>
          <w:trHeight w:val="272"/>
        </w:trPr>
        <w:tc>
          <w:tcPr>
            <w:tcW w:w="15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160" w:type="dxa"/>
            <w:vAlign w:val="bottom"/>
          </w:tcPr>
          <w:p>
            <w:pPr>
              <w:spacing w:after="0"/>
              <w:rPr>
                <w:sz w:val="23"/>
                <w:szCs w:val="23"/>
                <w:color w:val="auto"/>
              </w:rPr>
            </w:pPr>
          </w:p>
        </w:tc>
        <w:tc>
          <w:tcPr>
            <w:tcW w:w="2160" w:type="dxa"/>
            <w:vAlign w:val="bottom"/>
            <w:gridSpan w:val="2"/>
          </w:tcPr>
          <w:p>
            <w:pPr>
              <w:spacing w:after="0"/>
              <w:rPr>
                <w:sz w:val="20"/>
                <w:szCs w:val="20"/>
                <w:color w:val="auto"/>
              </w:rPr>
            </w:pPr>
            <w:r>
              <w:rPr>
                <w:rFonts w:ascii="Arial" w:cs="Arial" w:eastAsia="Arial" w:hAnsi="Arial"/>
                <w:sz w:val="16"/>
                <w:szCs w:val="16"/>
                <w:b w:val="1"/>
                <w:bCs w:val="1"/>
                <w:color w:val="1C8EA0"/>
              </w:rPr>
              <w:t>Earnings</w:t>
            </w:r>
          </w:p>
        </w:tc>
        <w:tc>
          <w:tcPr>
            <w:tcW w:w="4120" w:type="dxa"/>
            <w:vAlign w:val="bottom"/>
          </w:tcPr>
          <w:p>
            <w:pPr>
              <w:spacing w:after="0"/>
              <w:rPr>
                <w:sz w:val="20"/>
                <w:szCs w:val="20"/>
                <w:color w:val="auto"/>
              </w:rPr>
            </w:pPr>
            <w:r>
              <w:rPr>
                <w:rFonts w:ascii="Arial" w:cs="Arial" w:eastAsia="Arial" w:hAnsi="Arial"/>
                <w:sz w:val="16"/>
                <w:szCs w:val="16"/>
                <w:color w:val="auto"/>
              </w:rPr>
              <w:t>Universal measure of business financial performance;</w:t>
            </w:r>
          </w:p>
        </w:tc>
        <w:tc>
          <w:tcPr>
            <w:tcW w:w="0" w:type="dxa"/>
            <w:vAlign w:val="bottom"/>
          </w:tcPr>
          <w:p>
            <w:pPr>
              <w:spacing w:after="0"/>
              <w:rPr>
                <w:sz w:val="1"/>
                <w:szCs w:val="1"/>
                <w:color w:val="auto"/>
              </w:rPr>
            </w:pPr>
          </w:p>
        </w:tc>
      </w:tr>
      <w:tr>
        <w:trPr>
          <w:trHeight w:val="203"/>
        </w:trPr>
        <w:tc>
          <w:tcPr>
            <w:tcW w:w="1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160" w:type="dxa"/>
            <w:vAlign w:val="bottom"/>
          </w:tcPr>
          <w:p>
            <w:pPr>
              <w:spacing w:after="0"/>
              <w:rPr>
                <w:sz w:val="17"/>
                <w:szCs w:val="17"/>
                <w:color w:val="auto"/>
              </w:rPr>
            </w:pPr>
          </w:p>
        </w:tc>
        <w:tc>
          <w:tcPr>
            <w:tcW w:w="2160" w:type="dxa"/>
            <w:vAlign w:val="bottom"/>
            <w:gridSpan w:val="2"/>
          </w:tcPr>
          <w:p>
            <w:pPr>
              <w:spacing w:after="0" w:line="202" w:lineRule="exact"/>
              <w:rPr>
                <w:sz w:val="20"/>
                <w:szCs w:val="20"/>
                <w:color w:val="auto"/>
              </w:rPr>
            </w:pPr>
            <w:r>
              <w:rPr>
                <w:rFonts w:ascii="Arial" w:cs="Arial" w:eastAsia="Arial" w:hAnsi="Arial"/>
                <w:sz w:val="18"/>
                <w:szCs w:val="18"/>
                <w:color w:val="auto"/>
              </w:rPr>
              <w:t>CEO: 50.0%</w:t>
            </w:r>
          </w:p>
        </w:tc>
        <w:tc>
          <w:tcPr>
            <w:tcW w:w="4120" w:type="dxa"/>
            <w:vAlign w:val="bottom"/>
          </w:tcPr>
          <w:p>
            <w:pPr>
              <w:spacing w:after="0"/>
              <w:rPr>
                <w:sz w:val="20"/>
                <w:szCs w:val="20"/>
                <w:color w:val="auto"/>
              </w:rPr>
            </w:pPr>
            <w:r>
              <w:rPr>
                <w:rFonts w:ascii="Arial" w:cs="Arial" w:eastAsia="Arial" w:hAnsi="Arial"/>
                <w:sz w:val="16"/>
                <w:szCs w:val="16"/>
                <w:color w:val="auto"/>
              </w:rPr>
              <w:t>encourages achievement of bottom-line earnings growth</w:t>
            </w:r>
          </w:p>
        </w:tc>
        <w:tc>
          <w:tcPr>
            <w:tcW w:w="0" w:type="dxa"/>
            <w:vAlign w:val="bottom"/>
          </w:tcPr>
          <w:p>
            <w:pPr>
              <w:spacing w:after="0"/>
              <w:rPr>
                <w:sz w:val="1"/>
                <w:szCs w:val="1"/>
                <w:color w:val="auto"/>
              </w:rPr>
            </w:pPr>
          </w:p>
        </w:tc>
      </w:tr>
      <w:tr>
        <w:trPr>
          <w:trHeight w:val="239"/>
        </w:trPr>
        <w:tc>
          <w:tcPr>
            <w:tcW w:w="1660" w:type="dxa"/>
            <w:vAlign w:val="bottom"/>
            <w:gridSpan w:val="2"/>
            <w:vMerge w:val="restart"/>
          </w:tcPr>
          <w:p>
            <w:pPr>
              <w:ind w:left="20"/>
              <w:spacing w:after="0"/>
              <w:rPr>
                <w:sz w:val="20"/>
                <w:szCs w:val="20"/>
                <w:color w:val="auto"/>
              </w:rPr>
            </w:pPr>
            <w:r>
              <w:rPr>
                <w:rFonts w:ascii="Arial" w:cs="Arial" w:eastAsia="Arial" w:hAnsi="Arial"/>
                <w:sz w:val="16"/>
                <w:szCs w:val="16"/>
                <w:b w:val="1"/>
                <w:bCs w:val="1"/>
                <w:color w:val="1C8EA0"/>
              </w:rPr>
              <w:t>Cash</w:t>
            </w:r>
          </w:p>
        </w:tc>
        <w:tc>
          <w:tcPr>
            <w:tcW w:w="2160" w:type="dxa"/>
            <w:vAlign w:val="bottom"/>
            <w:vMerge w:val="restart"/>
          </w:tcPr>
          <w:p>
            <w:pPr>
              <w:spacing w:after="0"/>
              <w:rPr>
                <w:sz w:val="20"/>
                <w:szCs w:val="20"/>
                <w:color w:val="auto"/>
              </w:rPr>
            </w:pPr>
            <w:r>
              <w:rPr>
                <w:rFonts w:ascii="Arial" w:cs="Arial" w:eastAsia="Arial" w:hAnsi="Arial"/>
                <w:sz w:val="16"/>
                <w:szCs w:val="16"/>
                <w:b w:val="1"/>
                <w:bCs w:val="1"/>
                <w:color w:val="1C8EA0"/>
              </w:rPr>
              <w:t>1 year</w:t>
            </w:r>
          </w:p>
        </w:tc>
        <w:tc>
          <w:tcPr>
            <w:tcW w:w="2160" w:type="dxa"/>
            <w:vAlign w:val="bottom"/>
            <w:gridSpan w:val="2"/>
          </w:tcPr>
          <w:p>
            <w:pPr>
              <w:spacing w:after="0"/>
              <w:rPr>
                <w:sz w:val="20"/>
                <w:szCs w:val="20"/>
                <w:color w:val="auto"/>
              </w:rPr>
            </w:pPr>
            <w:r>
              <w:rPr>
                <w:rFonts w:ascii="Arial" w:cs="Arial" w:eastAsia="Arial" w:hAnsi="Arial"/>
                <w:sz w:val="18"/>
                <w:szCs w:val="18"/>
                <w:color w:val="auto"/>
              </w:rPr>
              <w:t>Other NEOs: 50.0%</w:t>
            </w:r>
          </w:p>
        </w:tc>
        <w:tc>
          <w:tcPr>
            <w:tcW w:w="4120" w:type="dxa"/>
            <w:vAlign w:val="bottom"/>
          </w:tcPr>
          <w:p>
            <w:pPr>
              <w:spacing w:after="0"/>
              <w:rPr>
                <w:sz w:val="20"/>
                <w:szCs w:val="20"/>
                <w:color w:val="auto"/>
              </w:rPr>
            </w:pPr>
            <w:r>
              <w:rPr>
                <w:rFonts w:ascii="Arial" w:cs="Arial" w:eastAsia="Arial" w:hAnsi="Arial"/>
                <w:sz w:val="16"/>
                <w:szCs w:val="16"/>
                <w:color w:val="auto"/>
              </w:rPr>
              <w:t>goals.</w:t>
            </w:r>
          </w:p>
        </w:tc>
        <w:tc>
          <w:tcPr>
            <w:tcW w:w="0" w:type="dxa"/>
            <w:vAlign w:val="bottom"/>
          </w:tcPr>
          <w:p>
            <w:pPr>
              <w:spacing w:after="0"/>
              <w:rPr>
                <w:sz w:val="1"/>
                <w:szCs w:val="1"/>
                <w:color w:val="auto"/>
              </w:rPr>
            </w:pPr>
          </w:p>
        </w:tc>
      </w:tr>
      <w:tr>
        <w:trPr>
          <w:trHeight w:val="104"/>
        </w:trPr>
        <w:tc>
          <w:tcPr>
            <w:tcW w:w="1660" w:type="dxa"/>
            <w:vAlign w:val="bottom"/>
            <w:gridSpan w:val="2"/>
            <w:vMerge w:val="continue"/>
          </w:tcPr>
          <w:p>
            <w:pPr>
              <w:spacing w:after="0"/>
              <w:rPr>
                <w:sz w:val="9"/>
                <w:szCs w:val="9"/>
                <w:color w:val="auto"/>
              </w:rPr>
            </w:pPr>
          </w:p>
        </w:tc>
        <w:tc>
          <w:tcPr>
            <w:tcW w:w="2160" w:type="dxa"/>
            <w:vAlign w:val="bottom"/>
            <w:vMerge w:val="continue"/>
          </w:tcPr>
          <w:p>
            <w:pPr>
              <w:spacing w:after="0"/>
              <w:rPr>
                <w:sz w:val="9"/>
                <w:szCs w:val="9"/>
                <w:color w:val="auto"/>
              </w:rPr>
            </w:pPr>
          </w:p>
        </w:tc>
        <w:tc>
          <w:tcPr>
            <w:tcW w:w="2040" w:type="dxa"/>
            <w:vAlign w:val="bottom"/>
            <w:tcBorders>
              <w:bottom w:val="single" w:sz="8" w:color="939598"/>
            </w:tcBorders>
          </w:tcPr>
          <w:p>
            <w:pPr>
              <w:spacing w:after="0"/>
              <w:rPr>
                <w:sz w:val="9"/>
                <w:szCs w:val="9"/>
                <w:color w:val="auto"/>
              </w:rPr>
            </w:pPr>
          </w:p>
        </w:tc>
        <w:tc>
          <w:tcPr>
            <w:tcW w:w="120" w:type="dxa"/>
            <w:vAlign w:val="bottom"/>
          </w:tcPr>
          <w:p>
            <w:pPr>
              <w:spacing w:after="0"/>
              <w:rPr>
                <w:sz w:val="9"/>
                <w:szCs w:val="9"/>
                <w:color w:val="auto"/>
              </w:rPr>
            </w:pPr>
          </w:p>
        </w:tc>
        <w:tc>
          <w:tcPr>
            <w:tcW w:w="4120" w:type="dxa"/>
            <w:vAlign w:val="bottom"/>
            <w:tcBorders>
              <w:bottom w:val="single" w:sz="8" w:color="939598"/>
            </w:tcBorders>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660" w:type="dxa"/>
            <w:vAlign w:val="bottom"/>
            <w:gridSpan w:val="2"/>
            <w:vMerge w:val="continue"/>
          </w:tcPr>
          <w:p>
            <w:pPr>
              <w:spacing w:after="0"/>
              <w:rPr>
                <w:sz w:val="7"/>
                <w:szCs w:val="7"/>
                <w:color w:val="auto"/>
              </w:rPr>
            </w:pPr>
          </w:p>
        </w:tc>
        <w:tc>
          <w:tcPr>
            <w:tcW w:w="2160" w:type="dxa"/>
            <w:vAlign w:val="bottom"/>
            <w:vMerge w:val="continue"/>
          </w:tcPr>
          <w:p>
            <w:pPr>
              <w:spacing w:after="0"/>
              <w:rPr>
                <w:sz w:val="7"/>
                <w:szCs w:val="7"/>
                <w:color w:val="auto"/>
              </w:rPr>
            </w:pPr>
          </w:p>
        </w:tc>
        <w:tc>
          <w:tcPr>
            <w:tcW w:w="2040" w:type="dxa"/>
            <w:vAlign w:val="bottom"/>
          </w:tcPr>
          <w:p>
            <w:pPr>
              <w:spacing w:after="0"/>
              <w:rPr>
                <w:sz w:val="7"/>
                <w:szCs w:val="7"/>
                <w:color w:val="auto"/>
              </w:rPr>
            </w:pPr>
          </w:p>
        </w:tc>
        <w:tc>
          <w:tcPr>
            <w:tcW w:w="120" w:type="dxa"/>
            <w:vAlign w:val="bottom"/>
          </w:tcPr>
          <w:p>
            <w:pPr>
              <w:spacing w:after="0"/>
              <w:rPr>
                <w:sz w:val="7"/>
                <w:szCs w:val="7"/>
                <w:color w:val="auto"/>
              </w:rPr>
            </w:pPr>
          </w:p>
        </w:tc>
        <w:tc>
          <w:tcPr>
            <w:tcW w:w="412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7" w:lineRule="exact"/>
        <w:rPr>
          <w:sz w:val="20"/>
          <w:szCs w:val="20"/>
          <w:color w:val="auto"/>
        </w:rPr>
      </w:pPr>
    </w:p>
    <w:tbl>
      <w:tblPr>
        <w:tblLayout w:type="fixed"/>
        <w:tblInd w:w="4780" w:type="dxa"/>
        <w:tblCellMar>
          <w:top w:w="0" w:type="dxa"/>
          <w:left w:w="0" w:type="dxa"/>
          <w:bottom w:w="0" w:type="dxa"/>
          <w:right w:w="0" w:type="dxa"/>
        </w:tblCellMar>
      </w:tblPr>
      <w:tr>
        <w:trPr>
          <w:trHeight w:val="189"/>
        </w:trPr>
        <w:tc>
          <w:tcPr>
            <w:tcW w:w="1820" w:type="dxa"/>
            <w:vAlign w:val="bottom"/>
            <w:vMerge w:val="restart"/>
          </w:tcPr>
          <w:p>
            <w:pPr>
              <w:spacing w:after="0"/>
              <w:rPr>
                <w:sz w:val="20"/>
                <w:szCs w:val="20"/>
                <w:color w:val="auto"/>
              </w:rPr>
            </w:pPr>
            <w:r>
              <w:rPr>
                <w:rFonts w:ascii="Arial" w:cs="Arial" w:eastAsia="Arial" w:hAnsi="Arial"/>
                <w:sz w:val="16"/>
                <w:szCs w:val="16"/>
                <w:b w:val="1"/>
                <w:bCs w:val="1"/>
                <w:color w:val="1C8EA0"/>
              </w:rPr>
              <w:t>Business Unit</w:t>
            </w:r>
          </w:p>
        </w:tc>
        <w:tc>
          <w:tcPr>
            <w:tcW w:w="4260" w:type="dxa"/>
            <w:vAlign w:val="bottom"/>
          </w:tcPr>
          <w:p>
            <w:pPr>
              <w:ind w:left="340"/>
              <w:spacing w:after="0"/>
              <w:rPr>
                <w:sz w:val="20"/>
                <w:szCs w:val="20"/>
                <w:color w:val="auto"/>
              </w:rPr>
            </w:pPr>
            <w:r>
              <w:rPr>
                <w:rFonts w:ascii="Arial" w:cs="Arial" w:eastAsia="Arial" w:hAnsi="Arial"/>
                <w:sz w:val="16"/>
                <w:szCs w:val="16"/>
                <w:color w:val="auto"/>
              </w:rPr>
              <w:t>Pre-established operational business unit performance</w:t>
            </w:r>
          </w:p>
        </w:tc>
        <w:tc>
          <w:tcPr>
            <w:tcW w:w="0" w:type="dxa"/>
            <w:vAlign w:val="bottom"/>
          </w:tcPr>
          <w:p>
            <w:pPr>
              <w:spacing w:after="0"/>
              <w:rPr>
                <w:sz w:val="1"/>
                <w:szCs w:val="1"/>
                <w:color w:val="auto"/>
              </w:rPr>
            </w:pPr>
          </w:p>
        </w:tc>
      </w:tr>
      <w:tr>
        <w:trPr>
          <w:trHeight w:val="94"/>
        </w:trPr>
        <w:tc>
          <w:tcPr>
            <w:tcW w:w="1820" w:type="dxa"/>
            <w:vAlign w:val="bottom"/>
            <w:vMerge w:val="continue"/>
          </w:tcPr>
          <w:p>
            <w:pPr>
              <w:spacing w:after="0"/>
              <w:rPr>
                <w:sz w:val="8"/>
                <w:szCs w:val="8"/>
                <w:color w:val="auto"/>
              </w:rPr>
            </w:pPr>
          </w:p>
        </w:tc>
        <w:tc>
          <w:tcPr>
            <w:tcW w:w="4260" w:type="dxa"/>
            <w:vAlign w:val="bottom"/>
            <w:vMerge w:val="restart"/>
          </w:tcPr>
          <w:p>
            <w:pPr>
              <w:ind w:left="340"/>
              <w:spacing w:after="0"/>
              <w:rPr>
                <w:sz w:val="20"/>
                <w:szCs w:val="20"/>
                <w:color w:val="auto"/>
              </w:rPr>
            </w:pPr>
            <w:r>
              <w:rPr>
                <w:rFonts w:ascii="Arial" w:cs="Arial" w:eastAsia="Arial" w:hAnsi="Arial"/>
                <w:sz w:val="16"/>
                <w:szCs w:val="16"/>
                <w:color w:val="auto"/>
              </w:rPr>
              <w:t>goals that include safety, customer experience and</w:t>
            </w:r>
          </w:p>
        </w:tc>
        <w:tc>
          <w:tcPr>
            <w:tcW w:w="0" w:type="dxa"/>
            <w:vAlign w:val="bottom"/>
          </w:tcPr>
          <w:p>
            <w:pPr>
              <w:spacing w:after="0"/>
              <w:rPr>
                <w:sz w:val="1"/>
                <w:szCs w:val="1"/>
                <w:color w:val="auto"/>
              </w:rPr>
            </w:pPr>
          </w:p>
        </w:tc>
      </w:tr>
      <w:tr>
        <w:trPr>
          <w:trHeight w:val="95"/>
        </w:trPr>
        <w:tc>
          <w:tcPr>
            <w:tcW w:w="1820" w:type="dxa"/>
            <w:vAlign w:val="bottom"/>
            <w:vMerge w:val="restart"/>
          </w:tcPr>
          <w:p>
            <w:pPr>
              <w:spacing w:after="0"/>
              <w:rPr>
                <w:sz w:val="20"/>
                <w:szCs w:val="20"/>
                <w:color w:val="auto"/>
              </w:rPr>
            </w:pPr>
            <w:r>
              <w:rPr>
                <w:rFonts w:ascii="Arial" w:cs="Arial" w:eastAsia="Arial" w:hAnsi="Arial"/>
                <w:sz w:val="16"/>
                <w:szCs w:val="16"/>
                <w:b w:val="1"/>
                <w:bCs w:val="1"/>
                <w:color w:val="1C8EA0"/>
              </w:rPr>
              <w:t xml:space="preserve">Performance </w:t>
            </w:r>
            <w:r>
              <w:rPr>
                <w:rFonts w:ascii="Arial" w:cs="Arial" w:eastAsia="Arial" w:hAnsi="Arial"/>
                <w:sz w:val="16"/>
                <w:szCs w:val="16"/>
                <w:color w:val="000000"/>
              </w:rPr>
              <w:t>50.0%</w:t>
            </w:r>
          </w:p>
        </w:tc>
        <w:tc>
          <w:tcPr>
            <w:tcW w:w="42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1820" w:type="dxa"/>
            <w:vAlign w:val="bottom"/>
            <w:vMerge w:val="continue"/>
          </w:tcPr>
          <w:p>
            <w:pPr>
              <w:spacing w:after="0"/>
              <w:rPr>
                <w:sz w:val="11"/>
                <w:szCs w:val="11"/>
                <w:color w:val="auto"/>
              </w:rPr>
            </w:pPr>
          </w:p>
        </w:tc>
        <w:tc>
          <w:tcPr>
            <w:tcW w:w="4260" w:type="dxa"/>
            <w:vAlign w:val="bottom"/>
            <w:vMerge w:val="restart"/>
          </w:tcPr>
          <w:p>
            <w:pPr>
              <w:ind w:left="340"/>
              <w:spacing w:after="0"/>
              <w:rPr>
                <w:sz w:val="20"/>
                <w:szCs w:val="20"/>
                <w:color w:val="auto"/>
              </w:rPr>
            </w:pPr>
            <w:r>
              <w:rPr>
                <w:rFonts w:ascii="Arial" w:cs="Arial" w:eastAsia="Arial" w:hAnsi="Arial"/>
                <w:sz w:val="16"/>
                <w:szCs w:val="16"/>
                <w:color w:val="auto"/>
              </w:rPr>
              <w:t>operational quality and efficiency metrics.</w:t>
            </w:r>
          </w:p>
        </w:tc>
        <w:tc>
          <w:tcPr>
            <w:tcW w:w="0" w:type="dxa"/>
            <w:vAlign w:val="bottom"/>
          </w:tcPr>
          <w:p>
            <w:pPr>
              <w:spacing w:after="0"/>
              <w:rPr>
                <w:sz w:val="1"/>
                <w:szCs w:val="1"/>
                <w:color w:val="auto"/>
              </w:rPr>
            </w:pPr>
          </w:p>
        </w:tc>
      </w:tr>
      <w:tr>
        <w:trPr>
          <w:trHeight w:val="87"/>
        </w:trPr>
        <w:tc>
          <w:tcPr>
            <w:tcW w:w="1820" w:type="dxa"/>
            <w:vAlign w:val="bottom"/>
          </w:tcPr>
          <w:p>
            <w:pPr>
              <w:spacing w:after="0"/>
              <w:rPr>
                <w:sz w:val="7"/>
                <w:szCs w:val="7"/>
                <w:color w:val="auto"/>
              </w:rPr>
            </w:pPr>
          </w:p>
        </w:tc>
        <w:tc>
          <w:tcPr>
            <w:tcW w:w="42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bl>
    <w:p>
      <w:pPr>
        <w:spacing w:after="0" w:line="150" w:lineRule="exact"/>
        <w:rPr>
          <w:sz w:val="20"/>
          <w:szCs w:val="20"/>
          <w:color w:val="auto"/>
        </w:rPr>
      </w:pPr>
    </w:p>
    <w:p>
      <w:pPr>
        <w:sectPr>
          <w:pgSz w:w="11900" w:h="16838" w:orient="portrait"/>
          <w:cols w:equalWidth="0" w:num="1">
            <w:col w:w="11260"/>
          </w:cols>
          <w:pgMar w:left="320" w:top="125" w:right="319" w:bottom="1440" w:gutter="0" w:footer="0" w:header="0"/>
        </w:sectPr>
      </w:pPr>
    </w:p>
    <w:tbl>
      <w:tblPr>
        <w:tblLayout w:type="fixed"/>
        <w:tblInd w:w="980" w:type="dxa"/>
        <w:tblCellMar>
          <w:top w:w="0" w:type="dxa"/>
          <w:left w:w="0" w:type="dxa"/>
          <w:bottom w:w="0" w:type="dxa"/>
          <w:right w:w="0" w:type="dxa"/>
        </w:tblCellMar>
      </w:tblPr>
      <w:tr>
        <w:trPr>
          <w:trHeight w:val="184"/>
        </w:trPr>
        <w:tc>
          <w:tcPr>
            <w:tcW w:w="130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2040" w:type="dxa"/>
            <w:vAlign w:val="bottom"/>
          </w:tcPr>
          <w:p>
            <w:pPr>
              <w:spacing w:after="0"/>
              <w:rPr>
                <w:sz w:val="20"/>
                <w:szCs w:val="20"/>
                <w:color w:val="auto"/>
              </w:rPr>
            </w:pPr>
            <w:r>
              <w:rPr>
                <w:rFonts w:ascii="Arial" w:cs="Arial" w:eastAsia="Arial" w:hAnsi="Arial"/>
                <w:sz w:val="16"/>
                <w:szCs w:val="16"/>
                <w:b w:val="1"/>
                <w:bCs w:val="1"/>
                <w:color w:val="355675"/>
              </w:rPr>
              <w:t>Relative TSR</w:t>
            </w:r>
          </w:p>
        </w:tc>
        <w:tc>
          <w:tcPr>
            <w:tcW w:w="0" w:type="dxa"/>
            <w:vAlign w:val="bottom"/>
          </w:tcPr>
          <w:p>
            <w:pPr>
              <w:spacing w:after="0"/>
              <w:rPr>
                <w:sz w:val="1"/>
                <w:szCs w:val="1"/>
                <w:color w:val="auto"/>
              </w:rPr>
            </w:pPr>
          </w:p>
        </w:tc>
      </w:tr>
      <w:tr>
        <w:trPr>
          <w:trHeight w:val="239"/>
        </w:trPr>
        <w:tc>
          <w:tcPr>
            <w:tcW w:w="1300" w:type="dxa"/>
            <w:vAlign w:val="bottom"/>
            <w:vMerge w:val="restart"/>
          </w:tcPr>
          <w:p>
            <w:pPr>
              <w:spacing w:after="0"/>
              <w:rPr>
                <w:sz w:val="20"/>
                <w:szCs w:val="20"/>
                <w:color w:val="auto"/>
              </w:rPr>
            </w:pPr>
            <w:r>
              <w:rPr>
                <w:rFonts w:ascii="Arial" w:cs="Arial" w:eastAsia="Arial" w:hAnsi="Arial"/>
                <w:sz w:val="16"/>
                <w:szCs w:val="16"/>
                <w:b w:val="1"/>
                <w:bCs w:val="1"/>
                <w:color w:val="355675"/>
              </w:rPr>
              <w:t>Performance</w:t>
            </w:r>
          </w:p>
        </w:tc>
        <w:tc>
          <w:tcPr>
            <w:tcW w:w="2500" w:type="dxa"/>
            <w:vAlign w:val="bottom"/>
          </w:tcPr>
          <w:p>
            <w:pPr>
              <w:spacing w:after="0"/>
              <w:rPr>
                <w:sz w:val="20"/>
                <w:szCs w:val="20"/>
                <w:color w:val="auto"/>
              </w:rPr>
            </w:pPr>
          </w:p>
        </w:tc>
        <w:tc>
          <w:tcPr>
            <w:tcW w:w="2040" w:type="dxa"/>
            <w:vAlign w:val="bottom"/>
          </w:tcPr>
          <w:p>
            <w:pPr>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37"/>
        </w:trPr>
        <w:tc>
          <w:tcPr>
            <w:tcW w:w="1300" w:type="dxa"/>
            <w:vAlign w:val="bottom"/>
            <w:vMerge w:val="continue"/>
          </w:tcPr>
          <w:p>
            <w:pPr>
              <w:spacing w:after="0"/>
              <w:rPr>
                <w:sz w:val="3"/>
                <w:szCs w:val="3"/>
                <w:color w:val="auto"/>
              </w:rPr>
            </w:pPr>
          </w:p>
        </w:tc>
        <w:tc>
          <w:tcPr>
            <w:tcW w:w="2500" w:type="dxa"/>
            <w:vAlign w:val="bottom"/>
            <w:vMerge w:val="restart"/>
          </w:tcPr>
          <w:p>
            <w:pPr>
              <w:ind w:left="340"/>
              <w:spacing w:after="0"/>
              <w:rPr>
                <w:sz w:val="20"/>
                <w:szCs w:val="20"/>
                <w:color w:val="auto"/>
              </w:rPr>
            </w:pPr>
            <w:r>
              <w:rPr>
                <w:rFonts w:ascii="Arial" w:cs="Arial" w:eastAsia="Arial" w:hAnsi="Arial"/>
                <w:sz w:val="16"/>
                <w:szCs w:val="16"/>
                <w:b w:val="1"/>
                <w:bCs w:val="1"/>
                <w:color w:val="355675"/>
              </w:rPr>
              <w:t>3 years</w:t>
            </w:r>
          </w:p>
        </w:tc>
        <w:tc>
          <w:tcPr>
            <w:tcW w:w="2040" w:type="dxa"/>
            <w:vAlign w:val="bottom"/>
            <w:tcBorders>
              <w:bottom w:val="single" w:sz="8" w:color="939598"/>
            </w:tcBorders>
          </w:tcPr>
          <w:p>
            <w:pPr>
              <w:spacing w:after="0"/>
              <w:rPr>
                <w:sz w:val="3"/>
                <w:szCs w:val="3"/>
                <w:color w:val="auto"/>
              </w:rPr>
            </w:pPr>
          </w:p>
        </w:tc>
        <w:tc>
          <w:tcPr>
            <w:tcW w:w="0" w:type="dxa"/>
            <w:vAlign w:val="bottom"/>
          </w:tcPr>
          <w:p>
            <w:pPr>
              <w:spacing w:after="0"/>
              <w:rPr>
                <w:sz w:val="1"/>
                <w:szCs w:val="1"/>
                <w:color w:val="auto"/>
              </w:rPr>
            </w:pPr>
          </w:p>
        </w:tc>
      </w:tr>
      <w:tr>
        <w:trPr>
          <w:trHeight w:val="74"/>
        </w:trPr>
        <w:tc>
          <w:tcPr>
            <w:tcW w:w="1300" w:type="dxa"/>
            <w:vAlign w:val="bottom"/>
            <w:vMerge w:val="continue"/>
          </w:tcPr>
          <w:p>
            <w:pPr>
              <w:spacing w:after="0"/>
              <w:rPr>
                <w:sz w:val="6"/>
                <w:szCs w:val="6"/>
                <w:color w:val="auto"/>
              </w:rPr>
            </w:pPr>
          </w:p>
        </w:tc>
        <w:tc>
          <w:tcPr>
            <w:tcW w:w="2500" w:type="dxa"/>
            <w:vAlign w:val="bottom"/>
            <w:vMerge w:val="continue"/>
          </w:tcPr>
          <w:p>
            <w:pPr>
              <w:spacing w:after="0"/>
              <w:rPr>
                <w:sz w:val="6"/>
                <w:szCs w:val="6"/>
                <w:color w:val="auto"/>
              </w:rPr>
            </w:pPr>
          </w:p>
        </w:tc>
        <w:tc>
          <w:tcPr>
            <w:tcW w:w="2040" w:type="dxa"/>
            <w:vAlign w:val="bottom"/>
            <w:vMerge w:val="restart"/>
          </w:tcPr>
          <w:p>
            <w:pPr>
              <w:spacing w:after="0"/>
              <w:rPr>
                <w:sz w:val="20"/>
                <w:szCs w:val="20"/>
                <w:color w:val="auto"/>
              </w:rPr>
            </w:pPr>
            <w:r>
              <w:rPr>
                <w:rFonts w:ascii="Arial" w:cs="Arial" w:eastAsia="Arial" w:hAnsi="Arial"/>
                <w:sz w:val="16"/>
                <w:szCs w:val="16"/>
                <w:b w:val="1"/>
                <w:bCs w:val="1"/>
                <w:color w:val="355675"/>
              </w:rPr>
              <w:t>Relative Operational</w:t>
            </w:r>
          </w:p>
        </w:tc>
        <w:tc>
          <w:tcPr>
            <w:tcW w:w="0" w:type="dxa"/>
            <w:vAlign w:val="bottom"/>
          </w:tcPr>
          <w:p>
            <w:pPr>
              <w:spacing w:after="0"/>
              <w:rPr>
                <w:sz w:val="1"/>
                <w:szCs w:val="1"/>
                <w:color w:val="auto"/>
              </w:rPr>
            </w:pPr>
          </w:p>
        </w:tc>
      </w:tr>
      <w:tr>
        <w:trPr>
          <w:trHeight w:val="128"/>
        </w:trPr>
        <w:tc>
          <w:tcPr>
            <w:tcW w:w="1300" w:type="dxa"/>
            <w:vAlign w:val="bottom"/>
            <w:vMerge w:val="restart"/>
          </w:tcPr>
          <w:p>
            <w:pPr>
              <w:spacing w:after="0" w:line="178" w:lineRule="exact"/>
              <w:rPr>
                <w:sz w:val="20"/>
                <w:szCs w:val="20"/>
                <w:color w:val="auto"/>
              </w:rPr>
            </w:pPr>
            <w:r>
              <w:rPr>
                <w:rFonts w:ascii="Arial" w:cs="Arial" w:eastAsia="Arial" w:hAnsi="Arial"/>
                <w:sz w:val="16"/>
                <w:szCs w:val="16"/>
                <w:b w:val="1"/>
                <w:bCs w:val="1"/>
                <w:color w:val="355675"/>
              </w:rPr>
              <w:t xml:space="preserve">Shares </w:t>
            </w:r>
            <w:r>
              <w:rPr>
                <w:rFonts w:ascii="Arial" w:cs="Arial" w:eastAsia="Arial" w:hAnsi="Arial"/>
                <w:sz w:val="16"/>
                <w:szCs w:val="16"/>
                <w:color w:val="000000"/>
              </w:rPr>
              <w:t>70%</w:t>
            </w:r>
          </w:p>
        </w:tc>
        <w:tc>
          <w:tcPr>
            <w:tcW w:w="2500" w:type="dxa"/>
            <w:vAlign w:val="bottom"/>
            <w:vMerge w:val="continue"/>
          </w:tcPr>
          <w:p>
            <w:pPr>
              <w:spacing w:after="0"/>
              <w:rPr>
                <w:sz w:val="11"/>
                <w:szCs w:val="11"/>
                <w:color w:val="auto"/>
              </w:rPr>
            </w:pPr>
          </w:p>
        </w:tc>
        <w:tc>
          <w:tcPr>
            <w:tcW w:w="204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50"/>
        </w:trPr>
        <w:tc>
          <w:tcPr>
            <w:tcW w:w="1300" w:type="dxa"/>
            <w:vAlign w:val="bottom"/>
            <w:vMerge w:val="continue"/>
          </w:tcPr>
          <w:p>
            <w:pPr>
              <w:spacing w:after="0"/>
              <w:rPr>
                <w:sz w:val="4"/>
                <w:szCs w:val="4"/>
                <w:color w:val="auto"/>
              </w:rPr>
            </w:pPr>
          </w:p>
        </w:tc>
        <w:tc>
          <w:tcPr>
            <w:tcW w:w="2500" w:type="dxa"/>
            <w:vAlign w:val="bottom"/>
          </w:tcPr>
          <w:p>
            <w:pPr>
              <w:spacing w:after="0"/>
              <w:rPr>
                <w:sz w:val="4"/>
                <w:szCs w:val="4"/>
                <w:color w:val="auto"/>
              </w:rPr>
            </w:pPr>
          </w:p>
        </w:tc>
        <w:tc>
          <w:tcPr>
            <w:tcW w:w="20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ind w:left="4780"/>
        <w:spacing w:after="0"/>
        <w:rPr>
          <w:sz w:val="20"/>
          <w:szCs w:val="20"/>
          <w:color w:val="auto"/>
        </w:rPr>
      </w:pPr>
      <w:r>
        <w:rPr>
          <w:rFonts w:ascii="Arial" w:cs="Arial" w:eastAsia="Arial" w:hAnsi="Arial"/>
          <w:sz w:val="16"/>
          <w:szCs w:val="16"/>
          <w:b w:val="1"/>
          <w:bCs w:val="1"/>
          <w:color w:val="355675"/>
        </w:rPr>
        <w:t>Performance</w:t>
      </w:r>
    </w:p>
    <w:p>
      <w:pPr>
        <w:spacing w:after="0" w:line="5" w:lineRule="exact"/>
        <w:rPr>
          <w:sz w:val="20"/>
          <w:szCs w:val="20"/>
          <w:color w:val="auto"/>
        </w:rPr>
      </w:pPr>
    </w:p>
    <w:p>
      <w:pPr>
        <w:ind w:left="4780"/>
        <w:spacing w:after="0"/>
        <w:rPr>
          <w:sz w:val="20"/>
          <w:szCs w:val="20"/>
          <w:color w:val="auto"/>
        </w:rPr>
      </w:pPr>
      <w:r>
        <w:rPr>
          <w:rFonts w:ascii="Arial" w:cs="Arial" w:eastAsia="Arial" w:hAnsi="Arial"/>
          <w:sz w:val="16"/>
          <w:szCs w:val="16"/>
          <w:color w:val="auto"/>
        </w:rPr>
        <w:t>50%</w:t>
      </w:r>
    </w:p>
    <w:p>
      <w:pPr>
        <w:spacing w:after="0" w:line="20" w:lineRule="exact"/>
        <w:rPr>
          <w:sz w:val="20"/>
          <w:szCs w:val="20"/>
          <w:color w:val="auto"/>
        </w:rPr>
      </w:pPr>
      <w:r>
        <w:rPr>
          <w:sz w:val="20"/>
          <w:szCs w:val="20"/>
          <w:color w:val="auto"/>
        </w:rPr>
        <w:br w:type="column"/>
      </w:r>
    </w:p>
    <w:p>
      <w:pPr>
        <w:spacing w:after="0" w:line="250" w:lineRule="exact"/>
        <w:rPr>
          <w:sz w:val="20"/>
          <w:szCs w:val="20"/>
          <w:color w:val="auto"/>
        </w:rPr>
      </w:pPr>
    </w:p>
    <w:p>
      <w:pPr>
        <w:jc w:val="both"/>
        <w:ind w:right="480"/>
        <w:spacing w:after="0" w:line="266" w:lineRule="auto"/>
        <w:rPr>
          <w:sz w:val="20"/>
          <w:szCs w:val="20"/>
          <w:color w:val="auto"/>
        </w:rPr>
      </w:pPr>
      <w:r>
        <w:rPr>
          <w:rFonts w:ascii="Arial" w:cs="Arial" w:eastAsia="Arial" w:hAnsi="Arial"/>
          <w:sz w:val="16"/>
          <w:szCs w:val="16"/>
          <w:color w:val="auto"/>
        </w:rPr>
        <w:t>Relative measures incentivize sustained shareholder value creation and strong performance on operational benchmarks.</w:t>
      </w:r>
    </w:p>
    <w:p>
      <w:pPr>
        <w:spacing w:after="0" w:line="346" w:lineRule="exact"/>
        <w:rPr>
          <w:sz w:val="20"/>
          <w:szCs w:val="20"/>
          <w:color w:val="auto"/>
        </w:rPr>
      </w:pPr>
    </w:p>
    <w:p>
      <w:pPr>
        <w:sectPr>
          <w:pgSz w:w="11900" w:h="16838" w:orient="portrait"/>
          <w:cols w:equalWidth="0" w:num="2">
            <w:col w:w="6820" w:space="120"/>
            <w:col w:w="4320"/>
          </w:cols>
          <w:pgMar w:left="320" w:top="125" w:right="319" w:bottom="1440" w:gutter="0" w:footer="0" w:header="0"/>
          <w:type w:val="continuous"/>
        </w:sectPr>
      </w:pPr>
    </w:p>
    <w:tbl>
      <w:tblPr>
        <w:tblLayout w:type="fixed"/>
        <w:tblInd w:w="960" w:type="dxa"/>
        <w:tblCellMar>
          <w:top w:w="0" w:type="dxa"/>
          <w:left w:w="0" w:type="dxa"/>
          <w:bottom w:w="0" w:type="dxa"/>
          <w:right w:w="0" w:type="dxa"/>
        </w:tblCellMar>
      </w:tblPr>
      <w:tr>
        <w:trPr>
          <w:trHeight w:val="203"/>
        </w:trPr>
        <w:tc>
          <w:tcPr>
            <w:tcW w:w="1280" w:type="dxa"/>
            <w:vAlign w:val="bottom"/>
          </w:tcPr>
          <w:p>
            <w:pPr>
              <w:ind w:left="20"/>
              <w:spacing w:after="0"/>
              <w:rPr>
                <w:sz w:val="20"/>
                <w:szCs w:val="20"/>
                <w:color w:val="auto"/>
              </w:rPr>
            </w:pPr>
            <w:r>
              <w:rPr>
                <w:rFonts w:ascii="Arial" w:cs="Arial" w:eastAsia="Arial" w:hAnsi="Arial"/>
                <w:sz w:val="16"/>
                <w:szCs w:val="16"/>
                <w:b w:val="1"/>
                <w:bCs w:val="1"/>
                <w:color w:val="355675"/>
              </w:rPr>
              <w:t>Restricted</w:t>
            </w:r>
          </w:p>
        </w:tc>
        <w:tc>
          <w:tcPr>
            <w:tcW w:w="2060" w:type="dxa"/>
            <w:vAlign w:val="bottom"/>
            <w:vMerge w:val="restart"/>
          </w:tcPr>
          <w:p>
            <w:pPr>
              <w:ind w:left="380"/>
              <w:spacing w:after="0"/>
              <w:rPr>
                <w:sz w:val="20"/>
                <w:szCs w:val="20"/>
                <w:color w:val="auto"/>
              </w:rPr>
            </w:pPr>
            <w:r>
              <w:rPr>
                <w:rFonts w:ascii="Arial" w:cs="Arial" w:eastAsia="Arial" w:hAnsi="Arial"/>
                <w:sz w:val="16"/>
                <w:szCs w:val="16"/>
                <w:color w:val="auto"/>
              </w:rPr>
              <w:t>Vest ratably over</w:t>
            </w:r>
          </w:p>
        </w:tc>
        <w:tc>
          <w:tcPr>
            <w:tcW w:w="2000" w:type="dxa"/>
            <w:vAlign w:val="bottom"/>
          </w:tcPr>
          <w:p>
            <w:pPr>
              <w:spacing w:after="0"/>
              <w:rPr>
                <w:sz w:val="17"/>
                <w:szCs w:val="17"/>
                <w:color w:val="auto"/>
              </w:rPr>
            </w:pPr>
          </w:p>
        </w:tc>
        <w:tc>
          <w:tcPr>
            <w:tcW w:w="4760" w:type="dxa"/>
            <w:vAlign w:val="bottom"/>
          </w:tcPr>
          <w:p>
            <w:pPr>
              <w:ind w:left="640"/>
              <w:spacing w:after="0"/>
              <w:rPr>
                <w:sz w:val="20"/>
                <w:szCs w:val="20"/>
                <w:color w:val="auto"/>
              </w:rPr>
            </w:pPr>
            <w:r>
              <w:rPr>
                <w:rFonts w:ascii="Arial" w:cs="Arial" w:eastAsia="Arial" w:hAnsi="Arial"/>
                <w:sz w:val="16"/>
                <w:szCs w:val="16"/>
                <w:color w:val="auto"/>
              </w:rPr>
              <w:t>Encourages retention; value dependent upon share</w:t>
            </w:r>
          </w:p>
        </w:tc>
        <w:tc>
          <w:tcPr>
            <w:tcW w:w="0" w:type="dxa"/>
            <w:vAlign w:val="bottom"/>
          </w:tcPr>
          <w:p>
            <w:pPr>
              <w:spacing w:after="0"/>
              <w:rPr>
                <w:sz w:val="1"/>
                <w:szCs w:val="1"/>
                <w:color w:val="auto"/>
              </w:rPr>
            </w:pPr>
          </w:p>
        </w:tc>
      </w:tr>
      <w:tr>
        <w:trPr>
          <w:trHeight w:val="121"/>
        </w:trPr>
        <w:tc>
          <w:tcPr>
            <w:tcW w:w="1280" w:type="dxa"/>
            <w:vAlign w:val="bottom"/>
            <w:vMerge w:val="restart"/>
          </w:tcPr>
          <w:p>
            <w:pPr>
              <w:ind w:left="20"/>
              <w:spacing w:after="0"/>
              <w:rPr>
                <w:sz w:val="20"/>
                <w:szCs w:val="20"/>
                <w:color w:val="auto"/>
              </w:rPr>
            </w:pPr>
            <w:r>
              <w:rPr>
                <w:rFonts w:ascii="Arial" w:cs="Arial" w:eastAsia="Arial" w:hAnsi="Arial"/>
                <w:sz w:val="16"/>
                <w:szCs w:val="16"/>
                <w:b w:val="1"/>
                <w:bCs w:val="1"/>
                <w:color w:val="355675"/>
              </w:rPr>
              <w:t>Stock Units</w:t>
            </w:r>
          </w:p>
        </w:tc>
        <w:tc>
          <w:tcPr>
            <w:tcW w:w="2060" w:type="dxa"/>
            <w:vAlign w:val="bottom"/>
            <w:vMerge w:val="continue"/>
          </w:tcPr>
          <w:p>
            <w:pPr>
              <w:spacing w:after="0"/>
              <w:rPr>
                <w:sz w:val="10"/>
                <w:szCs w:val="10"/>
                <w:color w:val="auto"/>
              </w:rPr>
            </w:pPr>
          </w:p>
        </w:tc>
        <w:tc>
          <w:tcPr>
            <w:tcW w:w="2000" w:type="dxa"/>
            <w:vAlign w:val="bottom"/>
            <w:vMerge w:val="restart"/>
          </w:tcPr>
          <w:p>
            <w:pPr>
              <w:ind w:left="480"/>
              <w:spacing w:after="0"/>
              <w:rPr>
                <w:sz w:val="20"/>
                <w:szCs w:val="20"/>
                <w:color w:val="auto"/>
              </w:rPr>
            </w:pPr>
            <w:r>
              <w:rPr>
                <w:rFonts w:ascii="Arial" w:cs="Arial" w:eastAsia="Arial" w:hAnsi="Arial"/>
                <w:sz w:val="16"/>
                <w:szCs w:val="16"/>
                <w:b w:val="1"/>
                <w:bCs w:val="1"/>
                <w:color w:val="355675"/>
              </w:rPr>
              <w:t>Stock Price</w:t>
            </w:r>
          </w:p>
        </w:tc>
        <w:tc>
          <w:tcPr>
            <w:tcW w:w="4760" w:type="dxa"/>
            <w:vAlign w:val="bottom"/>
            <w:vMerge w:val="restart"/>
          </w:tcPr>
          <w:p>
            <w:pPr>
              <w:ind w:left="640"/>
              <w:spacing w:after="0"/>
              <w:rPr>
                <w:sz w:val="20"/>
                <w:szCs w:val="20"/>
                <w:color w:val="auto"/>
              </w:rPr>
            </w:pPr>
            <w:r>
              <w:rPr>
                <w:rFonts w:ascii="Arial" w:cs="Arial" w:eastAsia="Arial" w:hAnsi="Arial"/>
                <w:sz w:val="16"/>
                <w:szCs w:val="16"/>
                <w:color w:val="auto"/>
              </w:rPr>
              <w:t>price appreciation and four-year vesting to encourage</w:t>
            </w:r>
          </w:p>
        </w:tc>
        <w:tc>
          <w:tcPr>
            <w:tcW w:w="0" w:type="dxa"/>
            <w:vAlign w:val="bottom"/>
          </w:tcPr>
          <w:p>
            <w:pPr>
              <w:spacing w:after="0"/>
              <w:rPr>
                <w:sz w:val="1"/>
                <w:szCs w:val="1"/>
                <w:color w:val="auto"/>
              </w:rPr>
            </w:pPr>
          </w:p>
        </w:tc>
      </w:tr>
      <w:tr>
        <w:trPr>
          <w:trHeight w:val="68"/>
        </w:trPr>
        <w:tc>
          <w:tcPr>
            <w:tcW w:w="1280" w:type="dxa"/>
            <w:vAlign w:val="bottom"/>
            <w:vMerge w:val="continue"/>
          </w:tcPr>
          <w:p>
            <w:pPr>
              <w:spacing w:after="0"/>
              <w:rPr>
                <w:sz w:val="5"/>
                <w:szCs w:val="5"/>
                <w:color w:val="auto"/>
              </w:rPr>
            </w:pPr>
          </w:p>
        </w:tc>
        <w:tc>
          <w:tcPr>
            <w:tcW w:w="2060" w:type="dxa"/>
            <w:vAlign w:val="bottom"/>
            <w:vMerge w:val="restart"/>
          </w:tcPr>
          <w:p>
            <w:pPr>
              <w:ind w:left="380"/>
              <w:spacing w:after="0"/>
              <w:rPr>
                <w:sz w:val="20"/>
                <w:szCs w:val="20"/>
                <w:color w:val="auto"/>
              </w:rPr>
            </w:pPr>
            <w:r>
              <w:rPr>
                <w:rFonts w:ascii="Arial" w:cs="Arial" w:eastAsia="Arial" w:hAnsi="Arial"/>
                <w:sz w:val="16"/>
                <w:szCs w:val="16"/>
                <w:b w:val="1"/>
                <w:bCs w:val="1"/>
                <w:color w:val="355675"/>
              </w:rPr>
              <w:t>4 years</w:t>
            </w:r>
          </w:p>
        </w:tc>
        <w:tc>
          <w:tcPr>
            <w:tcW w:w="2000" w:type="dxa"/>
            <w:vAlign w:val="bottom"/>
            <w:vMerge w:val="continue"/>
          </w:tcPr>
          <w:p>
            <w:pPr>
              <w:spacing w:after="0"/>
              <w:rPr>
                <w:sz w:val="5"/>
                <w:szCs w:val="5"/>
                <w:color w:val="auto"/>
              </w:rPr>
            </w:pPr>
          </w:p>
        </w:tc>
        <w:tc>
          <w:tcPr>
            <w:tcW w:w="47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41"/>
        </w:trPr>
        <w:tc>
          <w:tcPr>
            <w:tcW w:w="1280" w:type="dxa"/>
            <w:vAlign w:val="bottom"/>
          </w:tcPr>
          <w:p>
            <w:pPr>
              <w:ind w:left="20"/>
              <w:spacing w:after="0"/>
              <w:rPr>
                <w:sz w:val="20"/>
                <w:szCs w:val="20"/>
                <w:color w:val="auto"/>
              </w:rPr>
            </w:pPr>
            <w:r>
              <w:rPr>
                <w:rFonts w:ascii="Arial" w:cs="Arial" w:eastAsia="Arial" w:hAnsi="Arial"/>
                <w:sz w:val="16"/>
                <w:szCs w:val="16"/>
                <w:color w:val="auto"/>
              </w:rPr>
              <w:t>30%</w:t>
            </w:r>
          </w:p>
        </w:tc>
        <w:tc>
          <w:tcPr>
            <w:tcW w:w="2060" w:type="dxa"/>
            <w:vAlign w:val="bottom"/>
            <w:vMerge w:val="continue"/>
          </w:tcPr>
          <w:p>
            <w:pPr>
              <w:spacing w:after="0"/>
              <w:rPr>
                <w:sz w:val="20"/>
                <w:szCs w:val="20"/>
                <w:color w:val="auto"/>
              </w:rPr>
            </w:pPr>
          </w:p>
        </w:tc>
        <w:tc>
          <w:tcPr>
            <w:tcW w:w="2000" w:type="dxa"/>
            <w:vAlign w:val="bottom"/>
          </w:tcPr>
          <w:p>
            <w:pPr>
              <w:spacing w:after="0"/>
              <w:rPr>
                <w:sz w:val="20"/>
                <w:szCs w:val="20"/>
                <w:color w:val="auto"/>
              </w:rPr>
            </w:pPr>
          </w:p>
        </w:tc>
        <w:tc>
          <w:tcPr>
            <w:tcW w:w="4760" w:type="dxa"/>
            <w:vAlign w:val="bottom"/>
          </w:tcPr>
          <w:p>
            <w:pPr>
              <w:ind w:left="640"/>
              <w:spacing w:after="0"/>
              <w:rPr>
                <w:sz w:val="20"/>
                <w:szCs w:val="20"/>
                <w:color w:val="auto"/>
              </w:rPr>
            </w:pPr>
            <w:r>
              <w:rPr>
                <w:rFonts w:ascii="Arial" w:cs="Arial" w:eastAsia="Arial" w:hAnsi="Arial"/>
                <w:sz w:val="16"/>
                <w:szCs w:val="16"/>
                <w:color w:val="auto"/>
              </w:rPr>
              <w:t>retention.</w:t>
            </w:r>
          </w:p>
        </w:tc>
        <w:tc>
          <w:tcPr>
            <w:tcW w:w="0" w:type="dxa"/>
            <w:vAlign w:val="bottom"/>
          </w:tcPr>
          <w:p>
            <w:pPr>
              <w:spacing w:after="0"/>
              <w:rPr>
                <w:sz w:val="1"/>
                <w:szCs w:val="1"/>
                <w:color w:val="auto"/>
              </w:rPr>
            </w:pPr>
          </w:p>
        </w:tc>
      </w:tr>
      <w:tr>
        <w:trPr>
          <w:trHeight w:val="97"/>
        </w:trPr>
        <w:tc>
          <w:tcPr>
            <w:tcW w:w="1280" w:type="dxa"/>
            <w:vAlign w:val="bottom"/>
            <w:tcBorders>
              <w:bottom w:val="single" w:sz="8" w:color="939598"/>
            </w:tcBorders>
          </w:tcPr>
          <w:p>
            <w:pPr>
              <w:spacing w:after="0"/>
              <w:rPr>
                <w:sz w:val="8"/>
                <w:szCs w:val="8"/>
                <w:color w:val="auto"/>
              </w:rPr>
            </w:pPr>
          </w:p>
        </w:tc>
        <w:tc>
          <w:tcPr>
            <w:tcW w:w="2060" w:type="dxa"/>
            <w:vAlign w:val="bottom"/>
            <w:tcBorders>
              <w:bottom w:val="single" w:sz="8" w:color="939598"/>
            </w:tcBorders>
          </w:tcPr>
          <w:p>
            <w:pPr>
              <w:spacing w:after="0"/>
              <w:rPr>
                <w:sz w:val="8"/>
                <w:szCs w:val="8"/>
                <w:color w:val="auto"/>
              </w:rPr>
            </w:pPr>
          </w:p>
        </w:tc>
        <w:tc>
          <w:tcPr>
            <w:tcW w:w="2000" w:type="dxa"/>
            <w:vAlign w:val="bottom"/>
            <w:tcBorders>
              <w:bottom w:val="single" w:sz="8" w:color="939598"/>
            </w:tcBorders>
          </w:tcPr>
          <w:p>
            <w:pPr>
              <w:spacing w:after="0"/>
              <w:rPr>
                <w:sz w:val="8"/>
                <w:szCs w:val="8"/>
                <w:color w:val="auto"/>
              </w:rPr>
            </w:pPr>
          </w:p>
        </w:tc>
        <w:tc>
          <w:tcPr>
            <w:tcW w:w="4760" w:type="dxa"/>
            <w:vAlign w:val="bottom"/>
            <w:tcBorders>
              <w:bottom w:val="single" w:sz="8" w:color="939598"/>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15" w:lineRule="exact"/>
        <w:rPr>
          <w:sz w:val="20"/>
          <w:szCs w:val="20"/>
          <w:color w:val="auto"/>
        </w:rPr>
      </w:pPr>
    </w:p>
    <w:p>
      <w:pPr>
        <w:ind w:left="980" w:right="240"/>
        <w:spacing w:after="0" w:line="286" w:lineRule="auto"/>
        <w:rPr>
          <w:sz w:val="20"/>
          <w:szCs w:val="20"/>
          <w:color w:val="auto"/>
        </w:rPr>
      </w:pPr>
      <w:r>
        <w:rPr>
          <w:rFonts w:ascii="Arial" w:cs="Arial" w:eastAsia="Arial" w:hAnsi="Arial"/>
          <w:sz w:val="16"/>
          <w:szCs w:val="16"/>
          <w:color w:val="auto"/>
        </w:rPr>
        <w:t>We provide benefits, including pension and deferred compensation programs, change of control agreements and limited perquisites, that are designed to attract and retain our executive talent.</w:t>
      </w:r>
    </w:p>
    <w:p>
      <w:pPr>
        <w:spacing w:after="0" w:line="372" w:lineRule="exact"/>
        <w:rPr>
          <w:sz w:val="20"/>
          <w:szCs w:val="20"/>
          <w:color w:val="auto"/>
        </w:rPr>
      </w:pPr>
    </w:p>
    <w:p>
      <w:pPr>
        <w:ind w:left="480" w:hanging="292"/>
        <w:spacing w:after="0"/>
        <w:tabs>
          <w:tab w:leader="none" w:pos="480" w:val="left"/>
        </w:tabs>
        <w:numPr>
          <w:ilvl w:val="0"/>
          <w:numId w:val="32"/>
        </w:numPr>
        <w:rPr>
          <w:rFonts w:ascii="Arial" w:cs="Arial" w:eastAsia="Arial" w:hAnsi="Arial"/>
          <w:sz w:val="24"/>
          <w:szCs w:val="24"/>
          <w:color w:val="auto"/>
          <w:vertAlign w:val="superscript"/>
        </w:rPr>
      </w:pPr>
      <w:r>
        <w:rPr>
          <w:rFonts w:ascii="Arial" w:cs="Arial" w:eastAsia="Arial" w:hAnsi="Arial"/>
          <w:sz w:val="14"/>
          <w:szCs w:val="14"/>
          <w:color w:val="auto"/>
        </w:rPr>
        <w:t>For additional details on our executive compensation program for our NEOs, see page 61 of this Proxy Statement.</w:t>
      </w:r>
    </w:p>
    <w:p>
      <w:pPr>
        <w:spacing w:after="0" w:line="29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19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28" w:name="page29"/>
    <w:bookmarkEnd w:id="2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149225</wp:posOffset>
            </wp:positionV>
            <wp:extent cx="7132320" cy="3437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32320" cy="3437255"/>
                    </a:xfrm>
                    <a:prstGeom prst="rect">
                      <a:avLst/>
                    </a:prstGeom>
                    <a:noFill/>
                  </pic:spPr>
                </pic:pic>
              </a:graphicData>
            </a:graphic>
          </wp:anchor>
        </w:drawing>
      </w:r>
    </w:p>
    <w:p>
      <w:pPr>
        <w:spacing w:after="0" w:line="200" w:lineRule="exact"/>
        <w:rPr>
          <w:sz w:val="20"/>
          <w:szCs w:val="20"/>
          <w:color w:val="auto"/>
        </w:rPr>
      </w:pPr>
    </w:p>
    <w:p>
      <w:pPr>
        <w:spacing w:after="0" w:line="388" w:lineRule="exact"/>
        <w:rPr>
          <w:sz w:val="20"/>
          <w:szCs w:val="20"/>
          <w:color w:val="auto"/>
        </w:rPr>
      </w:pPr>
    </w:p>
    <w:p>
      <w:pPr>
        <w:ind w:left="180"/>
        <w:spacing w:after="0"/>
        <w:rPr>
          <w:sz w:val="20"/>
          <w:szCs w:val="20"/>
          <w:color w:val="auto"/>
        </w:rPr>
      </w:pPr>
      <w:r>
        <w:rPr>
          <w:rFonts w:ascii="Arial" w:cs="Arial" w:eastAsia="Arial" w:hAnsi="Arial"/>
          <w:sz w:val="18"/>
          <w:szCs w:val="18"/>
          <w:b w:val="1"/>
          <w:bCs w:val="1"/>
          <w:color w:val="355675"/>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3206750</wp:posOffset>
            </wp:positionV>
            <wp:extent cx="1251585" cy="24003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251585" cy="240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bookmarkStart w:id="29" w:name="page30"/>
    <w:bookmarkEnd w:id="2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82" w:lineRule="exact"/>
        <w:rPr>
          <w:sz w:val="20"/>
          <w:szCs w:val="20"/>
          <w:color w:val="auto"/>
        </w:rPr>
      </w:pPr>
    </w:p>
    <w:p>
      <w:pPr>
        <w:ind w:right="1420"/>
        <w:spacing w:after="0" w:line="280" w:lineRule="auto"/>
        <w:rPr>
          <w:sz w:val="20"/>
          <w:szCs w:val="20"/>
          <w:color w:val="auto"/>
        </w:rPr>
      </w:pPr>
      <w:r>
        <w:rPr>
          <w:rFonts w:ascii="Arial" w:cs="Arial" w:eastAsia="Arial" w:hAnsi="Arial"/>
          <w:sz w:val="47"/>
          <w:szCs w:val="47"/>
          <w:b w:val="1"/>
          <w:bCs w:val="1"/>
          <w:color w:val="355675"/>
        </w:rPr>
        <w:t>Information About Our Board and 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-97790</wp:posOffset>
            </wp:positionV>
            <wp:extent cx="7132320" cy="514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pacing w:after="0" w:line="88" w:lineRule="exact"/>
        <w:rPr>
          <w:sz w:val="20"/>
          <w:szCs w:val="20"/>
          <w:color w:val="auto"/>
        </w:rPr>
      </w:pPr>
    </w:p>
    <w:p>
      <w:pPr>
        <w:spacing w:after="0"/>
        <w:rPr>
          <w:sz w:val="20"/>
          <w:szCs w:val="20"/>
          <w:color w:val="auto"/>
        </w:rPr>
      </w:pPr>
      <w:r>
        <w:rPr>
          <w:rFonts w:ascii="Arial" w:cs="Arial" w:eastAsia="Arial" w:hAnsi="Arial"/>
          <w:sz w:val="40"/>
          <w:szCs w:val="40"/>
          <w:b w:val="1"/>
          <w:bCs w:val="1"/>
          <w:color w:val="1C8EA0"/>
        </w:rPr>
        <w:t>Director Nomination Process</w:t>
      </w:r>
    </w:p>
    <w:p>
      <w:pPr>
        <w:spacing w:after="0" w:line="21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Director Qualifications</w:t>
      </w:r>
    </w:p>
    <w:p>
      <w:pPr>
        <w:spacing w:after="0" w:line="237" w:lineRule="exact"/>
        <w:rPr>
          <w:sz w:val="20"/>
          <w:szCs w:val="20"/>
          <w:color w:val="auto"/>
        </w:rPr>
      </w:pPr>
    </w:p>
    <w:p>
      <w:pPr>
        <w:ind w:right="160"/>
        <w:spacing w:after="0" w:line="266" w:lineRule="auto"/>
        <w:rPr>
          <w:sz w:val="20"/>
          <w:szCs w:val="20"/>
          <w:color w:val="auto"/>
        </w:rPr>
      </w:pPr>
      <w:r>
        <w:rPr>
          <w:rFonts w:ascii="Arial" w:cs="Arial" w:eastAsia="Arial" w:hAnsi="Arial"/>
          <w:sz w:val="17"/>
          <w:szCs w:val="17"/>
          <w:color w:val="auto"/>
        </w:rPr>
        <w:t>The Bylaws and the Corporate Governance Guidelines contain Board membership criteria that apply to nominees recommended for a position on the Board. Under the Bylaws, a director must be a shareholder of the Company. The Corporate Governance and Public Responsibility Committee is responsible for identifying and recommending to the Board individuals qualified to become directors. The Board believes that its membership should be composed of a combination of knowledge, skills, and experience in the areas discussed below.</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color w:val="939598"/>
        </w:rPr>
        <w:t>SKILLS AND EXPERIENCE POSSESSED BY OUR BOARD AS A GROUP</w:t>
      </w:r>
    </w:p>
    <w:p>
      <w:pPr>
        <w:sectPr>
          <w:pgSz w:w="11900" w:h="16838" w:orient="portrait"/>
          <w:cols w:equalWidth="0" w:num="1">
            <w:col w:w="11260"/>
          </w:cols>
          <w:pgMar w:left="320" w:top="125" w:right="319" w:bottom="1440" w:gutter="0" w:footer="0" w:header="0"/>
        </w:sectPr>
      </w:pP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FINANCE AND ACCOUNTING</w:t>
      </w:r>
    </w:p>
    <w:p>
      <w:pPr>
        <w:spacing w:after="0" w:line="95" w:lineRule="exact"/>
        <w:rPr>
          <w:sz w:val="20"/>
          <w:szCs w:val="20"/>
          <w:color w:val="auto"/>
        </w:rPr>
      </w:pPr>
    </w:p>
    <w:p>
      <w:pPr>
        <w:ind w:right="100"/>
        <w:spacing w:after="0" w:line="256" w:lineRule="auto"/>
        <w:rPr>
          <w:sz w:val="20"/>
          <w:szCs w:val="20"/>
          <w:color w:val="auto"/>
        </w:rPr>
      </w:pPr>
      <w:r>
        <w:rPr>
          <w:rFonts w:ascii="Arial" w:cs="Arial" w:eastAsia="Arial" w:hAnsi="Arial"/>
          <w:sz w:val="16"/>
          <w:szCs w:val="16"/>
          <w:color w:val="auto"/>
        </w:rPr>
        <w:t>As a publicly traded company subject to the rules of the Securities and Exchange Commission (“SEC”) and the New York Stock Exchange (“NYSE”), and because we operate in a complex financial environment and are regulated by multiple regulators, we require strong financial, accounting and capital allocation skills and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97155</wp:posOffset>
            </wp:positionV>
            <wp:extent cx="3025775" cy="7112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3025775" cy="711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BUSINESS OPERATIONS AND STRATEGY</w:t>
      </w:r>
    </w:p>
    <w:p>
      <w:pPr>
        <w:spacing w:after="0" w:line="189" w:lineRule="exact"/>
        <w:rPr>
          <w:sz w:val="20"/>
          <w:szCs w:val="20"/>
          <w:color w:val="auto"/>
        </w:rPr>
      </w:pPr>
    </w:p>
    <w:p>
      <w:pPr>
        <w:spacing w:after="0" w:line="254" w:lineRule="auto"/>
        <w:rPr>
          <w:sz w:val="20"/>
          <w:szCs w:val="20"/>
          <w:color w:val="auto"/>
        </w:rPr>
      </w:pPr>
      <w:r>
        <w:rPr>
          <w:rFonts w:ascii="Arial" w:cs="Arial" w:eastAsia="Arial" w:hAnsi="Arial"/>
          <w:sz w:val="16"/>
          <w:szCs w:val="16"/>
          <w:color w:val="auto"/>
        </w:rPr>
        <w:t>As a large organization with complex operations, our Board must have a comprehensive combination of skills and experience in business operations and strategy in order to guide the development of our near- and long-term operational and strategic goals, and making sure they are sustainable, which requires knowledge about the Company, our business environment and our customers’ perspectives.</w:t>
      </w:r>
    </w:p>
    <w:p>
      <w:pPr>
        <w:spacing w:after="0" w:line="20" w:lineRule="exact"/>
        <w:rPr>
          <w:sz w:val="20"/>
          <w:szCs w:val="20"/>
          <w:color w:val="auto"/>
        </w:rPr>
      </w:pPr>
      <w:r>
        <w:rPr>
          <w:sz w:val="20"/>
          <w:szCs w:val="20"/>
          <w:color w:val="auto"/>
        </w:rPr>
        <w:br w:type="column"/>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LARGE ORGANIZATIONAL LEADERSHIP</w:t>
      </w:r>
    </w:p>
    <w:p>
      <w:pPr>
        <w:spacing w:after="0" w:line="95" w:lineRule="exact"/>
        <w:rPr>
          <w:sz w:val="20"/>
          <w:szCs w:val="20"/>
          <w:color w:val="auto"/>
        </w:rPr>
      </w:pPr>
    </w:p>
    <w:p>
      <w:pPr>
        <w:ind w:right="80"/>
        <w:spacing w:after="0" w:line="254" w:lineRule="auto"/>
        <w:rPr>
          <w:sz w:val="20"/>
          <w:szCs w:val="20"/>
          <w:color w:val="auto"/>
        </w:rPr>
      </w:pPr>
      <w:r>
        <w:rPr>
          <w:rFonts w:ascii="Arial" w:cs="Arial" w:eastAsia="Arial" w:hAnsi="Arial"/>
          <w:sz w:val="16"/>
          <w:szCs w:val="16"/>
          <w:color w:val="auto"/>
        </w:rPr>
        <w:t>Leadership experience in a large organization, at both the management and director level, provides directors with the ability to effectively oversee management in setting, implementing and evaluating the Company’s strategic objectives for long-term sustainability as well as providing invaluable experience in developing, implementing and maintaining the policies and practices for managing an effective workforce.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98425</wp:posOffset>
            </wp:positionV>
            <wp:extent cx="3043555" cy="5911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3043555" cy="591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THE COMPANY’S INDUSTRY</w:t>
      </w:r>
    </w:p>
    <w:p>
      <w:pPr>
        <w:spacing w:after="0" w:line="189" w:lineRule="exact"/>
        <w:rPr>
          <w:sz w:val="20"/>
          <w:szCs w:val="20"/>
          <w:color w:val="auto"/>
        </w:rPr>
      </w:pPr>
    </w:p>
    <w:p>
      <w:pPr>
        <w:ind w:right="40"/>
        <w:spacing w:after="0" w:line="266" w:lineRule="auto"/>
        <w:rPr>
          <w:sz w:val="20"/>
          <w:szCs w:val="20"/>
          <w:color w:val="auto"/>
        </w:rPr>
      </w:pPr>
      <w:r>
        <w:rPr>
          <w:rFonts w:ascii="Arial" w:cs="Arial" w:eastAsia="Arial" w:hAnsi="Arial"/>
          <w:sz w:val="16"/>
          <w:szCs w:val="16"/>
          <w:color w:val="auto"/>
        </w:rPr>
        <w:t>Possessing an understanding of both the utility industry and the nuclear industry is important to understanding the challenges we face as we develop and implement our business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31750</wp:posOffset>
            </wp:positionV>
            <wp:extent cx="3017520" cy="25717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3017520" cy="257175"/>
                    </a:xfrm>
                    <a:prstGeom prst="rect">
                      <a:avLst/>
                    </a:prstGeom>
                    <a:noFill/>
                  </pic:spPr>
                </pic:pic>
              </a:graphicData>
            </a:graphic>
          </wp:anchor>
        </w:drawing>
      </w:r>
    </w:p>
    <w:p>
      <w:pPr>
        <w:spacing w:after="0" w:line="625" w:lineRule="exact"/>
        <w:rPr>
          <w:sz w:val="20"/>
          <w:szCs w:val="20"/>
          <w:color w:val="auto"/>
        </w:rPr>
      </w:pPr>
    </w:p>
    <w:p>
      <w:pPr>
        <w:sectPr>
          <w:pgSz w:w="11900" w:h="16838" w:orient="portrait"/>
          <w:cols w:equalWidth="0" w:num="2">
            <w:col w:w="5500" w:space="240"/>
            <w:col w:w="5520"/>
          </w:cols>
          <w:pgMar w:left="320" w:top="125" w:right="319" w:bottom="1440" w:gutter="0" w:footer="0" w:header="0"/>
          <w:type w:val="continuous"/>
        </w:sectPr>
      </w:pPr>
    </w:p>
    <w:p>
      <w:pPr>
        <w:ind w:left="5740"/>
        <w:spacing w:after="0"/>
        <w:rPr>
          <w:sz w:val="20"/>
          <w:szCs w:val="20"/>
          <w:color w:val="auto"/>
        </w:rPr>
      </w:pPr>
      <w:r>
        <w:rPr>
          <w:rFonts w:ascii="Arial" w:cs="Arial" w:eastAsia="Arial" w:hAnsi="Arial"/>
          <w:sz w:val="18"/>
          <w:szCs w:val="18"/>
          <w:b w:val="1"/>
          <w:bCs w:val="1"/>
          <w:color w:val="355675"/>
        </w:rPr>
        <w:t>PUBLIC POLICY AND REGULATORY COMPLIANCE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-76200</wp:posOffset>
            </wp:positionV>
            <wp:extent cx="3042920" cy="11398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3042920" cy="1139825"/>
                    </a:xfrm>
                    <a:prstGeom prst="rect">
                      <a:avLst/>
                    </a:prstGeom>
                    <a:noFill/>
                  </pic:spPr>
                </pic:pic>
              </a:graphicData>
            </a:graphic>
          </wp:anchor>
        </w:drawing>
      </w:r>
    </w:p>
    <w:p>
      <w:pPr>
        <w:spacing w:after="0" w:line="156" w:lineRule="exact"/>
        <w:rPr>
          <w:sz w:val="20"/>
          <w:szCs w:val="20"/>
          <w:color w:val="auto"/>
        </w:rPr>
      </w:pPr>
    </w:p>
    <w:p>
      <w:pPr>
        <w:jc w:val="both"/>
        <w:ind w:left="5740" w:right="40"/>
        <w:spacing w:after="0" w:line="266" w:lineRule="auto"/>
        <w:rPr>
          <w:sz w:val="20"/>
          <w:szCs w:val="20"/>
          <w:color w:val="auto"/>
        </w:rPr>
      </w:pPr>
      <w:r>
        <w:rPr>
          <w:rFonts w:ascii="Arial" w:cs="Arial" w:eastAsia="Arial" w:hAnsi="Arial"/>
          <w:sz w:val="16"/>
          <w:szCs w:val="16"/>
          <w:color w:val="auto"/>
        </w:rPr>
        <w:t>Operating in the heavily regulated utility industry, we are directly affected by public policy and the actions of various federal, state and local governmental agencies.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3648075</wp:posOffset>
            </wp:positionH>
            <wp:positionV relativeFrom="paragraph">
              <wp:posOffset>40640</wp:posOffset>
            </wp:positionV>
            <wp:extent cx="1714500" cy="26606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714500" cy="266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5740"/>
        <w:spacing w:after="0"/>
        <w:rPr>
          <w:sz w:val="20"/>
          <w:szCs w:val="20"/>
          <w:color w:val="auto"/>
        </w:rPr>
      </w:pPr>
      <w:r>
        <w:rPr>
          <w:rFonts w:ascii="Arial" w:cs="Arial" w:eastAsia="Arial" w:hAnsi="Arial"/>
          <w:sz w:val="18"/>
          <w:szCs w:val="18"/>
          <w:b w:val="1"/>
          <w:bCs w:val="1"/>
          <w:color w:val="355675"/>
        </w:rPr>
        <w:t>RISK OVERSIGHT AND RISK MANAGEMENT</w:t>
      </w:r>
    </w:p>
    <w:p>
      <w:pPr>
        <w:spacing w:after="0" w:line="176" w:lineRule="exact"/>
        <w:rPr>
          <w:sz w:val="20"/>
          <w:szCs w:val="20"/>
          <w:color w:val="auto"/>
        </w:rPr>
      </w:pPr>
    </w:p>
    <w:p>
      <w:pPr>
        <w:ind w:left="5740"/>
        <w:spacing w:after="0"/>
        <w:rPr>
          <w:sz w:val="20"/>
          <w:szCs w:val="20"/>
          <w:color w:val="auto"/>
        </w:rPr>
      </w:pPr>
      <w:r>
        <w:rPr>
          <w:rFonts w:ascii="Arial" w:cs="Arial" w:eastAsia="Arial" w:hAnsi="Arial"/>
          <w:sz w:val="16"/>
          <w:szCs w:val="16"/>
          <w:color w:val="auto"/>
        </w:rPr>
        <w:t>Operations in our industry require the development of policies and</w:t>
      </w:r>
    </w:p>
    <w:p>
      <w:pPr>
        <w:spacing w:after="0" w:line="21" w:lineRule="exact"/>
        <w:rPr>
          <w:sz w:val="20"/>
          <w:szCs w:val="20"/>
          <w:color w:val="auto"/>
        </w:rPr>
      </w:pPr>
    </w:p>
    <w:p>
      <w:pPr>
        <w:ind w:left="5740"/>
        <w:spacing w:after="0"/>
        <w:rPr>
          <w:sz w:val="20"/>
          <w:szCs w:val="20"/>
          <w:color w:val="auto"/>
        </w:rPr>
      </w:pPr>
      <w:r>
        <w:rPr>
          <w:rFonts w:ascii="Arial" w:cs="Arial" w:eastAsia="Arial" w:hAnsi="Arial"/>
          <w:sz w:val="16"/>
          <w:szCs w:val="16"/>
          <w:color w:val="auto"/>
        </w:rPr>
        <w:t>procedures that allow for the oversight of and effectively manage risk.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3648075</wp:posOffset>
            </wp:positionH>
            <wp:positionV relativeFrom="paragraph">
              <wp:posOffset>62230</wp:posOffset>
            </wp:positionV>
            <wp:extent cx="1739900" cy="257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739900" cy="257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21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30" w:name="page31"/>
    <w:bookmarkEnd w:id="3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12" w:lineRule="exact"/>
        <w:rPr>
          <w:sz w:val="20"/>
          <w:szCs w:val="20"/>
          <w:color w:val="auto"/>
        </w:rPr>
      </w:pPr>
    </w:p>
    <w:p>
      <w:pPr>
        <w:ind w:right="120"/>
        <w:spacing w:after="0" w:line="253" w:lineRule="auto"/>
        <w:rPr>
          <w:sz w:val="20"/>
          <w:szCs w:val="20"/>
          <w:color w:val="auto"/>
        </w:rPr>
      </w:pPr>
      <w:r>
        <w:rPr>
          <w:rFonts w:ascii="Arial" w:cs="Arial" w:eastAsia="Arial" w:hAnsi="Arial"/>
          <w:sz w:val="18"/>
          <w:szCs w:val="18"/>
          <w:color w:val="auto"/>
        </w:rPr>
        <w:t>The Board believes that diversity, utilizing a broad meaning that includes race, gender, background, ethnicity, accomplishments, and other traits, is an important consideration in selecting candidates. We require our outside director search firm to make diversity a focal point of any of our searches, with an emphasis on women candidates. Additionally, each director should possess the following core characteristics: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119380</wp:posOffset>
            </wp:positionV>
            <wp:extent cx="7132320"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32320" cy="26035"/>
                    </a:xfrm>
                    <a:prstGeom prst="rect">
                      <a:avLst/>
                    </a:prstGeom>
                    <a:noFill/>
                  </pic:spPr>
                </pic:pic>
              </a:graphicData>
            </a:graphic>
          </wp:anchor>
        </w:drawing>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High Standards</w:t>
            </w: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We look for individuals that set high standards and expectations for themselves and others and the</w:t>
            </w:r>
          </w:p>
        </w:tc>
        <w:tc>
          <w:tcPr>
            <w:tcW w:w="20" w:type="dxa"/>
            <w:vAlign w:val="bottom"/>
          </w:tcPr>
          <w:p>
            <w:pPr>
              <w:spacing w:after="0"/>
              <w:rPr>
                <w:sz w:val="16"/>
                <w:szCs w:val="16"/>
                <w:color w:val="auto"/>
              </w:rPr>
            </w:pPr>
          </w:p>
        </w:tc>
      </w:tr>
      <w:tr>
        <w:trPr>
          <w:trHeight w:val="203"/>
        </w:trPr>
        <w:tc>
          <w:tcPr>
            <w:tcW w:w="2820" w:type="dxa"/>
            <w:vAlign w:val="bottom"/>
            <w:tcBorders>
              <w:bottom w:val="single" w:sz="8" w:color="939598"/>
            </w:tcBorders>
          </w:tcPr>
          <w:p>
            <w:pPr>
              <w:spacing w:after="0"/>
              <w:rPr>
                <w:sz w:val="17"/>
                <w:szCs w:val="17"/>
                <w:color w:val="auto"/>
              </w:rPr>
            </w:pPr>
          </w:p>
        </w:tc>
        <w:tc>
          <w:tcPr>
            <w:tcW w:w="8420" w:type="dxa"/>
            <w:vAlign w:val="bottom"/>
            <w:tcBorders>
              <w:bottom w:val="single" w:sz="8" w:color="939598"/>
            </w:tcBorders>
            <w:gridSpan w:val="2"/>
          </w:tcPr>
          <w:p>
            <w:pPr>
              <w:ind w:left="220"/>
              <w:spacing w:after="0"/>
              <w:rPr>
                <w:sz w:val="20"/>
                <w:szCs w:val="20"/>
                <w:color w:val="auto"/>
              </w:rPr>
            </w:pPr>
            <w:r>
              <w:rPr>
                <w:rFonts w:ascii="Arial" w:cs="Arial" w:eastAsia="Arial" w:hAnsi="Arial"/>
                <w:sz w:val="16"/>
                <w:szCs w:val="16"/>
                <w:color w:val="auto"/>
              </w:rPr>
              <w:t>accomplishment of those standards and expectations.</w:t>
            </w:r>
          </w:p>
        </w:tc>
        <w:tc>
          <w:tcPr>
            <w:tcW w:w="20" w:type="dxa"/>
            <w:vAlign w:val="bottom"/>
          </w:tcPr>
          <w:p>
            <w:pPr>
              <w:spacing w:after="0"/>
              <w:rPr>
                <w:sz w:val="17"/>
                <w:szCs w:val="17"/>
                <w:color w:val="auto"/>
              </w:rPr>
            </w:pP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Informed Judgment</w:t>
            </w: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Directors should be thoughtful in their deliberations. We look for individuals who demonstrate intelligence, wisdom</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and thoughtfulness in decision-making. Their decision-making process should include a willingness to thoroughly</w:t>
            </w:r>
          </w:p>
        </w:tc>
        <w:tc>
          <w:tcPr>
            <w:tcW w:w="20" w:type="dxa"/>
            <w:vAlign w:val="bottom"/>
          </w:tcPr>
          <w:p>
            <w:pPr>
              <w:spacing w:after="0"/>
              <w:rPr>
                <w:sz w:val="16"/>
                <w:szCs w:val="16"/>
                <w:color w:val="auto"/>
              </w:rPr>
            </w:pPr>
          </w:p>
        </w:tc>
      </w:tr>
      <w:tr>
        <w:trPr>
          <w:trHeight w:val="203"/>
        </w:trPr>
        <w:tc>
          <w:tcPr>
            <w:tcW w:w="2820" w:type="dxa"/>
            <w:vAlign w:val="bottom"/>
            <w:tcBorders>
              <w:bottom w:val="single" w:sz="8" w:color="939598"/>
            </w:tcBorders>
          </w:tcPr>
          <w:p>
            <w:pPr>
              <w:spacing w:after="0"/>
              <w:rPr>
                <w:sz w:val="17"/>
                <w:szCs w:val="17"/>
                <w:color w:val="auto"/>
              </w:rPr>
            </w:pPr>
          </w:p>
        </w:tc>
        <w:tc>
          <w:tcPr>
            <w:tcW w:w="8420" w:type="dxa"/>
            <w:vAlign w:val="bottom"/>
            <w:tcBorders>
              <w:bottom w:val="single" w:sz="8" w:color="939598"/>
            </w:tcBorders>
            <w:gridSpan w:val="2"/>
          </w:tcPr>
          <w:p>
            <w:pPr>
              <w:ind w:left="220"/>
              <w:spacing w:after="0"/>
              <w:rPr>
                <w:sz w:val="20"/>
                <w:szCs w:val="20"/>
                <w:color w:val="auto"/>
              </w:rPr>
            </w:pPr>
            <w:r>
              <w:rPr>
                <w:rFonts w:ascii="Arial" w:cs="Arial" w:eastAsia="Arial" w:hAnsi="Arial"/>
                <w:sz w:val="16"/>
                <w:szCs w:val="16"/>
                <w:color w:val="auto"/>
              </w:rPr>
              <w:t>discuss issues, ask questions, express reservations and voice dissent.</w:t>
            </w:r>
          </w:p>
        </w:tc>
        <w:tc>
          <w:tcPr>
            <w:tcW w:w="20" w:type="dxa"/>
            <w:vAlign w:val="bottom"/>
          </w:tcPr>
          <w:p>
            <w:pPr>
              <w:spacing w:after="0"/>
              <w:rPr>
                <w:sz w:val="17"/>
                <w:szCs w:val="17"/>
                <w:color w:val="auto"/>
              </w:rPr>
            </w:pP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Integrity and Accountability</w:t>
            </w: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Directors should act with integrity. We look for individuals who have integrity and strength of character in their</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personal and professional dealings. Our Directors should be prepared to be, and are, held accountable for their</w:t>
            </w:r>
          </w:p>
        </w:tc>
        <w:tc>
          <w:tcPr>
            <w:tcW w:w="20" w:type="dxa"/>
            <w:vAlign w:val="bottom"/>
          </w:tcPr>
          <w:p>
            <w:pPr>
              <w:spacing w:after="0"/>
              <w:rPr>
                <w:sz w:val="16"/>
                <w:szCs w:val="16"/>
                <w:color w:val="auto"/>
              </w:rPr>
            </w:pPr>
          </w:p>
        </w:tc>
      </w:tr>
      <w:tr>
        <w:trPr>
          <w:trHeight w:val="203"/>
        </w:trPr>
        <w:tc>
          <w:tcPr>
            <w:tcW w:w="2820" w:type="dxa"/>
            <w:vAlign w:val="bottom"/>
            <w:tcBorders>
              <w:bottom w:val="single" w:sz="8" w:color="939598"/>
            </w:tcBorders>
          </w:tcPr>
          <w:p>
            <w:pPr>
              <w:spacing w:after="0"/>
              <w:rPr>
                <w:sz w:val="17"/>
                <w:szCs w:val="17"/>
                <w:color w:val="auto"/>
              </w:rPr>
            </w:pPr>
          </w:p>
        </w:tc>
        <w:tc>
          <w:tcPr>
            <w:tcW w:w="8420" w:type="dxa"/>
            <w:vAlign w:val="bottom"/>
            <w:tcBorders>
              <w:bottom w:val="single" w:sz="8" w:color="939598"/>
            </w:tcBorders>
            <w:gridSpan w:val="2"/>
          </w:tcPr>
          <w:p>
            <w:pPr>
              <w:ind w:left="220"/>
              <w:spacing w:after="0"/>
              <w:rPr>
                <w:sz w:val="20"/>
                <w:szCs w:val="20"/>
                <w:color w:val="auto"/>
              </w:rPr>
            </w:pPr>
            <w:r>
              <w:rPr>
                <w:rFonts w:ascii="Arial" w:cs="Arial" w:eastAsia="Arial" w:hAnsi="Arial"/>
                <w:sz w:val="16"/>
                <w:szCs w:val="16"/>
                <w:color w:val="auto"/>
              </w:rPr>
              <w:t>decisions.</w:t>
            </w:r>
          </w:p>
        </w:tc>
        <w:tc>
          <w:tcPr>
            <w:tcW w:w="20" w:type="dxa"/>
            <w:vAlign w:val="bottom"/>
          </w:tcPr>
          <w:p>
            <w:pPr>
              <w:spacing w:after="0"/>
              <w:rPr>
                <w:sz w:val="17"/>
                <w:szCs w:val="17"/>
                <w:color w:val="auto"/>
              </w:rPr>
            </w:pP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Time and Effort</w:t>
            </w: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Directors should spend the necessary time to properly discharge their responsibilities as directors, including</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reviewing written materials provided to the Board or committee in advance of Board or committee meetings.</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Directors are expected to be present at all Board meetings, the Annual Meeting of Shareholders, and meetings of</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committees on which they serve. We also expect our Directors to make themselves accessible to management</w:t>
            </w:r>
          </w:p>
        </w:tc>
        <w:tc>
          <w:tcPr>
            <w:tcW w:w="20" w:type="dxa"/>
            <w:vAlign w:val="bottom"/>
          </w:tcPr>
          <w:p>
            <w:pPr>
              <w:spacing w:after="0"/>
              <w:rPr>
                <w:sz w:val="16"/>
                <w:szCs w:val="16"/>
                <w:color w:val="auto"/>
              </w:rPr>
            </w:pPr>
          </w:p>
        </w:tc>
      </w:tr>
      <w:tr>
        <w:trPr>
          <w:trHeight w:val="203"/>
        </w:trPr>
        <w:tc>
          <w:tcPr>
            <w:tcW w:w="2820" w:type="dxa"/>
            <w:vAlign w:val="bottom"/>
            <w:tcBorders>
              <w:bottom w:val="single" w:sz="8" w:color="939598"/>
            </w:tcBorders>
          </w:tcPr>
          <w:p>
            <w:pPr>
              <w:spacing w:after="0"/>
              <w:rPr>
                <w:sz w:val="17"/>
                <w:szCs w:val="17"/>
                <w:color w:val="auto"/>
              </w:rPr>
            </w:pPr>
          </w:p>
        </w:tc>
        <w:tc>
          <w:tcPr>
            <w:tcW w:w="8420" w:type="dxa"/>
            <w:vAlign w:val="bottom"/>
            <w:tcBorders>
              <w:bottom w:val="single" w:sz="8" w:color="939598"/>
            </w:tcBorders>
            <w:gridSpan w:val="2"/>
          </w:tcPr>
          <w:p>
            <w:pPr>
              <w:ind w:left="220"/>
              <w:spacing w:after="0"/>
              <w:rPr>
                <w:sz w:val="20"/>
                <w:szCs w:val="20"/>
                <w:color w:val="auto"/>
              </w:rPr>
            </w:pPr>
            <w:r>
              <w:rPr>
                <w:rFonts w:ascii="Arial" w:cs="Arial" w:eastAsia="Arial" w:hAnsi="Arial"/>
                <w:sz w:val="16"/>
                <w:szCs w:val="16"/>
                <w:color w:val="auto"/>
              </w:rPr>
              <w:t>upon request.</w:t>
            </w:r>
          </w:p>
        </w:tc>
        <w:tc>
          <w:tcPr>
            <w:tcW w:w="20" w:type="dxa"/>
            <w:vAlign w:val="bottom"/>
          </w:tcPr>
          <w:p>
            <w:pPr>
              <w:spacing w:after="0"/>
              <w:rPr>
                <w:sz w:val="17"/>
                <w:szCs w:val="17"/>
                <w:color w:val="auto"/>
              </w:rPr>
            </w:pP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Other Commitments</w:t>
            </w: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We expect our Directors to monitor their other commitments to ensure that these other commitments do not</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impact their service to our Company. Directors may not serve on more than three other boards of public</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companies in addition to the Pinnacle West Board without the prior approval of the Corporate Governance and</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Public Responsibility Committee. A director may not serve as a member of the Audit Committee if he or she</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serves on the audit committees of more than three public companies (including the Company) unless the Board</w:t>
            </w:r>
          </w:p>
        </w:tc>
        <w:tc>
          <w:tcPr>
            <w:tcW w:w="20" w:type="dxa"/>
            <w:vAlign w:val="bottom"/>
          </w:tcPr>
          <w:p>
            <w:pPr>
              <w:spacing w:after="0"/>
              <w:rPr>
                <w:sz w:val="16"/>
                <w:szCs w:val="16"/>
                <w:color w:val="auto"/>
              </w:rPr>
            </w:pPr>
          </w:p>
        </w:tc>
      </w:tr>
      <w:tr>
        <w:trPr>
          <w:trHeight w:val="189"/>
        </w:trPr>
        <w:tc>
          <w:tcPr>
            <w:tcW w:w="2820" w:type="dxa"/>
            <w:vAlign w:val="bottom"/>
          </w:tcPr>
          <w:p>
            <w:pPr>
              <w:spacing w:after="0"/>
              <w:rPr>
                <w:sz w:val="16"/>
                <w:szCs w:val="16"/>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determines that such simultaneous service would not impair the ability of such member to effectively serve on the</w:t>
            </w:r>
          </w:p>
        </w:tc>
        <w:tc>
          <w:tcPr>
            <w:tcW w:w="20" w:type="dxa"/>
            <w:vAlign w:val="bottom"/>
          </w:tcPr>
          <w:p>
            <w:pPr>
              <w:spacing w:after="0"/>
              <w:rPr>
                <w:sz w:val="16"/>
                <w:szCs w:val="16"/>
                <w:color w:val="auto"/>
              </w:rPr>
            </w:pPr>
          </w:p>
        </w:tc>
      </w:tr>
      <w:tr>
        <w:trPr>
          <w:trHeight w:val="203"/>
        </w:trPr>
        <w:tc>
          <w:tcPr>
            <w:tcW w:w="2820" w:type="dxa"/>
            <w:vAlign w:val="bottom"/>
            <w:tcBorders>
              <w:bottom w:val="single" w:sz="8" w:color="939598"/>
            </w:tcBorders>
          </w:tcPr>
          <w:p>
            <w:pPr>
              <w:spacing w:after="0"/>
              <w:rPr>
                <w:sz w:val="17"/>
                <w:szCs w:val="17"/>
                <w:color w:val="auto"/>
              </w:rPr>
            </w:pPr>
          </w:p>
        </w:tc>
        <w:tc>
          <w:tcPr>
            <w:tcW w:w="8420" w:type="dxa"/>
            <w:vAlign w:val="bottom"/>
            <w:tcBorders>
              <w:bottom w:val="single" w:sz="8" w:color="939598"/>
            </w:tcBorders>
            <w:gridSpan w:val="2"/>
          </w:tcPr>
          <w:p>
            <w:pPr>
              <w:ind w:left="220"/>
              <w:spacing w:after="0"/>
              <w:rPr>
                <w:sz w:val="20"/>
                <w:szCs w:val="20"/>
                <w:color w:val="auto"/>
              </w:rPr>
            </w:pPr>
            <w:r>
              <w:rPr>
                <w:rFonts w:ascii="Arial" w:cs="Arial" w:eastAsia="Arial" w:hAnsi="Arial"/>
                <w:sz w:val="16"/>
                <w:szCs w:val="16"/>
                <w:color w:val="auto"/>
              </w:rPr>
              <w:t>Company’s Audit Committee.</w:t>
            </w:r>
          </w:p>
        </w:tc>
        <w:tc>
          <w:tcPr>
            <w:tcW w:w="20" w:type="dxa"/>
            <w:vAlign w:val="bottom"/>
          </w:tcPr>
          <w:p>
            <w:pPr>
              <w:spacing w:after="0"/>
              <w:rPr>
                <w:sz w:val="17"/>
                <w:szCs w:val="17"/>
                <w:color w:val="auto"/>
              </w:rPr>
            </w:pP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Stock Ownership</w:t>
            </w: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We expect our Directors to have investments in the Company’s stock that align with our shareholders. Our</w:t>
            </w:r>
          </w:p>
        </w:tc>
        <w:tc>
          <w:tcPr>
            <w:tcW w:w="20" w:type="dxa"/>
            <w:vAlign w:val="bottom"/>
          </w:tcPr>
          <w:p>
            <w:pPr>
              <w:spacing w:after="0"/>
              <w:rPr>
                <w:sz w:val="16"/>
                <w:szCs w:val="16"/>
                <w:color w:val="auto"/>
              </w:rPr>
            </w:pPr>
          </w:p>
        </w:tc>
      </w:tr>
      <w:tr>
        <w:trPr>
          <w:trHeight w:val="251"/>
        </w:trPr>
        <w:tc>
          <w:tcPr>
            <w:tcW w:w="2820" w:type="dxa"/>
            <w:vAlign w:val="bottom"/>
          </w:tcPr>
          <w:p>
            <w:pPr>
              <w:spacing w:after="0"/>
              <w:rPr>
                <w:sz w:val="21"/>
                <w:szCs w:val="21"/>
                <w:color w:val="auto"/>
              </w:rPr>
            </w:pPr>
          </w:p>
        </w:tc>
        <w:tc>
          <w:tcPr>
            <w:tcW w:w="8420" w:type="dxa"/>
            <w:vAlign w:val="bottom"/>
            <w:gridSpan w:val="2"/>
          </w:tcPr>
          <w:p>
            <w:pPr>
              <w:ind w:left="220"/>
              <w:spacing w:after="0"/>
              <w:rPr>
                <w:sz w:val="20"/>
                <w:szCs w:val="20"/>
                <w:color w:val="auto"/>
              </w:rPr>
            </w:pPr>
            <w:r>
              <w:rPr>
                <w:rFonts w:ascii="Arial" w:cs="Arial" w:eastAsia="Arial" w:hAnsi="Arial"/>
                <w:sz w:val="16"/>
                <w:szCs w:val="16"/>
                <w:color w:val="auto"/>
              </w:rPr>
              <w:t>Directors are expected to comply with our Director Stock Ownership Policy.</w:t>
            </w:r>
          </w:p>
        </w:tc>
        <w:tc>
          <w:tcPr>
            <w:tcW w:w="20" w:type="dxa"/>
            <w:vAlign w:val="bottom"/>
          </w:tcPr>
          <w:p>
            <w:pPr>
              <w:spacing w:after="0"/>
              <w:rPr>
                <w:sz w:val="21"/>
                <w:szCs w:val="21"/>
                <w:color w:val="auto"/>
              </w:rPr>
            </w:pPr>
          </w:p>
        </w:tc>
      </w:tr>
      <w:tr>
        <w:trPr>
          <w:trHeight w:val="538"/>
        </w:trPr>
        <w:tc>
          <w:tcPr>
            <w:tcW w:w="2820" w:type="dxa"/>
            <w:vAlign w:val="bottom"/>
            <w:tcBorders>
              <w:top w:val="single" w:sz="8" w:color="355675"/>
            </w:tcBorders>
          </w:tcPr>
          <w:p>
            <w:pPr>
              <w:spacing w:after="0"/>
              <w:rPr>
                <w:sz w:val="20"/>
                <w:szCs w:val="20"/>
                <w:color w:val="auto"/>
              </w:rPr>
            </w:pPr>
            <w:r>
              <w:rPr>
                <w:rFonts w:ascii="Arial" w:cs="Arial" w:eastAsia="Arial" w:hAnsi="Arial"/>
                <w:sz w:val="14"/>
                <w:szCs w:val="14"/>
                <w:b w:val="1"/>
                <w:bCs w:val="1"/>
                <w:color w:val="355675"/>
              </w:rPr>
              <w:t>22</w:t>
            </w:r>
          </w:p>
        </w:tc>
        <w:tc>
          <w:tcPr>
            <w:tcW w:w="220" w:type="dxa"/>
            <w:vAlign w:val="bottom"/>
          </w:tcPr>
          <w:p>
            <w:pPr>
              <w:spacing w:after="0"/>
              <w:rPr>
                <w:sz w:val="24"/>
                <w:szCs w:val="24"/>
                <w:color w:val="auto"/>
              </w:rPr>
            </w:pPr>
          </w:p>
        </w:tc>
        <w:tc>
          <w:tcPr>
            <w:tcW w:w="8200" w:type="dxa"/>
            <w:vAlign w:val="bottom"/>
            <w:tcBorders>
              <w:top w:val="single" w:sz="8" w:color="355675"/>
            </w:tcBorders>
          </w:tcPr>
          <w:p>
            <w:pPr>
              <w:spacing w:after="0"/>
              <w:rPr>
                <w:sz w:val="24"/>
                <w:szCs w:val="24"/>
                <w:color w:val="auto"/>
              </w:rPr>
            </w:pPr>
          </w:p>
        </w:tc>
        <w:tc>
          <w:tcPr>
            <w:tcW w:w="20" w:type="dxa"/>
            <w:vAlign w:val="bottom"/>
          </w:tcPr>
          <w:p>
            <w:pPr>
              <w:spacing w:after="0"/>
              <w:rPr>
                <w:sz w:val="24"/>
                <w:szCs w:val="24"/>
                <w:color w:val="auto"/>
              </w:rPr>
            </w:pPr>
          </w:p>
        </w:tc>
      </w:tr>
      <w:tr>
        <w:trPr>
          <w:trHeight w:val="93"/>
        </w:trPr>
        <w:tc>
          <w:tcPr>
            <w:tcW w:w="2820" w:type="dxa"/>
            <w:vAlign w:val="bottom"/>
            <w:tcBorders>
              <w:bottom w:val="single" w:sz="8" w:color="808080"/>
            </w:tcBorders>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8200" w:type="dxa"/>
            <w:vAlign w:val="bottom"/>
            <w:tcBorders>
              <w:bottom w:val="single" w:sz="8" w:color="808080"/>
            </w:tcBorders>
          </w:tcPr>
          <w:p>
            <w:pPr>
              <w:spacing w:after="0"/>
              <w:rPr>
                <w:sz w:val="8"/>
                <w:szCs w:val="8"/>
                <w:color w:val="auto"/>
              </w:rPr>
            </w:pPr>
          </w:p>
        </w:tc>
        <w:tc>
          <w:tcPr>
            <w:tcW w:w="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-318770</wp:posOffset>
            </wp:positionV>
            <wp:extent cx="1191260" cy="2311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31" w:name="page32"/>
    <w:bookmarkEnd w:id="3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56"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Selection of Nominees for the Board</w:t>
      </w:r>
    </w:p>
    <w:p>
      <w:pPr>
        <w:spacing w:after="0" w:line="208" w:lineRule="exact"/>
        <w:rPr>
          <w:sz w:val="20"/>
          <w:szCs w:val="20"/>
          <w:color w:val="auto"/>
        </w:rPr>
      </w:pPr>
    </w:p>
    <w:p>
      <w:pPr>
        <w:ind w:right="200"/>
        <w:spacing w:after="0" w:line="271" w:lineRule="auto"/>
        <w:rPr>
          <w:sz w:val="20"/>
          <w:szCs w:val="20"/>
          <w:color w:val="auto"/>
        </w:rPr>
      </w:pPr>
      <w:r>
        <w:rPr>
          <w:rFonts w:ascii="Arial" w:cs="Arial" w:eastAsia="Arial" w:hAnsi="Arial"/>
          <w:sz w:val="18"/>
          <w:szCs w:val="18"/>
          <w:color w:val="auto"/>
        </w:rPr>
        <w:t>The Corporate Governance and Public Responsibility Committee uses a variety of methods to identify and evaluate nominees for a director 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83820</wp:posOffset>
            </wp:positionV>
            <wp:extent cx="7132320" cy="25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32320" cy="25400"/>
                    </a:xfrm>
                    <a:prstGeom prst="rect">
                      <a:avLst/>
                    </a:prstGeom>
                    <a:noFill/>
                  </pic:spPr>
                </pic:pic>
              </a:graphicData>
            </a:graphic>
          </wp:anchor>
        </w:drawing>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Board Size</w:t>
            </w: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The Corporate Governance and Public Responsibility Committee regularly assesses the appropriate size of the</w:t>
            </w:r>
          </w:p>
        </w:tc>
      </w:tr>
      <w:tr>
        <w:trPr>
          <w:trHeight w:val="203"/>
        </w:trPr>
        <w:tc>
          <w:tcPr>
            <w:tcW w:w="2820" w:type="dxa"/>
            <w:vAlign w:val="bottom"/>
            <w:tcBorders>
              <w:bottom w:val="single" w:sz="8" w:color="939598"/>
            </w:tcBorders>
          </w:tcPr>
          <w:p>
            <w:pPr>
              <w:spacing w:after="0"/>
              <w:rPr>
                <w:sz w:val="17"/>
                <w:szCs w:val="17"/>
                <w:color w:val="auto"/>
              </w:rPr>
            </w:pPr>
          </w:p>
        </w:tc>
        <w:tc>
          <w:tcPr>
            <w:tcW w:w="220" w:type="dxa"/>
            <w:vAlign w:val="bottom"/>
            <w:tcBorders>
              <w:bottom w:val="single" w:sz="8" w:color="939598"/>
            </w:tcBorders>
          </w:tcPr>
          <w:p>
            <w:pPr>
              <w:spacing w:after="0"/>
              <w:rPr>
                <w:sz w:val="17"/>
                <w:szCs w:val="17"/>
                <w:color w:val="auto"/>
              </w:rPr>
            </w:pPr>
          </w:p>
        </w:tc>
        <w:tc>
          <w:tcPr>
            <w:tcW w:w="8200" w:type="dxa"/>
            <w:vAlign w:val="bottom"/>
            <w:tcBorders>
              <w:bottom w:val="single" w:sz="8" w:color="939598"/>
            </w:tcBorders>
          </w:tcPr>
          <w:p>
            <w:pPr>
              <w:ind w:left="20"/>
              <w:spacing w:after="0"/>
              <w:rPr>
                <w:sz w:val="20"/>
                <w:szCs w:val="20"/>
                <w:color w:val="auto"/>
              </w:rPr>
            </w:pPr>
            <w:r>
              <w:rPr>
                <w:rFonts w:ascii="Arial" w:cs="Arial" w:eastAsia="Arial" w:hAnsi="Arial"/>
                <w:sz w:val="16"/>
                <w:szCs w:val="16"/>
                <w:color w:val="auto"/>
              </w:rPr>
              <w:t>Board, including whether any vacancies on the Board are expected due to retirement or otherwise.</w:t>
            </w: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Board Knowledge, Skills, Expertise</w:t>
            </w: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The Corporate Governance and Public Responsibility Committee considers whether the Board reflects the</w:t>
            </w:r>
          </w:p>
        </w:tc>
      </w:tr>
      <w:tr>
        <w:trPr>
          <w:trHeight w:val="189"/>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and Diversity</w:t>
            </w: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appropriate balance of knowledge, skills, expertise, and diversity required for the Board as a whole. Diversity is a</w:t>
            </w:r>
          </w:p>
        </w:tc>
      </w:tr>
      <w:tr>
        <w:trPr>
          <w:trHeight w:val="189"/>
        </w:trPr>
        <w:tc>
          <w:tcPr>
            <w:tcW w:w="28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focal point of the Corporate Governance and Public Responsibility Committee’s deliberations. The Board believes</w:t>
            </w:r>
          </w:p>
        </w:tc>
      </w:tr>
      <w:tr>
        <w:trPr>
          <w:trHeight w:val="189"/>
        </w:trPr>
        <w:tc>
          <w:tcPr>
            <w:tcW w:w="28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that diversity, utilizing a broad meaning that includes race, gender, background, ethnicity, accomplishments, and</w:t>
            </w:r>
          </w:p>
        </w:tc>
      </w:tr>
      <w:tr>
        <w:trPr>
          <w:trHeight w:val="203"/>
        </w:trPr>
        <w:tc>
          <w:tcPr>
            <w:tcW w:w="2820" w:type="dxa"/>
            <w:vAlign w:val="bottom"/>
            <w:tcBorders>
              <w:bottom w:val="single" w:sz="8" w:color="939598"/>
            </w:tcBorders>
          </w:tcPr>
          <w:p>
            <w:pPr>
              <w:spacing w:after="0"/>
              <w:rPr>
                <w:sz w:val="17"/>
                <w:szCs w:val="17"/>
                <w:color w:val="auto"/>
              </w:rPr>
            </w:pPr>
          </w:p>
        </w:tc>
        <w:tc>
          <w:tcPr>
            <w:tcW w:w="220" w:type="dxa"/>
            <w:vAlign w:val="bottom"/>
            <w:tcBorders>
              <w:bottom w:val="single" w:sz="8" w:color="939598"/>
            </w:tcBorders>
          </w:tcPr>
          <w:p>
            <w:pPr>
              <w:spacing w:after="0"/>
              <w:rPr>
                <w:sz w:val="17"/>
                <w:szCs w:val="17"/>
                <w:color w:val="auto"/>
              </w:rPr>
            </w:pPr>
          </w:p>
        </w:tc>
        <w:tc>
          <w:tcPr>
            <w:tcW w:w="8200" w:type="dxa"/>
            <w:vAlign w:val="bottom"/>
            <w:tcBorders>
              <w:bottom w:val="single" w:sz="8" w:color="939598"/>
            </w:tcBorders>
          </w:tcPr>
          <w:p>
            <w:pPr>
              <w:ind w:left="20"/>
              <w:spacing w:after="0"/>
              <w:rPr>
                <w:sz w:val="20"/>
                <w:szCs w:val="20"/>
                <w:color w:val="auto"/>
              </w:rPr>
            </w:pPr>
            <w:r>
              <w:rPr>
                <w:rFonts w:ascii="Arial" w:cs="Arial" w:eastAsia="Arial" w:hAnsi="Arial"/>
                <w:sz w:val="16"/>
                <w:szCs w:val="16"/>
                <w:color w:val="auto"/>
              </w:rPr>
              <w:t>other traits, is an important consideration in selecting candidates.</w:t>
            </w:r>
          </w:p>
        </w:tc>
      </w:tr>
      <w:tr>
        <w:trPr>
          <w:trHeight w:val="195"/>
        </w:trPr>
        <w:tc>
          <w:tcPr>
            <w:tcW w:w="2820" w:type="dxa"/>
            <w:vAlign w:val="bottom"/>
          </w:tcPr>
          <w:p>
            <w:pPr>
              <w:ind w:left="60"/>
              <w:spacing w:after="0"/>
              <w:rPr>
                <w:sz w:val="20"/>
                <w:szCs w:val="20"/>
                <w:color w:val="auto"/>
              </w:rPr>
            </w:pPr>
            <w:r>
              <w:rPr>
                <w:rFonts w:ascii="Arial" w:cs="Arial" w:eastAsia="Arial" w:hAnsi="Arial"/>
                <w:sz w:val="16"/>
                <w:szCs w:val="16"/>
                <w:b w:val="1"/>
                <w:bCs w:val="1"/>
                <w:color w:val="355675"/>
              </w:rPr>
              <w:t>Sourcing Candidates</w:t>
            </w: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Candidates may be considered at any point during the year and come to the attention of the Corporate</w:t>
            </w:r>
          </w:p>
        </w:tc>
      </w:tr>
      <w:tr>
        <w:trPr>
          <w:trHeight w:val="189"/>
        </w:trPr>
        <w:tc>
          <w:tcPr>
            <w:tcW w:w="28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Governance and Public Responsibility Committee through current Board members, professional search firms or</w:t>
            </w:r>
          </w:p>
        </w:tc>
      </w:tr>
      <w:tr>
        <w:trPr>
          <w:trHeight w:val="189"/>
        </w:trPr>
        <w:tc>
          <w:tcPr>
            <w:tcW w:w="28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200" w:type="dxa"/>
            <w:vAlign w:val="bottom"/>
          </w:tcPr>
          <w:p>
            <w:pPr>
              <w:ind w:left="20"/>
              <w:spacing w:after="0"/>
              <w:rPr>
                <w:sz w:val="20"/>
                <w:szCs w:val="20"/>
                <w:color w:val="auto"/>
              </w:rPr>
            </w:pPr>
            <w:r>
              <w:rPr>
                <w:rFonts w:ascii="Arial" w:cs="Arial" w:eastAsia="Arial" w:hAnsi="Arial"/>
                <w:sz w:val="16"/>
                <w:szCs w:val="16"/>
                <w:color w:val="auto"/>
              </w:rPr>
              <w:t>shareholders. The Corporate Governance and Public Responsibility Committee evaluates all nominees from</w:t>
            </w:r>
          </w:p>
        </w:tc>
      </w:tr>
      <w:tr>
        <w:trPr>
          <w:trHeight w:val="251"/>
        </w:trPr>
        <w:tc>
          <w:tcPr>
            <w:tcW w:w="2820" w:type="dxa"/>
            <w:vAlign w:val="bottom"/>
            <w:tcBorders>
              <w:bottom w:val="single" w:sz="8" w:color="355675"/>
            </w:tcBorders>
          </w:tcPr>
          <w:p>
            <w:pPr>
              <w:spacing w:after="0"/>
              <w:rPr>
                <w:sz w:val="21"/>
                <w:szCs w:val="21"/>
                <w:color w:val="auto"/>
              </w:rPr>
            </w:pPr>
          </w:p>
        </w:tc>
        <w:tc>
          <w:tcPr>
            <w:tcW w:w="220" w:type="dxa"/>
            <w:vAlign w:val="bottom"/>
          </w:tcPr>
          <w:p>
            <w:pPr>
              <w:spacing w:after="0"/>
              <w:rPr>
                <w:sz w:val="21"/>
                <w:szCs w:val="21"/>
                <w:color w:val="auto"/>
              </w:rPr>
            </w:pPr>
          </w:p>
        </w:tc>
        <w:tc>
          <w:tcPr>
            <w:tcW w:w="8200" w:type="dxa"/>
            <w:vAlign w:val="bottom"/>
            <w:tcBorders>
              <w:bottom w:val="single" w:sz="8" w:color="355675"/>
            </w:tcBorders>
          </w:tcPr>
          <w:p>
            <w:pPr>
              <w:ind w:left="20"/>
              <w:spacing w:after="0"/>
              <w:rPr>
                <w:sz w:val="20"/>
                <w:szCs w:val="20"/>
                <w:color w:val="auto"/>
              </w:rPr>
            </w:pPr>
            <w:r>
              <w:rPr>
                <w:rFonts w:ascii="Arial" w:cs="Arial" w:eastAsia="Arial" w:hAnsi="Arial"/>
                <w:sz w:val="16"/>
                <w:szCs w:val="16"/>
                <w:color w:val="auto"/>
              </w:rPr>
              <w:t>these sources against the same criteria.</w:t>
            </w:r>
          </w:p>
        </w:tc>
      </w:tr>
    </w:tbl>
    <w:p>
      <w:pPr>
        <w:spacing w:after="0" w:line="157" w:lineRule="exact"/>
        <w:rPr>
          <w:sz w:val="20"/>
          <w:szCs w:val="20"/>
          <w:color w:val="auto"/>
        </w:rPr>
      </w:pPr>
    </w:p>
    <w:p>
      <w:pPr>
        <w:ind w:right="20"/>
        <w:spacing w:after="0" w:line="242" w:lineRule="auto"/>
        <w:rPr>
          <w:sz w:val="20"/>
          <w:szCs w:val="20"/>
          <w:color w:val="auto"/>
        </w:rPr>
      </w:pPr>
      <w:r>
        <w:rPr>
          <w:rFonts w:ascii="Arial" w:cs="Arial" w:eastAsia="Arial" w:hAnsi="Arial"/>
          <w:sz w:val="18"/>
          <w:szCs w:val="18"/>
          <w:color w:val="auto"/>
        </w:rPr>
        <w:t>Other than Mr. de la Melena, Jr., all Directors were elected at the 2021 Annual Meeting of Shareholders. In recruiting Mr. de la Melena, Jr., the Corporate Governance and Public Responsibility Committee retained the search firm of Spencer Stuart to help identify director prospects, perform candidate outreach, assist in reference and background checks, and provide related services. Candidates who passed the initial screening were then interviewed by members of the Corporate Governance and Public Responsibility Committee, Mr. Guldner and Ms. Munro, followed by the full Board. The Corporate Governance and Public Responsibility Committee recommended Mr. de la Melena, Jr. for Board membership, and he was added to the Board in February 2022.</w:t>
      </w:r>
    </w:p>
    <w:p>
      <w:pPr>
        <w:spacing w:after="0" w:line="146"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Shareholder Recommendation of Board Candidates for the 2023 Annual Meeting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Shareholder nominations for a director to the Board must be received by the Corporate Secretary at the address set forth below by</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November 18, 2022 (“Shareholder Nomination”):</w:t>
      </w:r>
    </w:p>
    <w:p>
      <w:pPr>
        <w:spacing w:after="0" w:line="15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Corporate Secretary</w:t>
      </w:r>
    </w:p>
    <w:p>
      <w:pPr>
        <w:spacing w:after="0" w:line="9"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Pinnacle West Capital Corporation</w:t>
      </w:r>
    </w:p>
    <w:p>
      <w:pPr>
        <w:jc w:val="center"/>
        <w:ind w:right="20"/>
        <w:spacing w:after="0" w:line="234" w:lineRule="auto"/>
        <w:rPr>
          <w:sz w:val="20"/>
          <w:szCs w:val="20"/>
          <w:color w:val="auto"/>
        </w:rPr>
      </w:pPr>
      <w:r>
        <w:rPr>
          <w:rFonts w:ascii="Arial" w:cs="Arial" w:eastAsia="Arial" w:hAnsi="Arial"/>
          <w:sz w:val="18"/>
          <w:szCs w:val="18"/>
          <w:color w:val="auto"/>
        </w:rPr>
        <w:t>400 North Fifth Street, Mail Station 8602</w:t>
      </w:r>
    </w:p>
    <w:p>
      <w:pPr>
        <w:spacing w:after="0" w:line="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Phoenix, Arizona 85004</w:t>
      </w:r>
    </w:p>
    <w:p>
      <w:pPr>
        <w:spacing w:after="0" w:line="161"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Proxy Access</w:t>
      </w:r>
    </w:p>
    <w:p>
      <w:pPr>
        <w:spacing w:after="0" w:line="191" w:lineRule="exact"/>
        <w:rPr>
          <w:sz w:val="20"/>
          <w:szCs w:val="20"/>
          <w:color w:val="auto"/>
        </w:rPr>
      </w:pPr>
    </w:p>
    <w:p>
      <w:pPr>
        <w:ind w:right="20"/>
        <w:spacing w:after="0"/>
        <w:rPr>
          <w:sz w:val="20"/>
          <w:szCs w:val="20"/>
          <w:color w:val="auto"/>
        </w:rPr>
      </w:pPr>
      <w:r>
        <w:rPr>
          <w:rFonts w:ascii="Arial" w:cs="Arial" w:eastAsia="Arial" w:hAnsi="Arial"/>
          <w:sz w:val="18"/>
          <w:szCs w:val="18"/>
          <w:color w:val="auto"/>
        </w:rPr>
        <w:t>In February 2017, our Board amended the Bylaws to provide, among other things, that under certain circumstances a shareholder or group of shareholders may include director candidates that they have nominated in our annual meeting proxy statement — “proxy access”. Under these provisions, a shareholder or group of up to 20 shareholders seeking to include director nominees in our annual meeting proxy statement must own 3% or more of our outstanding common stock continuously for at least the previous three years. Generally, the number of qualifying shareholder-nominated candidates the Company will include in its annual meeting proxy materials will be limited to the greater of 25% of the Board or two candidates. Based on the current Board size of 12 directors, the maximum number of proxy access candidates we would be required to include in our proxy materials is three.</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23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32" w:name="page33"/>
    <w:bookmarkEnd w:id="3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71"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Nominees submitted under the proxy access provisions that are later withdrawn or are included in the proxy materials as Board-nominated candidates will be counted in determining whether the 25% maximum has been reached. If the number of shareholder-nominated candidates exceeds 25%, each nominating shareholder or group of shareholders may select one nominee for inclusion in our proxy materials until the maximum number is met. The order of selection would be determined by the amount (largest to smallest) of shares of our common stock held by each nominating shareholder or group of shareholders. Requests to include shareholder-nominated candidates under proxy access must be received by our Corporate Secretary at the address set forth above not earlier than the close of business on November 6, 2022 nor later than the close of business on December 6, 2022. The number of qualifying shareholder-nominated candidates the Company will include in its proxy materials under proxy access will be reduced on a one-for-one basis in the event the Company receives a Shareholder Nomination, but at least one qualifying shareholder-nominated proxy access nominee will be included in the proxy materials.</w:t>
      </w:r>
    </w:p>
    <w:p>
      <w:pPr>
        <w:spacing w:after="0" w:line="156" w:lineRule="exact"/>
        <w:rPr>
          <w:sz w:val="20"/>
          <w:szCs w:val="20"/>
          <w:color w:val="auto"/>
        </w:rPr>
      </w:pPr>
    </w:p>
    <w:p>
      <w:pPr>
        <w:ind w:right="320"/>
        <w:spacing w:after="0" w:line="271" w:lineRule="auto"/>
        <w:rPr>
          <w:sz w:val="20"/>
          <w:szCs w:val="20"/>
          <w:color w:val="auto"/>
        </w:rPr>
      </w:pPr>
      <w:r>
        <w:rPr>
          <w:rFonts w:ascii="Arial" w:cs="Arial" w:eastAsia="Arial" w:hAnsi="Arial"/>
          <w:sz w:val="18"/>
          <w:szCs w:val="18"/>
          <w:color w:val="auto"/>
        </w:rPr>
        <w:t>In all cases, shareholders and nominees must also comply with the applicable rules of the SEC and the applicable sections of our Bylaws relating to qualifications of nominees and nominating shareholders and disclosure requirements.</w:t>
      </w:r>
    </w:p>
    <w:p>
      <w:pPr>
        <w:spacing w:after="0" w:line="98" w:lineRule="exact"/>
        <w:rPr>
          <w:sz w:val="20"/>
          <w:szCs w:val="20"/>
          <w:color w:val="auto"/>
        </w:rPr>
      </w:pPr>
    </w:p>
    <w:p>
      <w:pPr>
        <w:spacing w:after="0"/>
        <w:rPr>
          <w:sz w:val="20"/>
          <w:szCs w:val="20"/>
          <w:color w:val="auto"/>
        </w:rPr>
      </w:pPr>
      <w:r>
        <w:rPr>
          <w:rFonts w:ascii="Arial" w:cs="Arial" w:eastAsia="Arial" w:hAnsi="Arial"/>
          <w:sz w:val="40"/>
          <w:szCs w:val="40"/>
          <w:b w:val="1"/>
          <w:bCs w:val="1"/>
          <w:color w:val="1C8EA0"/>
        </w:rPr>
        <w:t>Board Effectiveness</w:t>
      </w:r>
    </w:p>
    <w:p>
      <w:pPr>
        <w:spacing w:after="0" w:line="178"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Board Refreshment Planning</w:t>
      </w:r>
    </w:p>
    <w:p>
      <w:pPr>
        <w:spacing w:after="0" w:line="210" w:lineRule="exact"/>
        <w:rPr>
          <w:sz w:val="20"/>
          <w:szCs w:val="20"/>
          <w:color w:val="auto"/>
        </w:rPr>
      </w:pPr>
    </w:p>
    <w:p>
      <w:pPr>
        <w:ind w:right="20"/>
        <w:spacing w:after="0"/>
        <w:rPr>
          <w:sz w:val="20"/>
          <w:szCs w:val="20"/>
          <w:color w:val="auto"/>
        </w:rPr>
      </w:pPr>
      <w:r>
        <w:rPr>
          <w:rFonts w:ascii="Arial" w:cs="Arial" w:eastAsia="Arial" w:hAnsi="Arial"/>
          <w:sz w:val="18"/>
          <w:szCs w:val="18"/>
          <w:color w:val="auto"/>
        </w:rPr>
        <w:t>Our Board has developed a robust plan to refresh the Board and its leadership significantly over the next several years. The plan is designed to continue to provide for a well-qualified, diverse and highly independent Board, with the requisite experience and skills to provide effective oversight. This plan includes the identification of the current key skills and experience possessed by our members. A matrix of current key skills and experience possessed by our Board is on page 18. The identification of these skills and experiences, combined with a comprehensive Board evaluation process, provide visibility into the skills and experience leaving our Board in the future and allows for the identification of additional skills, experience or expertise needed to facilitate the Company’s long-term strategy. This information is taken into account when identifying director nominees during the recruitment process.</w:t>
      </w:r>
    </w:p>
    <w:p>
      <w:pPr>
        <w:spacing w:after="0" w:line="144" w:lineRule="exact"/>
        <w:rPr>
          <w:sz w:val="20"/>
          <w:szCs w:val="20"/>
          <w:color w:val="auto"/>
        </w:rPr>
      </w:pPr>
    </w:p>
    <w:p>
      <w:pPr>
        <w:ind w:right="280"/>
        <w:spacing w:after="0" w:line="271" w:lineRule="auto"/>
        <w:rPr>
          <w:sz w:val="20"/>
          <w:szCs w:val="20"/>
          <w:color w:val="auto"/>
        </w:rPr>
      </w:pPr>
      <w:r>
        <w:rPr>
          <w:rFonts w:ascii="Arial" w:cs="Arial" w:eastAsia="Arial" w:hAnsi="Arial"/>
          <w:sz w:val="18"/>
          <w:szCs w:val="18"/>
          <w:color w:val="auto"/>
        </w:rPr>
        <w:t>Board refreshment is overseen by the Corporate Governance and Public Responsibility Committee, which regularly assesses whether the composition of the Board reflects the knowledge, skills, expertise, and diversity appropriate to serve the needs of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83820</wp:posOffset>
            </wp:positionV>
            <wp:extent cx="1191260" cy="23177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0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5" w:right="359" w:bottom="1440" w:gutter="0" w:footer="0" w:header="0"/>
        </w:sectPr>
      </w:pPr>
    </w:p>
    <w:bookmarkStart w:id="33" w:name="page34"/>
    <w:bookmarkEnd w:id="3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Director Retirement Policy</w:t>
      </w:r>
    </w:p>
    <w:p>
      <w:pPr>
        <w:spacing w:after="0" w:line="237" w:lineRule="exact"/>
        <w:rPr>
          <w:sz w:val="20"/>
          <w:szCs w:val="20"/>
          <w:color w:val="auto"/>
        </w:rPr>
      </w:pPr>
    </w:p>
    <w:p>
      <w:pPr>
        <w:ind w:right="20"/>
        <w:spacing w:after="0"/>
        <w:rPr>
          <w:sz w:val="20"/>
          <w:szCs w:val="20"/>
          <w:color w:val="auto"/>
        </w:rPr>
      </w:pPr>
      <w:r>
        <w:rPr>
          <w:rFonts w:ascii="Arial" w:cs="Arial" w:eastAsia="Arial" w:hAnsi="Arial"/>
          <w:sz w:val="18"/>
          <w:szCs w:val="18"/>
          <w:color w:val="auto"/>
        </w:rPr>
        <w:t>Our Board first adopted a Director Retirement Policy in 2016 that was based on a person’s age at the time of election. In February 2020, we reevaluated that policy. The policy as drafted could result in long tenure solely by virtue of the person’s age when he or she joined the Board. As such, we amended the policy to add a 12-year term limit in addition to an age limit. The revised policy provides that a non-employee Director will not be eligible to be nominated for election or re-election as a member of the Board if, as of the commencement of the term for which they are nominated, such Director will have (i) completed 12 years of service from the date of first election to the Board or (ii) attained 75 years of age. We also added a provision that will allow the Board, if it determines that it is in the best interest of the Company to do so, to extend such term limit to up to 15 years for a particular nominee, so long as the average tenure of the overall Board is less than 10 years. We believe this combination of both a term and age limit creates the most robust and effective policy.</w:t>
      </w:r>
    </w:p>
    <w:p>
      <w:pPr>
        <w:spacing w:after="0" w:line="180"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We were also concerned about the rate of retirements under the age-only policy in light of the Company having a newly appointed CEO. Under the age-only policy, we would have experienced multiple years with more than one member scheduled to retire. We believe that it is in the best interests of the Company to better stagger these retirements while Mr. Guldner gets more experience in the CEO role. As such, we created a transition period that slowed the immediate turn-over rate, but provided a bridge to the final policy. Through and until the 2024 Annual Meeting of Shareholders, a non-employee Director shall be eligible for nomination for election or re-election as a member of the Board unless, as of the commencement of the term for which they are nominated, such Director will have completed 12 years of service from the date first elected to the Board and the individual has attained 75 years of age. During the transition period and under the final policy, the policies will apply regardless of the source of the nomination or whether the nomination was made at a meeting of the Board of Directors, at an Annual Meeting or otherwise.</w:t>
      </w:r>
    </w:p>
    <w:p>
      <w:pPr>
        <w:sectPr>
          <w:pgSz w:w="11900" w:h="16838" w:orient="portrait"/>
          <w:cols w:equalWidth="0" w:num="1">
            <w:col w:w="11260"/>
          </w:cols>
          <w:pgMar w:left="320" w:top="125" w:right="319" w:bottom="1440" w:gutter="0" w:footer="0" w:header="0"/>
        </w:sectPr>
      </w:pPr>
    </w:p>
    <w:p>
      <w:pPr>
        <w:spacing w:after="0" w:line="183" w:lineRule="exact"/>
        <w:rPr>
          <w:sz w:val="20"/>
          <w:szCs w:val="20"/>
          <w:color w:val="auto"/>
        </w:rPr>
      </w:pPr>
    </w:p>
    <w:p>
      <w:pPr>
        <w:spacing w:after="0" w:line="271" w:lineRule="auto"/>
        <w:rPr>
          <w:sz w:val="20"/>
          <w:szCs w:val="20"/>
          <w:color w:val="auto"/>
        </w:rPr>
      </w:pPr>
      <w:r>
        <w:rPr>
          <w:rFonts w:ascii="Arial" w:cs="Arial" w:eastAsia="Arial" w:hAnsi="Arial"/>
          <w:sz w:val="18"/>
          <w:szCs w:val="18"/>
          <w:color w:val="auto"/>
        </w:rPr>
        <w:t>Directors added or retired since the adoption of our Director Retirement Policy:</w:t>
      </w:r>
    </w:p>
    <w:p>
      <w:pPr>
        <w:spacing w:after="0" w:line="140"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355675"/>
        </w:rPr>
        <w:t xml:space="preserve">2016 ● Paula J. Sims </w:t>
      </w:r>
      <w:r>
        <w:rPr>
          <w:rFonts w:ascii="Arial" w:cs="Arial" w:eastAsia="Arial" w:hAnsi="Arial"/>
          <w:sz w:val="18"/>
          <w:szCs w:val="18"/>
          <w:i w:val="1"/>
          <w:iCs w:val="1"/>
          <w:color w:val="355675"/>
        </w:rPr>
        <w:t>added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60325" cy="24003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0325" cy="2400300"/>
                    </a:xfrm>
                    <a:prstGeom prst="rect">
                      <a:avLst/>
                    </a:prstGeom>
                    <a:noFill/>
                  </pic:spPr>
                </pic:pic>
              </a:graphicData>
            </a:graphic>
          </wp:anchor>
        </w:drawing>
      </w:r>
    </w:p>
    <w:p>
      <w:pPr>
        <w:spacing w:after="0" w:line="19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auto"/>
        </w:rPr>
        <w:t xml:space="preserve">2018 ● Roy A. Herberger, Jr. </w:t>
      </w:r>
      <w:r>
        <w:rPr>
          <w:rFonts w:ascii="Arial" w:cs="Arial" w:eastAsia="Arial" w:hAnsi="Arial"/>
          <w:sz w:val="18"/>
          <w:szCs w:val="18"/>
          <w:i w:val="1"/>
          <w:iCs w:val="1"/>
          <w:color w:val="auto"/>
        </w:rPr>
        <w:t>retired</w:t>
      </w:r>
    </w:p>
    <w:p>
      <w:pPr>
        <w:spacing w:after="0" w:line="21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355675"/>
        </w:rPr>
        <w:t xml:space="preserve">2018 ● James E. Trevathan, Jr. </w:t>
      </w:r>
      <w:r>
        <w:rPr>
          <w:rFonts w:ascii="Arial" w:cs="Arial" w:eastAsia="Arial" w:hAnsi="Arial"/>
          <w:sz w:val="18"/>
          <w:szCs w:val="18"/>
          <w:i w:val="1"/>
          <w:iCs w:val="1"/>
          <w:color w:val="355675"/>
        </w:rPr>
        <w:t>added</w:t>
      </w:r>
    </w:p>
    <w:p>
      <w:pPr>
        <w:spacing w:after="0" w:line="21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355675"/>
        </w:rPr>
        <w:t xml:space="preserve">2020 ● Glynis A. Bryan </w:t>
      </w:r>
      <w:r>
        <w:rPr>
          <w:rFonts w:ascii="Arial" w:cs="Arial" w:eastAsia="Arial" w:hAnsi="Arial"/>
          <w:sz w:val="18"/>
          <w:szCs w:val="18"/>
          <w:i w:val="1"/>
          <w:iCs w:val="1"/>
          <w:color w:val="355675"/>
        </w:rPr>
        <w:t>added</w:t>
      </w:r>
    </w:p>
    <w:p>
      <w:pPr>
        <w:spacing w:after="0" w:line="21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auto"/>
        </w:rPr>
        <w:t xml:space="preserve">2020 ● Michael L. Gallagher </w:t>
      </w:r>
      <w:r>
        <w:rPr>
          <w:rFonts w:ascii="Arial" w:cs="Arial" w:eastAsia="Arial" w:hAnsi="Arial"/>
          <w:sz w:val="18"/>
          <w:szCs w:val="18"/>
          <w:i w:val="1"/>
          <w:iCs w:val="1"/>
          <w:color w:val="auto"/>
        </w:rPr>
        <w:t>retired</w:t>
      </w:r>
    </w:p>
    <w:p>
      <w:pPr>
        <w:spacing w:after="0" w:line="21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355675"/>
        </w:rPr>
        <w:t xml:space="preserve">2021 ● William H. Spence </w:t>
      </w:r>
      <w:r>
        <w:rPr>
          <w:rFonts w:ascii="Arial" w:cs="Arial" w:eastAsia="Arial" w:hAnsi="Arial"/>
          <w:sz w:val="18"/>
          <w:szCs w:val="18"/>
          <w:i w:val="1"/>
          <w:iCs w:val="1"/>
          <w:color w:val="355675"/>
        </w:rPr>
        <w:t>added</w:t>
      </w:r>
    </w:p>
    <w:p>
      <w:pPr>
        <w:spacing w:after="0" w:line="21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auto"/>
        </w:rPr>
        <w:t xml:space="preserve">2021 ● Humberto S. Lopez </w:t>
      </w:r>
      <w:r>
        <w:rPr>
          <w:rFonts w:ascii="Arial" w:cs="Arial" w:eastAsia="Arial" w:hAnsi="Arial"/>
          <w:sz w:val="18"/>
          <w:szCs w:val="18"/>
          <w:i w:val="1"/>
          <w:iCs w:val="1"/>
          <w:color w:val="auto"/>
        </w:rPr>
        <w:t>retired</w:t>
      </w:r>
    </w:p>
    <w:p>
      <w:pPr>
        <w:spacing w:after="0" w:line="212"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355675"/>
        </w:rPr>
        <w:t>February 2022 ● Gonzalo A. de la Melena, Jr.</w:t>
      </w:r>
    </w:p>
    <w:p>
      <w:pPr>
        <w:spacing w:after="0" w:line="14" w:lineRule="exact"/>
        <w:rPr>
          <w:sz w:val="20"/>
          <w:szCs w:val="20"/>
          <w:color w:val="auto"/>
        </w:rPr>
      </w:pPr>
    </w:p>
    <w:p>
      <w:pPr>
        <w:ind w:left="360"/>
        <w:spacing w:after="0"/>
        <w:rPr>
          <w:sz w:val="20"/>
          <w:szCs w:val="20"/>
          <w:color w:val="auto"/>
        </w:rPr>
      </w:pPr>
      <w:r>
        <w:rPr>
          <w:rFonts w:ascii="Arial" w:cs="Arial" w:eastAsia="Arial" w:hAnsi="Arial"/>
          <w:sz w:val="18"/>
          <w:szCs w:val="18"/>
          <w:i w:val="1"/>
          <w:iCs w:val="1"/>
          <w:color w:val="355675"/>
        </w:rPr>
        <w:t>added</w:t>
      </w:r>
    </w:p>
    <w:p>
      <w:pPr>
        <w:spacing w:after="0" w:line="194"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auto"/>
        </w:rPr>
        <w:t xml:space="preserve">May 2022 ● Denis A. Cortese </w:t>
      </w:r>
      <w:r>
        <w:rPr>
          <w:rFonts w:ascii="Arial" w:cs="Arial" w:eastAsia="Arial" w:hAnsi="Arial"/>
          <w:sz w:val="18"/>
          <w:szCs w:val="18"/>
          <w:i w:val="1"/>
          <w:iCs w:val="1"/>
          <w:color w:val="auto"/>
        </w:rPr>
        <w:t>scheduled retirement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50% of our Board has been refreshed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-93980</wp:posOffset>
            </wp:positionH>
            <wp:positionV relativeFrom="paragraph">
              <wp:posOffset>-1130300</wp:posOffset>
            </wp:positionV>
            <wp:extent cx="3206115" cy="27857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3206115" cy="2785745"/>
                    </a:xfrm>
                    <a:prstGeom prst="rect">
                      <a:avLst/>
                    </a:prstGeom>
                    <a:noFill/>
                  </pic:spPr>
                </pic:pic>
              </a:graphicData>
            </a:graphic>
          </wp:anchor>
        </w:drawing>
      </w:r>
    </w:p>
    <w:p>
      <w:pPr>
        <w:spacing w:after="0" w:line="70" w:lineRule="exact"/>
        <w:rPr>
          <w:sz w:val="20"/>
          <w:szCs w:val="20"/>
          <w:color w:val="auto"/>
        </w:rPr>
      </w:pPr>
    </w:p>
    <w:p>
      <w:pPr>
        <w:ind w:right="160"/>
        <w:spacing w:after="0" w:line="244" w:lineRule="auto"/>
        <w:rPr>
          <w:sz w:val="20"/>
          <w:szCs w:val="20"/>
          <w:color w:val="auto"/>
        </w:rPr>
      </w:pPr>
      <w:r>
        <w:rPr>
          <w:rFonts w:ascii="Arial" w:cs="Arial" w:eastAsia="Arial" w:hAnsi="Arial"/>
          <w:sz w:val="18"/>
          <w:szCs w:val="18"/>
          <w:color w:val="auto"/>
        </w:rPr>
        <w:t>Since the adoption of our Director Retirement Policy, five independent Directors have been added and four members of the Board will have retired as of May 18, 2022. Under our current policy, over 45% of our current Board will retire by the 2026 Annual Meeting of Shareholders.</w:t>
      </w:r>
    </w:p>
    <w:p>
      <w:pPr>
        <w:spacing w:after="0" w:line="41" w:lineRule="exact"/>
        <w:rPr>
          <w:sz w:val="20"/>
          <w:szCs w:val="20"/>
          <w:color w:val="auto"/>
        </w:rPr>
      </w:pPr>
    </w:p>
    <w:p>
      <w:pPr>
        <w:ind w:right="340"/>
        <w:spacing w:after="0" w:line="271" w:lineRule="auto"/>
        <w:rPr>
          <w:sz w:val="20"/>
          <w:szCs w:val="20"/>
          <w:color w:val="auto"/>
        </w:rPr>
      </w:pPr>
      <w:r>
        <w:rPr>
          <w:rFonts w:ascii="Arial" w:cs="Arial" w:eastAsia="Arial" w:hAnsi="Arial"/>
          <w:sz w:val="18"/>
          <w:szCs w:val="18"/>
          <w:color w:val="auto"/>
        </w:rPr>
        <w:t>Our average tenure decreased from 12.2 years as of May 2016 to 8.0 years as of May 2022.</w:t>
      </w:r>
    </w:p>
    <w:p>
      <w:pPr>
        <w:spacing w:after="0" w:line="1114" w:lineRule="exact"/>
        <w:rPr>
          <w:sz w:val="20"/>
          <w:szCs w:val="20"/>
          <w:color w:val="auto"/>
        </w:rPr>
      </w:pPr>
    </w:p>
    <w:p>
      <w:pPr>
        <w:sectPr>
          <w:pgSz w:w="11900" w:h="16838" w:orient="portrait"/>
          <w:cols w:equalWidth="0" w:num="2">
            <w:col w:w="5680" w:space="660"/>
            <w:col w:w="4920"/>
          </w:cols>
          <w:pgMar w:left="320" w:top="125" w:right="319" w:bottom="1440" w:gutter="0" w:footer="0" w:header="0"/>
          <w:type w:val="continuous"/>
        </w:sectPr>
      </w:pPr>
    </w:p>
    <w:p>
      <w:pPr>
        <w:spacing w:after="0" w:line="200" w:lineRule="exact"/>
        <w:rPr>
          <w:sz w:val="20"/>
          <w:szCs w:val="20"/>
          <w:color w:val="auto"/>
        </w:rPr>
      </w:pPr>
    </w:p>
    <w:p>
      <w:pPr>
        <w:spacing w:after="0" w:line="267"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25</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34" w:name="page35"/>
    <w:bookmarkEnd w:id="3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Board Evaluations</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b w:val="1"/>
          <w:bCs w:val="1"/>
          <w:color w:val="939598"/>
        </w:rPr>
        <w:t>OUR BOARD EVALUATION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8890</wp:posOffset>
            </wp:positionV>
            <wp:extent cx="7132320" cy="260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32320" cy="26035"/>
                    </a:xfrm>
                    <a:prstGeom prst="rect">
                      <a:avLst/>
                    </a:prstGeom>
                    <a:noFill/>
                  </pic:spPr>
                </pic:pic>
              </a:graphicData>
            </a:graphic>
          </wp:anchor>
        </w:drawing>
      </w:r>
    </w:p>
    <w:p>
      <w:pPr>
        <w:spacing w:after="0" w:line="20" w:lineRule="exact"/>
        <w:rPr>
          <w:sz w:val="20"/>
          <w:szCs w:val="20"/>
          <w:color w:val="auto"/>
        </w:rPr>
      </w:pPr>
    </w:p>
    <w:tbl>
      <w:tblPr>
        <w:tblLayout w:type="fixed"/>
        <w:tblInd w:w="0" w:type="dxa"/>
        <w:tblCellMar>
          <w:top w:w="0" w:type="dxa"/>
          <w:left w:w="0" w:type="dxa"/>
          <w:bottom w:w="0" w:type="dxa"/>
          <w:right w:w="0" w:type="dxa"/>
        </w:tblCellMar>
      </w:tblPr>
      <w:tr>
        <w:trPr>
          <w:trHeight w:val="251"/>
        </w:trPr>
        <w:tc>
          <w:tcPr>
            <w:tcW w:w="440" w:type="dxa"/>
            <w:vAlign w:val="bottom"/>
            <w:vMerge w:val="restart"/>
          </w:tcPr>
          <w:p>
            <w:pPr>
              <w:jc w:val="right"/>
              <w:spacing w:after="0"/>
              <w:rPr>
                <w:sz w:val="20"/>
                <w:szCs w:val="20"/>
                <w:color w:val="auto"/>
              </w:rPr>
            </w:pPr>
            <w:r>
              <w:rPr>
                <w:rFonts w:ascii="Arial" w:cs="Arial" w:eastAsia="Arial" w:hAnsi="Arial"/>
                <w:sz w:val="54"/>
                <w:szCs w:val="54"/>
                <w:b w:val="1"/>
                <w:bCs w:val="1"/>
                <w:color w:val="355675"/>
                <w:w w:val="93"/>
              </w:rPr>
              <w:t>1</w:t>
            </w:r>
          </w:p>
        </w:tc>
        <w:tc>
          <w:tcPr>
            <w:tcW w:w="5720" w:type="dxa"/>
            <w:vAlign w:val="bottom"/>
          </w:tcPr>
          <w:p>
            <w:pPr>
              <w:ind w:left="140"/>
              <w:spacing w:after="0"/>
              <w:rPr>
                <w:sz w:val="20"/>
                <w:szCs w:val="20"/>
                <w:color w:val="auto"/>
              </w:rPr>
            </w:pPr>
            <w:r>
              <w:rPr>
                <w:rFonts w:ascii="Arial" w:cs="Arial" w:eastAsia="Arial" w:hAnsi="Arial"/>
                <w:sz w:val="16"/>
                <w:szCs w:val="16"/>
                <w:b w:val="1"/>
                <w:bCs w:val="1"/>
                <w:color w:val="355675"/>
              </w:rPr>
              <w:t>Board Evaluation</w:t>
            </w:r>
          </w:p>
        </w:tc>
        <w:tc>
          <w:tcPr>
            <w:tcW w:w="5080" w:type="dxa"/>
            <w:vAlign w:val="bottom"/>
          </w:tcPr>
          <w:p>
            <w:pPr>
              <w:ind w:left="140"/>
              <w:spacing w:after="0"/>
              <w:rPr>
                <w:sz w:val="20"/>
                <w:szCs w:val="20"/>
                <w:color w:val="auto"/>
              </w:rPr>
            </w:pPr>
            <w:r>
              <w:rPr>
                <w:rFonts w:ascii="Arial" w:cs="Arial" w:eastAsia="Arial" w:hAnsi="Arial"/>
                <w:sz w:val="16"/>
                <w:szCs w:val="16"/>
                <w:color w:val="auto"/>
              </w:rPr>
              <w:t>Topics covered include, among others:</w:t>
            </w:r>
          </w:p>
        </w:tc>
        <w:tc>
          <w:tcPr>
            <w:tcW w:w="0" w:type="dxa"/>
            <w:vAlign w:val="bottom"/>
          </w:tcPr>
          <w:p>
            <w:pPr>
              <w:spacing w:after="0"/>
              <w:rPr>
                <w:sz w:val="1"/>
                <w:szCs w:val="1"/>
                <w:color w:val="auto"/>
              </w:rPr>
            </w:pPr>
          </w:p>
        </w:tc>
      </w:tr>
      <w:tr>
        <w:trPr>
          <w:trHeight w:val="236"/>
        </w:trPr>
        <w:tc>
          <w:tcPr>
            <w:tcW w:w="440" w:type="dxa"/>
            <w:vAlign w:val="bottom"/>
            <w:vMerge w:val="continue"/>
          </w:tcPr>
          <w:p>
            <w:pPr>
              <w:spacing w:after="0"/>
              <w:rPr>
                <w:sz w:val="20"/>
                <w:szCs w:val="20"/>
                <w:color w:val="auto"/>
              </w:rPr>
            </w:pPr>
          </w:p>
        </w:tc>
        <w:tc>
          <w:tcPr>
            <w:tcW w:w="5720" w:type="dxa"/>
            <w:vAlign w:val="bottom"/>
          </w:tcPr>
          <w:p>
            <w:pPr>
              <w:ind w:left="140"/>
              <w:spacing w:after="0"/>
              <w:rPr>
                <w:sz w:val="20"/>
                <w:szCs w:val="20"/>
                <w:color w:val="auto"/>
              </w:rPr>
            </w:pPr>
            <w:r>
              <w:rPr>
                <w:rFonts w:ascii="Arial" w:cs="Arial" w:eastAsia="Arial" w:hAnsi="Arial"/>
                <w:sz w:val="16"/>
                <w:szCs w:val="16"/>
                <w:color w:val="auto"/>
              </w:rPr>
              <w:t>Each Director completes a comprehensive evaluation of Board and</w:t>
            </w:r>
          </w:p>
        </w:tc>
        <w:tc>
          <w:tcPr>
            <w:tcW w:w="5080" w:type="dxa"/>
            <w:vAlign w:val="bottom"/>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Board composition and effectiveness</w:t>
            </w:r>
          </w:p>
        </w:tc>
        <w:tc>
          <w:tcPr>
            <w:tcW w:w="0" w:type="dxa"/>
            <w:vAlign w:val="bottom"/>
          </w:tcPr>
          <w:p>
            <w:pPr>
              <w:spacing w:after="0"/>
              <w:rPr>
                <w:sz w:val="1"/>
                <w:szCs w:val="1"/>
                <w:color w:val="auto"/>
              </w:rPr>
            </w:pPr>
          </w:p>
        </w:tc>
      </w:tr>
      <w:tr>
        <w:trPr>
          <w:trHeight w:val="257"/>
        </w:trPr>
        <w:tc>
          <w:tcPr>
            <w:tcW w:w="440" w:type="dxa"/>
            <w:vAlign w:val="bottom"/>
            <w:vMerge w:val="continue"/>
          </w:tcPr>
          <w:p>
            <w:pPr>
              <w:spacing w:after="0"/>
              <w:rPr>
                <w:sz w:val="22"/>
                <w:szCs w:val="22"/>
                <w:color w:val="auto"/>
              </w:rPr>
            </w:pPr>
          </w:p>
        </w:tc>
        <w:tc>
          <w:tcPr>
            <w:tcW w:w="5720" w:type="dxa"/>
            <w:vAlign w:val="bottom"/>
          </w:tcPr>
          <w:p>
            <w:pPr>
              <w:ind w:left="140"/>
              <w:spacing w:after="0"/>
              <w:rPr>
                <w:sz w:val="20"/>
                <w:szCs w:val="20"/>
                <w:color w:val="auto"/>
              </w:rPr>
            </w:pPr>
            <w:r>
              <w:rPr>
                <w:rFonts w:ascii="Arial" w:cs="Arial" w:eastAsia="Arial" w:hAnsi="Arial"/>
                <w:sz w:val="16"/>
                <w:szCs w:val="16"/>
                <w:color w:val="auto"/>
              </w:rPr>
              <w:t>committee performance</w:t>
            </w: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Competency and accountability</w:t>
            </w:r>
          </w:p>
        </w:tc>
        <w:tc>
          <w:tcPr>
            <w:tcW w:w="0" w:type="dxa"/>
            <w:vAlign w:val="bottom"/>
          </w:tcPr>
          <w:p>
            <w:pPr>
              <w:spacing w:after="0"/>
              <w:rPr>
                <w:sz w:val="1"/>
                <w:szCs w:val="1"/>
                <w:color w:val="auto"/>
              </w:rPr>
            </w:pPr>
          </w:p>
        </w:tc>
      </w:tr>
      <w:tr>
        <w:trPr>
          <w:trHeight w:val="60"/>
        </w:trPr>
        <w:tc>
          <w:tcPr>
            <w:tcW w:w="440" w:type="dxa"/>
            <w:vAlign w:val="bottom"/>
          </w:tcPr>
          <w:p>
            <w:pPr>
              <w:spacing w:after="0"/>
              <w:rPr>
                <w:sz w:val="5"/>
                <w:szCs w:val="5"/>
                <w:color w:val="auto"/>
              </w:rPr>
            </w:pPr>
          </w:p>
        </w:tc>
        <w:tc>
          <w:tcPr>
            <w:tcW w:w="5720" w:type="dxa"/>
            <w:vAlign w:val="bottom"/>
            <w:vMerge w:val="restart"/>
          </w:tcPr>
          <w:p>
            <w:pPr>
              <w:ind w:left="140"/>
              <w:spacing w:after="0"/>
              <w:rPr>
                <w:sz w:val="20"/>
                <w:szCs w:val="20"/>
                <w:color w:val="auto"/>
              </w:rPr>
            </w:pPr>
            <w:r>
              <w:rPr>
                <w:rFonts w:ascii="Arial" w:cs="Arial" w:eastAsia="Arial" w:hAnsi="Arial"/>
                <w:sz w:val="16"/>
                <w:szCs w:val="16"/>
                <w:color w:val="auto"/>
              </w:rPr>
              <w:t>Reviewed on a one-year stand-alone basis and three-year basis to identify</w:t>
            </w:r>
          </w:p>
        </w:tc>
        <w:tc>
          <w:tcPr>
            <w:tcW w:w="50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55"/>
        </w:trPr>
        <w:tc>
          <w:tcPr>
            <w:tcW w:w="440" w:type="dxa"/>
            <w:vAlign w:val="bottom"/>
          </w:tcPr>
          <w:p>
            <w:pPr>
              <w:spacing w:after="0"/>
              <w:rPr>
                <w:sz w:val="13"/>
                <w:szCs w:val="13"/>
                <w:color w:val="auto"/>
              </w:rPr>
            </w:pPr>
          </w:p>
        </w:tc>
        <w:tc>
          <w:tcPr>
            <w:tcW w:w="5720" w:type="dxa"/>
            <w:vAlign w:val="bottom"/>
            <w:vMerge w:val="continue"/>
          </w:tcPr>
          <w:p>
            <w:pPr>
              <w:spacing w:after="0"/>
              <w:rPr>
                <w:sz w:val="13"/>
                <w:szCs w:val="13"/>
                <w:color w:val="auto"/>
              </w:rPr>
            </w:pP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Deliberations and administration</w:t>
            </w:r>
          </w:p>
        </w:tc>
        <w:tc>
          <w:tcPr>
            <w:tcW w:w="0" w:type="dxa"/>
            <w:vAlign w:val="bottom"/>
          </w:tcPr>
          <w:p>
            <w:pPr>
              <w:spacing w:after="0"/>
              <w:rPr>
                <w:sz w:val="1"/>
                <w:szCs w:val="1"/>
                <w:color w:val="auto"/>
              </w:rPr>
            </w:pPr>
          </w:p>
        </w:tc>
      </w:tr>
      <w:tr>
        <w:trPr>
          <w:trHeight w:val="128"/>
        </w:trPr>
        <w:tc>
          <w:tcPr>
            <w:tcW w:w="440" w:type="dxa"/>
            <w:vAlign w:val="bottom"/>
          </w:tcPr>
          <w:p>
            <w:pPr>
              <w:spacing w:after="0"/>
              <w:rPr>
                <w:sz w:val="11"/>
                <w:szCs w:val="11"/>
                <w:color w:val="auto"/>
              </w:rPr>
            </w:pPr>
          </w:p>
        </w:tc>
        <w:tc>
          <w:tcPr>
            <w:tcW w:w="5720" w:type="dxa"/>
            <w:vAlign w:val="bottom"/>
            <w:vMerge w:val="restart"/>
          </w:tcPr>
          <w:p>
            <w:pPr>
              <w:ind w:left="140"/>
              <w:spacing w:after="0"/>
              <w:rPr>
                <w:sz w:val="20"/>
                <w:szCs w:val="20"/>
                <w:color w:val="auto"/>
              </w:rPr>
            </w:pPr>
            <w:r>
              <w:rPr>
                <w:rFonts w:ascii="Arial" w:cs="Arial" w:eastAsia="Arial" w:hAnsi="Arial"/>
                <w:sz w:val="16"/>
                <w:szCs w:val="16"/>
                <w:color w:val="auto"/>
              </w:rPr>
              <w:t>year-over-year trends</w:t>
            </w:r>
          </w:p>
        </w:tc>
        <w:tc>
          <w:tcPr>
            <w:tcW w:w="50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6"/>
        </w:trPr>
        <w:tc>
          <w:tcPr>
            <w:tcW w:w="440" w:type="dxa"/>
            <w:vAlign w:val="bottom"/>
          </w:tcPr>
          <w:p>
            <w:pPr>
              <w:spacing w:after="0"/>
              <w:rPr>
                <w:sz w:val="7"/>
                <w:szCs w:val="7"/>
                <w:color w:val="auto"/>
              </w:rPr>
            </w:pPr>
          </w:p>
        </w:tc>
        <w:tc>
          <w:tcPr>
            <w:tcW w:w="5720" w:type="dxa"/>
            <w:vAlign w:val="bottom"/>
            <w:vMerge w:val="continue"/>
          </w:tcPr>
          <w:p>
            <w:pPr>
              <w:spacing w:after="0"/>
              <w:rPr>
                <w:sz w:val="7"/>
                <w:szCs w:val="7"/>
                <w:color w:val="auto"/>
              </w:rPr>
            </w:pP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Committee effectiveness</w:t>
            </w:r>
          </w:p>
        </w:tc>
        <w:tc>
          <w:tcPr>
            <w:tcW w:w="0" w:type="dxa"/>
            <w:vAlign w:val="bottom"/>
          </w:tcPr>
          <w:p>
            <w:pPr>
              <w:spacing w:after="0"/>
              <w:rPr>
                <w:sz w:val="1"/>
                <w:szCs w:val="1"/>
                <w:color w:val="auto"/>
              </w:rPr>
            </w:pPr>
          </w:p>
        </w:tc>
      </w:tr>
      <w:tr>
        <w:trPr>
          <w:trHeight w:val="184"/>
        </w:trPr>
        <w:tc>
          <w:tcPr>
            <w:tcW w:w="440" w:type="dxa"/>
            <w:vAlign w:val="bottom"/>
          </w:tcPr>
          <w:p>
            <w:pPr>
              <w:spacing w:after="0"/>
              <w:rPr>
                <w:sz w:val="15"/>
                <w:szCs w:val="15"/>
                <w:color w:val="auto"/>
              </w:rPr>
            </w:pPr>
          </w:p>
        </w:tc>
        <w:tc>
          <w:tcPr>
            <w:tcW w:w="5720" w:type="dxa"/>
            <w:vAlign w:val="bottom"/>
          </w:tcPr>
          <w:p>
            <w:pPr>
              <w:spacing w:after="0"/>
              <w:rPr>
                <w:sz w:val="15"/>
                <w:szCs w:val="15"/>
                <w:color w:val="auto"/>
              </w:rPr>
            </w:pPr>
          </w:p>
        </w:tc>
        <w:tc>
          <w:tcPr>
            <w:tcW w:w="50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50"/>
        </w:trPr>
        <w:tc>
          <w:tcPr>
            <w:tcW w:w="440" w:type="dxa"/>
            <w:vAlign w:val="bottom"/>
          </w:tcPr>
          <w:p>
            <w:pPr>
              <w:spacing w:after="0"/>
              <w:rPr>
                <w:sz w:val="21"/>
                <w:szCs w:val="21"/>
                <w:color w:val="auto"/>
              </w:rPr>
            </w:pPr>
          </w:p>
        </w:tc>
        <w:tc>
          <w:tcPr>
            <w:tcW w:w="5720" w:type="dxa"/>
            <w:vAlign w:val="bottom"/>
          </w:tcPr>
          <w:p>
            <w:pPr>
              <w:spacing w:after="0"/>
              <w:rPr>
                <w:sz w:val="21"/>
                <w:szCs w:val="21"/>
                <w:color w:val="auto"/>
              </w:rPr>
            </w:pPr>
          </w:p>
        </w:tc>
        <w:tc>
          <w:tcPr>
            <w:tcW w:w="5080" w:type="dxa"/>
            <w:vAlign w:val="bottom"/>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Specific skills, experience and expertise recommended by</w:t>
            </w:r>
          </w:p>
        </w:tc>
        <w:tc>
          <w:tcPr>
            <w:tcW w:w="0" w:type="dxa"/>
            <w:vAlign w:val="bottom"/>
          </w:tcPr>
          <w:p>
            <w:pPr>
              <w:spacing w:after="0"/>
              <w:rPr>
                <w:sz w:val="1"/>
                <w:szCs w:val="1"/>
                <w:color w:val="auto"/>
              </w:rPr>
            </w:pPr>
          </w:p>
        </w:tc>
      </w:tr>
      <w:tr>
        <w:trPr>
          <w:trHeight w:val="215"/>
        </w:trPr>
        <w:tc>
          <w:tcPr>
            <w:tcW w:w="440" w:type="dxa"/>
            <w:vAlign w:val="bottom"/>
          </w:tcPr>
          <w:p>
            <w:pPr>
              <w:spacing w:after="0"/>
              <w:rPr>
                <w:sz w:val="18"/>
                <w:szCs w:val="18"/>
                <w:color w:val="auto"/>
              </w:rPr>
            </w:pPr>
          </w:p>
        </w:tc>
        <w:tc>
          <w:tcPr>
            <w:tcW w:w="5720" w:type="dxa"/>
            <w:vAlign w:val="bottom"/>
          </w:tcPr>
          <w:p>
            <w:pPr>
              <w:spacing w:after="0"/>
              <w:rPr>
                <w:sz w:val="18"/>
                <w:szCs w:val="18"/>
                <w:color w:val="auto"/>
              </w:rPr>
            </w:pPr>
          </w:p>
        </w:tc>
        <w:tc>
          <w:tcPr>
            <w:tcW w:w="5080" w:type="dxa"/>
            <w:vAlign w:val="bottom"/>
          </w:tcPr>
          <w:p>
            <w:pPr>
              <w:ind w:left="320"/>
              <w:spacing w:after="0"/>
              <w:rPr>
                <w:sz w:val="20"/>
                <w:szCs w:val="20"/>
                <w:color w:val="auto"/>
              </w:rPr>
            </w:pPr>
            <w:r>
              <w:rPr>
                <w:rFonts w:ascii="Arial" w:cs="Arial" w:eastAsia="Arial" w:hAnsi="Arial"/>
                <w:sz w:val="16"/>
                <w:szCs w:val="16"/>
                <w:color w:val="auto"/>
              </w:rPr>
              <w:t>Directors to be added or enhanced</w:t>
            </w:r>
          </w:p>
        </w:tc>
        <w:tc>
          <w:tcPr>
            <w:tcW w:w="0" w:type="dxa"/>
            <w:vAlign w:val="bottom"/>
          </w:tcPr>
          <w:p>
            <w:pPr>
              <w:spacing w:after="0"/>
              <w:rPr>
                <w:sz w:val="1"/>
                <w:szCs w:val="1"/>
                <w:color w:val="auto"/>
              </w:rPr>
            </w:pPr>
          </w:p>
        </w:tc>
      </w:tr>
      <w:tr>
        <w:trPr>
          <w:trHeight w:val="83"/>
        </w:trPr>
        <w:tc>
          <w:tcPr>
            <w:tcW w:w="440" w:type="dxa"/>
            <w:vAlign w:val="bottom"/>
            <w:tcBorders>
              <w:bottom w:val="single" w:sz="8" w:color="939598"/>
            </w:tcBorders>
          </w:tcPr>
          <w:p>
            <w:pPr>
              <w:spacing w:after="0"/>
              <w:rPr>
                <w:sz w:val="7"/>
                <w:szCs w:val="7"/>
                <w:color w:val="auto"/>
              </w:rPr>
            </w:pPr>
          </w:p>
        </w:tc>
        <w:tc>
          <w:tcPr>
            <w:tcW w:w="5720" w:type="dxa"/>
            <w:vAlign w:val="bottom"/>
            <w:tcBorders>
              <w:bottom w:val="single" w:sz="8" w:color="939598"/>
            </w:tcBorders>
          </w:tcPr>
          <w:p>
            <w:pPr>
              <w:spacing w:after="0"/>
              <w:rPr>
                <w:sz w:val="7"/>
                <w:szCs w:val="7"/>
                <w:color w:val="auto"/>
              </w:rPr>
            </w:pPr>
          </w:p>
        </w:tc>
        <w:tc>
          <w:tcPr>
            <w:tcW w:w="5080" w:type="dxa"/>
            <w:vAlign w:val="bottom"/>
            <w:tcBorders>
              <w:bottom w:val="single" w:sz="8" w:color="939598"/>
            </w:tcBorders>
          </w:tcPr>
          <w:p>
            <w:pPr>
              <w:spacing w:after="0"/>
              <w:rPr>
                <w:sz w:val="7"/>
                <w:szCs w:val="7"/>
                <w:color w:val="auto"/>
              </w:rPr>
            </w:pPr>
          </w:p>
        </w:tc>
        <w:tc>
          <w:tcPr>
            <w:tcW w:w="0" w:type="dxa"/>
            <w:vAlign w:val="bottom"/>
          </w:tcPr>
          <w:p>
            <w:pPr>
              <w:spacing w:after="0"/>
              <w:rPr>
                <w:sz w:val="1"/>
                <w:szCs w:val="1"/>
                <w:color w:val="auto"/>
              </w:rPr>
            </w:pPr>
          </w:p>
        </w:tc>
      </w:tr>
      <w:tr>
        <w:trPr>
          <w:trHeight w:val="229"/>
        </w:trPr>
        <w:tc>
          <w:tcPr>
            <w:tcW w:w="440" w:type="dxa"/>
            <w:vAlign w:val="bottom"/>
            <w:vMerge w:val="restart"/>
          </w:tcPr>
          <w:p>
            <w:pPr>
              <w:jc w:val="right"/>
              <w:spacing w:after="0"/>
              <w:rPr>
                <w:sz w:val="20"/>
                <w:szCs w:val="20"/>
                <w:color w:val="auto"/>
              </w:rPr>
            </w:pPr>
            <w:r>
              <w:rPr>
                <w:rFonts w:ascii="Arial" w:cs="Arial" w:eastAsia="Arial" w:hAnsi="Arial"/>
                <w:sz w:val="54"/>
                <w:szCs w:val="54"/>
                <w:b w:val="1"/>
                <w:bCs w:val="1"/>
                <w:color w:val="355675"/>
                <w:w w:val="93"/>
              </w:rPr>
              <w:t>2</w:t>
            </w:r>
          </w:p>
        </w:tc>
        <w:tc>
          <w:tcPr>
            <w:tcW w:w="5720" w:type="dxa"/>
            <w:vAlign w:val="bottom"/>
          </w:tcPr>
          <w:p>
            <w:pPr>
              <w:ind w:left="140"/>
              <w:spacing w:after="0"/>
              <w:rPr>
                <w:sz w:val="20"/>
                <w:szCs w:val="20"/>
                <w:color w:val="auto"/>
              </w:rPr>
            </w:pPr>
            <w:r>
              <w:rPr>
                <w:rFonts w:ascii="Arial" w:cs="Arial" w:eastAsia="Arial" w:hAnsi="Arial"/>
                <w:sz w:val="16"/>
                <w:szCs w:val="16"/>
                <w:b w:val="1"/>
                <w:bCs w:val="1"/>
                <w:color w:val="355675"/>
              </w:rPr>
              <w:t>Director Self-Evaluation</w:t>
            </w:r>
          </w:p>
        </w:tc>
        <w:tc>
          <w:tcPr>
            <w:tcW w:w="5080" w:type="dxa"/>
            <w:vAlign w:val="bottom"/>
          </w:tcPr>
          <w:p>
            <w:pPr>
              <w:ind w:left="140"/>
              <w:spacing w:after="0"/>
              <w:rPr>
                <w:sz w:val="20"/>
                <w:szCs w:val="20"/>
                <w:color w:val="auto"/>
              </w:rPr>
            </w:pPr>
            <w:r>
              <w:rPr>
                <w:rFonts w:ascii="Arial" w:cs="Arial" w:eastAsia="Arial" w:hAnsi="Arial"/>
                <w:sz w:val="16"/>
                <w:szCs w:val="16"/>
                <w:color w:val="auto"/>
              </w:rPr>
              <w:t>Topics covered include, among others:</w:t>
            </w:r>
          </w:p>
        </w:tc>
        <w:tc>
          <w:tcPr>
            <w:tcW w:w="0" w:type="dxa"/>
            <w:vAlign w:val="bottom"/>
          </w:tcPr>
          <w:p>
            <w:pPr>
              <w:spacing w:after="0"/>
              <w:rPr>
                <w:sz w:val="1"/>
                <w:szCs w:val="1"/>
                <w:color w:val="auto"/>
              </w:rPr>
            </w:pPr>
          </w:p>
        </w:tc>
      </w:tr>
      <w:tr>
        <w:trPr>
          <w:trHeight w:val="236"/>
        </w:trPr>
        <w:tc>
          <w:tcPr>
            <w:tcW w:w="440" w:type="dxa"/>
            <w:vAlign w:val="bottom"/>
            <w:vMerge w:val="continue"/>
          </w:tcPr>
          <w:p>
            <w:pPr>
              <w:spacing w:after="0"/>
              <w:rPr>
                <w:sz w:val="20"/>
                <w:szCs w:val="20"/>
                <w:color w:val="auto"/>
              </w:rPr>
            </w:pPr>
          </w:p>
        </w:tc>
        <w:tc>
          <w:tcPr>
            <w:tcW w:w="5720" w:type="dxa"/>
            <w:vAlign w:val="bottom"/>
          </w:tcPr>
          <w:p>
            <w:pPr>
              <w:ind w:left="140"/>
              <w:spacing w:after="0"/>
              <w:rPr>
                <w:sz w:val="20"/>
                <w:szCs w:val="20"/>
                <w:color w:val="auto"/>
              </w:rPr>
            </w:pPr>
            <w:r>
              <w:rPr>
                <w:rFonts w:ascii="Arial" w:cs="Arial" w:eastAsia="Arial" w:hAnsi="Arial"/>
                <w:sz w:val="16"/>
                <w:szCs w:val="16"/>
                <w:color w:val="auto"/>
              </w:rPr>
              <w:t>Each Director evaluates different areas of his or her performance as a</w:t>
            </w:r>
          </w:p>
        </w:tc>
        <w:tc>
          <w:tcPr>
            <w:tcW w:w="5080" w:type="dxa"/>
            <w:vAlign w:val="bottom"/>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Independence</w:t>
            </w:r>
          </w:p>
        </w:tc>
        <w:tc>
          <w:tcPr>
            <w:tcW w:w="0" w:type="dxa"/>
            <w:vAlign w:val="bottom"/>
          </w:tcPr>
          <w:p>
            <w:pPr>
              <w:spacing w:after="0"/>
              <w:rPr>
                <w:sz w:val="1"/>
                <w:szCs w:val="1"/>
                <w:color w:val="auto"/>
              </w:rPr>
            </w:pPr>
          </w:p>
        </w:tc>
      </w:tr>
      <w:tr>
        <w:trPr>
          <w:trHeight w:val="257"/>
        </w:trPr>
        <w:tc>
          <w:tcPr>
            <w:tcW w:w="440" w:type="dxa"/>
            <w:vAlign w:val="bottom"/>
            <w:vMerge w:val="continue"/>
          </w:tcPr>
          <w:p>
            <w:pPr>
              <w:spacing w:after="0"/>
              <w:rPr>
                <w:sz w:val="22"/>
                <w:szCs w:val="22"/>
                <w:color w:val="auto"/>
              </w:rPr>
            </w:pPr>
          </w:p>
        </w:tc>
        <w:tc>
          <w:tcPr>
            <w:tcW w:w="5720" w:type="dxa"/>
            <w:vAlign w:val="bottom"/>
          </w:tcPr>
          <w:p>
            <w:pPr>
              <w:ind w:left="140"/>
              <w:spacing w:after="0"/>
              <w:rPr>
                <w:sz w:val="20"/>
                <w:szCs w:val="20"/>
                <w:color w:val="auto"/>
              </w:rPr>
            </w:pPr>
            <w:r>
              <w:rPr>
                <w:rFonts w:ascii="Arial" w:cs="Arial" w:eastAsia="Arial" w:hAnsi="Arial"/>
                <w:sz w:val="16"/>
                <w:szCs w:val="16"/>
                <w:color w:val="auto"/>
              </w:rPr>
              <w:t>Director</w:t>
            </w: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Knowledge and expertise</w:t>
            </w:r>
          </w:p>
        </w:tc>
        <w:tc>
          <w:tcPr>
            <w:tcW w:w="0" w:type="dxa"/>
            <w:vAlign w:val="bottom"/>
          </w:tcPr>
          <w:p>
            <w:pPr>
              <w:spacing w:after="0"/>
              <w:rPr>
                <w:sz w:val="1"/>
                <w:szCs w:val="1"/>
                <w:color w:val="auto"/>
              </w:rPr>
            </w:pPr>
          </w:p>
        </w:tc>
      </w:tr>
      <w:tr>
        <w:trPr>
          <w:trHeight w:val="60"/>
        </w:trPr>
        <w:tc>
          <w:tcPr>
            <w:tcW w:w="440" w:type="dxa"/>
            <w:vAlign w:val="bottom"/>
          </w:tcPr>
          <w:p>
            <w:pPr>
              <w:spacing w:after="0"/>
              <w:rPr>
                <w:sz w:val="5"/>
                <w:szCs w:val="5"/>
                <w:color w:val="auto"/>
              </w:rPr>
            </w:pPr>
          </w:p>
        </w:tc>
        <w:tc>
          <w:tcPr>
            <w:tcW w:w="5720" w:type="dxa"/>
            <w:vAlign w:val="bottom"/>
          </w:tcPr>
          <w:p>
            <w:pPr>
              <w:spacing w:after="0"/>
              <w:rPr>
                <w:sz w:val="5"/>
                <w:szCs w:val="5"/>
                <w:color w:val="auto"/>
              </w:rPr>
            </w:pPr>
          </w:p>
        </w:tc>
        <w:tc>
          <w:tcPr>
            <w:tcW w:w="50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84"/>
        </w:trPr>
        <w:tc>
          <w:tcPr>
            <w:tcW w:w="440" w:type="dxa"/>
            <w:vAlign w:val="bottom"/>
          </w:tcPr>
          <w:p>
            <w:pPr>
              <w:spacing w:after="0"/>
              <w:rPr>
                <w:sz w:val="24"/>
                <w:szCs w:val="24"/>
                <w:color w:val="auto"/>
              </w:rPr>
            </w:pPr>
          </w:p>
        </w:tc>
        <w:tc>
          <w:tcPr>
            <w:tcW w:w="5720" w:type="dxa"/>
            <w:vAlign w:val="bottom"/>
          </w:tcPr>
          <w:p>
            <w:pPr>
              <w:spacing w:after="0"/>
              <w:rPr>
                <w:sz w:val="24"/>
                <w:szCs w:val="24"/>
                <w:color w:val="auto"/>
              </w:rPr>
            </w:pPr>
          </w:p>
        </w:tc>
        <w:tc>
          <w:tcPr>
            <w:tcW w:w="5080" w:type="dxa"/>
            <w:vAlign w:val="bottom"/>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Judgment and skills</w:t>
            </w:r>
          </w:p>
        </w:tc>
        <w:tc>
          <w:tcPr>
            <w:tcW w:w="0" w:type="dxa"/>
            <w:vAlign w:val="bottom"/>
          </w:tcPr>
          <w:p>
            <w:pPr>
              <w:spacing w:after="0"/>
              <w:rPr>
                <w:sz w:val="1"/>
                <w:szCs w:val="1"/>
                <w:color w:val="auto"/>
              </w:rPr>
            </w:pPr>
          </w:p>
        </w:tc>
      </w:tr>
      <w:tr>
        <w:trPr>
          <w:trHeight w:val="264"/>
        </w:trPr>
        <w:tc>
          <w:tcPr>
            <w:tcW w:w="440" w:type="dxa"/>
            <w:vAlign w:val="bottom"/>
            <w:tcBorders>
              <w:bottom w:val="single" w:sz="8" w:color="939598"/>
            </w:tcBorders>
          </w:tcPr>
          <w:p>
            <w:pPr>
              <w:spacing w:after="0"/>
              <w:rPr>
                <w:sz w:val="22"/>
                <w:szCs w:val="22"/>
                <w:color w:val="auto"/>
              </w:rPr>
            </w:pPr>
          </w:p>
        </w:tc>
        <w:tc>
          <w:tcPr>
            <w:tcW w:w="5720" w:type="dxa"/>
            <w:vAlign w:val="bottom"/>
            <w:tcBorders>
              <w:bottom w:val="single" w:sz="8" w:color="939598"/>
            </w:tcBorders>
          </w:tcPr>
          <w:p>
            <w:pPr>
              <w:spacing w:after="0"/>
              <w:rPr>
                <w:sz w:val="22"/>
                <w:szCs w:val="22"/>
                <w:color w:val="auto"/>
              </w:rPr>
            </w:pPr>
          </w:p>
        </w:tc>
        <w:tc>
          <w:tcPr>
            <w:tcW w:w="5080" w:type="dxa"/>
            <w:vAlign w:val="bottom"/>
            <w:tcBorders>
              <w:bottom w:val="single" w:sz="8" w:color="939598"/>
            </w:tcBorders>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Participation and contribution to collective decision-making</w:t>
            </w:r>
          </w:p>
        </w:tc>
        <w:tc>
          <w:tcPr>
            <w:tcW w:w="0" w:type="dxa"/>
            <w:vAlign w:val="bottom"/>
          </w:tcPr>
          <w:p>
            <w:pPr>
              <w:spacing w:after="0"/>
              <w:rPr>
                <w:sz w:val="1"/>
                <w:szCs w:val="1"/>
                <w:color w:val="auto"/>
              </w:rPr>
            </w:pPr>
          </w:p>
        </w:tc>
      </w:tr>
      <w:tr>
        <w:trPr>
          <w:trHeight w:val="229"/>
        </w:trPr>
        <w:tc>
          <w:tcPr>
            <w:tcW w:w="440" w:type="dxa"/>
            <w:vAlign w:val="bottom"/>
            <w:vMerge w:val="restart"/>
          </w:tcPr>
          <w:p>
            <w:pPr>
              <w:jc w:val="right"/>
              <w:spacing w:after="0"/>
              <w:rPr>
                <w:sz w:val="20"/>
                <w:szCs w:val="20"/>
                <w:color w:val="auto"/>
              </w:rPr>
            </w:pPr>
            <w:r>
              <w:rPr>
                <w:rFonts w:ascii="Arial" w:cs="Arial" w:eastAsia="Arial" w:hAnsi="Arial"/>
                <w:sz w:val="54"/>
                <w:szCs w:val="54"/>
                <w:b w:val="1"/>
                <w:bCs w:val="1"/>
                <w:color w:val="355675"/>
                <w:w w:val="93"/>
              </w:rPr>
              <w:t>3</w:t>
            </w:r>
          </w:p>
        </w:tc>
        <w:tc>
          <w:tcPr>
            <w:tcW w:w="5720" w:type="dxa"/>
            <w:vAlign w:val="bottom"/>
          </w:tcPr>
          <w:p>
            <w:pPr>
              <w:ind w:left="140"/>
              <w:spacing w:after="0"/>
              <w:rPr>
                <w:sz w:val="20"/>
                <w:szCs w:val="20"/>
                <w:color w:val="auto"/>
              </w:rPr>
            </w:pPr>
            <w:r>
              <w:rPr>
                <w:rFonts w:ascii="Arial" w:cs="Arial" w:eastAsia="Arial" w:hAnsi="Arial"/>
                <w:sz w:val="16"/>
                <w:szCs w:val="16"/>
                <w:b w:val="1"/>
                <w:bCs w:val="1"/>
                <w:color w:val="355675"/>
              </w:rPr>
              <w:t>One-on-One Discussions</w:t>
            </w:r>
          </w:p>
        </w:tc>
        <w:tc>
          <w:tcPr>
            <w:tcW w:w="5080" w:type="dxa"/>
            <w:vAlign w:val="bottom"/>
          </w:tcPr>
          <w:p>
            <w:pPr>
              <w:ind w:left="140"/>
              <w:spacing w:after="0"/>
              <w:rPr>
                <w:sz w:val="20"/>
                <w:szCs w:val="20"/>
                <w:color w:val="auto"/>
              </w:rPr>
            </w:pPr>
            <w:r>
              <w:rPr>
                <w:rFonts w:ascii="Arial" w:cs="Arial" w:eastAsia="Arial" w:hAnsi="Arial"/>
                <w:sz w:val="16"/>
                <w:szCs w:val="16"/>
                <w:color w:val="auto"/>
              </w:rPr>
              <w:t>Topics covered include, among others:</w:t>
            </w:r>
          </w:p>
        </w:tc>
        <w:tc>
          <w:tcPr>
            <w:tcW w:w="0" w:type="dxa"/>
            <w:vAlign w:val="bottom"/>
          </w:tcPr>
          <w:p>
            <w:pPr>
              <w:spacing w:after="0"/>
              <w:rPr>
                <w:sz w:val="1"/>
                <w:szCs w:val="1"/>
                <w:color w:val="auto"/>
              </w:rPr>
            </w:pPr>
          </w:p>
        </w:tc>
      </w:tr>
      <w:tr>
        <w:trPr>
          <w:trHeight w:val="236"/>
        </w:trPr>
        <w:tc>
          <w:tcPr>
            <w:tcW w:w="440" w:type="dxa"/>
            <w:vAlign w:val="bottom"/>
            <w:vMerge w:val="continue"/>
          </w:tcPr>
          <w:p>
            <w:pPr>
              <w:spacing w:after="0"/>
              <w:rPr>
                <w:sz w:val="20"/>
                <w:szCs w:val="20"/>
                <w:color w:val="auto"/>
              </w:rPr>
            </w:pPr>
          </w:p>
        </w:tc>
        <w:tc>
          <w:tcPr>
            <w:tcW w:w="5720" w:type="dxa"/>
            <w:vAlign w:val="bottom"/>
          </w:tcPr>
          <w:p>
            <w:pPr>
              <w:ind w:left="140"/>
              <w:spacing w:after="0"/>
              <w:rPr>
                <w:sz w:val="20"/>
                <w:szCs w:val="20"/>
                <w:color w:val="auto"/>
              </w:rPr>
            </w:pPr>
            <w:r>
              <w:rPr>
                <w:rFonts w:ascii="Arial" w:cs="Arial" w:eastAsia="Arial" w:hAnsi="Arial"/>
                <w:sz w:val="16"/>
                <w:szCs w:val="16"/>
                <w:color w:val="auto"/>
              </w:rPr>
              <w:t>Conducted by Lead Director, who initially reviews the assessment results, in</w:t>
            </w:r>
          </w:p>
        </w:tc>
        <w:tc>
          <w:tcPr>
            <w:tcW w:w="5080" w:type="dxa"/>
            <w:vAlign w:val="bottom"/>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The Board, its functions and membership</w:t>
            </w:r>
          </w:p>
        </w:tc>
        <w:tc>
          <w:tcPr>
            <w:tcW w:w="0" w:type="dxa"/>
            <w:vAlign w:val="bottom"/>
          </w:tcPr>
          <w:p>
            <w:pPr>
              <w:spacing w:after="0"/>
              <w:rPr>
                <w:sz w:val="1"/>
                <w:szCs w:val="1"/>
                <w:color w:val="auto"/>
              </w:rPr>
            </w:pPr>
          </w:p>
        </w:tc>
      </w:tr>
      <w:tr>
        <w:trPr>
          <w:trHeight w:val="257"/>
        </w:trPr>
        <w:tc>
          <w:tcPr>
            <w:tcW w:w="440" w:type="dxa"/>
            <w:vAlign w:val="bottom"/>
            <w:vMerge w:val="continue"/>
          </w:tcPr>
          <w:p>
            <w:pPr>
              <w:spacing w:after="0"/>
              <w:rPr>
                <w:sz w:val="22"/>
                <w:szCs w:val="22"/>
                <w:color w:val="auto"/>
              </w:rPr>
            </w:pPr>
          </w:p>
        </w:tc>
        <w:tc>
          <w:tcPr>
            <w:tcW w:w="5720" w:type="dxa"/>
            <w:vAlign w:val="bottom"/>
          </w:tcPr>
          <w:p>
            <w:pPr>
              <w:ind w:left="140"/>
              <w:spacing w:after="0"/>
              <w:rPr>
                <w:sz w:val="20"/>
                <w:szCs w:val="20"/>
                <w:color w:val="auto"/>
              </w:rPr>
            </w:pPr>
            <w:r>
              <w:rPr>
                <w:rFonts w:ascii="Arial" w:cs="Arial" w:eastAsia="Arial" w:hAnsi="Arial"/>
                <w:sz w:val="16"/>
                <w:szCs w:val="16"/>
                <w:color w:val="auto"/>
              </w:rPr>
              <w:t>a formal annual call</w:t>
            </w: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Board and committee structure</w:t>
            </w:r>
          </w:p>
        </w:tc>
        <w:tc>
          <w:tcPr>
            <w:tcW w:w="0" w:type="dxa"/>
            <w:vAlign w:val="bottom"/>
          </w:tcPr>
          <w:p>
            <w:pPr>
              <w:spacing w:after="0"/>
              <w:rPr>
                <w:sz w:val="1"/>
                <w:szCs w:val="1"/>
                <w:color w:val="auto"/>
              </w:rPr>
            </w:pPr>
          </w:p>
        </w:tc>
      </w:tr>
      <w:tr>
        <w:trPr>
          <w:trHeight w:val="60"/>
        </w:trPr>
        <w:tc>
          <w:tcPr>
            <w:tcW w:w="440" w:type="dxa"/>
            <w:vAlign w:val="bottom"/>
          </w:tcPr>
          <w:p>
            <w:pPr>
              <w:spacing w:after="0"/>
              <w:rPr>
                <w:sz w:val="5"/>
                <w:szCs w:val="5"/>
                <w:color w:val="auto"/>
              </w:rPr>
            </w:pPr>
          </w:p>
        </w:tc>
        <w:tc>
          <w:tcPr>
            <w:tcW w:w="5720" w:type="dxa"/>
            <w:vAlign w:val="bottom"/>
            <w:vMerge w:val="restart"/>
          </w:tcPr>
          <w:p>
            <w:pPr>
              <w:ind w:left="140"/>
              <w:spacing w:after="0"/>
              <w:rPr>
                <w:sz w:val="20"/>
                <w:szCs w:val="20"/>
                <w:color w:val="auto"/>
              </w:rPr>
            </w:pPr>
            <w:r>
              <w:rPr>
                <w:rFonts w:ascii="Arial" w:cs="Arial" w:eastAsia="Arial" w:hAnsi="Arial"/>
                <w:sz w:val="16"/>
                <w:szCs w:val="16"/>
                <w:color w:val="auto"/>
              </w:rPr>
              <w:t>The Lead Director is prepared to have hard conversations, if necessary, to</w:t>
            </w:r>
          </w:p>
        </w:tc>
        <w:tc>
          <w:tcPr>
            <w:tcW w:w="50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55"/>
        </w:trPr>
        <w:tc>
          <w:tcPr>
            <w:tcW w:w="440" w:type="dxa"/>
            <w:vAlign w:val="bottom"/>
          </w:tcPr>
          <w:p>
            <w:pPr>
              <w:spacing w:after="0"/>
              <w:rPr>
                <w:sz w:val="13"/>
                <w:szCs w:val="13"/>
                <w:color w:val="auto"/>
              </w:rPr>
            </w:pPr>
          </w:p>
        </w:tc>
        <w:tc>
          <w:tcPr>
            <w:tcW w:w="5720" w:type="dxa"/>
            <w:vAlign w:val="bottom"/>
            <w:vMerge w:val="continue"/>
          </w:tcPr>
          <w:p>
            <w:pPr>
              <w:spacing w:after="0"/>
              <w:rPr>
                <w:sz w:val="13"/>
                <w:szCs w:val="13"/>
                <w:color w:val="auto"/>
              </w:rPr>
            </w:pP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Processes for effective communication and feedback</w:t>
            </w:r>
          </w:p>
        </w:tc>
        <w:tc>
          <w:tcPr>
            <w:tcW w:w="0" w:type="dxa"/>
            <w:vAlign w:val="bottom"/>
          </w:tcPr>
          <w:p>
            <w:pPr>
              <w:spacing w:after="0"/>
              <w:rPr>
                <w:sz w:val="1"/>
                <w:szCs w:val="1"/>
                <w:color w:val="auto"/>
              </w:rPr>
            </w:pPr>
          </w:p>
        </w:tc>
      </w:tr>
      <w:tr>
        <w:trPr>
          <w:trHeight w:val="128"/>
        </w:trPr>
        <w:tc>
          <w:tcPr>
            <w:tcW w:w="440" w:type="dxa"/>
            <w:vAlign w:val="bottom"/>
          </w:tcPr>
          <w:p>
            <w:pPr>
              <w:spacing w:after="0"/>
              <w:rPr>
                <w:sz w:val="11"/>
                <w:szCs w:val="11"/>
                <w:color w:val="auto"/>
              </w:rPr>
            </w:pPr>
          </w:p>
        </w:tc>
        <w:tc>
          <w:tcPr>
            <w:tcW w:w="5720" w:type="dxa"/>
            <w:vAlign w:val="bottom"/>
            <w:vMerge w:val="restart"/>
          </w:tcPr>
          <w:p>
            <w:pPr>
              <w:ind w:left="140"/>
              <w:spacing w:after="0"/>
              <w:rPr>
                <w:sz w:val="20"/>
                <w:szCs w:val="20"/>
                <w:color w:val="auto"/>
              </w:rPr>
            </w:pPr>
            <w:r>
              <w:rPr>
                <w:rFonts w:ascii="Arial" w:cs="Arial" w:eastAsia="Arial" w:hAnsi="Arial"/>
                <w:sz w:val="16"/>
                <w:szCs w:val="16"/>
                <w:color w:val="auto"/>
              </w:rPr>
              <w:t>keep the Board, and each individual Director, functioning at a high level</w:t>
            </w:r>
          </w:p>
        </w:tc>
        <w:tc>
          <w:tcPr>
            <w:tcW w:w="50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7"/>
        </w:trPr>
        <w:tc>
          <w:tcPr>
            <w:tcW w:w="440" w:type="dxa"/>
            <w:vAlign w:val="bottom"/>
          </w:tcPr>
          <w:p>
            <w:pPr>
              <w:spacing w:after="0"/>
              <w:rPr>
                <w:sz w:val="7"/>
                <w:szCs w:val="7"/>
                <w:color w:val="auto"/>
              </w:rPr>
            </w:pPr>
          </w:p>
        </w:tc>
        <w:tc>
          <w:tcPr>
            <w:tcW w:w="5720" w:type="dxa"/>
            <w:vAlign w:val="bottom"/>
            <w:vMerge w:val="continue"/>
          </w:tcPr>
          <w:p>
            <w:pPr>
              <w:spacing w:after="0"/>
              <w:rPr>
                <w:sz w:val="7"/>
                <w:szCs w:val="7"/>
                <w:color w:val="auto"/>
              </w:rPr>
            </w:pPr>
          </w:p>
        </w:tc>
        <w:tc>
          <w:tcPr>
            <w:tcW w:w="5080" w:type="dxa"/>
            <w:vAlign w:val="bottom"/>
            <w:vMerge w:val="restart"/>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Director’s plan with respect to continuing Board service</w:t>
            </w:r>
          </w:p>
        </w:tc>
        <w:tc>
          <w:tcPr>
            <w:tcW w:w="0" w:type="dxa"/>
            <w:vAlign w:val="bottom"/>
          </w:tcPr>
          <w:p>
            <w:pPr>
              <w:spacing w:after="0"/>
              <w:rPr>
                <w:sz w:val="1"/>
                <w:szCs w:val="1"/>
                <w:color w:val="auto"/>
              </w:rPr>
            </w:pPr>
          </w:p>
        </w:tc>
      </w:tr>
      <w:tr>
        <w:trPr>
          <w:trHeight w:val="183"/>
        </w:trPr>
        <w:tc>
          <w:tcPr>
            <w:tcW w:w="440" w:type="dxa"/>
            <w:vAlign w:val="bottom"/>
          </w:tcPr>
          <w:p>
            <w:pPr>
              <w:spacing w:after="0"/>
              <w:rPr>
                <w:sz w:val="15"/>
                <w:szCs w:val="15"/>
                <w:color w:val="auto"/>
              </w:rPr>
            </w:pPr>
          </w:p>
        </w:tc>
        <w:tc>
          <w:tcPr>
            <w:tcW w:w="5720" w:type="dxa"/>
            <w:vAlign w:val="bottom"/>
          </w:tcPr>
          <w:p>
            <w:pPr>
              <w:spacing w:after="0"/>
              <w:rPr>
                <w:sz w:val="15"/>
                <w:szCs w:val="15"/>
                <w:color w:val="auto"/>
              </w:rPr>
            </w:pPr>
          </w:p>
        </w:tc>
        <w:tc>
          <w:tcPr>
            <w:tcW w:w="50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64"/>
        </w:trPr>
        <w:tc>
          <w:tcPr>
            <w:tcW w:w="440" w:type="dxa"/>
            <w:vAlign w:val="bottom"/>
            <w:tcBorders>
              <w:bottom w:val="single" w:sz="8" w:color="939598"/>
            </w:tcBorders>
          </w:tcPr>
          <w:p>
            <w:pPr>
              <w:spacing w:after="0"/>
              <w:rPr>
                <w:sz w:val="22"/>
                <w:szCs w:val="22"/>
                <w:color w:val="auto"/>
              </w:rPr>
            </w:pPr>
          </w:p>
        </w:tc>
        <w:tc>
          <w:tcPr>
            <w:tcW w:w="5720" w:type="dxa"/>
            <w:vAlign w:val="bottom"/>
            <w:tcBorders>
              <w:bottom w:val="single" w:sz="8" w:color="939598"/>
            </w:tcBorders>
          </w:tcPr>
          <w:p>
            <w:pPr>
              <w:spacing w:after="0"/>
              <w:rPr>
                <w:sz w:val="22"/>
                <w:szCs w:val="22"/>
                <w:color w:val="auto"/>
              </w:rPr>
            </w:pPr>
          </w:p>
        </w:tc>
        <w:tc>
          <w:tcPr>
            <w:tcW w:w="5080" w:type="dxa"/>
            <w:vAlign w:val="bottom"/>
            <w:tcBorders>
              <w:bottom w:val="single" w:sz="8" w:color="939598"/>
            </w:tcBorders>
          </w:tcPr>
          <w:p>
            <w:pPr>
              <w:ind w:left="140"/>
              <w:spacing w:after="0"/>
              <w:rPr>
                <w:sz w:val="20"/>
                <w:szCs w:val="20"/>
                <w:color w:val="auto"/>
              </w:rPr>
            </w:pPr>
            <w:r>
              <w:rPr>
                <w:rFonts w:ascii="Arial" w:cs="Arial" w:eastAsia="Arial" w:hAnsi="Arial"/>
                <w:sz w:val="16"/>
                <w:szCs w:val="16"/>
                <w:b w:val="1"/>
                <w:bCs w:val="1"/>
                <w:color w:val="355675"/>
              </w:rPr>
              <w:t xml:space="preserve">● </w:t>
            </w:r>
            <w:r>
              <w:rPr>
                <w:rFonts w:ascii="Arial" w:cs="Arial" w:eastAsia="Arial" w:hAnsi="Arial"/>
                <w:sz w:val="16"/>
                <w:szCs w:val="16"/>
                <w:color w:val="000000"/>
              </w:rPr>
              <w:t>Any other topic the individual Director desires to discuss</w:t>
            </w:r>
          </w:p>
        </w:tc>
        <w:tc>
          <w:tcPr>
            <w:tcW w:w="0" w:type="dxa"/>
            <w:vAlign w:val="bottom"/>
          </w:tcPr>
          <w:p>
            <w:pPr>
              <w:spacing w:after="0"/>
              <w:rPr>
                <w:sz w:val="1"/>
                <w:szCs w:val="1"/>
                <w:color w:val="auto"/>
              </w:rPr>
            </w:pPr>
          </w:p>
        </w:tc>
      </w:tr>
      <w:tr>
        <w:trPr>
          <w:trHeight w:val="210"/>
        </w:trPr>
        <w:tc>
          <w:tcPr>
            <w:tcW w:w="440" w:type="dxa"/>
            <w:vAlign w:val="bottom"/>
            <w:vMerge w:val="restart"/>
          </w:tcPr>
          <w:p>
            <w:pPr>
              <w:jc w:val="right"/>
              <w:spacing w:after="0" w:line="601" w:lineRule="exact"/>
              <w:rPr>
                <w:sz w:val="20"/>
                <w:szCs w:val="20"/>
                <w:color w:val="auto"/>
              </w:rPr>
            </w:pPr>
            <w:r>
              <w:rPr>
                <w:rFonts w:ascii="Arial" w:cs="Arial" w:eastAsia="Arial" w:hAnsi="Arial"/>
                <w:sz w:val="54"/>
                <w:szCs w:val="54"/>
                <w:b w:val="1"/>
                <w:bCs w:val="1"/>
                <w:color w:val="355675"/>
                <w:w w:val="93"/>
              </w:rPr>
              <w:t>4</w:t>
            </w:r>
          </w:p>
        </w:tc>
        <w:tc>
          <w:tcPr>
            <w:tcW w:w="5720" w:type="dxa"/>
            <w:vAlign w:val="bottom"/>
          </w:tcPr>
          <w:p>
            <w:pPr>
              <w:ind w:left="140"/>
              <w:spacing w:after="0"/>
              <w:rPr>
                <w:sz w:val="20"/>
                <w:szCs w:val="20"/>
                <w:color w:val="auto"/>
              </w:rPr>
            </w:pPr>
            <w:r>
              <w:rPr>
                <w:rFonts w:ascii="Arial" w:cs="Arial" w:eastAsia="Arial" w:hAnsi="Arial"/>
                <w:sz w:val="16"/>
                <w:szCs w:val="16"/>
                <w:b w:val="1"/>
                <w:bCs w:val="1"/>
                <w:color w:val="355675"/>
              </w:rPr>
              <w:t>Evaluation Results</w:t>
            </w:r>
          </w:p>
        </w:tc>
        <w:tc>
          <w:tcPr>
            <w:tcW w:w="5080" w:type="dxa"/>
            <w:vAlign w:val="bottom"/>
          </w:tcPr>
          <w:p>
            <w:pPr>
              <w:ind w:left="140"/>
              <w:spacing w:after="0"/>
              <w:rPr>
                <w:sz w:val="20"/>
                <w:szCs w:val="20"/>
                <w:color w:val="auto"/>
              </w:rPr>
            </w:pPr>
            <w:r>
              <w:rPr>
                <w:rFonts w:ascii="Arial" w:cs="Arial" w:eastAsia="Arial" w:hAnsi="Arial"/>
                <w:sz w:val="16"/>
                <w:szCs w:val="16"/>
                <w:color w:val="auto"/>
              </w:rPr>
              <w:t>The results of the evaluations and calls are presented to the</w:t>
            </w:r>
          </w:p>
        </w:tc>
        <w:tc>
          <w:tcPr>
            <w:tcW w:w="0" w:type="dxa"/>
            <w:vAlign w:val="bottom"/>
          </w:tcPr>
          <w:p>
            <w:pPr>
              <w:spacing w:after="0"/>
              <w:rPr>
                <w:sz w:val="1"/>
                <w:szCs w:val="1"/>
                <w:color w:val="auto"/>
              </w:rPr>
            </w:pPr>
          </w:p>
        </w:tc>
      </w:tr>
      <w:tr>
        <w:trPr>
          <w:trHeight w:val="175"/>
        </w:trPr>
        <w:tc>
          <w:tcPr>
            <w:tcW w:w="440" w:type="dxa"/>
            <w:vAlign w:val="bottom"/>
            <w:vMerge w:val="continue"/>
          </w:tcPr>
          <w:p>
            <w:pPr>
              <w:spacing w:after="0"/>
              <w:rPr>
                <w:sz w:val="15"/>
                <w:szCs w:val="15"/>
                <w:color w:val="auto"/>
              </w:rPr>
            </w:pPr>
          </w:p>
        </w:tc>
        <w:tc>
          <w:tcPr>
            <w:tcW w:w="5720" w:type="dxa"/>
            <w:vAlign w:val="bottom"/>
          </w:tcPr>
          <w:p>
            <w:pPr>
              <w:spacing w:after="0"/>
              <w:rPr>
                <w:sz w:val="15"/>
                <w:szCs w:val="15"/>
                <w:color w:val="auto"/>
              </w:rPr>
            </w:pPr>
          </w:p>
        </w:tc>
        <w:tc>
          <w:tcPr>
            <w:tcW w:w="5080" w:type="dxa"/>
            <w:vAlign w:val="bottom"/>
          </w:tcPr>
          <w:p>
            <w:pPr>
              <w:ind w:left="140"/>
              <w:spacing w:after="0" w:line="175" w:lineRule="exact"/>
              <w:rPr>
                <w:sz w:val="20"/>
                <w:szCs w:val="20"/>
                <w:color w:val="auto"/>
              </w:rPr>
            </w:pPr>
            <w:r>
              <w:rPr>
                <w:rFonts w:ascii="Arial" w:cs="Arial" w:eastAsia="Arial" w:hAnsi="Arial"/>
                <w:sz w:val="16"/>
                <w:szCs w:val="16"/>
                <w:color w:val="auto"/>
              </w:rPr>
              <w:t>Corporate Governance and Public Responsibility Committee and full</w:t>
            </w:r>
          </w:p>
        </w:tc>
        <w:tc>
          <w:tcPr>
            <w:tcW w:w="0" w:type="dxa"/>
            <w:vAlign w:val="bottom"/>
          </w:tcPr>
          <w:p>
            <w:pPr>
              <w:spacing w:after="0"/>
              <w:rPr>
                <w:sz w:val="1"/>
                <w:szCs w:val="1"/>
                <w:color w:val="auto"/>
              </w:rPr>
            </w:pPr>
          </w:p>
        </w:tc>
      </w:tr>
      <w:tr>
        <w:trPr>
          <w:trHeight w:val="217"/>
        </w:trPr>
        <w:tc>
          <w:tcPr>
            <w:tcW w:w="440" w:type="dxa"/>
            <w:vAlign w:val="bottom"/>
            <w:tcBorders>
              <w:bottom w:val="single" w:sz="8" w:color="939598"/>
            </w:tcBorders>
            <w:vMerge w:val="continue"/>
          </w:tcPr>
          <w:p>
            <w:pPr>
              <w:spacing w:after="0"/>
              <w:rPr>
                <w:sz w:val="18"/>
                <w:szCs w:val="18"/>
                <w:color w:val="auto"/>
              </w:rPr>
            </w:pPr>
          </w:p>
        </w:tc>
        <w:tc>
          <w:tcPr>
            <w:tcW w:w="5720" w:type="dxa"/>
            <w:vAlign w:val="bottom"/>
            <w:tcBorders>
              <w:bottom w:val="single" w:sz="8" w:color="939598"/>
            </w:tcBorders>
          </w:tcPr>
          <w:p>
            <w:pPr>
              <w:spacing w:after="0"/>
              <w:rPr>
                <w:sz w:val="18"/>
                <w:szCs w:val="18"/>
                <w:color w:val="auto"/>
              </w:rPr>
            </w:pPr>
          </w:p>
        </w:tc>
        <w:tc>
          <w:tcPr>
            <w:tcW w:w="5080" w:type="dxa"/>
            <w:vAlign w:val="bottom"/>
            <w:tcBorders>
              <w:bottom w:val="single" w:sz="8" w:color="939598"/>
            </w:tcBorders>
          </w:tcPr>
          <w:p>
            <w:pPr>
              <w:ind w:left="140"/>
              <w:spacing w:after="0"/>
              <w:rPr>
                <w:sz w:val="20"/>
                <w:szCs w:val="20"/>
                <w:color w:val="auto"/>
              </w:rPr>
            </w:pPr>
            <w:r>
              <w:rPr>
                <w:rFonts w:ascii="Arial" w:cs="Arial" w:eastAsia="Arial" w:hAnsi="Arial"/>
                <w:sz w:val="16"/>
                <w:szCs w:val="16"/>
                <w:color w:val="auto"/>
              </w:rPr>
              <w:t>Board each February</w:t>
            </w:r>
          </w:p>
        </w:tc>
        <w:tc>
          <w:tcPr>
            <w:tcW w:w="0" w:type="dxa"/>
            <w:vAlign w:val="bottom"/>
          </w:tcPr>
          <w:p>
            <w:pPr>
              <w:spacing w:after="0"/>
              <w:rPr>
                <w:sz w:val="1"/>
                <w:szCs w:val="1"/>
                <w:color w:val="auto"/>
              </w:rPr>
            </w:pPr>
          </w:p>
        </w:tc>
      </w:tr>
      <w:tr>
        <w:trPr>
          <w:trHeight w:val="211"/>
        </w:trPr>
        <w:tc>
          <w:tcPr>
            <w:tcW w:w="440" w:type="dxa"/>
            <w:vAlign w:val="bottom"/>
          </w:tcPr>
          <w:p>
            <w:pPr>
              <w:jc w:val="right"/>
              <w:spacing w:after="0" w:line="211" w:lineRule="exact"/>
              <w:rPr>
                <w:sz w:val="20"/>
                <w:szCs w:val="20"/>
                <w:color w:val="auto"/>
              </w:rPr>
            </w:pPr>
            <w:r>
              <w:rPr>
                <w:rFonts w:ascii="Arial" w:cs="Arial" w:eastAsia="Arial" w:hAnsi="Arial"/>
                <w:sz w:val="24"/>
                <w:szCs w:val="24"/>
                <w:b w:val="1"/>
                <w:bCs w:val="1"/>
                <w:color w:val="355675"/>
              </w:rPr>
              <w:t>5</w:t>
            </w:r>
          </w:p>
        </w:tc>
        <w:tc>
          <w:tcPr>
            <w:tcW w:w="5720" w:type="dxa"/>
            <w:vAlign w:val="bottom"/>
          </w:tcPr>
          <w:p>
            <w:pPr>
              <w:ind w:left="140"/>
              <w:spacing w:after="0"/>
              <w:rPr>
                <w:sz w:val="20"/>
                <w:szCs w:val="20"/>
                <w:color w:val="auto"/>
              </w:rPr>
            </w:pPr>
            <w:r>
              <w:rPr>
                <w:rFonts w:ascii="Arial" w:cs="Arial" w:eastAsia="Arial" w:hAnsi="Arial"/>
                <w:sz w:val="16"/>
                <w:szCs w:val="16"/>
                <w:b w:val="1"/>
                <w:bCs w:val="1"/>
                <w:color w:val="355675"/>
              </w:rPr>
              <w:t>Feedback Incorporated</w:t>
            </w:r>
          </w:p>
        </w:tc>
        <w:tc>
          <w:tcPr>
            <w:tcW w:w="5080" w:type="dxa"/>
            <w:vAlign w:val="bottom"/>
          </w:tcPr>
          <w:p>
            <w:pPr>
              <w:ind w:left="140"/>
              <w:spacing w:after="0"/>
              <w:rPr>
                <w:sz w:val="20"/>
                <w:szCs w:val="20"/>
                <w:color w:val="auto"/>
              </w:rPr>
            </w:pPr>
            <w:r>
              <w:rPr>
                <w:rFonts w:ascii="Arial" w:cs="Arial" w:eastAsia="Arial" w:hAnsi="Arial"/>
                <w:sz w:val="16"/>
                <w:szCs w:val="16"/>
                <w:color w:val="auto"/>
              </w:rPr>
              <w:t>Based on the evaluation results, changes in practices or procedures</w:t>
            </w:r>
          </w:p>
        </w:tc>
        <w:tc>
          <w:tcPr>
            <w:tcW w:w="0" w:type="dxa"/>
            <w:vAlign w:val="bottom"/>
          </w:tcPr>
          <w:p>
            <w:pPr>
              <w:spacing w:after="0"/>
              <w:rPr>
                <w:sz w:val="1"/>
                <w:szCs w:val="1"/>
                <w:color w:val="auto"/>
              </w:rPr>
            </w:pPr>
          </w:p>
        </w:tc>
      </w:tr>
    </w:tbl>
    <w:p>
      <w:pPr>
        <w:ind w:left="6300"/>
        <w:spacing w:after="0"/>
        <w:rPr>
          <w:sz w:val="20"/>
          <w:szCs w:val="20"/>
          <w:color w:val="auto"/>
        </w:rPr>
      </w:pPr>
      <w:r>
        <w:rPr>
          <w:rFonts w:ascii="Arial" w:cs="Arial" w:eastAsia="Arial" w:hAnsi="Arial"/>
          <w:sz w:val="16"/>
          <w:szCs w:val="16"/>
          <w:color w:val="auto"/>
        </w:rPr>
        <w:t>are considered and implemented as needed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147955</wp:posOffset>
            </wp:positionV>
            <wp:extent cx="7132320" cy="254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32320" cy="25400"/>
                    </a:xfrm>
                    <a:prstGeom prst="rect">
                      <a:avLst/>
                    </a:prstGeom>
                    <a:noFill/>
                  </pic:spPr>
                </pic:pic>
              </a:graphicData>
            </a:graphic>
          </wp:anchor>
        </w:drawing>
      </w:r>
    </w:p>
    <w:p>
      <w:pPr>
        <w:spacing w:after="0" w:line="200" w:lineRule="exact"/>
        <w:rPr>
          <w:sz w:val="20"/>
          <w:szCs w:val="20"/>
          <w:color w:val="auto"/>
        </w:rPr>
      </w:pPr>
    </w:p>
    <w:p>
      <w:pPr>
        <w:spacing w:after="0" w:line="250" w:lineRule="exact"/>
        <w:rPr>
          <w:sz w:val="20"/>
          <w:szCs w:val="20"/>
          <w:color w:val="auto"/>
        </w:rPr>
      </w:pPr>
    </w:p>
    <w:p>
      <w:pPr>
        <w:ind w:right="60"/>
        <w:spacing w:after="0" w:line="259" w:lineRule="auto"/>
        <w:rPr>
          <w:sz w:val="20"/>
          <w:szCs w:val="20"/>
          <w:color w:val="auto"/>
        </w:rPr>
      </w:pPr>
      <w:r>
        <w:rPr>
          <w:rFonts w:ascii="Arial" w:cs="Arial" w:eastAsia="Arial" w:hAnsi="Arial"/>
          <w:sz w:val="17"/>
          <w:szCs w:val="17"/>
          <w:color w:val="auto"/>
        </w:rPr>
        <w:t>Each year, the Corporate Governance and Public Responsibility Committee reviews the Board and Director Self-Evaluations as well as the evaluation process to determine whether any changes to the evaluations or the process is necessary. This annual review is also shared with, and recommendations are solicited from, the full Board. This process provides the Board the ability to assess the overall functioning of the Board as a whole, and identify any skills, experience or expertise needed to continue to provide effective oversight of the Company’s long-term strategy. This process also allows the Board to identify any areas of concern, both with respect to the Board overall and with respect to individual performance. As performance issues are identified, they are addressed by the Lead Director and the Chairman as needed.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116840</wp:posOffset>
            </wp:positionV>
            <wp:extent cx="1191260" cy="2317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5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35" w:name="page36"/>
    <w:bookmarkEnd w:id="3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Director Onboarding</w:t>
      </w:r>
    </w:p>
    <w:p>
      <w:pPr>
        <w:spacing w:after="0" w:line="210" w:lineRule="exact"/>
        <w:rPr>
          <w:sz w:val="20"/>
          <w:szCs w:val="20"/>
          <w:color w:val="auto"/>
        </w:rPr>
      </w:pPr>
    </w:p>
    <w:p>
      <w:pPr>
        <w:ind w:right="340"/>
        <w:spacing w:after="0" w:line="244" w:lineRule="auto"/>
        <w:rPr>
          <w:sz w:val="20"/>
          <w:szCs w:val="20"/>
          <w:color w:val="auto"/>
        </w:rPr>
      </w:pPr>
      <w:r>
        <w:rPr>
          <w:rFonts w:ascii="Arial" w:cs="Arial" w:eastAsia="Arial" w:hAnsi="Arial"/>
          <w:sz w:val="18"/>
          <w:szCs w:val="18"/>
          <w:color w:val="auto"/>
        </w:rPr>
        <w:t>Upon election to the Board, all new directors attend a director orientation program tailored to each director based on their past individual experience. After Mr. Spence was elected to the Board, he received detailed information and materials about our Company, business and operations. He attended a virtual orientation that took place over several days and included meetings with management from multiple business units, and presentations on topics of significance to the Company and our industry. A similar orientation is planned for Mr. de la Melena, Jr.</w:t>
      </w:r>
    </w:p>
    <w:p>
      <w:pPr>
        <w:spacing w:after="0" w:line="124"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Director Education</w:t>
      </w:r>
    </w:p>
    <w:p>
      <w:pPr>
        <w:spacing w:after="0" w:line="197" w:lineRule="exact"/>
        <w:rPr>
          <w:sz w:val="20"/>
          <w:szCs w:val="20"/>
          <w:color w:val="auto"/>
        </w:rPr>
      </w:pPr>
    </w:p>
    <w:p>
      <w:pPr>
        <w:ind w:right="80"/>
        <w:spacing w:after="0" w:line="244" w:lineRule="auto"/>
        <w:rPr>
          <w:sz w:val="20"/>
          <w:szCs w:val="20"/>
          <w:color w:val="auto"/>
        </w:rPr>
      </w:pPr>
      <w:r>
        <w:rPr>
          <w:rFonts w:ascii="Arial" w:cs="Arial" w:eastAsia="Arial" w:hAnsi="Arial"/>
          <w:sz w:val="18"/>
          <w:szCs w:val="18"/>
          <w:color w:val="auto"/>
        </w:rPr>
        <w:t>Directors are provided with continuing education opportunities both within the Company and externally. In addition to the Company-hosted educational opportunities provided, directors are invited to attend Palo Verde Off-Site Safety Review Committee meetings that typically occur three times per year and directors are encouraged to attend a variety of industry and public board-related symposia and conferences throughout the year, many of which were virtual in 2021. Additionally, directors are permitted to participate in other educational opportunities relevant to the Company and submit such record of attendance for credit in our program.</w:t>
      </w:r>
    </w:p>
    <w:p>
      <w:pPr>
        <w:spacing w:after="0" w:line="138"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Director Resignation Policies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137160</wp:posOffset>
            </wp:positionV>
            <wp:extent cx="7132320" cy="3600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32320" cy="360045"/>
                    </a:xfrm>
                    <a:prstGeom prst="rect">
                      <a:avLst/>
                    </a:prstGeom>
                    <a:noFill/>
                  </pic:spPr>
                </pic:pic>
              </a:graphicData>
            </a:graphic>
          </wp:anchor>
        </w:drawing>
      </w:r>
    </w:p>
    <w:p>
      <w:pPr>
        <w:spacing w:after="0" w:line="258" w:lineRule="exact"/>
        <w:rPr>
          <w:sz w:val="20"/>
          <w:szCs w:val="20"/>
          <w:color w:val="auto"/>
        </w:rPr>
      </w:pPr>
    </w:p>
    <w:p>
      <w:pPr>
        <w:ind w:left="100" w:right="500"/>
        <w:spacing w:after="0" w:line="271" w:lineRule="auto"/>
        <w:rPr>
          <w:sz w:val="20"/>
          <w:szCs w:val="20"/>
          <w:color w:val="auto"/>
        </w:rPr>
      </w:pPr>
      <w:r>
        <w:rPr>
          <w:rFonts w:ascii="Arial" w:cs="Arial" w:eastAsia="Arial" w:hAnsi="Arial"/>
          <w:sz w:val="18"/>
          <w:szCs w:val="18"/>
          <w:color w:val="auto"/>
        </w:rPr>
        <w:t>We employ a plurality voting standard with a director resignation policy because we believe a majority voting policy is inconsistent with cumulative voting, which is mandated by the Arizona Constitution.</w:t>
      </w:r>
    </w:p>
    <w:p>
      <w:pPr>
        <w:spacing w:after="0" w:line="194" w:lineRule="exact"/>
        <w:rPr>
          <w:sz w:val="20"/>
          <w:szCs w:val="20"/>
          <w:color w:val="auto"/>
        </w:rPr>
      </w:pPr>
    </w:p>
    <w:p>
      <w:pPr>
        <w:ind w:right="100"/>
        <w:spacing w:after="0" w:line="244" w:lineRule="auto"/>
        <w:rPr>
          <w:sz w:val="20"/>
          <w:szCs w:val="20"/>
          <w:color w:val="auto"/>
        </w:rPr>
      </w:pPr>
      <w:r>
        <w:rPr>
          <w:rFonts w:ascii="Arial" w:cs="Arial" w:eastAsia="Arial" w:hAnsi="Arial"/>
          <w:sz w:val="18"/>
          <w:szCs w:val="18"/>
          <w:color w:val="auto"/>
        </w:rPr>
        <w:t>With respect to the election of directors, the Company’s Bylaws provide that in an uncontested election, a director nominee who receives a greater number of votes cast “withheld” for his or her election than “for” such election will promptly tender his or her resignation to the Corporate Governance and Public Responsibility Committee. The Corporate Governance and Public Responsibility Committee is required to evaluate the resignation, taking into account the best interests of the Company and its shareholders, and will recommend to the Board whether to accept or reject the resignation.</w:t>
      </w:r>
    </w:p>
    <w:p>
      <w:pPr>
        <w:spacing w:after="0" w:line="149" w:lineRule="exact"/>
        <w:rPr>
          <w:sz w:val="20"/>
          <w:szCs w:val="20"/>
          <w:color w:val="auto"/>
        </w:rPr>
      </w:pPr>
    </w:p>
    <w:p>
      <w:pPr>
        <w:ind w:right="80"/>
        <w:spacing w:after="0" w:line="244" w:lineRule="auto"/>
        <w:rPr>
          <w:sz w:val="20"/>
          <w:szCs w:val="20"/>
          <w:color w:val="auto"/>
        </w:rPr>
      </w:pPr>
      <w:r>
        <w:rPr>
          <w:rFonts w:ascii="Arial" w:cs="Arial" w:eastAsia="Arial" w:hAnsi="Arial"/>
          <w:sz w:val="18"/>
          <w:szCs w:val="18"/>
          <w:color w:val="auto"/>
        </w:rPr>
        <w:t>Under the Company’s Corporate Governance Guidelines, upon a substantial change in a director’s primary business position from the position the director held when originally elected to the Board, a director is required to apprise the Corporate Governance and Public Responsibility Committee and to offer his or her resignation for consideration to the Corporate Governance and Public Responsibility Committee. The Corporate Governance and Public Responsibility Committee will recommend to the Board the action, if any, to be taken with respect to the tendered resignation.</w:t>
      </w:r>
    </w:p>
    <w:p>
      <w:pPr>
        <w:spacing w:after="0" w:line="14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27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36" w:name="page37"/>
    <w:bookmarkEnd w:id="3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97" w:lineRule="exact"/>
        <w:rPr>
          <w:sz w:val="20"/>
          <w:szCs w:val="20"/>
          <w:color w:val="auto"/>
        </w:rPr>
      </w:pPr>
    </w:p>
    <w:p>
      <w:pPr>
        <w:spacing w:after="0"/>
        <w:rPr>
          <w:sz w:val="20"/>
          <w:szCs w:val="20"/>
          <w:color w:val="auto"/>
        </w:rPr>
      </w:pPr>
      <w:r>
        <w:rPr>
          <w:rFonts w:ascii="Arial" w:cs="Arial" w:eastAsia="Arial" w:hAnsi="Arial"/>
          <w:sz w:val="40"/>
          <w:szCs w:val="40"/>
          <w:b w:val="1"/>
          <w:bCs w:val="1"/>
          <w:color w:val="1C8EA0"/>
        </w:rPr>
        <w:t>Board and Committee Structure</w:t>
      </w:r>
    </w:p>
    <w:p>
      <w:pPr>
        <w:spacing w:after="0" w:line="21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The Board’s Leadership Structure</w:t>
      </w:r>
    </w:p>
    <w:p>
      <w:pPr>
        <w:spacing w:after="0" w:line="222"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Lead Director</w:t>
      </w:r>
    </w:p>
    <w:p>
      <w:pPr>
        <w:spacing w:after="0" w:line="235" w:lineRule="exact"/>
        <w:rPr>
          <w:sz w:val="20"/>
          <w:szCs w:val="20"/>
          <w:color w:val="auto"/>
        </w:rPr>
      </w:pPr>
    </w:p>
    <w:p>
      <w:pPr>
        <w:ind w:right="160"/>
        <w:spacing w:after="0" w:line="244" w:lineRule="auto"/>
        <w:rPr>
          <w:sz w:val="20"/>
          <w:szCs w:val="20"/>
          <w:color w:val="auto"/>
        </w:rPr>
      </w:pPr>
      <w:r>
        <w:rPr>
          <w:rFonts w:ascii="Arial" w:cs="Arial" w:eastAsia="Arial" w:hAnsi="Arial"/>
          <w:sz w:val="18"/>
          <w:szCs w:val="18"/>
          <w:color w:val="auto"/>
        </w:rPr>
        <w:t>Kathryn L. Munro serves as the Company’s Lead Director and chairs the Corporate Governance and Public Responsibility Committee. As a former chief executive with significant Board and Chair and Lead Director experience, Ms. Munro has the competency and capability to fulfil the duties of Lead Director. As Lead Director, Ms. Munro is poised to guide the Board during these transformative times. Ms. Munro is an independent director and vigorously carries out the duties of the Lead Director. Ms. Munro makes sure the Directors are focused, are encouraged to offer different points of view, and maintain their independence from management.</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color w:val="auto"/>
        </w:rPr>
        <w:t>The Lead Director performs the following duties and responsibilities as set forth in our Corporate Governance Guidelines:</w:t>
      </w:r>
    </w:p>
    <w:p>
      <w:pPr>
        <w:spacing w:after="0" w:line="212" w:lineRule="exact"/>
        <w:rPr>
          <w:sz w:val="20"/>
          <w:szCs w:val="20"/>
          <w:color w:val="auto"/>
        </w:rPr>
      </w:pPr>
    </w:p>
    <w:p>
      <w:pPr>
        <w:ind w:left="260" w:hanging="252"/>
        <w:spacing w:after="0"/>
        <w:tabs>
          <w:tab w:leader="none" w:pos="260" w:val="left"/>
        </w:tabs>
        <w:numPr>
          <w:ilvl w:val="0"/>
          <w:numId w:val="33"/>
        </w:numPr>
        <w:rPr>
          <w:rFonts w:ascii="Arial" w:cs="Arial" w:eastAsia="Arial" w:hAnsi="Arial"/>
          <w:sz w:val="18"/>
          <w:szCs w:val="18"/>
          <w:b w:val="1"/>
          <w:bCs w:val="1"/>
          <w:color w:val="355675"/>
        </w:rPr>
      </w:pPr>
      <w:r>
        <w:rPr>
          <w:rFonts w:ascii="Arial" w:cs="Arial" w:eastAsia="Arial" w:hAnsi="Arial"/>
          <w:sz w:val="18"/>
          <w:szCs w:val="18"/>
          <w:color w:val="auto"/>
        </w:rPr>
        <w:t>Serves as a liaison between the Chairman of the Board (the “Chairman”) and the independent Directors;</w:t>
      </w:r>
    </w:p>
    <w:p>
      <w:pPr>
        <w:spacing w:after="0" w:line="157" w:lineRule="exact"/>
        <w:rPr>
          <w:rFonts w:ascii="Arial" w:cs="Arial" w:eastAsia="Arial" w:hAnsi="Arial"/>
          <w:sz w:val="18"/>
          <w:szCs w:val="18"/>
          <w:b w:val="1"/>
          <w:bCs w:val="1"/>
          <w:color w:val="355675"/>
        </w:rPr>
      </w:pPr>
    </w:p>
    <w:p>
      <w:pPr>
        <w:jc w:val="both"/>
        <w:ind w:left="260" w:hanging="252"/>
        <w:spacing w:after="0" w:line="253" w:lineRule="auto"/>
        <w:tabs>
          <w:tab w:leader="none" w:pos="260" w:val="left"/>
        </w:tabs>
        <w:numPr>
          <w:ilvl w:val="0"/>
          <w:numId w:val="33"/>
        </w:numPr>
        <w:rPr>
          <w:rFonts w:ascii="Arial" w:cs="Arial" w:eastAsia="Arial" w:hAnsi="Arial"/>
          <w:sz w:val="18"/>
          <w:szCs w:val="18"/>
          <w:b w:val="1"/>
          <w:bCs w:val="1"/>
          <w:color w:val="355675"/>
        </w:rPr>
      </w:pPr>
      <w:r>
        <w:rPr>
          <w:rFonts w:ascii="Arial" w:cs="Arial" w:eastAsia="Arial" w:hAnsi="Arial"/>
          <w:sz w:val="18"/>
          <w:szCs w:val="18"/>
          <w:color w:val="auto"/>
        </w:rPr>
        <w:t>Advises the Chairman as to an appropriate schedule of Board meetings, reviews and provides the Chairman with input regarding agendas for the Board meetings and, as appropriate or as requested, reviews and provides the Chairman with input regarding information sent to the Board;</w:t>
      </w:r>
    </w:p>
    <w:p>
      <w:pPr>
        <w:spacing w:after="0" w:line="114" w:lineRule="exact"/>
        <w:rPr>
          <w:rFonts w:ascii="Arial" w:cs="Arial" w:eastAsia="Arial" w:hAnsi="Arial"/>
          <w:sz w:val="18"/>
          <w:szCs w:val="18"/>
          <w:b w:val="1"/>
          <w:bCs w:val="1"/>
          <w:color w:val="355675"/>
        </w:rPr>
      </w:pPr>
    </w:p>
    <w:p>
      <w:pPr>
        <w:ind w:left="260" w:hanging="252"/>
        <w:spacing w:after="0" w:line="271" w:lineRule="auto"/>
        <w:tabs>
          <w:tab w:leader="none" w:pos="260" w:val="left"/>
        </w:tabs>
        <w:numPr>
          <w:ilvl w:val="0"/>
          <w:numId w:val="33"/>
        </w:numPr>
        <w:rPr>
          <w:rFonts w:ascii="Arial" w:cs="Arial" w:eastAsia="Arial" w:hAnsi="Arial"/>
          <w:sz w:val="18"/>
          <w:szCs w:val="18"/>
          <w:b w:val="1"/>
          <w:bCs w:val="1"/>
          <w:color w:val="355675"/>
        </w:rPr>
      </w:pPr>
      <w:r>
        <w:rPr>
          <w:rFonts w:ascii="Arial" w:cs="Arial" w:eastAsia="Arial" w:hAnsi="Arial"/>
          <w:sz w:val="18"/>
          <w:szCs w:val="18"/>
          <w:color w:val="auto"/>
        </w:rPr>
        <w:t>Presides at all meetings at which the Chairman is not present, including executive sessions of the independent Directors (which are regularly scheduled as part of each Board meeting) and calls meetings of the independent Directors when necessary and appropriate;</w:t>
      </w:r>
    </w:p>
    <w:p>
      <w:pPr>
        <w:spacing w:after="0" w:line="99" w:lineRule="exact"/>
        <w:rPr>
          <w:rFonts w:ascii="Arial" w:cs="Arial" w:eastAsia="Arial" w:hAnsi="Arial"/>
          <w:sz w:val="18"/>
          <w:szCs w:val="18"/>
          <w:b w:val="1"/>
          <w:bCs w:val="1"/>
          <w:color w:val="355675"/>
        </w:rPr>
      </w:pPr>
    </w:p>
    <w:p>
      <w:pPr>
        <w:ind w:left="260" w:hanging="252"/>
        <w:spacing w:after="0"/>
        <w:tabs>
          <w:tab w:leader="none" w:pos="260" w:val="left"/>
        </w:tabs>
        <w:numPr>
          <w:ilvl w:val="0"/>
          <w:numId w:val="33"/>
        </w:numPr>
        <w:rPr>
          <w:rFonts w:ascii="Arial" w:cs="Arial" w:eastAsia="Arial" w:hAnsi="Arial"/>
          <w:sz w:val="18"/>
          <w:szCs w:val="18"/>
          <w:b w:val="1"/>
          <w:bCs w:val="1"/>
          <w:color w:val="355675"/>
        </w:rPr>
      </w:pPr>
      <w:r>
        <w:rPr>
          <w:rFonts w:ascii="Arial" w:cs="Arial" w:eastAsia="Arial" w:hAnsi="Arial"/>
          <w:sz w:val="18"/>
          <w:szCs w:val="18"/>
          <w:color w:val="auto"/>
        </w:rPr>
        <w:t>Oversees the Board and Board committee self-assessment process;</w:t>
      </w:r>
    </w:p>
    <w:p>
      <w:pPr>
        <w:spacing w:after="0" w:line="157" w:lineRule="exact"/>
        <w:rPr>
          <w:rFonts w:ascii="Arial" w:cs="Arial" w:eastAsia="Arial" w:hAnsi="Arial"/>
          <w:sz w:val="18"/>
          <w:szCs w:val="18"/>
          <w:b w:val="1"/>
          <w:bCs w:val="1"/>
          <w:color w:val="355675"/>
        </w:rPr>
      </w:pPr>
    </w:p>
    <w:p>
      <w:pPr>
        <w:ind w:left="260" w:hanging="252"/>
        <w:spacing w:after="0"/>
        <w:tabs>
          <w:tab w:leader="none" w:pos="260" w:val="left"/>
        </w:tabs>
        <w:numPr>
          <w:ilvl w:val="0"/>
          <w:numId w:val="33"/>
        </w:numPr>
        <w:rPr>
          <w:rFonts w:ascii="Arial" w:cs="Arial" w:eastAsia="Arial" w:hAnsi="Arial"/>
          <w:sz w:val="18"/>
          <w:szCs w:val="18"/>
          <w:b w:val="1"/>
          <w:bCs w:val="1"/>
          <w:color w:val="355675"/>
        </w:rPr>
      </w:pPr>
      <w:r>
        <w:rPr>
          <w:rFonts w:ascii="Arial" w:cs="Arial" w:eastAsia="Arial" w:hAnsi="Arial"/>
          <w:sz w:val="18"/>
          <w:szCs w:val="18"/>
          <w:color w:val="auto"/>
        </w:rPr>
        <w:t>Is available for appropriate consultation and direct communication with the Company’s shareholders and other interested parties; and</w:t>
      </w:r>
    </w:p>
    <w:p>
      <w:pPr>
        <w:spacing w:after="0" w:line="157" w:lineRule="exact"/>
        <w:rPr>
          <w:rFonts w:ascii="Arial" w:cs="Arial" w:eastAsia="Arial" w:hAnsi="Arial"/>
          <w:sz w:val="18"/>
          <w:szCs w:val="18"/>
          <w:b w:val="1"/>
          <w:bCs w:val="1"/>
          <w:color w:val="355675"/>
        </w:rPr>
      </w:pPr>
    </w:p>
    <w:p>
      <w:pPr>
        <w:ind w:left="260" w:hanging="252"/>
        <w:spacing w:after="0"/>
        <w:tabs>
          <w:tab w:leader="none" w:pos="260" w:val="left"/>
        </w:tabs>
        <w:numPr>
          <w:ilvl w:val="0"/>
          <w:numId w:val="33"/>
        </w:numPr>
        <w:rPr>
          <w:rFonts w:ascii="Arial" w:cs="Arial" w:eastAsia="Arial" w:hAnsi="Arial"/>
          <w:sz w:val="18"/>
          <w:szCs w:val="18"/>
          <w:b w:val="1"/>
          <w:bCs w:val="1"/>
          <w:color w:val="355675"/>
        </w:rPr>
      </w:pPr>
      <w:r>
        <w:rPr>
          <w:rFonts w:ascii="Arial" w:cs="Arial" w:eastAsia="Arial" w:hAnsi="Arial"/>
          <w:sz w:val="18"/>
          <w:szCs w:val="18"/>
          <w:color w:val="auto"/>
        </w:rPr>
        <w:t>Performs such other duties as the Board may from time-to-time delegate.</w:t>
      </w:r>
    </w:p>
    <w:p>
      <w:pPr>
        <w:spacing w:after="0" w:line="171" w:lineRule="exact"/>
        <w:rPr>
          <w:sz w:val="20"/>
          <w:szCs w:val="20"/>
          <w:color w:val="auto"/>
        </w:rPr>
      </w:pPr>
    </w:p>
    <w:p>
      <w:pPr>
        <w:ind w:right="60"/>
        <w:spacing w:after="0"/>
        <w:rPr>
          <w:sz w:val="20"/>
          <w:szCs w:val="20"/>
          <w:color w:val="auto"/>
        </w:rPr>
      </w:pPr>
      <w:r>
        <w:rPr>
          <w:rFonts w:ascii="Arial" w:cs="Arial" w:eastAsia="Arial" w:hAnsi="Arial"/>
          <w:sz w:val="18"/>
          <w:szCs w:val="18"/>
          <w:color w:val="auto"/>
        </w:rPr>
        <w:t>These duties and responsibilities do not, however, fully capture Ms. Munro’s active role in serving as our Lead Director. For example, Ms. Munro has regular discussions with the CEO, other members of the senior management team and members of the Board between Board meetings on a variety of topics, and she serves as a liaison between the CEO and the independent Directors. Ms. Munro focuses the Board on key issues facing our Company and on topics of interest to the Board. She takes the lead on director recruitment and has a formal annual call with each non-employee Director to discuss the Board, its functions, its membership, the individual’s plan with respect to his or her continuing Board service, and any other topic the individual desires to discuss with our Lead Director. Her leadership fosters a Board culture of open discussion and deliberation to support sound decision-making. She also encourages communication between management and the Board to facilitate productive working relationships.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109220</wp:posOffset>
            </wp:positionV>
            <wp:extent cx="1191260" cy="23177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4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37" w:name="page38"/>
    <w:bookmarkEnd w:id="3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Chairman and CEO Positions</w:t>
      </w:r>
    </w:p>
    <w:p>
      <w:pPr>
        <w:spacing w:after="0" w:line="235" w:lineRule="exact"/>
        <w:rPr>
          <w:sz w:val="20"/>
          <w:szCs w:val="20"/>
          <w:color w:val="auto"/>
        </w:rPr>
      </w:pPr>
    </w:p>
    <w:p>
      <w:pPr>
        <w:ind w:right="140"/>
        <w:spacing w:after="0" w:line="244" w:lineRule="auto"/>
        <w:rPr>
          <w:sz w:val="20"/>
          <w:szCs w:val="20"/>
          <w:color w:val="auto"/>
        </w:rPr>
      </w:pPr>
      <w:r>
        <w:rPr>
          <w:rFonts w:ascii="Arial" w:cs="Arial" w:eastAsia="Arial" w:hAnsi="Arial"/>
          <w:sz w:val="18"/>
          <w:szCs w:val="18"/>
          <w:color w:val="auto"/>
        </w:rPr>
        <w:t>Upon promoting Jeff Guldner to the position of CEO, the Board also chose to elect him as Chairman of the Board. The Board believes that the Company is in a better position to implement its near- and long-term strategies if the Chairman is also the person directly responsible for the operations executing those strategies. The Board further believes that separating the roles of the CEO and Chairman and appointing an independent Board Chairman at this time would create an additional level of unneeded hierarchy that would only duplicate the activities already being vigorously carried out by our Lead Director.</w:t>
      </w:r>
    </w:p>
    <w:p>
      <w:pPr>
        <w:spacing w:after="0" w:line="176" w:lineRule="exact"/>
        <w:rPr>
          <w:sz w:val="20"/>
          <w:szCs w:val="20"/>
          <w:color w:val="auto"/>
        </w:rPr>
      </w:pPr>
    </w:p>
    <w:p>
      <w:pPr>
        <w:ind w:right="60"/>
        <w:spacing w:after="0" w:line="244" w:lineRule="auto"/>
        <w:rPr>
          <w:sz w:val="20"/>
          <w:szCs w:val="20"/>
          <w:color w:val="auto"/>
        </w:rPr>
      </w:pPr>
      <w:r>
        <w:rPr>
          <w:rFonts w:ascii="Arial" w:cs="Arial" w:eastAsia="Arial" w:hAnsi="Arial"/>
          <w:sz w:val="18"/>
          <w:szCs w:val="18"/>
          <w:color w:val="auto"/>
        </w:rPr>
        <w:t>The independent Directors believe that Mr. Guldner, with his extensive knowledge of the challenges facing the Company and our industry and his open leadership style, will be a highly effective conduit between the Board and management and that Mr. Guldner provides the vision and leadership to execute on the Company’s strategy and create shareholder value without the need for an independent chair. The Board also convenes regularly scheduled executive sessions of the independent directors in order to ensure the independent directors can speak candidly and openly without the presence of management.</w:t>
      </w:r>
    </w:p>
    <w:p>
      <w:pPr>
        <w:spacing w:after="0" w:line="165"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Board Committees</w:t>
      </w:r>
    </w:p>
    <w:p>
      <w:pPr>
        <w:spacing w:after="0" w:line="237" w:lineRule="exact"/>
        <w:rPr>
          <w:sz w:val="20"/>
          <w:szCs w:val="20"/>
          <w:color w:val="auto"/>
        </w:rPr>
      </w:pPr>
    </w:p>
    <w:p>
      <w:pPr>
        <w:ind w:right="100"/>
        <w:spacing w:after="0" w:line="242" w:lineRule="auto"/>
        <w:rPr>
          <w:sz w:val="20"/>
          <w:szCs w:val="20"/>
          <w:color w:val="auto"/>
        </w:rPr>
      </w:pPr>
      <w:r>
        <w:rPr>
          <w:rFonts w:ascii="Arial" w:cs="Arial" w:eastAsia="Arial" w:hAnsi="Arial"/>
          <w:sz w:val="18"/>
          <w:szCs w:val="18"/>
          <w:color w:val="auto"/>
        </w:rPr>
        <w:t>The Board has the following standing committees: Audit; Corporate Governance and Public Responsibility; Finance; Human Resources; and Nuclear and Operating. All of the charters of the Board’s committees are publicly available on the Company’s website (www.pinnaclewest.com). All of our committees conduct a formal review of their charters every other year and as often as any committee member deems necessary. In the years in which a formal review is not conducted, the Board has tasked management with reviewing the charters and recommending any changes management deems necessary or reflective of good corporate governance. The charters are also changed as needed to comply with any corresponding changes to any applicable rule or regulation.</w:t>
      </w:r>
    </w:p>
    <w:p>
      <w:pPr>
        <w:spacing w:after="0" w:line="179" w:lineRule="exact"/>
        <w:rPr>
          <w:sz w:val="20"/>
          <w:szCs w:val="20"/>
          <w:color w:val="auto"/>
        </w:rPr>
      </w:pPr>
    </w:p>
    <w:p>
      <w:pPr>
        <w:ind w:right="180"/>
        <w:spacing w:after="0" w:line="253" w:lineRule="auto"/>
        <w:rPr>
          <w:sz w:val="20"/>
          <w:szCs w:val="20"/>
          <w:color w:val="auto"/>
        </w:rPr>
      </w:pPr>
      <w:r>
        <w:rPr>
          <w:rFonts w:ascii="Arial" w:cs="Arial" w:eastAsia="Arial" w:hAnsi="Arial"/>
          <w:sz w:val="18"/>
          <w:szCs w:val="18"/>
          <w:color w:val="auto"/>
        </w:rPr>
        <w:t>All of our committees are comprised of independent Directors who meet the independence requirements of the NYSE rules, SEC rules, and the Company’s Director Independence Standards, including any specific committee independence requirements. The duties and responsibilities of our committees are as follows:</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29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38" w:name="page39"/>
    <w:bookmarkEnd w:id="3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2"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355675"/>
        </w:rPr>
        <w:t>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7132320" cy="506603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32320" cy="5066030"/>
                    </a:xfrm>
                    <a:prstGeom prst="rect">
                      <a:avLst/>
                    </a:prstGeom>
                    <a:noFill/>
                  </pic:spPr>
                </pic:pic>
              </a:graphicData>
            </a:graphic>
          </wp:anchor>
        </w:drawing>
      </w:r>
    </w:p>
    <w:p>
      <w:pPr>
        <w:sectPr>
          <w:pgSz w:w="11900" w:h="16838" w:orient="portrait"/>
          <w:cols w:equalWidth="0" w:num="1">
            <w:col w:w="11080"/>
          </w:cols>
          <w:pgMar w:left="320" w:top="125" w:right="499" w:bottom="1440" w:gutter="0" w:footer="0" w:header="0"/>
        </w:sectPr>
      </w:pPr>
    </w:p>
    <w:p>
      <w:pPr>
        <w:spacing w:after="0" w:line="189" w:lineRule="exact"/>
        <w:rPr>
          <w:sz w:val="20"/>
          <w:szCs w:val="20"/>
          <w:color w:val="auto"/>
        </w:rPr>
      </w:pPr>
    </w:p>
    <w:p>
      <w:pPr>
        <w:ind w:left="100"/>
        <w:spacing w:after="0" w:line="241" w:lineRule="auto"/>
        <w:rPr>
          <w:sz w:val="20"/>
          <w:szCs w:val="20"/>
          <w:color w:val="auto"/>
        </w:rPr>
      </w:pPr>
      <w:r>
        <w:rPr>
          <w:rFonts w:ascii="Arial" w:cs="Arial" w:eastAsia="Arial" w:hAnsi="Arial"/>
          <w:sz w:val="18"/>
          <w:szCs w:val="18"/>
          <w:b w:val="1"/>
          <w:bCs w:val="1"/>
          <w:color w:val="1C8EA0"/>
        </w:rPr>
        <w:t>“The Audit Committee’s oversight of the Company’s audit function is critical and the Audit Committee members are committed to working with management to ensure effective risk and financial management.”</w:t>
      </w:r>
    </w:p>
    <w:p>
      <w:pPr>
        <w:spacing w:after="0" w:line="133"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1C8EA0"/>
        </w:rPr>
        <w:t>-Bruce Nordstrom</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2021 MEETINGS: 6</w:t>
      </w:r>
    </w:p>
    <w:p>
      <w:pPr>
        <w:spacing w:after="0" w:line="200" w:lineRule="exact"/>
        <w:rPr>
          <w:sz w:val="20"/>
          <w:szCs w:val="20"/>
          <w:color w:val="auto"/>
        </w:rPr>
      </w:pPr>
    </w:p>
    <w:p>
      <w:pPr>
        <w:spacing w:after="0" w:line="22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COMMITTEE MEMBERS:</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Bruce J. Nordstrom, Chair</w:t>
      </w:r>
    </w:p>
    <w:p>
      <w:pPr>
        <w:spacing w:after="0" w:line="9" w:lineRule="exact"/>
        <w:rPr>
          <w:sz w:val="20"/>
          <w:szCs w:val="20"/>
          <w:color w:val="auto"/>
        </w:rPr>
      </w:pPr>
    </w:p>
    <w:p>
      <w:pPr>
        <w:ind w:left="100"/>
        <w:spacing w:after="0"/>
        <w:rPr>
          <w:sz w:val="20"/>
          <w:szCs w:val="20"/>
          <w:color w:val="auto"/>
        </w:rPr>
      </w:pPr>
      <w:r>
        <w:rPr>
          <w:rFonts w:ascii="Arial" w:cs="Arial" w:eastAsia="Arial" w:hAnsi="Arial"/>
          <w:sz w:val="18"/>
          <w:szCs w:val="18"/>
          <w:color w:val="auto"/>
        </w:rPr>
        <w:t>Glynis A. Bryan</w:t>
      </w:r>
    </w:p>
    <w:p>
      <w:pPr>
        <w:ind w:left="100"/>
        <w:spacing w:after="0" w:line="234" w:lineRule="auto"/>
        <w:rPr>
          <w:sz w:val="20"/>
          <w:szCs w:val="20"/>
          <w:color w:val="auto"/>
        </w:rPr>
      </w:pPr>
      <w:r>
        <w:rPr>
          <w:rFonts w:ascii="Arial" w:cs="Arial" w:eastAsia="Arial" w:hAnsi="Arial"/>
          <w:sz w:val="18"/>
          <w:szCs w:val="18"/>
          <w:color w:val="auto"/>
        </w:rPr>
        <w:t>Denis A. Cortese</w:t>
      </w:r>
    </w:p>
    <w:p>
      <w:pPr>
        <w:ind w:left="100"/>
        <w:spacing w:after="0" w:line="235" w:lineRule="auto"/>
        <w:rPr>
          <w:sz w:val="20"/>
          <w:szCs w:val="20"/>
          <w:color w:val="auto"/>
        </w:rPr>
      </w:pPr>
      <w:r>
        <w:rPr>
          <w:rFonts w:ascii="Arial" w:cs="Arial" w:eastAsia="Arial" w:hAnsi="Arial"/>
          <w:sz w:val="18"/>
          <w:szCs w:val="18"/>
          <w:color w:val="auto"/>
        </w:rPr>
        <w:t>Gonzalo A. de la Melena, Jr.</w:t>
      </w:r>
    </w:p>
    <w:p>
      <w:pPr>
        <w:ind w:left="100"/>
        <w:spacing w:after="0" w:line="235" w:lineRule="auto"/>
        <w:rPr>
          <w:sz w:val="20"/>
          <w:szCs w:val="20"/>
          <w:color w:val="auto"/>
        </w:rPr>
      </w:pPr>
      <w:r>
        <w:rPr>
          <w:rFonts w:ascii="Arial" w:cs="Arial" w:eastAsia="Arial" w:hAnsi="Arial"/>
          <w:sz w:val="18"/>
          <w:szCs w:val="18"/>
          <w:color w:val="auto"/>
        </w:rPr>
        <w:t>Dale E. Klein</w:t>
      </w:r>
    </w:p>
    <w:p>
      <w:pPr>
        <w:ind w:left="100"/>
        <w:spacing w:after="0"/>
        <w:rPr>
          <w:sz w:val="20"/>
          <w:szCs w:val="20"/>
          <w:color w:val="auto"/>
        </w:rPr>
      </w:pPr>
      <w:r>
        <w:rPr>
          <w:rFonts w:ascii="Arial" w:cs="Arial" w:eastAsia="Arial" w:hAnsi="Arial"/>
          <w:sz w:val="18"/>
          <w:szCs w:val="18"/>
          <w:color w:val="auto"/>
        </w:rPr>
        <w:t>Paula J. Sims</w:t>
      </w:r>
    </w:p>
    <w:p>
      <w:pPr>
        <w:spacing w:after="0" w:line="200" w:lineRule="exact"/>
        <w:rPr>
          <w:sz w:val="20"/>
          <w:szCs w:val="20"/>
          <w:color w:val="auto"/>
        </w:rPr>
      </w:pPr>
    </w:p>
    <w:p>
      <w:pPr>
        <w:spacing w:after="0" w:line="210"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KEY MEMBER SKILLS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1852295</wp:posOffset>
            </wp:positionV>
            <wp:extent cx="1191260" cy="23177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RESPONSIBILITIES:</w:t>
      </w:r>
    </w:p>
    <w:p>
      <w:pPr>
        <w:spacing w:after="0" w:line="212" w:lineRule="exact"/>
        <w:rPr>
          <w:sz w:val="20"/>
          <w:szCs w:val="20"/>
          <w:color w:val="auto"/>
        </w:rPr>
      </w:pPr>
    </w:p>
    <w:p>
      <w:pPr>
        <w:ind w:left="260" w:hanging="216"/>
        <w:spacing w:after="0"/>
        <w:tabs>
          <w:tab w:leader="none" w:pos="26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Oversees the integrity of the Company’s financial statements and internal controls;</w:t>
      </w:r>
    </w:p>
    <w:p>
      <w:pPr>
        <w:spacing w:after="0" w:line="211" w:lineRule="exact"/>
        <w:rPr>
          <w:rFonts w:ascii="Arial" w:cs="Arial" w:eastAsia="Arial" w:hAnsi="Arial"/>
          <w:sz w:val="18"/>
          <w:szCs w:val="18"/>
          <w:color w:val="auto"/>
        </w:rPr>
      </w:pPr>
    </w:p>
    <w:p>
      <w:pPr>
        <w:jc w:val="both"/>
        <w:ind w:left="260" w:right="500" w:hanging="216"/>
        <w:spacing w:after="0" w:line="253" w:lineRule="auto"/>
        <w:tabs>
          <w:tab w:leader="none" w:pos="243" w:val="left"/>
        </w:tabs>
        <w:numPr>
          <w:ilvl w:val="0"/>
          <w:numId w:val="34"/>
        </w:numPr>
        <w:rPr>
          <w:rFonts w:ascii="Arial" w:cs="Arial" w:eastAsia="Arial" w:hAnsi="Arial"/>
          <w:sz w:val="18"/>
          <w:szCs w:val="18"/>
          <w:color w:val="auto"/>
        </w:rPr>
      </w:pPr>
      <w:r>
        <w:rPr>
          <w:rFonts w:ascii="Arial" w:cs="Arial" w:eastAsia="Arial" w:hAnsi="Arial"/>
          <w:sz w:val="18"/>
          <w:szCs w:val="18"/>
          <w:color w:val="auto"/>
        </w:rPr>
        <w:t>Appoints the independent accountants and is responsible for their qualifications, independence, performance (including resolution of disagreements between the independent accountants and management regarding financial reporting), and compensation;</w:t>
      </w:r>
    </w:p>
    <w:p>
      <w:pPr>
        <w:spacing w:after="0" w:line="168" w:lineRule="exact"/>
        <w:rPr>
          <w:rFonts w:ascii="Arial" w:cs="Arial" w:eastAsia="Arial" w:hAnsi="Arial"/>
          <w:sz w:val="18"/>
          <w:szCs w:val="18"/>
          <w:color w:val="auto"/>
        </w:rPr>
      </w:pPr>
    </w:p>
    <w:p>
      <w:pPr>
        <w:ind w:left="260" w:hanging="216"/>
        <w:spacing w:after="0"/>
        <w:tabs>
          <w:tab w:leader="none" w:pos="260" w:val="left"/>
        </w:tabs>
        <w:numPr>
          <w:ilvl w:val="0"/>
          <w:numId w:val="34"/>
        </w:numPr>
        <w:rPr>
          <w:rFonts w:ascii="Arial" w:cs="Arial" w:eastAsia="Arial" w:hAnsi="Arial"/>
          <w:sz w:val="18"/>
          <w:szCs w:val="18"/>
          <w:color w:val="auto"/>
        </w:rPr>
      </w:pPr>
      <w:r>
        <w:rPr>
          <w:rFonts w:ascii="Arial" w:cs="Arial" w:eastAsia="Arial" w:hAnsi="Arial"/>
          <w:sz w:val="18"/>
          <w:szCs w:val="18"/>
          <w:color w:val="auto"/>
        </w:rPr>
        <w:t>Monitors the Company’s compliance with legal and regulatory requirements;</w:t>
      </w:r>
    </w:p>
    <w:p>
      <w:pPr>
        <w:spacing w:after="0" w:line="211" w:lineRule="exact"/>
        <w:rPr>
          <w:rFonts w:ascii="Arial" w:cs="Arial" w:eastAsia="Arial" w:hAnsi="Arial"/>
          <w:sz w:val="18"/>
          <w:szCs w:val="18"/>
          <w:color w:val="auto"/>
        </w:rPr>
      </w:pPr>
    </w:p>
    <w:p>
      <w:pPr>
        <w:ind w:left="260" w:right="80" w:hanging="216"/>
        <w:spacing w:after="0" w:line="253" w:lineRule="auto"/>
        <w:tabs>
          <w:tab w:leader="none" w:pos="253"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Reviews the annual audited financial statements or quarterly financial statements, as applicable, and the “Management’s Discussion and Analysis of Financial Condition and Results of Operations” contained therein;</w:t>
      </w:r>
    </w:p>
    <w:p>
      <w:pPr>
        <w:spacing w:after="0" w:line="168" w:lineRule="exact"/>
        <w:rPr>
          <w:rFonts w:ascii="Arial" w:cs="Arial" w:eastAsia="Arial" w:hAnsi="Arial"/>
          <w:sz w:val="18"/>
          <w:szCs w:val="18"/>
          <w:color w:val="auto"/>
        </w:rPr>
      </w:pPr>
    </w:p>
    <w:p>
      <w:pPr>
        <w:ind w:left="260" w:right="200" w:hanging="216"/>
        <w:spacing w:after="0" w:line="271" w:lineRule="auto"/>
        <w:tabs>
          <w:tab w:leader="none" w:pos="253" w:val="left"/>
        </w:tabs>
        <w:numPr>
          <w:ilvl w:val="0"/>
          <w:numId w:val="34"/>
        </w:numPr>
        <w:rPr>
          <w:rFonts w:ascii="Arial" w:cs="Arial" w:eastAsia="Arial" w:hAnsi="Arial"/>
          <w:sz w:val="18"/>
          <w:szCs w:val="18"/>
          <w:color w:val="auto"/>
        </w:rPr>
      </w:pPr>
      <w:r>
        <w:rPr>
          <w:rFonts w:ascii="Arial" w:cs="Arial" w:eastAsia="Arial" w:hAnsi="Arial"/>
          <w:sz w:val="18"/>
          <w:szCs w:val="18"/>
          <w:color w:val="auto"/>
        </w:rPr>
        <w:t>Discusses with management and the independent accountants significant financial reporting issues and judgments made in connection with the preparation of the Company’s financial statements;</w:t>
      </w:r>
    </w:p>
    <w:p>
      <w:pPr>
        <w:spacing w:after="0" w:line="153" w:lineRule="exact"/>
        <w:rPr>
          <w:rFonts w:ascii="Arial" w:cs="Arial" w:eastAsia="Arial" w:hAnsi="Arial"/>
          <w:sz w:val="18"/>
          <w:szCs w:val="18"/>
          <w:color w:val="auto"/>
        </w:rPr>
      </w:pPr>
    </w:p>
    <w:p>
      <w:pPr>
        <w:ind w:left="260" w:right="160" w:hanging="216"/>
        <w:spacing w:after="0" w:line="271" w:lineRule="auto"/>
        <w:tabs>
          <w:tab w:leader="none" w:pos="253"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Reviews the Company’s draft earnings press releases, as well as financial information and earnings guidance provided to analysts and rating agencies;</w:t>
      </w:r>
    </w:p>
    <w:p>
      <w:pPr>
        <w:spacing w:after="0" w:line="153" w:lineRule="exact"/>
        <w:rPr>
          <w:rFonts w:ascii="Arial" w:cs="Arial" w:eastAsia="Arial" w:hAnsi="Arial"/>
          <w:sz w:val="18"/>
          <w:szCs w:val="18"/>
          <w:color w:val="auto"/>
        </w:rPr>
      </w:pPr>
    </w:p>
    <w:p>
      <w:pPr>
        <w:ind w:left="260" w:right="220" w:hanging="216"/>
        <w:spacing w:after="0" w:line="253" w:lineRule="auto"/>
        <w:tabs>
          <w:tab w:leader="none" w:pos="253" w:val="left"/>
        </w:tabs>
        <w:numPr>
          <w:ilvl w:val="0"/>
          <w:numId w:val="34"/>
        </w:numPr>
        <w:rPr>
          <w:rFonts w:ascii="Arial" w:cs="Arial" w:eastAsia="Arial" w:hAnsi="Arial"/>
          <w:sz w:val="18"/>
          <w:szCs w:val="18"/>
          <w:color w:val="auto"/>
        </w:rPr>
      </w:pPr>
      <w:r>
        <w:rPr>
          <w:rFonts w:ascii="Arial" w:cs="Arial" w:eastAsia="Arial" w:hAnsi="Arial"/>
          <w:sz w:val="18"/>
          <w:szCs w:val="18"/>
          <w:color w:val="auto"/>
        </w:rPr>
        <w:t>Discusses guidelines and policies to govern the process by which risk assessment and risk management is undertaken across the Company and discusses the Company’s major financial risk exposures and the steps management has taken to monitor and control such exposures; and</w:t>
      </w:r>
    </w:p>
    <w:p>
      <w:pPr>
        <w:spacing w:after="0" w:line="168" w:lineRule="exact"/>
        <w:rPr>
          <w:rFonts w:ascii="Arial" w:cs="Arial" w:eastAsia="Arial" w:hAnsi="Arial"/>
          <w:sz w:val="18"/>
          <w:szCs w:val="18"/>
          <w:color w:val="auto"/>
        </w:rPr>
      </w:pPr>
    </w:p>
    <w:p>
      <w:pPr>
        <w:ind w:left="260" w:hanging="216"/>
        <w:spacing w:after="0" w:line="271" w:lineRule="auto"/>
        <w:tabs>
          <w:tab w:leader="none" w:pos="253"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Reviews management’s monitoring of the Company’s compliance with the Company’s Code of Ethical Conduct.</w:t>
      </w:r>
    </w:p>
    <w:p>
      <w:pPr>
        <w:spacing w:after="0" w:line="154" w:lineRule="exact"/>
        <w:rPr>
          <w:sz w:val="20"/>
          <w:szCs w:val="20"/>
          <w:color w:val="auto"/>
        </w:rPr>
      </w:pPr>
    </w:p>
    <w:p>
      <w:pPr>
        <w:ind w:right="160"/>
        <w:spacing w:after="0" w:line="247" w:lineRule="auto"/>
        <w:rPr>
          <w:sz w:val="20"/>
          <w:szCs w:val="20"/>
          <w:color w:val="auto"/>
        </w:rPr>
      </w:pPr>
      <w:r>
        <w:rPr>
          <w:rFonts w:ascii="Arial" w:cs="Arial" w:eastAsia="Arial" w:hAnsi="Arial"/>
          <w:sz w:val="18"/>
          <w:szCs w:val="18"/>
          <w:color w:val="auto"/>
        </w:rPr>
        <w:t>The Board has determined that each member of the Audit Committee meets the NYSE experience requirements and that Mr. Nordstrom, the Chair of the Audit Committee, and Ms. Bryan are “audit committee financial experts” under applicable SEC rules. None of the members of our Audit Committee currently serve on more than three public company audit committees.</w:t>
      </w:r>
    </w:p>
    <w:p>
      <w:pPr>
        <w:spacing w:after="0" w:line="200" w:lineRule="exact"/>
        <w:rPr>
          <w:sz w:val="20"/>
          <w:szCs w:val="20"/>
          <w:color w:val="auto"/>
        </w:rPr>
      </w:pPr>
    </w:p>
    <w:p>
      <w:pPr>
        <w:sectPr>
          <w:pgSz w:w="11900" w:h="16838" w:orient="portrait"/>
          <w:cols w:equalWidth="0" w:num="2">
            <w:col w:w="2480" w:space="260"/>
            <w:col w:w="8340"/>
          </w:cols>
          <w:pgMar w:left="320" w:top="125" w:right="4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080"/>
          </w:cols>
          <w:pgMar w:left="320" w:top="125" w:right="499" w:bottom="1440" w:gutter="0" w:footer="0" w:header="0"/>
          <w:type w:val="continuous"/>
        </w:sectPr>
      </w:pPr>
    </w:p>
    <w:bookmarkStart w:id="39" w:name="page40"/>
    <w:bookmarkEnd w:id="3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6380"/>
        <w:spacing w:after="0"/>
        <w:rPr>
          <w:sz w:val="20"/>
          <w:szCs w:val="20"/>
          <w:color w:val="auto"/>
        </w:rPr>
      </w:pPr>
      <w:r>
        <w:rPr>
          <w:rFonts w:ascii="Arial" w:cs="Arial" w:eastAsia="Arial" w:hAnsi="Arial"/>
          <w:sz w:val="17"/>
          <w:szCs w:val="17"/>
          <w:b w:val="1"/>
          <w:bCs w:val="1"/>
          <w:color w:val="355675"/>
        </w:rPr>
        <w:t>Information About Our Board and Corporate Governance</w:t>
      </w:r>
    </w:p>
    <w:p>
      <w:pPr>
        <w:spacing w:after="0" w:line="213"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355675"/>
        </w:rPr>
        <w:t>CORPORATE GOVERNANCE AND PUBLIC RESPONSIBILITY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7132320" cy="698627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32320" cy="698627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p>
      <w:pPr>
        <w:spacing w:after="0" w:line="189"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1C8EA0"/>
        </w:rPr>
        <w:t>“The Committee focused on the composition of the Board in 2021 and the traits and skills that we considered important in adding a new director, targeting in particular diversity and an Arizona presence.”</w:t>
      </w:r>
    </w:p>
    <w:p>
      <w:pPr>
        <w:spacing w:after="0" w:line="135"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1C8EA0"/>
        </w:rPr>
        <w:t>-Kathy Munro</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2021 MEETINGS: 4</w:t>
      </w:r>
    </w:p>
    <w:p>
      <w:pPr>
        <w:spacing w:after="0" w:line="200" w:lineRule="exact"/>
        <w:rPr>
          <w:sz w:val="20"/>
          <w:szCs w:val="20"/>
          <w:color w:val="auto"/>
        </w:rPr>
      </w:pPr>
    </w:p>
    <w:p>
      <w:pPr>
        <w:spacing w:after="0" w:line="22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COMMITTEE MEMBERS:</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Kathryn L. Munro, Chair</w:t>
      </w:r>
    </w:p>
    <w:p>
      <w:pPr>
        <w:spacing w:after="0" w:line="14" w:lineRule="exact"/>
        <w:rPr>
          <w:sz w:val="20"/>
          <w:szCs w:val="20"/>
          <w:color w:val="auto"/>
        </w:rPr>
      </w:pPr>
    </w:p>
    <w:p>
      <w:pPr>
        <w:ind w:left="100" w:right="860"/>
        <w:spacing w:after="0" w:line="259" w:lineRule="auto"/>
        <w:rPr>
          <w:sz w:val="20"/>
          <w:szCs w:val="20"/>
          <w:color w:val="auto"/>
        </w:rPr>
      </w:pPr>
      <w:r>
        <w:rPr>
          <w:rFonts w:ascii="Arial" w:cs="Arial" w:eastAsia="Arial" w:hAnsi="Arial"/>
          <w:sz w:val="17"/>
          <w:szCs w:val="17"/>
          <w:color w:val="auto"/>
        </w:rPr>
        <w:t>Richard P. Fox Bruce J. Nordstrom Paula J. Sims David P. Wagener</w:t>
      </w:r>
    </w:p>
    <w:p>
      <w:pPr>
        <w:spacing w:after="0" w:line="340"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KEY MEMBER SKILLS</w:t>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RESPONSIBILITIES:</w:t>
      </w:r>
    </w:p>
    <w:p>
      <w:pPr>
        <w:spacing w:after="0" w:line="212" w:lineRule="exact"/>
        <w:rPr>
          <w:sz w:val="20"/>
          <w:szCs w:val="20"/>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and assesses the Corporate Governance Guidelines;</w:t>
      </w:r>
    </w:p>
    <w:p>
      <w:pPr>
        <w:spacing w:after="0" w:line="211" w:lineRule="exact"/>
        <w:rPr>
          <w:rFonts w:ascii="Arial" w:cs="Arial" w:eastAsia="Arial" w:hAnsi="Arial"/>
          <w:sz w:val="18"/>
          <w:szCs w:val="18"/>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Develops and recommends to the Board criteria for selecting new directors;</w:t>
      </w:r>
    </w:p>
    <w:p>
      <w:pPr>
        <w:spacing w:after="0" w:line="211" w:lineRule="exact"/>
        <w:rPr>
          <w:rFonts w:ascii="Arial" w:cs="Arial" w:eastAsia="Arial" w:hAnsi="Arial"/>
          <w:sz w:val="18"/>
          <w:szCs w:val="18"/>
          <w:color w:val="auto"/>
        </w:rPr>
      </w:pPr>
    </w:p>
    <w:p>
      <w:pPr>
        <w:ind w:left="260" w:right="46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Identifies and evaluates individuals qualified to become members of the Board, consistent with the criteria for selecting new directors;</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Recommends director nominees to the Board;</w:t>
      </w:r>
    </w:p>
    <w:p>
      <w:pPr>
        <w:spacing w:after="0" w:line="211" w:lineRule="exact"/>
        <w:rPr>
          <w:rFonts w:ascii="Arial" w:cs="Arial" w:eastAsia="Arial" w:hAnsi="Arial"/>
          <w:sz w:val="18"/>
          <w:szCs w:val="18"/>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Recommends to the Board who should serve on each of the Board’s committees;</w:t>
      </w:r>
    </w:p>
    <w:p>
      <w:pPr>
        <w:spacing w:after="0" w:line="211" w:lineRule="exact"/>
        <w:rPr>
          <w:rFonts w:ascii="Arial" w:cs="Arial" w:eastAsia="Arial" w:hAnsi="Arial"/>
          <w:sz w:val="18"/>
          <w:szCs w:val="18"/>
          <w:color w:val="auto"/>
        </w:rPr>
      </w:pPr>
    </w:p>
    <w:p>
      <w:pPr>
        <w:ind w:left="260" w:right="140" w:hanging="216"/>
        <w:spacing w:after="0" w:line="301" w:lineRule="auto"/>
        <w:tabs>
          <w:tab w:leader="none" w:pos="253" w:val="left"/>
        </w:tabs>
        <w:numPr>
          <w:ilvl w:val="0"/>
          <w:numId w:val="35"/>
        </w:numPr>
        <w:rPr>
          <w:rFonts w:ascii="Arial" w:cs="Arial" w:eastAsia="Arial" w:hAnsi="Arial"/>
          <w:sz w:val="17"/>
          <w:szCs w:val="17"/>
          <w:color w:val="auto"/>
        </w:rPr>
      </w:pPr>
      <w:r>
        <w:rPr>
          <w:rFonts w:ascii="Arial" w:cs="Arial" w:eastAsia="Arial" w:hAnsi="Arial"/>
          <w:sz w:val="17"/>
          <w:szCs w:val="17"/>
          <w:color w:val="auto"/>
        </w:rPr>
        <w:t>Reviews significant ESG trends that may impact the Company, ensuring the oversight of relevant ESG issues by the Board and its committees, and makes recommendations to the Board as appropriate;</w:t>
      </w:r>
    </w:p>
    <w:p>
      <w:pPr>
        <w:spacing w:after="0" w:line="130" w:lineRule="exact"/>
        <w:rPr>
          <w:rFonts w:ascii="Arial" w:cs="Arial" w:eastAsia="Arial" w:hAnsi="Arial"/>
          <w:sz w:val="17"/>
          <w:szCs w:val="17"/>
          <w:color w:val="auto"/>
        </w:rPr>
      </w:pPr>
    </w:p>
    <w:p>
      <w:pPr>
        <w:ind w:left="260" w:right="98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the Company’s public and social responsibility policies, strategy, and practices and periodically review them with the Board;</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the results of the Annual Meeting shareholder votes;</w:t>
      </w:r>
    </w:p>
    <w:p>
      <w:pPr>
        <w:spacing w:after="0" w:line="211" w:lineRule="exact"/>
        <w:rPr>
          <w:rFonts w:ascii="Arial" w:cs="Arial" w:eastAsia="Arial" w:hAnsi="Arial"/>
          <w:sz w:val="18"/>
          <w:szCs w:val="18"/>
          <w:color w:val="auto"/>
        </w:rPr>
      </w:pPr>
    </w:p>
    <w:p>
      <w:pPr>
        <w:ind w:left="260" w:right="20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and makes recommendations to the Board regarding the selection of the CEO and CEO and senior management succession planning;</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the Company’s Code of Ethical Conduct for compliance with applicable law;</w:t>
      </w:r>
    </w:p>
    <w:p>
      <w:pPr>
        <w:spacing w:after="0" w:line="211" w:lineRule="exact"/>
        <w:rPr>
          <w:rFonts w:ascii="Arial" w:cs="Arial" w:eastAsia="Arial" w:hAnsi="Arial"/>
          <w:sz w:val="18"/>
          <w:szCs w:val="18"/>
          <w:color w:val="auto"/>
        </w:rPr>
      </w:pPr>
    </w:p>
    <w:p>
      <w:pPr>
        <w:ind w:left="260" w:right="40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Recommends a process for responding to communications to the Board by shareholders and other interested parties;</w:t>
      </w:r>
    </w:p>
    <w:p>
      <w:pPr>
        <w:spacing w:after="0" w:line="153" w:lineRule="exact"/>
        <w:rPr>
          <w:rFonts w:ascii="Arial" w:cs="Arial" w:eastAsia="Arial" w:hAnsi="Arial"/>
          <w:sz w:val="18"/>
          <w:szCs w:val="18"/>
          <w:color w:val="auto"/>
        </w:rPr>
      </w:pPr>
    </w:p>
    <w:p>
      <w:pPr>
        <w:ind w:left="260" w:right="22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the independence of members of the Board and approves or ratifies certain types of related-party transactions;</w:t>
      </w:r>
    </w:p>
    <w:p>
      <w:pPr>
        <w:spacing w:after="0" w:line="153" w:lineRule="exact"/>
        <w:rPr>
          <w:rFonts w:ascii="Arial" w:cs="Arial" w:eastAsia="Arial" w:hAnsi="Arial"/>
          <w:sz w:val="18"/>
          <w:szCs w:val="18"/>
          <w:color w:val="auto"/>
        </w:rPr>
      </w:pPr>
    </w:p>
    <w:p>
      <w:pPr>
        <w:ind w:left="260" w:right="40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and makes recommendations to the Board regarding shareholder proposals requested for inclusion in the Company’s proxy materials;</w:t>
      </w:r>
    </w:p>
    <w:p>
      <w:pPr>
        <w:spacing w:after="0" w:line="153" w:lineRule="exact"/>
        <w:rPr>
          <w:rFonts w:ascii="Arial" w:cs="Arial" w:eastAsia="Arial" w:hAnsi="Arial"/>
          <w:sz w:val="18"/>
          <w:szCs w:val="18"/>
          <w:color w:val="auto"/>
        </w:rPr>
      </w:pPr>
    </w:p>
    <w:p>
      <w:pPr>
        <w:ind w:left="260" w:right="180" w:hanging="216"/>
        <w:spacing w:after="0" w:line="271"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and makes recommendations regarding proxy material disclosures related to the Company’s corporate governance policies and practices;</w:t>
      </w:r>
    </w:p>
    <w:p>
      <w:pPr>
        <w:spacing w:after="0" w:line="153" w:lineRule="exact"/>
        <w:rPr>
          <w:rFonts w:ascii="Arial" w:cs="Arial" w:eastAsia="Arial" w:hAnsi="Arial"/>
          <w:sz w:val="18"/>
          <w:szCs w:val="18"/>
          <w:color w:val="auto"/>
        </w:rPr>
      </w:pPr>
    </w:p>
    <w:p>
      <w:pPr>
        <w:ind w:left="260" w:right="660" w:hanging="216"/>
        <w:spacing w:after="0" w:line="253"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Periodically reviews principal risks relating to the Company’s corporate governance policies and practices or other matters addressed by the Corporate Governance and Public Responsibility Committee;</w:t>
      </w:r>
    </w:p>
    <w:p>
      <w:pPr>
        <w:spacing w:after="0" w:line="168" w:lineRule="exact"/>
        <w:rPr>
          <w:rFonts w:ascii="Arial" w:cs="Arial" w:eastAsia="Arial" w:hAnsi="Arial"/>
          <w:sz w:val="18"/>
          <w:szCs w:val="18"/>
          <w:color w:val="auto"/>
        </w:rPr>
      </w:pPr>
    </w:p>
    <w:p>
      <w:pPr>
        <w:ind w:left="260" w:hanging="216"/>
        <w:spacing w:after="0"/>
        <w:tabs>
          <w:tab w:leader="none" w:pos="2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Oversees the Board and committee self-assessments on at least an annual basis; and</w:t>
      </w:r>
    </w:p>
    <w:p>
      <w:pPr>
        <w:spacing w:after="0" w:line="211" w:lineRule="exact"/>
        <w:rPr>
          <w:rFonts w:ascii="Arial" w:cs="Arial" w:eastAsia="Arial" w:hAnsi="Arial"/>
          <w:sz w:val="18"/>
          <w:szCs w:val="18"/>
          <w:color w:val="auto"/>
        </w:rPr>
      </w:pPr>
    </w:p>
    <w:p>
      <w:pPr>
        <w:ind w:left="260" w:right="260" w:hanging="216"/>
        <w:spacing w:after="0" w:line="253" w:lineRule="auto"/>
        <w:tabs>
          <w:tab w:leader="none" w:pos="253"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Reviews and assesses the Company’s Political Participation Policy, and then reviews the Company’s policies and practices with respect to governmental affairs strategy and political activities in accordance with the Company’s Political Participation Policy.</w:t>
      </w:r>
    </w:p>
    <w:p>
      <w:pPr>
        <w:spacing w:after="0" w:line="169" w:lineRule="exact"/>
        <w:rPr>
          <w:sz w:val="20"/>
          <w:szCs w:val="20"/>
          <w:color w:val="auto"/>
        </w:rPr>
      </w:pPr>
    </w:p>
    <w:p>
      <w:pPr>
        <w:ind w:right="120"/>
        <w:spacing w:after="0" w:line="247" w:lineRule="auto"/>
        <w:rPr>
          <w:sz w:val="20"/>
          <w:szCs w:val="20"/>
          <w:color w:val="auto"/>
        </w:rPr>
      </w:pPr>
      <w:r>
        <w:rPr>
          <w:rFonts w:ascii="Arial" w:cs="Arial" w:eastAsia="Arial" w:hAnsi="Arial"/>
          <w:sz w:val="18"/>
          <w:szCs w:val="18"/>
          <w:color w:val="auto"/>
        </w:rPr>
        <w:t>The Corporate Governance and Public Responsibility Committee periodically reviews and recommends to the Board amendments to the Corporate Governance Guidelines and the Political Participation Policy. The Corporate Governance Guidelines and the Political Participation Policy are available on the Company’s website (www.pinnaclewest.com).</w:t>
      </w:r>
    </w:p>
    <w:p>
      <w:pPr>
        <w:spacing w:after="0" w:line="200" w:lineRule="exact"/>
        <w:rPr>
          <w:sz w:val="20"/>
          <w:szCs w:val="20"/>
          <w:color w:val="auto"/>
        </w:rPr>
      </w:pPr>
    </w:p>
    <w:p>
      <w:pPr>
        <w:sectPr>
          <w:pgSz w:w="11900" w:h="16838" w:orient="portrait"/>
          <w:cols w:equalWidth="0" w:num="2">
            <w:col w:w="2500" w:space="240"/>
            <w:col w:w="8520"/>
          </w:cols>
          <w:pgMar w:left="320" w:top="125" w:right="319" w:bottom="1440" w:gutter="0" w:footer="0" w:header="0"/>
          <w:type w:val="continuous"/>
        </w:sectPr>
      </w:pPr>
    </w:p>
    <w:p>
      <w:pPr>
        <w:spacing w:after="0" w:line="38"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31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40" w:name="page41"/>
    <w:bookmarkEnd w:id="4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2"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355675"/>
        </w:rPr>
        <w:t>FINANCE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7132320" cy="51263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32320" cy="5126355"/>
                    </a:xfrm>
                    <a:prstGeom prst="rect">
                      <a:avLst/>
                    </a:prstGeom>
                    <a:noFill/>
                  </pic:spPr>
                </pic:pic>
              </a:graphicData>
            </a:graphic>
          </wp:anchor>
        </w:drawing>
      </w:r>
    </w:p>
    <w:p>
      <w:pPr>
        <w:sectPr>
          <w:pgSz w:w="11900" w:h="16838" w:orient="portrait"/>
          <w:cols w:equalWidth="0" w:num="1">
            <w:col w:w="11140"/>
          </w:cols>
          <w:pgMar w:left="320" w:top="125" w:right="439" w:bottom="1440" w:gutter="0" w:footer="0" w:header="0"/>
        </w:sectPr>
      </w:pPr>
    </w:p>
    <w:p>
      <w:pPr>
        <w:spacing w:after="0" w:line="189" w:lineRule="exact"/>
        <w:rPr>
          <w:sz w:val="20"/>
          <w:szCs w:val="20"/>
          <w:color w:val="auto"/>
        </w:rPr>
      </w:pPr>
    </w:p>
    <w:p>
      <w:pPr>
        <w:ind w:left="100"/>
        <w:spacing w:after="0" w:line="256" w:lineRule="auto"/>
        <w:rPr>
          <w:sz w:val="20"/>
          <w:szCs w:val="20"/>
          <w:color w:val="auto"/>
        </w:rPr>
      </w:pPr>
      <w:r>
        <w:rPr>
          <w:rFonts w:ascii="Arial" w:cs="Arial" w:eastAsia="Arial" w:hAnsi="Arial"/>
          <w:sz w:val="17"/>
          <w:szCs w:val="17"/>
          <w:b w:val="1"/>
          <w:bCs w:val="1"/>
          <w:color w:val="1C8EA0"/>
        </w:rPr>
        <w:t>“The Finance Committee is focused on the long-term financial health of the Company by providing oversight of the Company’s financial performance, financing and capital strategy, and dividend policies and actions.”</w:t>
      </w:r>
    </w:p>
    <w:p>
      <w:pPr>
        <w:spacing w:after="0" w:line="2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1C8EA0"/>
        </w:rPr>
        <w:t>-David Wagener</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2021 MEETINGS: 5</w:t>
      </w:r>
    </w:p>
    <w:p>
      <w:pPr>
        <w:spacing w:after="0" w:line="200" w:lineRule="exact"/>
        <w:rPr>
          <w:sz w:val="20"/>
          <w:szCs w:val="20"/>
          <w:color w:val="auto"/>
        </w:rPr>
      </w:pPr>
    </w:p>
    <w:p>
      <w:pPr>
        <w:spacing w:after="0" w:line="22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COMMITTEE MEMBERS:</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David P. Wagener, Chair</w:t>
      </w:r>
    </w:p>
    <w:p>
      <w:pPr>
        <w:spacing w:after="0" w:line="14" w:lineRule="exact"/>
        <w:rPr>
          <w:sz w:val="20"/>
          <w:szCs w:val="20"/>
          <w:color w:val="auto"/>
        </w:rPr>
      </w:pPr>
    </w:p>
    <w:p>
      <w:pPr>
        <w:ind w:left="100" w:right="460"/>
        <w:spacing w:after="0" w:line="239" w:lineRule="auto"/>
        <w:rPr>
          <w:sz w:val="20"/>
          <w:szCs w:val="20"/>
          <w:color w:val="auto"/>
        </w:rPr>
      </w:pPr>
      <w:r>
        <w:rPr>
          <w:rFonts w:ascii="Arial" w:cs="Arial" w:eastAsia="Arial" w:hAnsi="Arial"/>
          <w:sz w:val="18"/>
          <w:szCs w:val="18"/>
          <w:color w:val="auto"/>
        </w:rPr>
        <w:t>Glynis A. Bryan Richard P. Fox Kathryn L. Munro William H. Spence James E. Trevathan, Jr.</w:t>
      </w:r>
    </w:p>
    <w:p>
      <w:pPr>
        <w:spacing w:after="0" w:line="369"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KEY MEMBER SKILLS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1860550</wp:posOffset>
            </wp:positionV>
            <wp:extent cx="1191260" cy="2317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RESPONSIBILITIES:</w:t>
      </w:r>
    </w:p>
    <w:p>
      <w:pPr>
        <w:spacing w:after="0" w:line="212" w:lineRule="exact"/>
        <w:rPr>
          <w:sz w:val="20"/>
          <w:szCs w:val="20"/>
          <w:color w:val="auto"/>
        </w:rPr>
      </w:pPr>
    </w:p>
    <w:p>
      <w:pPr>
        <w:ind w:left="260" w:hanging="216"/>
        <w:spacing w:after="0"/>
        <w:tabs>
          <w:tab w:leader="none" w:pos="2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the historical and projected financial performance of the Company and its subsidiaries;</w:t>
      </w:r>
    </w:p>
    <w:p>
      <w:pPr>
        <w:spacing w:after="0" w:line="211" w:lineRule="exact"/>
        <w:rPr>
          <w:rFonts w:ascii="Arial" w:cs="Arial" w:eastAsia="Arial" w:hAnsi="Arial"/>
          <w:sz w:val="18"/>
          <w:szCs w:val="18"/>
          <w:color w:val="auto"/>
        </w:rPr>
      </w:pPr>
    </w:p>
    <w:p>
      <w:pPr>
        <w:ind w:left="260" w:right="420" w:hanging="216"/>
        <w:spacing w:after="0" w:line="271" w:lineRule="auto"/>
        <w:tabs>
          <w:tab w:leader="none" w:pos="253"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the Company’s financial condition, including sources of liquidity, cash flows and levels of indebtedness;</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and recommends approval of corporate short-term investment and borrowing policies;</w:t>
      </w:r>
    </w:p>
    <w:p>
      <w:pPr>
        <w:spacing w:after="0" w:line="211" w:lineRule="exact"/>
        <w:rPr>
          <w:rFonts w:ascii="Arial" w:cs="Arial" w:eastAsia="Arial" w:hAnsi="Arial"/>
          <w:sz w:val="18"/>
          <w:szCs w:val="18"/>
          <w:color w:val="auto"/>
        </w:rPr>
      </w:pPr>
    </w:p>
    <w:p>
      <w:pPr>
        <w:ind w:left="260" w:right="40" w:hanging="216"/>
        <w:spacing w:after="0" w:line="247" w:lineRule="auto"/>
        <w:tabs>
          <w:tab w:leader="none" w:pos="253"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the Company’s financing plan and recommends to the Board approval of the issuance of long-term debt, capital and/or financing leases or other arrangements incorporating the effective intent or purpose of providing any form of financing, common equity and preferred securities, and the establishment of credit facilities;</w:t>
      </w:r>
    </w:p>
    <w:p>
      <w:pPr>
        <w:spacing w:after="0" w:line="173" w:lineRule="exact"/>
        <w:rPr>
          <w:rFonts w:ascii="Arial" w:cs="Arial" w:eastAsia="Arial" w:hAnsi="Arial"/>
          <w:sz w:val="18"/>
          <w:szCs w:val="18"/>
          <w:color w:val="auto"/>
        </w:rPr>
      </w:pPr>
    </w:p>
    <w:p>
      <w:pPr>
        <w:ind w:left="260" w:hanging="216"/>
        <w:spacing w:after="0"/>
        <w:tabs>
          <w:tab w:leader="none" w:pos="2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the Company’s use of guarantees and other forms of credit support;</w:t>
      </w:r>
    </w:p>
    <w:p>
      <w:pPr>
        <w:spacing w:after="0" w:line="211" w:lineRule="exact"/>
        <w:rPr>
          <w:rFonts w:ascii="Arial" w:cs="Arial" w:eastAsia="Arial" w:hAnsi="Arial"/>
          <w:sz w:val="18"/>
          <w:szCs w:val="18"/>
          <w:color w:val="auto"/>
        </w:rPr>
      </w:pPr>
    </w:p>
    <w:p>
      <w:pPr>
        <w:ind w:left="260" w:hanging="216"/>
        <w:spacing w:after="0"/>
        <w:tabs>
          <w:tab w:leader="none" w:pos="2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and monitors the Company’s dividend policies and proposed dividend actions;</w:t>
      </w:r>
    </w:p>
    <w:p>
      <w:pPr>
        <w:spacing w:after="0" w:line="211" w:lineRule="exact"/>
        <w:rPr>
          <w:rFonts w:ascii="Arial" w:cs="Arial" w:eastAsia="Arial" w:hAnsi="Arial"/>
          <w:sz w:val="18"/>
          <w:szCs w:val="18"/>
          <w:color w:val="auto"/>
        </w:rPr>
      </w:pPr>
    </w:p>
    <w:p>
      <w:pPr>
        <w:ind w:left="260" w:right="560" w:hanging="216"/>
        <w:spacing w:after="0" w:line="271" w:lineRule="auto"/>
        <w:tabs>
          <w:tab w:leader="none" w:pos="253" w:val="left"/>
        </w:tabs>
        <w:numPr>
          <w:ilvl w:val="0"/>
          <w:numId w:val="36"/>
        </w:numPr>
        <w:rPr>
          <w:rFonts w:ascii="Arial" w:cs="Arial" w:eastAsia="Arial" w:hAnsi="Arial"/>
          <w:sz w:val="18"/>
          <w:szCs w:val="18"/>
          <w:color w:val="auto"/>
        </w:rPr>
      </w:pPr>
      <w:r>
        <w:rPr>
          <w:rFonts w:ascii="Arial" w:cs="Arial" w:eastAsia="Arial" w:hAnsi="Arial"/>
          <w:sz w:val="18"/>
          <w:szCs w:val="18"/>
          <w:color w:val="auto"/>
        </w:rPr>
        <w:t>Establishes and selects the members of the Company’s Investment Management Committee to oversee the investment programs of the Company’s trusts and benefit plans;</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6"/>
        </w:numPr>
        <w:rPr>
          <w:rFonts w:ascii="Arial" w:cs="Arial" w:eastAsia="Arial" w:hAnsi="Arial"/>
          <w:sz w:val="17"/>
          <w:szCs w:val="17"/>
          <w:color w:val="auto"/>
        </w:rPr>
      </w:pPr>
      <w:r>
        <w:rPr>
          <w:rFonts w:ascii="Arial" w:cs="Arial" w:eastAsia="Arial" w:hAnsi="Arial"/>
          <w:sz w:val="17"/>
          <w:szCs w:val="17"/>
          <w:color w:val="auto"/>
        </w:rPr>
        <w:t>Reviews and discusses with management the Company’s process for allocating and managing capital;</w:t>
      </w:r>
    </w:p>
    <w:p>
      <w:pPr>
        <w:spacing w:after="0" w:line="223" w:lineRule="exact"/>
        <w:rPr>
          <w:rFonts w:ascii="Arial" w:cs="Arial" w:eastAsia="Arial" w:hAnsi="Arial"/>
          <w:sz w:val="17"/>
          <w:szCs w:val="17"/>
          <w:color w:val="auto"/>
        </w:rPr>
      </w:pPr>
    </w:p>
    <w:p>
      <w:pPr>
        <w:ind w:left="260" w:hanging="216"/>
        <w:spacing w:after="0"/>
        <w:tabs>
          <w:tab w:leader="none" w:pos="2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and recommends approval of the Company’s annual capital budget;</w:t>
      </w:r>
    </w:p>
    <w:p>
      <w:pPr>
        <w:spacing w:after="0" w:line="211" w:lineRule="exact"/>
        <w:rPr>
          <w:rFonts w:ascii="Arial" w:cs="Arial" w:eastAsia="Arial" w:hAnsi="Arial"/>
          <w:sz w:val="18"/>
          <w:szCs w:val="18"/>
          <w:color w:val="auto"/>
        </w:rPr>
      </w:pPr>
    </w:p>
    <w:p>
      <w:pPr>
        <w:ind w:left="260" w:hanging="216"/>
        <w:spacing w:after="0" w:line="271" w:lineRule="auto"/>
        <w:tabs>
          <w:tab w:leader="none" w:pos="253"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the Company’s annual operations and maintenance budget and monitors throughout the year how the Company’s actual spend tracks to the budget;</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Reviews the Company’s insurance programs; and</w:t>
      </w:r>
    </w:p>
    <w:p>
      <w:pPr>
        <w:spacing w:after="0" w:line="211" w:lineRule="exact"/>
        <w:rPr>
          <w:rFonts w:ascii="Arial" w:cs="Arial" w:eastAsia="Arial" w:hAnsi="Arial"/>
          <w:sz w:val="18"/>
          <w:szCs w:val="18"/>
          <w:color w:val="auto"/>
        </w:rPr>
      </w:pPr>
    </w:p>
    <w:p>
      <w:pPr>
        <w:jc w:val="both"/>
        <w:ind w:left="260" w:right="640" w:hanging="216"/>
        <w:spacing w:after="0" w:line="301" w:lineRule="auto"/>
        <w:tabs>
          <w:tab w:leader="none" w:pos="253" w:val="left"/>
        </w:tabs>
        <w:numPr>
          <w:ilvl w:val="0"/>
          <w:numId w:val="36"/>
        </w:numPr>
        <w:rPr>
          <w:rFonts w:ascii="Arial" w:cs="Arial" w:eastAsia="Arial" w:hAnsi="Arial"/>
          <w:sz w:val="17"/>
          <w:szCs w:val="17"/>
          <w:color w:val="auto"/>
        </w:rPr>
      </w:pPr>
      <w:r>
        <w:rPr>
          <w:rFonts w:ascii="Arial" w:cs="Arial" w:eastAsia="Arial" w:hAnsi="Arial"/>
          <w:sz w:val="17"/>
          <w:szCs w:val="17"/>
          <w:color w:val="auto"/>
        </w:rPr>
        <w:t>Periodically reviews principal risks relating to the Company’s policies and practices concerning budgeting, financing credit exposures, or other matters addressed by the Finance Committee.</w:t>
      </w:r>
    </w:p>
    <w:p>
      <w:pPr>
        <w:spacing w:after="0" w:line="200" w:lineRule="exact"/>
        <w:rPr>
          <w:sz w:val="20"/>
          <w:szCs w:val="20"/>
          <w:color w:val="auto"/>
        </w:rPr>
      </w:pPr>
    </w:p>
    <w:p>
      <w:pPr>
        <w:sectPr>
          <w:pgSz w:w="11900" w:h="16838" w:orient="portrait"/>
          <w:cols w:equalWidth="0" w:num="2">
            <w:col w:w="2460" w:space="280"/>
            <w:col w:w="8400"/>
          </w:cols>
          <w:pgMar w:left="320" w:top="125"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40"/>
          </w:cols>
          <w:pgMar w:left="320" w:top="125" w:right="439" w:bottom="1440" w:gutter="0" w:footer="0" w:header="0"/>
          <w:type w:val="continuous"/>
        </w:sectPr>
      </w:pPr>
    </w:p>
    <w:bookmarkStart w:id="41" w:name="page42"/>
    <w:bookmarkEnd w:id="4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2"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355675"/>
        </w:rPr>
        <w:t>HUMAN RESOURCES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7132320" cy="58718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32320" cy="587184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p>
      <w:pPr>
        <w:spacing w:after="0" w:line="189" w:lineRule="exact"/>
        <w:rPr>
          <w:sz w:val="20"/>
          <w:szCs w:val="20"/>
          <w:color w:val="auto"/>
        </w:rPr>
      </w:pPr>
    </w:p>
    <w:p>
      <w:pPr>
        <w:ind w:left="100"/>
        <w:spacing w:after="0" w:line="239" w:lineRule="auto"/>
        <w:rPr>
          <w:sz w:val="20"/>
          <w:szCs w:val="20"/>
          <w:color w:val="auto"/>
        </w:rPr>
      </w:pPr>
      <w:r>
        <w:rPr>
          <w:rFonts w:ascii="Arial" w:cs="Arial" w:eastAsia="Arial" w:hAnsi="Arial"/>
          <w:sz w:val="18"/>
          <w:szCs w:val="18"/>
          <w:b w:val="1"/>
          <w:bCs w:val="1"/>
          <w:color w:val="1C8EA0"/>
        </w:rPr>
        <w:t>“The Committee focused on executive compensation and our workforce, specifically addressing issues such as safety, the impact of the continuation of the pandemic, workforce recruitment, development and retention, and diversity and inclusion.”</w:t>
      </w:r>
    </w:p>
    <w:p>
      <w:pPr>
        <w:spacing w:after="0" w:line="24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1C8EA0"/>
        </w:rPr>
        <w:t>-Rick Fox</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2021 MEETINGS: 7</w:t>
      </w:r>
    </w:p>
    <w:p>
      <w:pPr>
        <w:spacing w:after="0" w:line="200" w:lineRule="exact"/>
        <w:rPr>
          <w:sz w:val="20"/>
          <w:szCs w:val="20"/>
          <w:color w:val="auto"/>
        </w:rPr>
      </w:pPr>
    </w:p>
    <w:p>
      <w:pPr>
        <w:spacing w:after="0" w:line="22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COMMITTEE MEMBERS:</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Richard P. Fox, Chair</w:t>
      </w:r>
    </w:p>
    <w:p>
      <w:pPr>
        <w:spacing w:after="0" w:line="14" w:lineRule="exact"/>
        <w:rPr>
          <w:sz w:val="20"/>
          <w:szCs w:val="20"/>
          <w:color w:val="auto"/>
        </w:rPr>
      </w:pPr>
    </w:p>
    <w:p>
      <w:pPr>
        <w:ind w:left="100" w:right="500"/>
        <w:spacing w:after="0" w:line="256" w:lineRule="auto"/>
        <w:rPr>
          <w:sz w:val="20"/>
          <w:szCs w:val="20"/>
          <w:color w:val="auto"/>
        </w:rPr>
      </w:pPr>
      <w:r>
        <w:rPr>
          <w:rFonts w:ascii="Arial" w:cs="Arial" w:eastAsia="Arial" w:hAnsi="Arial"/>
          <w:sz w:val="17"/>
          <w:szCs w:val="17"/>
          <w:color w:val="auto"/>
        </w:rPr>
        <w:t>Denis A. Cortese Kathryn L. Munro Bruce J. Nordstrom William H. Spence James E. Trevathan, Jr.</w:t>
      </w:r>
    </w:p>
    <w:p>
      <w:pPr>
        <w:spacing w:after="0" w:line="357"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KEY MEMBER SKILLS</w:t>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RESPONSIBILITIES:</w:t>
      </w:r>
    </w:p>
    <w:p>
      <w:pPr>
        <w:spacing w:after="0" w:line="212" w:lineRule="exact"/>
        <w:rPr>
          <w:sz w:val="20"/>
          <w:szCs w:val="20"/>
          <w:color w:val="auto"/>
        </w:rPr>
      </w:pPr>
    </w:p>
    <w:p>
      <w:pPr>
        <w:jc w:val="both"/>
        <w:ind w:left="260" w:right="1120" w:hanging="216"/>
        <w:spacing w:after="0" w:line="301" w:lineRule="auto"/>
        <w:tabs>
          <w:tab w:leader="none" w:pos="253" w:val="left"/>
        </w:tabs>
        <w:numPr>
          <w:ilvl w:val="0"/>
          <w:numId w:val="37"/>
        </w:numPr>
        <w:rPr>
          <w:rFonts w:ascii="Arial" w:cs="Arial" w:eastAsia="Arial" w:hAnsi="Arial"/>
          <w:sz w:val="17"/>
          <w:szCs w:val="17"/>
          <w:color w:val="auto"/>
        </w:rPr>
      </w:pPr>
      <w:r>
        <w:rPr>
          <w:rFonts w:ascii="Arial" w:cs="Arial" w:eastAsia="Arial" w:hAnsi="Arial"/>
          <w:sz w:val="17"/>
          <w:szCs w:val="17"/>
          <w:color w:val="auto"/>
        </w:rPr>
        <w:t>Reviews management’s programs for the attraction, retention, succession, motivation and development of the Company’s human resources needed to achieve corporate objectives;</w:t>
      </w:r>
    </w:p>
    <w:p>
      <w:pPr>
        <w:spacing w:after="0" w:line="130" w:lineRule="exact"/>
        <w:rPr>
          <w:rFonts w:ascii="Arial" w:cs="Arial" w:eastAsia="Arial" w:hAnsi="Arial"/>
          <w:sz w:val="17"/>
          <w:szCs w:val="17"/>
          <w:color w:val="auto"/>
        </w:rPr>
      </w:pPr>
    </w:p>
    <w:p>
      <w:pPr>
        <w:ind w:left="260" w:hanging="216"/>
        <w:spacing w:after="0"/>
        <w:tabs>
          <w:tab w:leader="none" w:pos="2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Establishes the Company’s executive compensation philosophy;</w:t>
      </w:r>
    </w:p>
    <w:p>
      <w:pPr>
        <w:spacing w:after="0" w:line="211" w:lineRule="exact"/>
        <w:rPr>
          <w:rFonts w:ascii="Arial" w:cs="Arial" w:eastAsia="Arial" w:hAnsi="Arial"/>
          <w:sz w:val="18"/>
          <w:szCs w:val="18"/>
          <w:color w:val="auto"/>
        </w:rPr>
      </w:pPr>
    </w:p>
    <w:p>
      <w:pPr>
        <w:ind w:left="260" w:right="140" w:hanging="216"/>
        <w:spacing w:after="0" w:line="253" w:lineRule="auto"/>
        <w:tabs>
          <w:tab w:leader="none" w:pos="253" w:val="left"/>
        </w:tabs>
        <w:numPr>
          <w:ilvl w:val="0"/>
          <w:numId w:val="37"/>
        </w:numPr>
        <w:rPr>
          <w:rFonts w:ascii="Arial" w:cs="Arial" w:eastAsia="Arial" w:hAnsi="Arial"/>
          <w:sz w:val="18"/>
          <w:szCs w:val="18"/>
          <w:color w:val="auto"/>
        </w:rPr>
      </w:pPr>
      <w:r>
        <w:rPr>
          <w:rFonts w:ascii="Arial" w:cs="Arial" w:eastAsia="Arial" w:hAnsi="Arial"/>
          <w:sz w:val="18"/>
          <w:szCs w:val="18"/>
          <w:color w:val="auto"/>
        </w:rPr>
        <w:t>Reviews and assesses the Company’s strategies and policies related to human capital management, including those with respect to matters such as diversity, inclusion, pay equity, corporate culture, talent development and retention;</w:t>
      </w:r>
    </w:p>
    <w:p>
      <w:pPr>
        <w:spacing w:after="0" w:line="168" w:lineRule="exact"/>
        <w:rPr>
          <w:rFonts w:ascii="Arial" w:cs="Arial" w:eastAsia="Arial" w:hAnsi="Arial"/>
          <w:sz w:val="18"/>
          <w:szCs w:val="18"/>
          <w:color w:val="auto"/>
        </w:rPr>
      </w:pPr>
    </w:p>
    <w:p>
      <w:pPr>
        <w:ind w:left="260" w:hanging="216"/>
        <w:spacing w:after="0"/>
        <w:tabs>
          <w:tab w:leader="none" w:pos="2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Recommends to the Board persons for election as officers;</w:t>
      </w:r>
    </w:p>
    <w:p>
      <w:pPr>
        <w:spacing w:after="0" w:line="211" w:lineRule="exact"/>
        <w:rPr>
          <w:rFonts w:ascii="Arial" w:cs="Arial" w:eastAsia="Arial" w:hAnsi="Arial"/>
          <w:sz w:val="18"/>
          <w:szCs w:val="18"/>
          <w:color w:val="auto"/>
        </w:rPr>
      </w:pPr>
    </w:p>
    <w:p>
      <w:pPr>
        <w:ind w:left="240" w:hanging="196"/>
        <w:spacing w:after="0"/>
        <w:tabs>
          <w:tab w:leader="none" w:pos="2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Annually reviews the goals and performance of the officers of the Company and APS;</w:t>
      </w:r>
    </w:p>
    <w:p>
      <w:pPr>
        <w:spacing w:after="0" w:line="211" w:lineRule="exact"/>
        <w:rPr>
          <w:rFonts w:ascii="Arial" w:cs="Arial" w:eastAsia="Arial" w:hAnsi="Arial"/>
          <w:sz w:val="18"/>
          <w:szCs w:val="18"/>
          <w:color w:val="auto"/>
        </w:rPr>
      </w:pPr>
    </w:p>
    <w:p>
      <w:pPr>
        <w:ind w:left="260" w:right="140" w:hanging="216"/>
        <w:spacing w:after="0" w:line="253" w:lineRule="auto"/>
        <w:tabs>
          <w:tab w:leader="none" w:pos="243" w:val="left"/>
        </w:tabs>
        <w:numPr>
          <w:ilvl w:val="0"/>
          <w:numId w:val="37"/>
        </w:numPr>
        <w:rPr>
          <w:rFonts w:ascii="Arial" w:cs="Arial" w:eastAsia="Arial" w:hAnsi="Arial"/>
          <w:sz w:val="18"/>
          <w:szCs w:val="18"/>
          <w:color w:val="auto"/>
        </w:rPr>
      </w:pPr>
      <w:r>
        <w:rPr>
          <w:rFonts w:ascii="Arial" w:cs="Arial" w:eastAsia="Arial" w:hAnsi="Arial"/>
          <w:sz w:val="18"/>
          <w:szCs w:val="18"/>
          <w:color w:val="auto"/>
        </w:rPr>
        <w:t>Approves corporate goals and objectives relevant to the compensation of the CEO, assesses the CEO’s performance in light of these goals and objectives, and sets the CEO’s compensation based on this assessment;</w:t>
      </w:r>
    </w:p>
    <w:p>
      <w:pPr>
        <w:spacing w:after="0" w:line="168" w:lineRule="exact"/>
        <w:rPr>
          <w:rFonts w:ascii="Arial" w:cs="Arial" w:eastAsia="Arial" w:hAnsi="Arial"/>
          <w:sz w:val="18"/>
          <w:szCs w:val="18"/>
          <w:color w:val="auto"/>
        </w:rPr>
      </w:pPr>
    </w:p>
    <w:p>
      <w:pPr>
        <w:ind w:left="260" w:right="240" w:hanging="216"/>
        <w:spacing w:after="0" w:line="271" w:lineRule="auto"/>
        <w:tabs>
          <w:tab w:leader="none" w:pos="253" w:val="left"/>
        </w:tabs>
        <w:numPr>
          <w:ilvl w:val="0"/>
          <w:numId w:val="37"/>
        </w:numPr>
        <w:rPr>
          <w:rFonts w:ascii="Arial" w:cs="Arial" w:eastAsia="Arial" w:hAnsi="Arial"/>
          <w:sz w:val="18"/>
          <w:szCs w:val="18"/>
          <w:color w:val="auto"/>
        </w:rPr>
      </w:pPr>
      <w:r>
        <w:rPr>
          <w:rFonts w:ascii="Arial" w:cs="Arial" w:eastAsia="Arial" w:hAnsi="Arial"/>
          <w:sz w:val="18"/>
          <w:szCs w:val="18"/>
          <w:color w:val="auto"/>
        </w:rPr>
        <w:t>Makes recommendations to the Board with respect to non-CEO executive compensation and director compensation;</w:t>
      </w:r>
    </w:p>
    <w:p>
      <w:pPr>
        <w:spacing w:after="0" w:line="153" w:lineRule="exact"/>
        <w:rPr>
          <w:rFonts w:ascii="Arial" w:cs="Arial" w:eastAsia="Arial" w:hAnsi="Arial"/>
          <w:sz w:val="18"/>
          <w:szCs w:val="18"/>
          <w:color w:val="auto"/>
        </w:rPr>
      </w:pPr>
    </w:p>
    <w:p>
      <w:pPr>
        <w:ind w:left="240" w:hanging="196"/>
        <w:spacing w:after="0"/>
        <w:tabs>
          <w:tab w:leader="none" w:pos="2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Acts as the “Committee” under the Company’s long-term incentive plans;</w:t>
      </w:r>
    </w:p>
    <w:p>
      <w:pPr>
        <w:spacing w:after="0" w:line="211" w:lineRule="exact"/>
        <w:rPr>
          <w:rFonts w:ascii="Arial" w:cs="Arial" w:eastAsia="Arial" w:hAnsi="Arial"/>
          <w:sz w:val="18"/>
          <w:szCs w:val="18"/>
          <w:color w:val="auto"/>
        </w:rPr>
      </w:pPr>
    </w:p>
    <w:p>
      <w:pPr>
        <w:ind w:left="260" w:right="360" w:hanging="216"/>
        <w:spacing w:after="0" w:line="271" w:lineRule="auto"/>
        <w:tabs>
          <w:tab w:leader="none" w:pos="253" w:val="left"/>
        </w:tabs>
        <w:numPr>
          <w:ilvl w:val="0"/>
          <w:numId w:val="37"/>
        </w:numPr>
        <w:rPr>
          <w:rFonts w:ascii="Arial" w:cs="Arial" w:eastAsia="Arial" w:hAnsi="Arial"/>
          <w:sz w:val="18"/>
          <w:szCs w:val="18"/>
          <w:color w:val="auto"/>
        </w:rPr>
      </w:pPr>
      <w:r>
        <w:rPr>
          <w:rFonts w:ascii="Arial" w:cs="Arial" w:eastAsia="Arial" w:hAnsi="Arial"/>
          <w:sz w:val="18"/>
          <w:szCs w:val="18"/>
          <w:color w:val="auto"/>
        </w:rPr>
        <w:t>Reviews and discusses with management the Compensation Discussion and Analysis on executive compensation set forth in our proxy statements;</w:t>
      </w:r>
    </w:p>
    <w:p>
      <w:pPr>
        <w:spacing w:after="0" w:line="153" w:lineRule="exact"/>
        <w:rPr>
          <w:rFonts w:ascii="Arial" w:cs="Arial" w:eastAsia="Arial" w:hAnsi="Arial"/>
          <w:sz w:val="18"/>
          <w:szCs w:val="18"/>
          <w:color w:val="auto"/>
        </w:rPr>
      </w:pPr>
    </w:p>
    <w:p>
      <w:pPr>
        <w:ind w:left="260" w:hanging="216"/>
        <w:spacing w:after="0"/>
        <w:tabs>
          <w:tab w:leader="none" w:pos="2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Reviews the number, type, and design of the Company’s pension, health, welfare and benefit plans;</w:t>
      </w:r>
    </w:p>
    <w:p>
      <w:pPr>
        <w:spacing w:after="0" w:line="211" w:lineRule="exact"/>
        <w:rPr>
          <w:rFonts w:ascii="Arial" w:cs="Arial" w:eastAsia="Arial" w:hAnsi="Arial"/>
          <w:sz w:val="18"/>
          <w:szCs w:val="18"/>
          <w:color w:val="auto"/>
        </w:rPr>
      </w:pPr>
    </w:p>
    <w:p>
      <w:pPr>
        <w:ind w:left="260" w:right="500" w:hanging="216"/>
        <w:spacing w:after="0" w:line="301" w:lineRule="auto"/>
        <w:tabs>
          <w:tab w:leader="none" w:pos="253" w:val="left"/>
        </w:tabs>
        <w:numPr>
          <w:ilvl w:val="0"/>
          <w:numId w:val="37"/>
        </w:numPr>
        <w:rPr>
          <w:rFonts w:ascii="Arial" w:cs="Arial" w:eastAsia="Arial" w:hAnsi="Arial"/>
          <w:sz w:val="17"/>
          <w:szCs w:val="17"/>
          <w:color w:val="auto"/>
        </w:rPr>
      </w:pPr>
      <w:r>
        <w:rPr>
          <w:rFonts w:ascii="Arial" w:cs="Arial" w:eastAsia="Arial" w:hAnsi="Arial"/>
          <w:sz w:val="17"/>
          <w:szCs w:val="17"/>
          <w:color w:val="auto"/>
        </w:rPr>
        <w:t>Periodically reviews principal risks relating to the Company’s compensation and human resources policies and practices or other matters addressed by the Human Resources Committee; and</w:t>
      </w:r>
    </w:p>
    <w:p>
      <w:pPr>
        <w:spacing w:after="0" w:line="130" w:lineRule="exact"/>
        <w:rPr>
          <w:rFonts w:ascii="Arial" w:cs="Arial" w:eastAsia="Arial" w:hAnsi="Arial"/>
          <w:sz w:val="17"/>
          <w:szCs w:val="17"/>
          <w:color w:val="auto"/>
        </w:rPr>
      </w:pPr>
    </w:p>
    <w:p>
      <w:pPr>
        <w:jc w:val="both"/>
        <w:ind w:left="260" w:right="280" w:hanging="216"/>
        <w:spacing w:after="0" w:line="253" w:lineRule="auto"/>
        <w:tabs>
          <w:tab w:leader="none" w:pos="253" w:val="left"/>
        </w:tabs>
        <w:numPr>
          <w:ilvl w:val="0"/>
          <w:numId w:val="37"/>
        </w:numPr>
        <w:rPr>
          <w:rFonts w:ascii="Arial" w:cs="Arial" w:eastAsia="Arial" w:hAnsi="Arial"/>
          <w:sz w:val="18"/>
          <w:szCs w:val="18"/>
          <w:color w:val="auto"/>
        </w:rPr>
      </w:pPr>
      <w:r>
        <w:rPr>
          <w:rFonts w:ascii="Arial" w:cs="Arial" w:eastAsia="Arial" w:hAnsi="Arial"/>
          <w:sz w:val="18"/>
          <w:szCs w:val="18"/>
          <w:color w:val="auto"/>
        </w:rPr>
        <w:t>Periodically reviews the Company’s compensation policies and practices applicable to executive and non-executive employees to identify and assess potential material risks arising from the policies and practices.</w:t>
      </w:r>
    </w:p>
    <w:p>
      <w:pPr>
        <w:spacing w:after="0" w:line="169" w:lineRule="exact"/>
        <w:rPr>
          <w:sz w:val="20"/>
          <w:szCs w:val="20"/>
          <w:color w:val="auto"/>
        </w:rPr>
      </w:pPr>
    </w:p>
    <w:p>
      <w:pPr>
        <w:ind w:right="620"/>
        <w:spacing w:after="0" w:line="247" w:lineRule="auto"/>
        <w:rPr>
          <w:sz w:val="20"/>
          <w:szCs w:val="20"/>
          <w:color w:val="auto"/>
        </w:rPr>
      </w:pPr>
      <w:r>
        <w:rPr>
          <w:rFonts w:ascii="Arial" w:cs="Arial" w:eastAsia="Arial" w:hAnsi="Arial"/>
          <w:sz w:val="18"/>
          <w:szCs w:val="18"/>
          <w:color w:val="auto"/>
        </w:rPr>
        <w:t>Under the Human Resources Committee’s charter, the Human Resources Committee may delegate authority to subcommittees, but did not do so in 2021. Additional information on the processes and procedures of the Human Resources Committee is provided under the heading “Compensation Discussion and Analysis (“CD&amp;A”)”.</w:t>
      </w:r>
    </w:p>
    <w:p>
      <w:pPr>
        <w:spacing w:after="0" w:line="200" w:lineRule="exact"/>
        <w:rPr>
          <w:sz w:val="20"/>
          <w:szCs w:val="20"/>
          <w:color w:val="auto"/>
        </w:rPr>
      </w:pPr>
    </w:p>
    <w:p>
      <w:pPr>
        <w:sectPr>
          <w:pgSz w:w="11900" w:h="16838" w:orient="portrait"/>
          <w:cols w:equalWidth="0" w:num="2">
            <w:col w:w="2500" w:space="240"/>
            <w:col w:w="8520"/>
          </w:cols>
          <w:pgMar w:left="320" w:top="125"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33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42" w:name="page43"/>
    <w:bookmarkEnd w:id="4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2" w:lineRule="exact"/>
        <w:rPr>
          <w:sz w:val="20"/>
          <w:szCs w:val="20"/>
          <w:color w:val="auto"/>
        </w:rPr>
      </w:pPr>
    </w:p>
    <w:p>
      <w:pPr>
        <w:ind w:left="100"/>
        <w:spacing w:after="0"/>
        <w:rPr>
          <w:sz w:val="20"/>
          <w:szCs w:val="20"/>
          <w:color w:val="auto"/>
        </w:rPr>
      </w:pPr>
      <w:r>
        <w:rPr>
          <w:rFonts w:ascii="Arial" w:cs="Arial" w:eastAsia="Arial" w:hAnsi="Arial"/>
          <w:sz w:val="22"/>
          <w:szCs w:val="22"/>
          <w:b w:val="1"/>
          <w:bCs w:val="1"/>
          <w:color w:val="355675"/>
        </w:rPr>
        <w:t>NUCLEAR AND OPERATING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7132320" cy="55206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32320" cy="5520690"/>
                    </a:xfrm>
                    <a:prstGeom prst="rect">
                      <a:avLst/>
                    </a:prstGeom>
                    <a:noFill/>
                  </pic:spPr>
                </pic:pic>
              </a:graphicData>
            </a:graphic>
          </wp:anchor>
        </w:drawing>
      </w:r>
    </w:p>
    <w:p>
      <w:pPr>
        <w:sectPr>
          <w:pgSz w:w="11900" w:h="16838" w:orient="portrait"/>
          <w:cols w:equalWidth="0" w:num="1">
            <w:col w:w="11100"/>
          </w:cols>
          <w:pgMar w:left="320" w:top="125" w:right="479" w:bottom="1440" w:gutter="0" w:footer="0" w:header="0"/>
        </w:sectPr>
      </w:pPr>
    </w:p>
    <w:p>
      <w:pPr>
        <w:spacing w:after="0" w:line="189" w:lineRule="exact"/>
        <w:rPr>
          <w:sz w:val="20"/>
          <w:szCs w:val="20"/>
          <w:color w:val="auto"/>
        </w:rPr>
      </w:pPr>
    </w:p>
    <w:p>
      <w:pPr>
        <w:ind w:left="100"/>
        <w:spacing w:after="0" w:line="241" w:lineRule="auto"/>
        <w:rPr>
          <w:sz w:val="20"/>
          <w:szCs w:val="20"/>
          <w:color w:val="auto"/>
        </w:rPr>
      </w:pPr>
      <w:r>
        <w:rPr>
          <w:rFonts w:ascii="Arial" w:cs="Arial" w:eastAsia="Arial" w:hAnsi="Arial"/>
          <w:sz w:val="18"/>
          <w:szCs w:val="18"/>
          <w:b w:val="1"/>
          <w:bCs w:val="1"/>
          <w:color w:val="1C8EA0"/>
        </w:rPr>
        <w:t>“The Committee focused on operational areas and topics critical to our business, including enterprise safety, customer service, energy storage, resource adequacy and cybersecurity.”</w:t>
      </w:r>
    </w:p>
    <w:p>
      <w:pPr>
        <w:spacing w:after="0" w:line="241"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1C8EA0"/>
        </w:rPr>
        <w:t>-Paula Sims</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2021 MEETINGS: 4</w:t>
      </w:r>
    </w:p>
    <w:p>
      <w:pPr>
        <w:spacing w:after="0" w:line="200" w:lineRule="exact"/>
        <w:rPr>
          <w:sz w:val="20"/>
          <w:szCs w:val="20"/>
          <w:color w:val="auto"/>
        </w:rPr>
      </w:pPr>
    </w:p>
    <w:p>
      <w:pPr>
        <w:spacing w:after="0" w:line="228"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COMMITTEE MEMBERS:</w:t>
      </w:r>
    </w:p>
    <w:p>
      <w:pPr>
        <w:spacing w:after="0" w:line="185"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Paula J. Sims, Chair</w:t>
      </w:r>
    </w:p>
    <w:p>
      <w:pPr>
        <w:spacing w:after="0" w:line="9" w:lineRule="exact"/>
        <w:rPr>
          <w:sz w:val="20"/>
          <w:szCs w:val="20"/>
          <w:color w:val="auto"/>
        </w:rPr>
      </w:pPr>
    </w:p>
    <w:p>
      <w:pPr>
        <w:ind w:left="100"/>
        <w:spacing w:after="0"/>
        <w:rPr>
          <w:sz w:val="20"/>
          <w:szCs w:val="20"/>
          <w:color w:val="auto"/>
        </w:rPr>
      </w:pPr>
      <w:r>
        <w:rPr>
          <w:rFonts w:ascii="Arial" w:cs="Arial" w:eastAsia="Arial" w:hAnsi="Arial"/>
          <w:sz w:val="18"/>
          <w:szCs w:val="18"/>
          <w:color w:val="auto"/>
        </w:rPr>
        <w:t>Glynis A. Bryan</w:t>
      </w:r>
    </w:p>
    <w:p>
      <w:pPr>
        <w:ind w:left="100" w:right="140"/>
        <w:spacing w:after="0" w:line="234" w:lineRule="auto"/>
        <w:rPr>
          <w:sz w:val="20"/>
          <w:szCs w:val="20"/>
          <w:color w:val="auto"/>
        </w:rPr>
      </w:pPr>
      <w:r>
        <w:rPr>
          <w:rFonts w:ascii="Arial" w:cs="Arial" w:eastAsia="Arial" w:hAnsi="Arial"/>
          <w:sz w:val="18"/>
          <w:szCs w:val="18"/>
          <w:color w:val="auto"/>
        </w:rPr>
        <w:t>Gonzalo A. de la Melena, Jr. Dale E. Klein</w:t>
      </w:r>
    </w:p>
    <w:p>
      <w:pPr>
        <w:spacing w:after="0" w:line="1" w:lineRule="exact"/>
        <w:rPr>
          <w:sz w:val="20"/>
          <w:szCs w:val="20"/>
          <w:color w:val="auto"/>
        </w:rPr>
      </w:pPr>
    </w:p>
    <w:p>
      <w:pPr>
        <w:ind w:left="100" w:right="500"/>
        <w:spacing w:after="0" w:line="242" w:lineRule="auto"/>
        <w:rPr>
          <w:sz w:val="20"/>
          <w:szCs w:val="20"/>
          <w:color w:val="auto"/>
        </w:rPr>
      </w:pPr>
      <w:r>
        <w:rPr>
          <w:rFonts w:ascii="Arial" w:cs="Arial" w:eastAsia="Arial" w:hAnsi="Arial"/>
          <w:sz w:val="18"/>
          <w:szCs w:val="18"/>
          <w:color w:val="auto"/>
        </w:rPr>
        <w:t>William H. Spence James E. Trevathan, Jr. David P. Wagener</w:t>
      </w:r>
    </w:p>
    <w:p>
      <w:pPr>
        <w:spacing w:after="0" w:line="355" w:lineRule="exact"/>
        <w:rPr>
          <w:sz w:val="20"/>
          <w:szCs w:val="20"/>
          <w:color w:val="auto"/>
        </w:rPr>
      </w:pPr>
    </w:p>
    <w:p>
      <w:pPr>
        <w:ind w:left="100"/>
        <w:spacing w:after="0"/>
        <w:rPr>
          <w:sz w:val="20"/>
          <w:szCs w:val="20"/>
          <w:color w:val="auto"/>
        </w:rPr>
      </w:pPr>
      <w:r>
        <w:rPr>
          <w:rFonts w:ascii="Arial" w:cs="Arial" w:eastAsia="Arial" w:hAnsi="Arial"/>
          <w:sz w:val="18"/>
          <w:szCs w:val="18"/>
          <w:b w:val="1"/>
          <w:bCs w:val="1"/>
          <w:color w:val="355675"/>
        </w:rPr>
        <w:t>KEY MEMBER SKILLS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2152015</wp:posOffset>
            </wp:positionV>
            <wp:extent cx="1191260" cy="2311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RESPONSIBILITIES:</w:t>
      </w:r>
    </w:p>
    <w:p>
      <w:pPr>
        <w:spacing w:after="0" w:line="212" w:lineRule="exact"/>
        <w:rPr>
          <w:sz w:val="20"/>
          <w:szCs w:val="20"/>
          <w:color w:val="auto"/>
        </w:rPr>
      </w:pPr>
    </w:p>
    <w:p>
      <w:pPr>
        <w:ind w:left="260" w:right="480" w:hanging="216"/>
        <w:spacing w:after="0" w:line="271"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Receives regular reports from management and monitors the overall performance of Palo Verde Generating Station;</w:t>
      </w:r>
    </w:p>
    <w:p>
      <w:pPr>
        <w:spacing w:after="0" w:line="153" w:lineRule="exact"/>
        <w:rPr>
          <w:rFonts w:ascii="Arial" w:cs="Arial" w:eastAsia="Arial" w:hAnsi="Arial"/>
          <w:sz w:val="18"/>
          <w:szCs w:val="18"/>
          <w:color w:val="auto"/>
        </w:rPr>
      </w:pPr>
    </w:p>
    <w:p>
      <w:pPr>
        <w:jc w:val="both"/>
        <w:ind w:left="260" w:hanging="216"/>
        <w:spacing w:after="0" w:line="271"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Reviews the results of major PVGS inspections and evaluations by external oversight groups, such as the Institute of Nuclear Power Operations (“INPO”) and the Nuclear Regulatory Commission (“NRC”);</w:t>
      </w:r>
    </w:p>
    <w:p>
      <w:pPr>
        <w:spacing w:after="0" w:line="153" w:lineRule="exact"/>
        <w:rPr>
          <w:rFonts w:ascii="Arial" w:cs="Arial" w:eastAsia="Arial" w:hAnsi="Arial"/>
          <w:sz w:val="18"/>
          <w:szCs w:val="18"/>
          <w:color w:val="auto"/>
        </w:rPr>
      </w:pPr>
    </w:p>
    <w:p>
      <w:pPr>
        <w:jc w:val="both"/>
        <w:ind w:left="260" w:right="360" w:hanging="216"/>
        <w:spacing w:after="0" w:line="253"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Monitors overall performance of the principal non-nuclear business functions of the Company and APS, including fossil energy generation, energy transmission and delivery, customer service, fuel supply and transportation, safety, legal compliance, and any significant incidents or events;</w:t>
      </w:r>
    </w:p>
    <w:p>
      <w:pPr>
        <w:spacing w:after="0" w:line="168" w:lineRule="exact"/>
        <w:rPr>
          <w:rFonts w:ascii="Arial" w:cs="Arial" w:eastAsia="Arial" w:hAnsi="Arial"/>
          <w:sz w:val="18"/>
          <w:szCs w:val="18"/>
          <w:color w:val="auto"/>
        </w:rPr>
      </w:pPr>
    </w:p>
    <w:p>
      <w:pPr>
        <w:ind w:left="260" w:right="40" w:hanging="216"/>
        <w:spacing w:after="0" w:line="253"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Reviews regular reports from management concerning the environmental, health and safety (“EH&amp;S”) policies and practices of the Company, and monitors compliance by the Company with such policies and applicable laws and regulations;</w:t>
      </w:r>
    </w:p>
    <w:p>
      <w:pPr>
        <w:spacing w:after="0" w:line="168" w:lineRule="exact"/>
        <w:rPr>
          <w:rFonts w:ascii="Arial" w:cs="Arial" w:eastAsia="Arial" w:hAnsi="Arial"/>
          <w:sz w:val="18"/>
          <w:szCs w:val="18"/>
          <w:color w:val="auto"/>
        </w:rPr>
      </w:pPr>
    </w:p>
    <w:p>
      <w:pPr>
        <w:ind w:left="260" w:right="420" w:hanging="216"/>
        <w:spacing w:after="0" w:line="271"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Reviews APS’s planning for generation resources additions and significant expansions of its bulk transmission system;</w:t>
      </w:r>
    </w:p>
    <w:p>
      <w:pPr>
        <w:spacing w:after="0" w:line="153" w:lineRule="exact"/>
        <w:rPr>
          <w:rFonts w:ascii="Arial" w:cs="Arial" w:eastAsia="Arial" w:hAnsi="Arial"/>
          <w:sz w:val="18"/>
          <w:szCs w:val="18"/>
          <w:color w:val="auto"/>
        </w:rPr>
      </w:pPr>
    </w:p>
    <w:p>
      <w:pPr>
        <w:ind w:left="260" w:right="180" w:hanging="216"/>
        <w:spacing w:after="0" w:line="253"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Periodically reviews principal risks related to the Company’s nuclear, fossil generation, transmission and distribution, EH&amp;S operations, or other matters addressed by the Nuclear and Operating Committee;</w:t>
      </w:r>
    </w:p>
    <w:p>
      <w:pPr>
        <w:spacing w:after="0" w:line="168" w:lineRule="exact"/>
        <w:rPr>
          <w:rFonts w:ascii="Arial" w:cs="Arial" w:eastAsia="Arial" w:hAnsi="Arial"/>
          <w:sz w:val="18"/>
          <w:szCs w:val="18"/>
          <w:color w:val="auto"/>
        </w:rPr>
      </w:pPr>
    </w:p>
    <w:p>
      <w:pPr>
        <w:ind w:left="260" w:hanging="216"/>
        <w:spacing w:after="0"/>
        <w:tabs>
          <w:tab w:leader="none" w:pos="26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Receives reports on the Company’s sustainability initiatives and strategy;</w:t>
      </w:r>
    </w:p>
    <w:p>
      <w:pPr>
        <w:spacing w:after="0" w:line="211" w:lineRule="exact"/>
        <w:rPr>
          <w:rFonts w:ascii="Arial" w:cs="Arial" w:eastAsia="Arial" w:hAnsi="Arial"/>
          <w:sz w:val="18"/>
          <w:szCs w:val="18"/>
          <w:color w:val="auto"/>
        </w:rPr>
      </w:pPr>
    </w:p>
    <w:p>
      <w:pPr>
        <w:ind w:left="260" w:right="380" w:hanging="216"/>
        <w:spacing w:after="0" w:line="271"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Provides oversight of security policies, programs and controls for protection of cyber and physical assets; and</w:t>
      </w:r>
    </w:p>
    <w:p>
      <w:pPr>
        <w:spacing w:after="0" w:line="153" w:lineRule="exact"/>
        <w:rPr>
          <w:rFonts w:ascii="Arial" w:cs="Arial" w:eastAsia="Arial" w:hAnsi="Arial"/>
          <w:sz w:val="18"/>
          <w:szCs w:val="18"/>
          <w:color w:val="auto"/>
        </w:rPr>
      </w:pPr>
    </w:p>
    <w:p>
      <w:pPr>
        <w:ind w:left="260" w:right="140" w:hanging="216"/>
        <w:spacing w:after="0" w:line="247" w:lineRule="auto"/>
        <w:tabs>
          <w:tab w:leader="none" w:pos="253"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Receives regular reports from the Off-Site Safety Review Committee (“OSRC”). The OSRC provides independent assessments of the safe and reliable operations of PVGS. The OSRC is comprised of nonemployee individuals with senior management experience in the nuclear industry and the Palo Verde Director of Nuclear Assurance.</w:t>
      </w:r>
    </w:p>
    <w:p>
      <w:pPr>
        <w:spacing w:after="0" w:line="200" w:lineRule="exact"/>
        <w:rPr>
          <w:sz w:val="20"/>
          <w:szCs w:val="20"/>
          <w:color w:val="auto"/>
        </w:rPr>
      </w:pPr>
    </w:p>
    <w:p>
      <w:pPr>
        <w:sectPr>
          <w:pgSz w:w="11900" w:h="16838" w:orient="portrait"/>
          <w:cols w:equalWidth="0" w:num="2">
            <w:col w:w="2500" w:space="240"/>
            <w:col w:w="8360"/>
          </w:cols>
          <w:pgMar w:left="320" w:top="125" w:right="47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00"/>
          </w:cols>
          <w:pgMar w:left="320" w:top="125" w:right="479" w:bottom="1440" w:gutter="0" w:footer="0" w:header="0"/>
          <w:type w:val="continuous"/>
        </w:sectPr>
      </w:pPr>
    </w:p>
    <w:bookmarkStart w:id="43" w:name="page44"/>
    <w:bookmarkEnd w:id="4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Board Meetings and Attendance</w:t>
      </w:r>
    </w:p>
    <w:p>
      <w:pPr>
        <w:spacing w:after="0" w:line="237"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In 2021, our Board held thirteen meetings and all of our Directors attended at least 95% of the Board meetings and any meetings of Board committees on which he or she served. Each Director is expected to participate in the Annual Meeting. All Board members attended the 2021 Annual Meeting.</w:t>
      </w:r>
    </w:p>
    <w:p>
      <w:pPr>
        <w:spacing w:after="0" w:line="154" w:lineRule="exact"/>
        <w:rPr>
          <w:sz w:val="20"/>
          <w:szCs w:val="20"/>
          <w:color w:val="auto"/>
        </w:rPr>
      </w:pPr>
    </w:p>
    <w:p>
      <w:pPr>
        <w:spacing w:after="0"/>
        <w:rPr>
          <w:sz w:val="20"/>
          <w:szCs w:val="20"/>
          <w:color w:val="auto"/>
        </w:rPr>
      </w:pPr>
      <w:r>
        <w:rPr>
          <w:rFonts w:ascii="Arial" w:cs="Arial" w:eastAsia="Arial" w:hAnsi="Arial"/>
          <w:sz w:val="40"/>
          <w:szCs w:val="40"/>
          <w:b w:val="1"/>
          <w:bCs w:val="1"/>
          <w:color w:val="1C8EA0"/>
        </w:rPr>
        <w:t>Board Oversight and Engagement</w:t>
      </w:r>
    </w:p>
    <w:p>
      <w:pPr>
        <w:spacing w:after="0" w:line="21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Company Culture</w:t>
      </w:r>
    </w:p>
    <w:p>
      <w:pPr>
        <w:spacing w:after="0" w:line="237" w:lineRule="exact"/>
        <w:rPr>
          <w:sz w:val="20"/>
          <w:szCs w:val="20"/>
          <w:color w:val="auto"/>
        </w:rPr>
      </w:pPr>
    </w:p>
    <w:p>
      <w:pPr>
        <w:ind w:right="120"/>
        <w:spacing w:after="0" w:line="247" w:lineRule="auto"/>
        <w:rPr>
          <w:sz w:val="20"/>
          <w:szCs w:val="20"/>
          <w:color w:val="auto"/>
        </w:rPr>
      </w:pPr>
      <w:r>
        <w:rPr>
          <w:rFonts w:ascii="Arial" w:cs="Arial" w:eastAsia="Arial" w:hAnsi="Arial"/>
          <w:sz w:val="18"/>
          <w:szCs w:val="18"/>
          <w:color w:val="auto"/>
        </w:rPr>
        <w:t>In 2020, the Company launched the APS Promise anchoring our commitment to our customers, community, and each other. The Promise explains why we’re here (our purpose), what we’re here to do (our vision and mission) and the principles and behaviors that will empower us to achieve our strategic goals. It represents the opportunity to build on our cultural strengths and develop new behaviors that will enable our future success.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939598"/>
        </w:rPr>
        <w:t>APS PROMISE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137795</wp:posOffset>
            </wp:positionV>
            <wp:extent cx="7132320" cy="16319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32320" cy="163195"/>
                    </a:xfrm>
                    <a:prstGeom prst="rect">
                      <a:avLst/>
                    </a:prstGeom>
                    <a:noFill/>
                  </pic:spPr>
                </pic:pic>
              </a:graphicData>
            </a:graphic>
          </wp:anchor>
        </w:drawing>
      </w:r>
    </w:p>
    <w:p>
      <w:pPr>
        <w:spacing w:after="0" w:line="205" w:lineRule="exact"/>
        <w:rPr>
          <w:sz w:val="20"/>
          <w:szCs w:val="20"/>
          <w:color w:val="auto"/>
        </w:rPr>
      </w:pPr>
    </w:p>
    <w:p>
      <w:pPr>
        <w:jc w:val="center"/>
        <w:ind w:right="100"/>
        <w:spacing w:after="0"/>
        <w:rPr>
          <w:sz w:val="20"/>
          <w:szCs w:val="20"/>
          <w:color w:val="auto"/>
        </w:rPr>
      </w:pPr>
      <w:r>
        <w:rPr>
          <w:rFonts w:ascii="Arial" w:cs="Arial" w:eastAsia="Arial" w:hAnsi="Arial"/>
          <w:sz w:val="18"/>
          <w:szCs w:val="18"/>
          <w:b w:val="1"/>
          <w:bCs w:val="1"/>
          <w:color w:val="355675"/>
        </w:rPr>
        <w:t>The APS Promise</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47"/>
        </w:trPr>
        <w:tc>
          <w:tcPr>
            <w:tcW w:w="3460" w:type="dxa"/>
            <w:vAlign w:val="bottom"/>
            <w:gridSpan w:val="2"/>
          </w:tcPr>
          <w:p>
            <w:pPr>
              <w:spacing w:after="0"/>
              <w:rPr>
                <w:sz w:val="20"/>
                <w:szCs w:val="20"/>
                <w:color w:val="auto"/>
              </w:rPr>
            </w:pPr>
            <w:r>
              <w:rPr>
                <w:rFonts w:ascii="Arial" w:cs="Arial" w:eastAsia="Arial" w:hAnsi="Arial"/>
                <w:sz w:val="18"/>
                <w:szCs w:val="18"/>
                <w:b w:val="1"/>
                <w:bCs w:val="1"/>
                <w:color w:val="355675"/>
              </w:rPr>
              <w:t>Our Purpose</w:t>
            </w:r>
          </w:p>
        </w:tc>
        <w:tc>
          <w:tcPr>
            <w:tcW w:w="3980" w:type="dxa"/>
            <w:vAlign w:val="bottom"/>
            <w:gridSpan w:val="2"/>
          </w:tcPr>
          <w:p>
            <w:pPr>
              <w:ind w:left="160"/>
              <w:spacing w:after="0"/>
              <w:rPr>
                <w:sz w:val="20"/>
                <w:szCs w:val="20"/>
                <w:color w:val="auto"/>
              </w:rPr>
            </w:pPr>
            <w:r>
              <w:rPr>
                <w:rFonts w:ascii="Arial" w:cs="Arial" w:eastAsia="Arial" w:hAnsi="Arial"/>
                <w:sz w:val="18"/>
                <w:szCs w:val="18"/>
                <w:b w:val="1"/>
                <w:bCs w:val="1"/>
                <w:color w:val="355675"/>
              </w:rPr>
              <w:t>Our Vision</w:t>
            </w:r>
          </w:p>
        </w:tc>
        <w:tc>
          <w:tcPr>
            <w:tcW w:w="3800" w:type="dxa"/>
            <w:vAlign w:val="bottom"/>
          </w:tcPr>
          <w:p>
            <w:pPr>
              <w:ind w:left="100"/>
              <w:spacing w:after="0"/>
              <w:rPr>
                <w:sz w:val="20"/>
                <w:szCs w:val="20"/>
                <w:color w:val="auto"/>
              </w:rPr>
            </w:pPr>
            <w:r>
              <w:rPr>
                <w:rFonts w:ascii="Arial" w:cs="Arial" w:eastAsia="Arial" w:hAnsi="Arial"/>
                <w:sz w:val="18"/>
                <w:szCs w:val="18"/>
                <w:b w:val="1"/>
                <w:bCs w:val="1"/>
                <w:color w:val="355675"/>
              </w:rPr>
              <w:t>Our Mission</w:t>
            </w:r>
          </w:p>
        </w:tc>
      </w:tr>
      <w:tr>
        <w:trPr>
          <w:trHeight w:val="361"/>
        </w:trPr>
        <w:tc>
          <w:tcPr>
            <w:tcW w:w="3460" w:type="dxa"/>
            <w:vAlign w:val="bottom"/>
            <w:gridSpan w:val="2"/>
          </w:tcPr>
          <w:p>
            <w:pPr>
              <w:spacing w:after="0"/>
              <w:rPr>
                <w:sz w:val="20"/>
                <w:szCs w:val="20"/>
                <w:color w:val="auto"/>
              </w:rPr>
            </w:pPr>
            <w:r>
              <w:rPr>
                <w:rFonts w:ascii="Arial" w:cs="Arial" w:eastAsia="Arial" w:hAnsi="Arial"/>
                <w:sz w:val="18"/>
                <w:szCs w:val="18"/>
                <w:color w:val="auto"/>
              </w:rPr>
              <w:t>As Arizona stewards, we do what is right</w:t>
            </w:r>
          </w:p>
        </w:tc>
        <w:tc>
          <w:tcPr>
            <w:tcW w:w="3980" w:type="dxa"/>
            <w:vAlign w:val="bottom"/>
            <w:gridSpan w:val="2"/>
          </w:tcPr>
          <w:p>
            <w:pPr>
              <w:ind w:left="160"/>
              <w:spacing w:after="0"/>
              <w:rPr>
                <w:sz w:val="20"/>
                <w:szCs w:val="20"/>
                <w:color w:val="auto"/>
              </w:rPr>
            </w:pPr>
            <w:r>
              <w:rPr>
                <w:rFonts w:ascii="Arial" w:cs="Arial" w:eastAsia="Arial" w:hAnsi="Arial"/>
                <w:sz w:val="18"/>
                <w:szCs w:val="18"/>
                <w:color w:val="auto"/>
              </w:rPr>
              <w:t>Create a sustainable energy future for Arizona.</w:t>
            </w:r>
          </w:p>
        </w:tc>
        <w:tc>
          <w:tcPr>
            <w:tcW w:w="3800" w:type="dxa"/>
            <w:vAlign w:val="bottom"/>
          </w:tcPr>
          <w:p>
            <w:pPr>
              <w:ind w:left="100"/>
              <w:spacing w:after="0"/>
              <w:rPr>
                <w:sz w:val="20"/>
                <w:szCs w:val="20"/>
                <w:color w:val="auto"/>
              </w:rPr>
            </w:pPr>
            <w:r>
              <w:rPr>
                <w:rFonts w:ascii="Arial" w:cs="Arial" w:eastAsia="Arial" w:hAnsi="Arial"/>
                <w:sz w:val="18"/>
                <w:szCs w:val="18"/>
                <w:color w:val="auto"/>
              </w:rPr>
              <w:t>Serve our customers with clean, reliable and</w:t>
            </w:r>
          </w:p>
        </w:tc>
      </w:tr>
      <w:tr>
        <w:trPr>
          <w:trHeight w:val="239"/>
        </w:trPr>
        <w:tc>
          <w:tcPr>
            <w:tcW w:w="3460" w:type="dxa"/>
            <w:vAlign w:val="bottom"/>
            <w:gridSpan w:val="2"/>
          </w:tcPr>
          <w:p>
            <w:pPr>
              <w:spacing w:after="0"/>
              <w:rPr>
                <w:sz w:val="20"/>
                <w:szCs w:val="20"/>
                <w:color w:val="auto"/>
              </w:rPr>
            </w:pPr>
            <w:r>
              <w:rPr>
                <w:rFonts w:ascii="Arial" w:cs="Arial" w:eastAsia="Arial" w:hAnsi="Arial"/>
                <w:sz w:val="18"/>
                <w:szCs w:val="18"/>
                <w:color w:val="auto"/>
              </w:rPr>
              <w:t>for the people and prosperity of our state.</w:t>
            </w:r>
          </w:p>
        </w:tc>
        <w:tc>
          <w:tcPr>
            <w:tcW w:w="320" w:type="dxa"/>
            <w:vAlign w:val="bottom"/>
          </w:tcPr>
          <w:p>
            <w:pPr>
              <w:spacing w:after="0"/>
              <w:rPr>
                <w:sz w:val="20"/>
                <w:szCs w:val="20"/>
                <w:color w:val="auto"/>
              </w:rPr>
            </w:pPr>
          </w:p>
        </w:tc>
        <w:tc>
          <w:tcPr>
            <w:tcW w:w="3660" w:type="dxa"/>
            <w:vAlign w:val="bottom"/>
          </w:tcPr>
          <w:p>
            <w:pPr>
              <w:spacing w:after="0"/>
              <w:rPr>
                <w:sz w:val="20"/>
                <w:szCs w:val="20"/>
                <w:color w:val="auto"/>
              </w:rPr>
            </w:pPr>
          </w:p>
        </w:tc>
        <w:tc>
          <w:tcPr>
            <w:tcW w:w="3800" w:type="dxa"/>
            <w:vAlign w:val="bottom"/>
          </w:tcPr>
          <w:p>
            <w:pPr>
              <w:ind w:left="100"/>
              <w:spacing w:after="0"/>
              <w:rPr>
                <w:sz w:val="20"/>
                <w:szCs w:val="20"/>
                <w:color w:val="auto"/>
              </w:rPr>
            </w:pPr>
            <w:r>
              <w:rPr>
                <w:rFonts w:ascii="Arial" w:cs="Arial" w:eastAsia="Arial" w:hAnsi="Arial"/>
                <w:sz w:val="18"/>
                <w:szCs w:val="18"/>
                <w:color w:val="auto"/>
              </w:rPr>
              <w:t>affordable energy.</w:t>
            </w:r>
          </w:p>
        </w:tc>
      </w:tr>
      <w:tr>
        <w:trPr>
          <w:trHeight w:val="185"/>
        </w:trPr>
        <w:tc>
          <w:tcPr>
            <w:tcW w:w="160" w:type="dxa"/>
            <w:vAlign w:val="bottom"/>
          </w:tcPr>
          <w:p>
            <w:pPr>
              <w:spacing w:after="0"/>
              <w:rPr>
                <w:sz w:val="16"/>
                <w:szCs w:val="16"/>
                <w:color w:val="auto"/>
              </w:rPr>
            </w:pPr>
          </w:p>
        </w:tc>
        <w:tc>
          <w:tcPr>
            <w:tcW w:w="33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3660" w:type="dxa"/>
            <w:vAlign w:val="bottom"/>
          </w:tcPr>
          <w:p>
            <w:pPr>
              <w:spacing w:after="0"/>
              <w:rPr>
                <w:sz w:val="16"/>
                <w:szCs w:val="16"/>
                <w:color w:val="auto"/>
              </w:rPr>
            </w:pPr>
          </w:p>
        </w:tc>
        <w:tc>
          <w:tcPr>
            <w:tcW w:w="3800" w:type="dxa"/>
            <w:vAlign w:val="bottom"/>
          </w:tcPr>
          <w:p>
            <w:pPr>
              <w:spacing w:after="0"/>
              <w:rPr>
                <w:sz w:val="16"/>
                <w:szCs w:val="16"/>
                <w:color w:val="auto"/>
              </w:rPr>
            </w:pPr>
          </w:p>
        </w:tc>
      </w:tr>
      <w:tr>
        <w:trPr>
          <w:trHeight w:val="256"/>
        </w:trPr>
        <w:tc>
          <w:tcPr>
            <w:tcW w:w="160" w:type="dxa"/>
            <w:vAlign w:val="bottom"/>
            <w:shd w:val="clear" w:color="auto" w:fill="F4F4F4"/>
          </w:tcPr>
          <w:p>
            <w:pPr>
              <w:spacing w:after="0"/>
              <w:rPr>
                <w:sz w:val="22"/>
                <w:szCs w:val="22"/>
                <w:color w:val="auto"/>
              </w:rPr>
            </w:pPr>
          </w:p>
        </w:tc>
        <w:tc>
          <w:tcPr>
            <w:tcW w:w="3300" w:type="dxa"/>
            <w:vAlign w:val="bottom"/>
            <w:shd w:val="clear" w:color="auto" w:fill="F4F4F4"/>
          </w:tcPr>
          <w:p>
            <w:pPr>
              <w:spacing w:after="0"/>
              <w:rPr>
                <w:sz w:val="22"/>
                <w:szCs w:val="22"/>
                <w:color w:val="auto"/>
              </w:rPr>
            </w:pPr>
          </w:p>
        </w:tc>
        <w:tc>
          <w:tcPr>
            <w:tcW w:w="320" w:type="dxa"/>
            <w:vAlign w:val="bottom"/>
            <w:shd w:val="clear" w:color="auto" w:fill="F4F4F4"/>
          </w:tcPr>
          <w:p>
            <w:pPr>
              <w:spacing w:after="0"/>
              <w:rPr>
                <w:sz w:val="22"/>
                <w:szCs w:val="22"/>
                <w:color w:val="auto"/>
              </w:rPr>
            </w:pPr>
          </w:p>
        </w:tc>
        <w:tc>
          <w:tcPr>
            <w:tcW w:w="3660" w:type="dxa"/>
            <w:vAlign w:val="bottom"/>
            <w:shd w:val="clear" w:color="auto" w:fill="F4F4F4"/>
          </w:tcPr>
          <w:p>
            <w:pPr>
              <w:ind w:left="1180"/>
              <w:spacing w:after="0"/>
              <w:rPr>
                <w:sz w:val="20"/>
                <w:szCs w:val="20"/>
                <w:color w:val="auto"/>
              </w:rPr>
            </w:pPr>
            <w:r>
              <w:rPr>
                <w:rFonts w:ascii="Arial" w:cs="Arial" w:eastAsia="Arial" w:hAnsi="Arial"/>
                <w:sz w:val="18"/>
                <w:szCs w:val="18"/>
                <w:b w:val="1"/>
                <w:bCs w:val="1"/>
                <w:color w:val="355675"/>
              </w:rPr>
              <w:t>Our Principles</w:t>
            </w:r>
          </w:p>
        </w:tc>
        <w:tc>
          <w:tcPr>
            <w:tcW w:w="3800" w:type="dxa"/>
            <w:vAlign w:val="bottom"/>
            <w:shd w:val="clear" w:color="auto" w:fill="F4F4F4"/>
          </w:tcPr>
          <w:p>
            <w:pPr>
              <w:spacing w:after="0"/>
              <w:rPr>
                <w:sz w:val="22"/>
                <w:szCs w:val="22"/>
                <w:color w:val="auto"/>
              </w:rPr>
            </w:pPr>
          </w:p>
        </w:tc>
      </w:tr>
      <w:tr>
        <w:trPr>
          <w:trHeight w:val="430"/>
        </w:trPr>
        <w:tc>
          <w:tcPr>
            <w:tcW w:w="3460" w:type="dxa"/>
            <w:vAlign w:val="bottom"/>
            <w:gridSpan w:val="2"/>
          </w:tcPr>
          <w:p>
            <w:pPr>
              <w:spacing w:after="0"/>
              <w:rPr>
                <w:sz w:val="20"/>
                <w:szCs w:val="20"/>
                <w:color w:val="auto"/>
              </w:rPr>
            </w:pPr>
            <w:r>
              <w:rPr>
                <w:rFonts w:ascii="Arial" w:cs="Arial" w:eastAsia="Arial" w:hAnsi="Arial"/>
                <w:sz w:val="18"/>
                <w:szCs w:val="18"/>
                <w:b w:val="1"/>
                <w:bCs w:val="1"/>
                <w:color w:val="355675"/>
              </w:rPr>
              <w:t>Design For Tomorrow</w:t>
            </w:r>
          </w:p>
        </w:tc>
        <w:tc>
          <w:tcPr>
            <w:tcW w:w="3980" w:type="dxa"/>
            <w:vAlign w:val="bottom"/>
            <w:gridSpan w:val="2"/>
          </w:tcPr>
          <w:p>
            <w:pPr>
              <w:ind w:left="160"/>
              <w:spacing w:after="0"/>
              <w:rPr>
                <w:sz w:val="20"/>
                <w:szCs w:val="20"/>
                <w:color w:val="auto"/>
              </w:rPr>
            </w:pPr>
            <w:r>
              <w:rPr>
                <w:rFonts w:ascii="Arial" w:cs="Arial" w:eastAsia="Arial" w:hAnsi="Arial"/>
                <w:sz w:val="18"/>
                <w:szCs w:val="18"/>
                <w:b w:val="1"/>
                <w:bCs w:val="1"/>
                <w:color w:val="355675"/>
              </w:rPr>
              <w:t>Empower Each Other</w:t>
            </w:r>
          </w:p>
        </w:tc>
        <w:tc>
          <w:tcPr>
            <w:tcW w:w="3800" w:type="dxa"/>
            <w:vAlign w:val="bottom"/>
          </w:tcPr>
          <w:p>
            <w:pPr>
              <w:ind w:left="100"/>
              <w:spacing w:after="0"/>
              <w:rPr>
                <w:sz w:val="20"/>
                <w:szCs w:val="20"/>
                <w:color w:val="auto"/>
              </w:rPr>
            </w:pPr>
            <w:r>
              <w:rPr>
                <w:rFonts w:ascii="Arial" w:cs="Arial" w:eastAsia="Arial" w:hAnsi="Arial"/>
                <w:sz w:val="18"/>
                <w:szCs w:val="18"/>
                <w:b w:val="1"/>
                <w:bCs w:val="1"/>
                <w:color w:val="355675"/>
              </w:rPr>
              <w:t>Succeed Together</w:t>
            </w:r>
          </w:p>
        </w:tc>
      </w:tr>
      <w:tr>
        <w:trPr>
          <w:trHeight w:val="370"/>
        </w:trPr>
        <w:tc>
          <w:tcPr>
            <w:tcW w:w="160" w:type="dxa"/>
            <w:vAlign w:val="bottom"/>
          </w:tcPr>
          <w:p>
            <w:pPr>
              <w:spacing w:after="0"/>
              <w:rPr>
                <w:sz w:val="20"/>
                <w:szCs w:val="20"/>
                <w:color w:val="auto"/>
              </w:rPr>
            </w:pPr>
            <w:r>
              <w:rPr>
                <w:rFonts w:ascii="Arial" w:cs="Arial" w:eastAsia="Arial" w:hAnsi="Arial"/>
                <w:sz w:val="18"/>
                <w:szCs w:val="18"/>
                <w:color w:val="355675"/>
              </w:rPr>
              <w:t>●</w:t>
            </w:r>
          </w:p>
        </w:tc>
        <w:tc>
          <w:tcPr>
            <w:tcW w:w="3300" w:type="dxa"/>
            <w:vAlign w:val="bottom"/>
          </w:tcPr>
          <w:p>
            <w:pPr>
              <w:ind w:left="60"/>
              <w:spacing w:after="0"/>
              <w:rPr>
                <w:sz w:val="20"/>
                <w:szCs w:val="20"/>
                <w:color w:val="auto"/>
              </w:rPr>
            </w:pPr>
            <w:r>
              <w:rPr>
                <w:rFonts w:ascii="Arial" w:cs="Arial" w:eastAsia="Arial" w:hAnsi="Arial"/>
                <w:sz w:val="18"/>
                <w:szCs w:val="18"/>
                <w:color w:val="auto"/>
              </w:rPr>
              <w:t>See the way forward</w:t>
            </w:r>
          </w:p>
        </w:tc>
        <w:tc>
          <w:tcPr>
            <w:tcW w:w="320" w:type="dxa"/>
            <w:vAlign w:val="bottom"/>
          </w:tcPr>
          <w:p>
            <w:pPr>
              <w:ind w:left="160"/>
              <w:spacing w:after="0"/>
              <w:rPr>
                <w:sz w:val="20"/>
                <w:szCs w:val="20"/>
                <w:color w:val="auto"/>
              </w:rPr>
            </w:pPr>
            <w:r>
              <w:rPr>
                <w:rFonts w:ascii="Arial" w:cs="Arial" w:eastAsia="Arial" w:hAnsi="Arial"/>
                <w:sz w:val="18"/>
                <w:szCs w:val="18"/>
                <w:color w:val="355675"/>
              </w:rPr>
              <w:t>●</w:t>
            </w:r>
          </w:p>
        </w:tc>
        <w:tc>
          <w:tcPr>
            <w:tcW w:w="3660" w:type="dxa"/>
            <w:vAlign w:val="bottom"/>
          </w:tcPr>
          <w:p>
            <w:pPr>
              <w:ind w:left="40"/>
              <w:spacing w:after="0"/>
              <w:rPr>
                <w:sz w:val="20"/>
                <w:szCs w:val="20"/>
                <w:color w:val="auto"/>
              </w:rPr>
            </w:pPr>
            <w:r>
              <w:rPr>
                <w:rFonts w:ascii="Arial" w:cs="Arial" w:eastAsia="Arial" w:hAnsi="Arial"/>
                <w:sz w:val="18"/>
                <w:szCs w:val="18"/>
                <w:color w:val="auto"/>
              </w:rPr>
              <w:t>Embrace diverse perspectives</w:t>
            </w:r>
          </w:p>
        </w:tc>
        <w:tc>
          <w:tcPr>
            <w:tcW w:w="3800" w:type="dxa"/>
            <w:vAlign w:val="bottom"/>
          </w:tcPr>
          <w:p>
            <w:pPr>
              <w:ind w:left="100"/>
              <w:spacing w:after="0"/>
              <w:rPr>
                <w:sz w:val="20"/>
                <w:szCs w:val="20"/>
                <w:color w:val="auto"/>
              </w:rPr>
            </w:pPr>
            <w:r>
              <w:rPr>
                <w:rFonts w:ascii="Arial" w:cs="Arial" w:eastAsia="Arial" w:hAnsi="Arial"/>
                <w:sz w:val="18"/>
                <w:szCs w:val="18"/>
                <w:color w:val="355675"/>
              </w:rPr>
              <w:t xml:space="preserve">● </w:t>
            </w:r>
            <w:r>
              <w:rPr>
                <w:rFonts w:ascii="Arial" w:cs="Arial" w:eastAsia="Arial" w:hAnsi="Arial"/>
                <w:sz w:val="18"/>
                <w:szCs w:val="18"/>
                <w:color w:val="000000"/>
              </w:rPr>
              <w:t>Create clarity</w:t>
            </w:r>
          </w:p>
        </w:tc>
      </w:tr>
      <w:tr>
        <w:trPr>
          <w:trHeight w:val="378"/>
        </w:trPr>
        <w:tc>
          <w:tcPr>
            <w:tcW w:w="160" w:type="dxa"/>
            <w:vAlign w:val="bottom"/>
          </w:tcPr>
          <w:p>
            <w:pPr>
              <w:spacing w:after="0"/>
              <w:rPr>
                <w:sz w:val="20"/>
                <w:szCs w:val="20"/>
                <w:color w:val="auto"/>
              </w:rPr>
            </w:pPr>
            <w:r>
              <w:rPr>
                <w:rFonts w:ascii="Arial" w:cs="Arial" w:eastAsia="Arial" w:hAnsi="Arial"/>
                <w:sz w:val="18"/>
                <w:szCs w:val="18"/>
                <w:color w:val="355675"/>
              </w:rPr>
              <w:t>●</w:t>
            </w:r>
          </w:p>
        </w:tc>
        <w:tc>
          <w:tcPr>
            <w:tcW w:w="3300" w:type="dxa"/>
            <w:vAlign w:val="bottom"/>
          </w:tcPr>
          <w:p>
            <w:pPr>
              <w:ind w:left="60"/>
              <w:spacing w:after="0"/>
              <w:rPr>
                <w:sz w:val="20"/>
                <w:szCs w:val="20"/>
                <w:color w:val="auto"/>
              </w:rPr>
            </w:pPr>
            <w:r>
              <w:rPr>
                <w:rFonts w:ascii="Arial" w:cs="Arial" w:eastAsia="Arial" w:hAnsi="Arial"/>
                <w:sz w:val="18"/>
                <w:szCs w:val="18"/>
                <w:color w:val="auto"/>
              </w:rPr>
              <w:t>Innovate with courage</w:t>
            </w:r>
          </w:p>
        </w:tc>
        <w:tc>
          <w:tcPr>
            <w:tcW w:w="320" w:type="dxa"/>
            <w:vAlign w:val="bottom"/>
          </w:tcPr>
          <w:p>
            <w:pPr>
              <w:ind w:left="160"/>
              <w:spacing w:after="0"/>
              <w:rPr>
                <w:sz w:val="20"/>
                <w:szCs w:val="20"/>
                <w:color w:val="auto"/>
              </w:rPr>
            </w:pPr>
            <w:r>
              <w:rPr>
                <w:rFonts w:ascii="Arial" w:cs="Arial" w:eastAsia="Arial" w:hAnsi="Arial"/>
                <w:sz w:val="18"/>
                <w:szCs w:val="18"/>
                <w:color w:val="355675"/>
              </w:rPr>
              <w:t>●</w:t>
            </w:r>
          </w:p>
        </w:tc>
        <w:tc>
          <w:tcPr>
            <w:tcW w:w="3660" w:type="dxa"/>
            <w:vAlign w:val="bottom"/>
          </w:tcPr>
          <w:p>
            <w:pPr>
              <w:ind w:left="40"/>
              <w:spacing w:after="0"/>
              <w:rPr>
                <w:sz w:val="20"/>
                <w:szCs w:val="20"/>
                <w:color w:val="auto"/>
              </w:rPr>
            </w:pPr>
            <w:r>
              <w:rPr>
                <w:rFonts w:ascii="Arial" w:cs="Arial" w:eastAsia="Arial" w:hAnsi="Arial"/>
                <w:sz w:val="18"/>
                <w:szCs w:val="18"/>
                <w:color w:val="auto"/>
              </w:rPr>
              <w:t>Challenge respectfully</w:t>
            </w:r>
          </w:p>
        </w:tc>
        <w:tc>
          <w:tcPr>
            <w:tcW w:w="3800" w:type="dxa"/>
            <w:vAlign w:val="bottom"/>
          </w:tcPr>
          <w:p>
            <w:pPr>
              <w:ind w:left="100"/>
              <w:spacing w:after="0"/>
              <w:rPr>
                <w:sz w:val="20"/>
                <w:szCs w:val="20"/>
                <w:color w:val="auto"/>
              </w:rPr>
            </w:pPr>
            <w:r>
              <w:rPr>
                <w:rFonts w:ascii="Arial" w:cs="Arial" w:eastAsia="Arial" w:hAnsi="Arial"/>
                <w:sz w:val="18"/>
                <w:szCs w:val="18"/>
                <w:color w:val="355675"/>
              </w:rPr>
              <w:t xml:space="preserve">● </w:t>
            </w:r>
            <w:r>
              <w:rPr>
                <w:rFonts w:ascii="Arial" w:cs="Arial" w:eastAsia="Arial" w:hAnsi="Arial"/>
                <w:sz w:val="18"/>
                <w:szCs w:val="18"/>
                <w:color w:val="000000"/>
              </w:rPr>
              <w:t>Anchor in safety</w:t>
            </w:r>
          </w:p>
        </w:tc>
      </w:tr>
      <w:tr>
        <w:trPr>
          <w:trHeight w:val="378"/>
        </w:trPr>
        <w:tc>
          <w:tcPr>
            <w:tcW w:w="160" w:type="dxa"/>
            <w:vAlign w:val="bottom"/>
          </w:tcPr>
          <w:p>
            <w:pPr>
              <w:spacing w:after="0"/>
              <w:rPr>
                <w:sz w:val="20"/>
                <w:szCs w:val="20"/>
                <w:color w:val="auto"/>
              </w:rPr>
            </w:pPr>
            <w:r>
              <w:rPr>
                <w:rFonts w:ascii="Arial" w:cs="Arial" w:eastAsia="Arial" w:hAnsi="Arial"/>
                <w:sz w:val="18"/>
                <w:szCs w:val="18"/>
                <w:color w:val="355675"/>
              </w:rPr>
              <w:t>●</w:t>
            </w:r>
          </w:p>
        </w:tc>
        <w:tc>
          <w:tcPr>
            <w:tcW w:w="3300" w:type="dxa"/>
            <w:vAlign w:val="bottom"/>
          </w:tcPr>
          <w:p>
            <w:pPr>
              <w:ind w:left="60"/>
              <w:spacing w:after="0"/>
              <w:rPr>
                <w:sz w:val="20"/>
                <w:szCs w:val="20"/>
                <w:color w:val="auto"/>
              </w:rPr>
            </w:pPr>
            <w:r>
              <w:rPr>
                <w:rFonts w:ascii="Arial" w:cs="Arial" w:eastAsia="Arial" w:hAnsi="Arial"/>
                <w:sz w:val="18"/>
                <w:szCs w:val="18"/>
                <w:color w:val="auto"/>
              </w:rPr>
              <w:t>Value learning</w:t>
            </w:r>
          </w:p>
        </w:tc>
        <w:tc>
          <w:tcPr>
            <w:tcW w:w="320" w:type="dxa"/>
            <w:vAlign w:val="bottom"/>
          </w:tcPr>
          <w:p>
            <w:pPr>
              <w:ind w:left="160"/>
              <w:spacing w:after="0"/>
              <w:rPr>
                <w:sz w:val="20"/>
                <w:szCs w:val="20"/>
                <w:color w:val="auto"/>
              </w:rPr>
            </w:pPr>
            <w:r>
              <w:rPr>
                <w:rFonts w:ascii="Arial" w:cs="Arial" w:eastAsia="Arial" w:hAnsi="Arial"/>
                <w:sz w:val="18"/>
                <w:szCs w:val="18"/>
                <w:color w:val="355675"/>
              </w:rPr>
              <w:t>●</w:t>
            </w:r>
          </w:p>
        </w:tc>
        <w:tc>
          <w:tcPr>
            <w:tcW w:w="3660" w:type="dxa"/>
            <w:vAlign w:val="bottom"/>
          </w:tcPr>
          <w:p>
            <w:pPr>
              <w:ind w:left="40"/>
              <w:spacing w:after="0"/>
              <w:rPr>
                <w:sz w:val="20"/>
                <w:szCs w:val="20"/>
                <w:color w:val="auto"/>
              </w:rPr>
            </w:pPr>
            <w:r>
              <w:rPr>
                <w:rFonts w:ascii="Arial" w:cs="Arial" w:eastAsia="Arial" w:hAnsi="Arial"/>
                <w:sz w:val="18"/>
                <w:szCs w:val="18"/>
                <w:color w:val="auto"/>
              </w:rPr>
              <w:t>Unite as one team</w:t>
            </w:r>
          </w:p>
        </w:tc>
        <w:tc>
          <w:tcPr>
            <w:tcW w:w="3800" w:type="dxa"/>
            <w:vAlign w:val="bottom"/>
          </w:tcPr>
          <w:p>
            <w:pPr>
              <w:ind w:left="100"/>
              <w:spacing w:after="0"/>
              <w:rPr>
                <w:sz w:val="20"/>
                <w:szCs w:val="20"/>
                <w:color w:val="auto"/>
              </w:rPr>
            </w:pPr>
            <w:r>
              <w:rPr>
                <w:rFonts w:ascii="Arial" w:cs="Arial" w:eastAsia="Arial" w:hAnsi="Arial"/>
                <w:sz w:val="18"/>
                <w:szCs w:val="18"/>
                <w:color w:val="355675"/>
              </w:rPr>
              <w:t xml:space="preserve">● </w:t>
            </w:r>
            <w:r>
              <w:rPr>
                <w:rFonts w:ascii="Arial" w:cs="Arial" w:eastAsia="Arial" w:hAnsi="Arial"/>
                <w:sz w:val="18"/>
                <w:szCs w:val="18"/>
                <w:color w:val="000000"/>
              </w:rPr>
              <w:t>Deliver for the community</w:t>
            </w:r>
          </w:p>
        </w:tc>
      </w:tr>
    </w:tbl>
    <w:p>
      <w:pPr>
        <w:spacing w:after="0" w:line="14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35</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44" w:name="page45"/>
    <w:bookmarkEnd w:id="4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Strategic Framework</w:t>
      </w:r>
    </w:p>
    <w:p>
      <w:pPr>
        <w:spacing w:after="0" w:line="237" w:lineRule="exact"/>
        <w:rPr>
          <w:sz w:val="20"/>
          <w:szCs w:val="20"/>
          <w:color w:val="auto"/>
        </w:rPr>
      </w:pPr>
    </w:p>
    <w:p>
      <w:pPr>
        <w:ind w:right="80"/>
        <w:spacing w:after="0" w:line="253" w:lineRule="auto"/>
        <w:rPr>
          <w:sz w:val="20"/>
          <w:szCs w:val="20"/>
          <w:color w:val="auto"/>
        </w:rPr>
      </w:pPr>
      <w:r>
        <w:rPr>
          <w:rFonts w:ascii="Arial" w:cs="Arial" w:eastAsia="Arial" w:hAnsi="Arial"/>
          <w:sz w:val="18"/>
          <w:szCs w:val="18"/>
          <w:color w:val="auto"/>
        </w:rPr>
        <w:t>Anchored by the APS Promise, in January 2021, we introduced our ten-year strategic plan. The plan identifies five long-term strategic issues that are priority focus areas for the business to address over the next ten years. Our strategic plan keeps our eye on the future even as we navigate the dynamic present:</w:t>
      </w:r>
    </w:p>
    <w:p>
      <w:pPr>
        <w:spacing w:after="0" w:line="169"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355675"/>
        </w:rPr>
        <w:t>Focus on customer experience and community stewardship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565785" cy="61722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65785" cy="617220"/>
                    </a:xfrm>
                    <a:prstGeom prst="rect">
                      <a:avLst/>
                    </a:prstGeom>
                    <a:noFill/>
                  </pic:spPr>
                </pic:pic>
              </a:graphicData>
            </a:graphic>
          </wp:anchor>
        </w:drawing>
      </w:r>
    </w:p>
    <w:p>
      <w:pPr>
        <w:spacing w:after="0" w:line="192" w:lineRule="exact"/>
        <w:rPr>
          <w:sz w:val="20"/>
          <w:szCs w:val="20"/>
          <w:color w:val="auto"/>
        </w:rPr>
      </w:pPr>
    </w:p>
    <w:p>
      <w:pPr>
        <w:ind w:left="1080" w:right="220"/>
        <w:spacing w:after="0" w:line="253" w:lineRule="auto"/>
        <w:rPr>
          <w:sz w:val="20"/>
          <w:szCs w:val="20"/>
          <w:color w:val="auto"/>
        </w:rPr>
      </w:pPr>
      <w:r>
        <w:rPr>
          <w:rFonts w:ascii="Arial" w:cs="Arial" w:eastAsia="Arial" w:hAnsi="Arial"/>
          <w:sz w:val="18"/>
          <w:szCs w:val="18"/>
          <w:color w:val="auto"/>
        </w:rPr>
        <w:t>Critical to our success is our ability to deliver value to our customers and build quality relationships with our stakeholders. We have an opportunity to improve the customer experience and strengthen our community stewardship by increasing our customer focus, investing in the community in new ways and building on our emerging ESG objectives.</w:t>
      </w:r>
    </w:p>
    <w:p>
      <w:pPr>
        <w:spacing w:after="0" w:line="155"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355675"/>
        </w:rPr>
        <w:t>Support an evolving workforce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522605" cy="58293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522605" cy="582930"/>
                    </a:xfrm>
                    <a:prstGeom prst="rect">
                      <a:avLst/>
                    </a:prstGeom>
                    <a:noFill/>
                  </pic:spPr>
                </pic:pic>
              </a:graphicData>
            </a:graphic>
          </wp:anchor>
        </w:drawing>
      </w:r>
    </w:p>
    <w:p>
      <w:pPr>
        <w:spacing w:after="0" w:line="192" w:lineRule="exact"/>
        <w:rPr>
          <w:sz w:val="20"/>
          <w:szCs w:val="20"/>
          <w:color w:val="auto"/>
        </w:rPr>
      </w:pPr>
    </w:p>
    <w:p>
      <w:pPr>
        <w:ind w:left="1080" w:right="120"/>
        <w:spacing w:after="0" w:line="275" w:lineRule="auto"/>
        <w:rPr>
          <w:sz w:val="20"/>
          <w:szCs w:val="20"/>
          <w:color w:val="auto"/>
        </w:rPr>
      </w:pPr>
      <w:r>
        <w:rPr>
          <w:rFonts w:ascii="Arial" w:cs="Arial" w:eastAsia="Arial" w:hAnsi="Arial"/>
          <w:sz w:val="17"/>
          <w:szCs w:val="17"/>
          <w:color w:val="auto"/>
        </w:rPr>
        <w:t>As our industry experiences social and economic change, employees continue to be the key differentiators of our success. We must plan and prepare to employ the workforce of the future in order to achieve long-term success. The creation of the APS Promise and a focus on cultural principles will allow us to drive innovation and create a sense of belonging for our employees.</w:t>
      </w:r>
    </w:p>
    <w:p>
      <w:pPr>
        <w:spacing w:after="0" w:line="138"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355675"/>
        </w:rPr>
        <w:t>Decarbonize and manage generation 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34925</wp:posOffset>
            </wp:positionV>
            <wp:extent cx="565785" cy="46291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565785" cy="462915"/>
                    </a:xfrm>
                    <a:prstGeom prst="rect">
                      <a:avLst/>
                    </a:prstGeom>
                    <a:noFill/>
                  </pic:spPr>
                </pic:pic>
              </a:graphicData>
            </a:graphic>
          </wp:anchor>
        </w:drawing>
      </w:r>
    </w:p>
    <w:p>
      <w:pPr>
        <w:spacing w:after="0" w:line="192" w:lineRule="exact"/>
        <w:rPr>
          <w:sz w:val="20"/>
          <w:szCs w:val="20"/>
          <w:color w:val="auto"/>
        </w:rPr>
      </w:pPr>
    </w:p>
    <w:p>
      <w:pPr>
        <w:ind w:left="1080" w:right="80"/>
        <w:spacing w:after="0" w:line="247" w:lineRule="auto"/>
        <w:rPr>
          <w:sz w:val="20"/>
          <w:szCs w:val="20"/>
          <w:color w:val="auto"/>
        </w:rPr>
      </w:pPr>
      <w:r>
        <w:rPr>
          <w:rFonts w:ascii="Arial" w:cs="Arial" w:eastAsia="Arial" w:hAnsi="Arial"/>
          <w:sz w:val="18"/>
          <w:szCs w:val="18"/>
          <w:color w:val="auto"/>
        </w:rPr>
        <w:t>National sentiment toward environmental and climate issues increasingly challenges our use of fossil resources and accelerates the transition to renewable and clean energy sources. APS must thoughtfully navigate these transitions to optimize our existing generation fleet, integrate customer-sited resources and strategically invest in the clean energy fleet needed to meet our Clean Energy Commitment.</w:t>
      </w:r>
    </w:p>
    <w:p>
      <w:pPr>
        <w:spacing w:after="0" w:line="160"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355675"/>
        </w:rPr>
        <w:t>Achieve a constructive regulatory environment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548640" cy="7112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548640" cy="711200"/>
                    </a:xfrm>
                    <a:prstGeom prst="rect">
                      <a:avLst/>
                    </a:prstGeom>
                    <a:noFill/>
                  </pic:spPr>
                </pic:pic>
              </a:graphicData>
            </a:graphic>
          </wp:anchor>
        </w:drawing>
      </w:r>
    </w:p>
    <w:p>
      <w:pPr>
        <w:spacing w:after="0" w:line="192" w:lineRule="exact"/>
        <w:rPr>
          <w:sz w:val="20"/>
          <w:szCs w:val="20"/>
          <w:color w:val="auto"/>
        </w:rPr>
      </w:pPr>
    </w:p>
    <w:p>
      <w:pPr>
        <w:ind w:left="1080" w:right="60"/>
        <w:spacing w:after="0" w:line="247" w:lineRule="auto"/>
        <w:rPr>
          <w:sz w:val="20"/>
          <w:szCs w:val="20"/>
          <w:color w:val="auto"/>
        </w:rPr>
      </w:pPr>
      <w:r>
        <w:rPr>
          <w:rFonts w:ascii="Arial" w:cs="Arial" w:eastAsia="Arial" w:hAnsi="Arial"/>
          <w:sz w:val="18"/>
          <w:szCs w:val="18"/>
          <w:color w:val="auto"/>
        </w:rPr>
        <w:t>As a regulated utility, our business outcomes are shaped by regulatory outcomes at the federal, state and local level. This requires us to work from a strong foundation of trust and accountability, and to focus our engagements with the customer top of mind. We must continue to build from a long history of productive relationships and engagement to achieve our long-term objectives.</w:t>
      </w:r>
    </w:p>
    <w:p>
      <w:pPr>
        <w:spacing w:after="0" w:line="160"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355675"/>
        </w:rPr>
        <w:t>Ensure long-term financial health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514350" cy="52260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14350" cy="522605"/>
                    </a:xfrm>
                    <a:prstGeom prst="rect">
                      <a:avLst/>
                    </a:prstGeom>
                    <a:noFill/>
                  </pic:spPr>
                </pic:pic>
              </a:graphicData>
            </a:graphic>
          </wp:anchor>
        </w:drawing>
      </w:r>
    </w:p>
    <w:p>
      <w:pPr>
        <w:spacing w:after="0" w:line="192" w:lineRule="exact"/>
        <w:rPr>
          <w:sz w:val="20"/>
          <w:szCs w:val="20"/>
          <w:color w:val="auto"/>
        </w:rPr>
      </w:pPr>
    </w:p>
    <w:p>
      <w:pPr>
        <w:jc w:val="both"/>
        <w:ind w:left="1080"/>
        <w:spacing w:after="0" w:line="253" w:lineRule="auto"/>
        <w:rPr>
          <w:sz w:val="20"/>
          <w:szCs w:val="20"/>
          <w:color w:val="auto"/>
        </w:rPr>
      </w:pPr>
      <w:r>
        <w:rPr>
          <w:rFonts w:ascii="Arial" w:cs="Arial" w:eastAsia="Arial" w:hAnsi="Arial"/>
          <w:sz w:val="18"/>
          <w:szCs w:val="18"/>
          <w:color w:val="auto"/>
        </w:rPr>
        <w:t>We must keep rates affordable while meeting investor growth expectations and reliability goals. Investments that encourage an economically vital Arizona support our financial health and provide opportunities for new and diversified revenue streams, which will prove essential to our long-term success.</w:t>
      </w:r>
    </w:p>
    <w:p>
      <w:pPr>
        <w:spacing w:after="0" w:line="169" w:lineRule="exact"/>
        <w:rPr>
          <w:sz w:val="20"/>
          <w:szCs w:val="20"/>
          <w:color w:val="auto"/>
        </w:rPr>
      </w:pPr>
    </w:p>
    <w:p>
      <w:pPr>
        <w:ind w:right="20"/>
        <w:spacing w:after="0" w:line="247" w:lineRule="auto"/>
        <w:rPr>
          <w:sz w:val="20"/>
          <w:szCs w:val="20"/>
          <w:color w:val="auto"/>
        </w:rPr>
      </w:pPr>
      <w:r>
        <w:rPr>
          <w:rFonts w:ascii="Arial" w:cs="Arial" w:eastAsia="Arial" w:hAnsi="Arial"/>
          <w:sz w:val="18"/>
          <w:szCs w:val="18"/>
          <w:color w:val="auto"/>
        </w:rPr>
        <w:t>Our Board reviews the development of the strategic business plan and oversees the implementation of that strategy, receiving regular reports from management on progress and any changes throughout the year. The Board, through the Human Resources Committee, is also involved in setting the annual performance metrics, which are aligned with the strategic plan and designed to incentivize achievement of the strategic goals.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122555</wp:posOffset>
            </wp:positionV>
            <wp:extent cx="1191260" cy="2317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45" w:name="page46"/>
    <w:bookmarkEnd w:id="4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638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Environmental, Social and Governance (“ESG”)</w:t>
      </w:r>
    </w:p>
    <w:p>
      <w:pPr>
        <w:spacing w:after="0" w:line="237"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To demonstrate the heightened attention on ESG and focus on ESG trends that may impact the Company, the Board previously changed the name of the Corporate Governance Committee to the Corporate Governance and Public Responsibility Committee and amended its charter to focus ESG oversight within the responsibilities of a single committee. The Corporate Governance and Public Responsibility Committee has the responsibility to review significant ESG trends that may impact the Company, ensure the oversight of relevant ESG issues by the Board and its committees, and make recommendations to the Board, as appropriate. The full Board also dedicates a significant amount of time to ESG matters. As an electric utility, environmental matters are at the forefront of our discussions on operations, strategy and risk. The Nuclear and Operating Committee has primary responsibility over environmental and sustainability matters, though the Board also receives reports on matters of environmental importance. Another key focus of the Board is the adoption and maintenance of good governance practices, which is a primary responsibility of the Corporate Governance and Public Responsibility Committee. Our social impact, within the Company, in our community and with our customers, has also been a key focus of the Board, with certain aspects being overseen by Corporate Governance and Public Responsibility and Human Resources Committees.</w:t>
      </w:r>
    </w:p>
    <w:p>
      <w:pPr>
        <w:spacing w:after="0" w:line="186" w:lineRule="exact"/>
        <w:rPr>
          <w:sz w:val="20"/>
          <w:szCs w:val="20"/>
          <w:color w:val="auto"/>
        </w:rPr>
      </w:pPr>
    </w:p>
    <w:p>
      <w:pPr>
        <w:ind w:right="20"/>
        <w:spacing w:after="0"/>
        <w:rPr>
          <w:sz w:val="20"/>
          <w:szCs w:val="20"/>
          <w:color w:val="auto"/>
        </w:rPr>
      </w:pPr>
      <w:r>
        <w:rPr>
          <w:rFonts w:ascii="Arial" w:cs="Arial" w:eastAsia="Arial" w:hAnsi="Arial"/>
          <w:sz w:val="18"/>
          <w:szCs w:val="18"/>
          <w:color w:val="auto"/>
        </w:rPr>
        <w:t>APS has been integrating ESG practices into its core work for almost 30 years. As a business strategy, we seek to establish shared value – addressing societal and environmental challenges in a way that also delivers business value. We believe that the best way to solve these challenges is to work collaboratively to create a sustainable energy future for Arizona. In 2020, in support of our Clean Energy Commitment and the growing role of ESG in our organization, we formed a new Sustainability department at APS that is dedicated to integrating environmental, social and governance best practices into the everyday work of APS. Its fundamental purpose is to drive our performance and enhance our reputation as a responsible corporate citizen. The department reports to the Vice President of Sustainability, who reports directly to our Senior Vice President of Public Policy.</w:t>
      </w:r>
    </w:p>
    <w:p>
      <w:pPr>
        <w:spacing w:after="0" w:line="185" w:lineRule="exact"/>
        <w:rPr>
          <w:sz w:val="20"/>
          <w:szCs w:val="20"/>
          <w:color w:val="auto"/>
        </w:rPr>
      </w:pPr>
    </w:p>
    <w:p>
      <w:pPr>
        <w:ind w:right="320"/>
        <w:spacing w:after="0" w:line="244" w:lineRule="auto"/>
        <w:rPr>
          <w:sz w:val="20"/>
          <w:szCs w:val="20"/>
          <w:color w:val="auto"/>
        </w:rPr>
      </w:pPr>
      <w:r>
        <w:rPr>
          <w:rFonts w:ascii="Arial" w:cs="Arial" w:eastAsia="Arial" w:hAnsi="Arial"/>
          <w:sz w:val="18"/>
          <w:szCs w:val="18"/>
          <w:color w:val="auto"/>
        </w:rPr>
        <w:t>An ESG Executive Council was previously established to guide the Company’s development of a common, cross-functional ESG vision, ensuring alignment and integration with the corporate strategic framework. The Council also has oversight of ESG reporting and implementation and is responsible for measuring and reporting on the actions taken to reach our Clean Energy Commitment. In 2021, the Company established a Social Issues Committee Framework. The goal of the framework is to provide a process for considering emergent social issues, and for determining whether or how best to engage on these important issues.</w:t>
      </w:r>
    </w:p>
    <w:p>
      <w:pPr>
        <w:spacing w:after="0" w:line="165"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Human Capital Management</w:t>
      </w:r>
    </w:p>
    <w:p>
      <w:pPr>
        <w:spacing w:after="0" w:line="237"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Human capital measures and objectives that the Company focuses on in managing its business include the safety of its employees, diversity and inclusion, succession planning, hiring and retention of talent, compensation and benefits and employee engagement. In 2021, the Human Resources Committee had oversight of the Company’s strategies and policies related to human capital management, including those with respect to matters such as diversity, inclusion, and talent development and retention. The Human Resources Committee is also tasked with oversight of the Company’s workforce, including establishing the Company’s executive compensation philosophy and reviewing the Company’s plans and programs for the attraction, retention, succession, motivation, and development of the human resources needed to achieve corporate objectives. The Human Resources Committee also reviews the Company’s pension, health, welfare and benefit plans and is responsible for the oversight of risks relating to or arising out of the Company’s compensation and human resources policies and practices. The full Board also receives reports on issues relating to human capital. The Board generally has multiple opportunities each year to interact directly with employees, including during our annual Board meeting at the Palo Verde Generating Station, during an annual dinner with select employees, and at employee-driven presentations to the Board. While many of these opportunities were not available in 2021 due to the COVID-19 pandemic, the Board is committed to resuming them once it is safe to do so.</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37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46" w:name="page47"/>
    <w:bookmarkEnd w:id="4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Codes of Ethics</w:t>
      </w:r>
    </w:p>
    <w:p>
      <w:pPr>
        <w:spacing w:after="0" w:line="237" w:lineRule="exact"/>
        <w:rPr>
          <w:sz w:val="20"/>
          <w:szCs w:val="20"/>
          <w:color w:val="auto"/>
        </w:rPr>
      </w:pPr>
    </w:p>
    <w:p>
      <w:pPr>
        <w:ind w:right="520"/>
        <w:spacing w:after="0" w:line="271" w:lineRule="auto"/>
        <w:rPr>
          <w:sz w:val="20"/>
          <w:szCs w:val="20"/>
          <w:color w:val="auto"/>
        </w:rPr>
      </w:pPr>
      <w:r>
        <w:rPr>
          <w:rFonts w:ascii="Arial" w:cs="Arial" w:eastAsia="Arial" w:hAnsi="Arial"/>
          <w:sz w:val="18"/>
          <w:szCs w:val="18"/>
          <w:color w:val="auto"/>
        </w:rPr>
        <w:t>To ensure the highest levels of business ethics, the Board has adopted the Code of Ethics and Business Practices, which applies to all employees, officers and directors, and the Code of Ethics for Financial Executives, both of which are described below:</w:t>
      </w:r>
    </w:p>
    <w:p>
      <w:pPr>
        <w:spacing w:after="0" w:line="138"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Code of Ethical Conduct (“Code of Ethics”)</w:t>
      </w: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color w:val="auto"/>
        </w:rPr>
        <w:t>Employees, directors and officers receive access to the Code of Ethics when they join the Company or APS, as well as annual updates. The Code of Ethics helps ensure that employees, directors and officers of the Company and APS act with integrity and avoid any real or perceived violation of the Company’s policies and applicable laws and regulations. The Company provides annual online training covering the principles in the Code of Ethics. This training includes extensive discussion of the Company’s principles, an explanation of Company ethical standards, application of ethical standards in typical workplace scenarios, information on reporting concerns, assessment questions to measure understanding, and an agreement to abide by the Code of Ethics. All active employees of the Company, APS and our subsidiaries and all of our Directors complete the training.</w:t>
      </w:r>
    </w:p>
    <w:p>
      <w:pPr>
        <w:spacing w:after="0" w:line="169"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Code of Ethics for Financial Executives</w:t>
      </w:r>
    </w:p>
    <w:p>
      <w:pPr>
        <w:spacing w:after="0" w:line="235" w:lineRule="exact"/>
        <w:rPr>
          <w:sz w:val="20"/>
          <w:szCs w:val="20"/>
          <w:color w:val="auto"/>
        </w:rPr>
      </w:pPr>
    </w:p>
    <w:p>
      <w:pPr>
        <w:spacing w:after="0" w:line="242" w:lineRule="auto"/>
        <w:rPr>
          <w:sz w:val="20"/>
          <w:szCs w:val="20"/>
          <w:color w:val="auto"/>
        </w:rPr>
      </w:pPr>
      <w:r>
        <w:rPr>
          <w:rFonts w:ascii="Arial" w:cs="Arial" w:eastAsia="Arial" w:hAnsi="Arial"/>
          <w:sz w:val="18"/>
          <w:szCs w:val="18"/>
          <w:color w:val="auto"/>
        </w:rPr>
        <w:t>The Company has adopted a Code of Ethics for Financial Executives, which is designed to promote honest and ethical conduct and compliance with applicable laws and regulations, particularly as related to the maintenance of financial records, the preparation of financial statements, and proper public disclosure. “Financial Executive” means the Company’s CEO; Chief Administrative Officer; Chief Financial Officer; Chief Accounting Officer; Controller; Treasurer; Vice President, Financial Planning; and General Counsel; and the APS President and Chief Operating Officer; and other persons designated from time to time as a Financial Executive subject to the Code of Ethics for Financial Executives by the Chair of the Audit Committee.</w:t>
      </w:r>
    </w:p>
    <w:p>
      <w:pPr>
        <w:spacing w:after="0" w:line="179" w:lineRule="exact"/>
        <w:rPr>
          <w:sz w:val="20"/>
          <w:szCs w:val="20"/>
          <w:color w:val="auto"/>
        </w:rPr>
      </w:pPr>
    </w:p>
    <w:p>
      <w:pPr>
        <w:spacing w:after="0"/>
        <w:rPr>
          <w:sz w:val="20"/>
          <w:szCs w:val="20"/>
          <w:color w:val="auto"/>
        </w:rPr>
      </w:pPr>
      <w:r>
        <w:rPr>
          <w:rFonts w:ascii="Arial" w:cs="Arial" w:eastAsia="Arial" w:hAnsi="Arial"/>
          <w:sz w:val="18"/>
          <w:szCs w:val="18"/>
          <w:color w:val="auto"/>
        </w:rPr>
        <w:t>Both codes are available on the Company’s website (www.pinnaclewest.com).</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The Board’s Role in Risk Oversight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162560</wp:posOffset>
            </wp:positionV>
            <wp:extent cx="7132320" cy="13716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32320" cy="1371600"/>
                    </a:xfrm>
                    <a:prstGeom prst="rect">
                      <a:avLst/>
                    </a:prstGeom>
                    <a:noFill/>
                  </pic:spPr>
                </pic:pic>
              </a:graphicData>
            </a:graphic>
          </wp:anchor>
        </w:drawing>
      </w:r>
    </w:p>
    <w:p>
      <w:pPr>
        <w:spacing w:after="0" w:line="244" w:lineRule="exact"/>
        <w:rPr>
          <w:sz w:val="20"/>
          <w:szCs w:val="20"/>
          <w:color w:val="auto"/>
        </w:rPr>
      </w:pPr>
    </w:p>
    <w:tbl>
      <w:tblPr>
        <w:tblLayout w:type="fixed"/>
        <w:tblInd w:w="60" w:type="dxa"/>
        <w:tblCellMar>
          <w:top w:w="0" w:type="dxa"/>
          <w:left w:w="0" w:type="dxa"/>
          <w:bottom w:w="0" w:type="dxa"/>
          <w:right w:w="0" w:type="dxa"/>
        </w:tblCellMar>
      </w:tblPr>
      <w:tr>
        <w:trPr>
          <w:trHeight w:val="239"/>
        </w:trPr>
        <w:tc>
          <w:tcPr>
            <w:tcW w:w="5600" w:type="dxa"/>
            <w:vAlign w:val="bottom"/>
            <w:gridSpan w:val="2"/>
          </w:tcPr>
          <w:p>
            <w:pPr>
              <w:spacing w:after="0"/>
              <w:rPr>
                <w:sz w:val="20"/>
                <w:szCs w:val="20"/>
                <w:color w:val="auto"/>
              </w:rPr>
            </w:pPr>
            <w:r>
              <w:rPr>
                <w:rFonts w:ascii="Arial" w:cs="Arial" w:eastAsia="Arial" w:hAnsi="Arial"/>
                <w:sz w:val="18"/>
                <w:szCs w:val="18"/>
                <w:color w:val="auto"/>
                <w:w w:val="99"/>
              </w:rPr>
              <w:t>Top risks discussed by the Board and its committees in 2021 included:</w:t>
            </w:r>
          </w:p>
        </w:tc>
        <w:tc>
          <w:tcPr>
            <w:tcW w:w="180" w:type="dxa"/>
            <w:vAlign w:val="bottom"/>
          </w:tcPr>
          <w:p>
            <w:pPr>
              <w:spacing w:after="0"/>
              <w:rPr>
                <w:sz w:val="20"/>
                <w:szCs w:val="20"/>
                <w:color w:val="auto"/>
              </w:rPr>
            </w:pPr>
          </w:p>
        </w:tc>
        <w:tc>
          <w:tcPr>
            <w:tcW w:w="2560" w:type="dxa"/>
            <w:vAlign w:val="bottom"/>
          </w:tcPr>
          <w:p>
            <w:pPr>
              <w:spacing w:after="0"/>
              <w:rPr>
                <w:sz w:val="20"/>
                <w:szCs w:val="20"/>
                <w:color w:val="auto"/>
              </w:rPr>
            </w:pPr>
          </w:p>
        </w:tc>
      </w:tr>
      <w:tr>
        <w:trPr>
          <w:trHeight w:val="378"/>
        </w:trPr>
        <w:tc>
          <w:tcPr>
            <w:tcW w:w="160" w:type="dxa"/>
            <w:vAlign w:val="bottom"/>
          </w:tcPr>
          <w:p>
            <w:pPr>
              <w:spacing w:after="0"/>
              <w:rPr>
                <w:sz w:val="20"/>
                <w:szCs w:val="20"/>
                <w:color w:val="auto"/>
              </w:rPr>
            </w:pPr>
            <w:r>
              <w:rPr>
                <w:rFonts w:ascii="Arial" w:cs="Arial" w:eastAsia="Arial" w:hAnsi="Arial"/>
                <w:sz w:val="18"/>
                <w:szCs w:val="18"/>
                <w:color w:val="355675"/>
              </w:rPr>
              <w:t>●</w:t>
            </w:r>
          </w:p>
        </w:tc>
        <w:tc>
          <w:tcPr>
            <w:tcW w:w="5440" w:type="dxa"/>
            <w:vAlign w:val="bottom"/>
          </w:tcPr>
          <w:p>
            <w:pPr>
              <w:ind w:left="60"/>
              <w:spacing w:after="0"/>
              <w:rPr>
                <w:sz w:val="20"/>
                <w:szCs w:val="20"/>
                <w:color w:val="auto"/>
              </w:rPr>
            </w:pPr>
            <w:r>
              <w:rPr>
                <w:rFonts w:ascii="Arial" w:cs="Arial" w:eastAsia="Arial" w:hAnsi="Arial"/>
                <w:sz w:val="18"/>
                <w:szCs w:val="18"/>
                <w:color w:val="auto"/>
              </w:rPr>
              <w:t>Clean Energy Strategy and Execution</w:t>
            </w:r>
          </w:p>
        </w:tc>
        <w:tc>
          <w:tcPr>
            <w:tcW w:w="2740" w:type="dxa"/>
            <w:vAlign w:val="bottom"/>
            <w:gridSpan w:val="2"/>
          </w:tcPr>
          <w:p>
            <w:pPr>
              <w:ind w:left="20"/>
              <w:spacing w:after="0"/>
              <w:rPr>
                <w:sz w:val="20"/>
                <w:szCs w:val="20"/>
                <w:color w:val="auto"/>
              </w:rPr>
            </w:pPr>
            <w:r>
              <w:rPr>
                <w:rFonts w:ascii="Arial" w:cs="Arial" w:eastAsia="Arial" w:hAnsi="Arial"/>
                <w:sz w:val="18"/>
                <w:szCs w:val="18"/>
                <w:color w:val="355675"/>
              </w:rPr>
              <w:t xml:space="preserve">● </w:t>
            </w:r>
            <w:r>
              <w:rPr>
                <w:rFonts w:ascii="Arial" w:cs="Arial" w:eastAsia="Arial" w:hAnsi="Arial"/>
                <w:sz w:val="18"/>
                <w:szCs w:val="18"/>
                <w:color w:val="000000"/>
              </w:rPr>
              <w:t>Arizona Utility Regulation</w:t>
            </w:r>
          </w:p>
        </w:tc>
      </w:tr>
      <w:tr>
        <w:trPr>
          <w:trHeight w:val="378"/>
        </w:trPr>
        <w:tc>
          <w:tcPr>
            <w:tcW w:w="5600" w:type="dxa"/>
            <w:vAlign w:val="bottom"/>
            <w:gridSpan w:val="2"/>
          </w:tcPr>
          <w:p>
            <w:pPr>
              <w:spacing w:after="0"/>
              <w:rPr>
                <w:sz w:val="20"/>
                <w:szCs w:val="20"/>
                <w:color w:val="auto"/>
              </w:rPr>
            </w:pPr>
            <w:r>
              <w:rPr>
                <w:rFonts w:ascii="Arial" w:cs="Arial" w:eastAsia="Arial" w:hAnsi="Arial"/>
                <w:sz w:val="18"/>
                <w:szCs w:val="18"/>
                <w:color w:val="355675"/>
              </w:rPr>
              <w:t xml:space="preserve">● </w:t>
            </w:r>
            <w:r>
              <w:rPr>
                <w:rFonts w:ascii="Arial" w:cs="Arial" w:eastAsia="Arial" w:hAnsi="Arial"/>
                <w:sz w:val="18"/>
                <w:szCs w:val="18"/>
                <w:color w:val="000000"/>
              </w:rPr>
              <w:t>Customer Trust</w:t>
            </w:r>
          </w:p>
        </w:tc>
        <w:tc>
          <w:tcPr>
            <w:tcW w:w="2740" w:type="dxa"/>
            <w:vAlign w:val="bottom"/>
            <w:gridSpan w:val="2"/>
          </w:tcPr>
          <w:p>
            <w:pPr>
              <w:ind w:left="20"/>
              <w:spacing w:after="0"/>
              <w:rPr>
                <w:sz w:val="20"/>
                <w:szCs w:val="20"/>
                <w:color w:val="auto"/>
              </w:rPr>
            </w:pPr>
            <w:r>
              <w:rPr>
                <w:rFonts w:ascii="Arial" w:cs="Arial" w:eastAsia="Arial" w:hAnsi="Arial"/>
                <w:sz w:val="18"/>
                <w:szCs w:val="18"/>
                <w:color w:val="355675"/>
              </w:rPr>
              <w:t xml:space="preserve">● </w:t>
            </w:r>
            <w:r>
              <w:rPr>
                <w:rFonts w:ascii="Arial" w:cs="Arial" w:eastAsia="Arial" w:hAnsi="Arial"/>
                <w:sz w:val="18"/>
                <w:szCs w:val="18"/>
                <w:color w:val="000000"/>
              </w:rPr>
              <w:t>Employee Safety</w:t>
            </w:r>
          </w:p>
        </w:tc>
      </w:tr>
      <w:tr>
        <w:trPr>
          <w:trHeight w:val="391"/>
        </w:trPr>
        <w:tc>
          <w:tcPr>
            <w:tcW w:w="160" w:type="dxa"/>
            <w:vAlign w:val="bottom"/>
          </w:tcPr>
          <w:p>
            <w:pPr>
              <w:spacing w:after="0"/>
              <w:rPr>
                <w:sz w:val="20"/>
                <w:szCs w:val="20"/>
                <w:color w:val="auto"/>
              </w:rPr>
            </w:pPr>
            <w:r>
              <w:rPr>
                <w:rFonts w:ascii="Arial" w:cs="Arial" w:eastAsia="Arial" w:hAnsi="Arial"/>
                <w:sz w:val="18"/>
                <w:szCs w:val="18"/>
                <w:color w:val="355675"/>
              </w:rPr>
              <w:t>●</w:t>
            </w:r>
          </w:p>
        </w:tc>
        <w:tc>
          <w:tcPr>
            <w:tcW w:w="5440" w:type="dxa"/>
            <w:vAlign w:val="bottom"/>
          </w:tcPr>
          <w:p>
            <w:pPr>
              <w:ind w:left="60"/>
              <w:spacing w:after="0"/>
              <w:rPr>
                <w:sz w:val="20"/>
                <w:szCs w:val="20"/>
                <w:color w:val="auto"/>
              </w:rPr>
            </w:pPr>
            <w:r>
              <w:rPr>
                <w:rFonts w:ascii="Arial" w:cs="Arial" w:eastAsia="Arial" w:hAnsi="Arial"/>
                <w:sz w:val="18"/>
                <w:szCs w:val="18"/>
                <w:color w:val="auto"/>
              </w:rPr>
              <w:t>Workforce Recruitment, Development and Retention</w:t>
            </w:r>
          </w:p>
        </w:tc>
        <w:tc>
          <w:tcPr>
            <w:tcW w:w="180" w:type="dxa"/>
            <w:vAlign w:val="bottom"/>
          </w:tcPr>
          <w:p>
            <w:pPr>
              <w:ind w:left="20"/>
              <w:spacing w:after="0"/>
              <w:rPr>
                <w:sz w:val="20"/>
                <w:szCs w:val="20"/>
                <w:color w:val="auto"/>
              </w:rPr>
            </w:pPr>
            <w:r>
              <w:rPr>
                <w:rFonts w:ascii="Arial" w:cs="Arial" w:eastAsia="Arial" w:hAnsi="Arial"/>
                <w:sz w:val="18"/>
                <w:szCs w:val="18"/>
                <w:color w:val="355675"/>
              </w:rPr>
              <w:t>●</w:t>
            </w:r>
          </w:p>
        </w:tc>
        <w:tc>
          <w:tcPr>
            <w:tcW w:w="2560" w:type="dxa"/>
            <w:vAlign w:val="bottom"/>
          </w:tcPr>
          <w:p>
            <w:pPr>
              <w:ind w:left="40"/>
              <w:spacing w:after="0"/>
              <w:rPr>
                <w:sz w:val="20"/>
                <w:szCs w:val="20"/>
                <w:color w:val="auto"/>
              </w:rPr>
            </w:pPr>
            <w:r>
              <w:rPr>
                <w:rFonts w:ascii="Arial" w:cs="Arial" w:eastAsia="Arial" w:hAnsi="Arial"/>
                <w:sz w:val="18"/>
                <w:szCs w:val="18"/>
                <w:color w:val="auto"/>
              </w:rPr>
              <w:t>Catastrophic Fire Event</w:t>
            </w:r>
          </w:p>
        </w:tc>
      </w:tr>
      <w:tr>
        <w:trPr>
          <w:trHeight w:val="378"/>
        </w:trPr>
        <w:tc>
          <w:tcPr>
            <w:tcW w:w="160" w:type="dxa"/>
            <w:vAlign w:val="bottom"/>
          </w:tcPr>
          <w:p>
            <w:pPr>
              <w:spacing w:after="0"/>
              <w:rPr>
                <w:sz w:val="24"/>
                <w:szCs w:val="24"/>
                <w:color w:val="auto"/>
              </w:rPr>
            </w:pPr>
          </w:p>
        </w:tc>
        <w:tc>
          <w:tcPr>
            <w:tcW w:w="5440" w:type="dxa"/>
            <w:vAlign w:val="bottom"/>
          </w:tcPr>
          <w:p>
            <w:pPr>
              <w:spacing w:after="0"/>
              <w:rPr>
                <w:sz w:val="24"/>
                <w:szCs w:val="24"/>
                <w:color w:val="auto"/>
              </w:rPr>
            </w:pPr>
          </w:p>
        </w:tc>
        <w:tc>
          <w:tcPr>
            <w:tcW w:w="180" w:type="dxa"/>
            <w:vAlign w:val="bottom"/>
          </w:tcPr>
          <w:p>
            <w:pPr>
              <w:ind w:left="20"/>
              <w:spacing w:after="0"/>
              <w:rPr>
                <w:sz w:val="20"/>
                <w:szCs w:val="20"/>
                <w:color w:val="auto"/>
              </w:rPr>
            </w:pPr>
            <w:r>
              <w:rPr>
                <w:rFonts w:ascii="Arial" w:cs="Arial" w:eastAsia="Arial" w:hAnsi="Arial"/>
                <w:sz w:val="18"/>
                <w:szCs w:val="18"/>
                <w:color w:val="355675"/>
              </w:rPr>
              <w:t>●</w:t>
            </w:r>
          </w:p>
        </w:tc>
        <w:tc>
          <w:tcPr>
            <w:tcW w:w="2560" w:type="dxa"/>
            <w:vAlign w:val="bottom"/>
          </w:tcPr>
          <w:p>
            <w:pPr>
              <w:ind w:left="40"/>
              <w:spacing w:after="0"/>
              <w:rPr>
                <w:sz w:val="20"/>
                <w:szCs w:val="20"/>
                <w:color w:val="auto"/>
              </w:rPr>
            </w:pPr>
            <w:r>
              <w:rPr>
                <w:rFonts w:ascii="Arial" w:cs="Arial" w:eastAsia="Arial" w:hAnsi="Arial"/>
                <w:sz w:val="18"/>
                <w:szCs w:val="18"/>
                <w:color w:val="auto"/>
                <w:w w:val="99"/>
              </w:rPr>
              <w:t>Cybersecurity and Data Privacy</w:t>
            </w:r>
          </w:p>
        </w:tc>
      </w:tr>
    </w:tbl>
    <w:p>
      <w:pPr>
        <w:spacing w:after="0" w:line="139" w:lineRule="exact"/>
        <w:rPr>
          <w:sz w:val="20"/>
          <w:szCs w:val="20"/>
          <w:color w:val="auto"/>
        </w:rPr>
      </w:pPr>
    </w:p>
    <w:p>
      <w:pPr>
        <w:ind w:left="60"/>
        <w:spacing w:after="0"/>
        <w:rPr>
          <w:sz w:val="20"/>
          <w:szCs w:val="20"/>
          <w:color w:val="auto"/>
        </w:rPr>
      </w:pPr>
      <w:r>
        <w:rPr>
          <w:rFonts w:ascii="Arial" w:cs="Arial" w:eastAsia="Arial" w:hAnsi="Arial"/>
          <w:sz w:val="18"/>
          <w:szCs w:val="18"/>
          <w:color w:val="auto"/>
        </w:rPr>
        <w:t>The Board believes it is important to look at the list fresh each year as part of a diligent risk review.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137795</wp:posOffset>
            </wp:positionV>
            <wp:extent cx="1191260" cy="2317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5" w:right="359" w:bottom="1440" w:gutter="0" w:footer="0" w:header="0"/>
        </w:sectPr>
      </w:pPr>
    </w:p>
    <w:bookmarkStart w:id="47" w:name="page48"/>
    <w:bookmarkEnd w:id="4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Responsibilities</w:t>
      </w:r>
    </w:p>
    <w:p>
      <w:pPr>
        <w:spacing w:after="0" w:line="235" w:lineRule="exact"/>
        <w:rPr>
          <w:sz w:val="20"/>
          <w:szCs w:val="20"/>
          <w:color w:val="auto"/>
        </w:rPr>
      </w:pPr>
    </w:p>
    <w:p>
      <w:pPr>
        <w:jc w:val="both"/>
        <w:ind w:right="100"/>
        <w:spacing w:after="0" w:line="253" w:lineRule="auto"/>
        <w:rPr>
          <w:sz w:val="20"/>
          <w:szCs w:val="20"/>
          <w:color w:val="auto"/>
        </w:rPr>
      </w:pPr>
      <w:r>
        <w:rPr>
          <w:rFonts w:ascii="Arial" w:cs="Arial" w:eastAsia="Arial" w:hAnsi="Arial"/>
          <w:sz w:val="18"/>
          <w:szCs w:val="18"/>
          <w:color w:val="auto"/>
        </w:rPr>
        <w:t>Responsibility for the management of the Company’s risks rests with the Company’s senior management team. The Board’s oversight of the Company’s risk management function is designed to provide assurance that the Company’s risk management processes are well adapted to and consistent with the Company’s business and strategy and are functioning as intended.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119380</wp:posOffset>
            </wp:positionV>
            <wp:extent cx="6429375" cy="570039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429375" cy="57003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39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48" w:name="page49"/>
    <w:bookmarkEnd w:id="4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Highlights of Certain Risks</w:t>
      </w: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color w:val="auto"/>
        </w:rPr>
        <w:t>Two risks monitored by the Board and its committees in 2021 were as follows:</w:t>
      </w:r>
    </w:p>
    <w:p>
      <w:pPr>
        <w:spacing w:after="0" w:line="246"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Clean Energy Strategy and Execution</w:t>
      </w:r>
    </w:p>
    <w:p>
      <w:pPr>
        <w:spacing w:after="0" w:line="96" w:lineRule="exact"/>
        <w:rPr>
          <w:sz w:val="20"/>
          <w:szCs w:val="20"/>
          <w:color w:val="auto"/>
        </w:rPr>
      </w:pPr>
    </w:p>
    <w:p>
      <w:pPr>
        <w:ind w:right="60"/>
        <w:spacing w:after="0"/>
        <w:rPr>
          <w:sz w:val="20"/>
          <w:szCs w:val="20"/>
          <w:color w:val="auto"/>
        </w:rPr>
      </w:pPr>
      <w:r>
        <w:rPr>
          <w:rFonts w:ascii="Arial" w:cs="Arial" w:eastAsia="Arial" w:hAnsi="Arial"/>
          <w:sz w:val="18"/>
          <w:szCs w:val="18"/>
          <w:color w:val="auto"/>
        </w:rPr>
        <w:t>Implementation of the Company’s long-term Clean Energy Commitment vision is one of the most pressing issues facing the Company due to fossil fuel plant retirements, replacing those fossil units with evolving clean technologies, and managing a myriad of financial and regulatory considerations. Successful implementation requires enterprise-wide commitment to battery storage, renewables and hydrogen initiative, plus both short- and long-term coordination and support from several stakeholders including the ACC, federal regulators, and communities dependent on fossil fuel generation. Additionally, the Palo Verde Generating Station is a critical component of the Company’s Clean Energy Commitment due to its long-term ability to deliver clean energy. Initiatives and efforts in place to mitigate the risks of implementing the Company’s long-term Clean Energy Commitment:</w:t>
      </w:r>
    </w:p>
    <w:p>
      <w:pPr>
        <w:spacing w:after="0" w:line="158" w:lineRule="exact"/>
        <w:rPr>
          <w:sz w:val="20"/>
          <w:szCs w:val="20"/>
          <w:color w:val="auto"/>
        </w:rPr>
      </w:pPr>
    </w:p>
    <w:p>
      <w:pPr>
        <w:ind w:left="260" w:hanging="252"/>
        <w:spacing w:after="0"/>
        <w:tabs>
          <w:tab w:leader="none" w:pos="260" w:val="left"/>
        </w:tabs>
        <w:numPr>
          <w:ilvl w:val="0"/>
          <w:numId w:val="39"/>
        </w:numPr>
        <w:rPr>
          <w:rFonts w:ascii="Arial" w:cs="Arial" w:eastAsia="Arial" w:hAnsi="Arial"/>
          <w:sz w:val="18"/>
          <w:szCs w:val="18"/>
          <w:b w:val="1"/>
          <w:bCs w:val="1"/>
          <w:color w:val="355675"/>
        </w:rPr>
      </w:pPr>
      <w:r>
        <w:rPr>
          <w:rFonts w:ascii="Arial" w:cs="Arial" w:eastAsia="Arial" w:hAnsi="Arial"/>
          <w:sz w:val="18"/>
          <w:szCs w:val="18"/>
          <w:color w:val="auto"/>
        </w:rPr>
        <w:t>Updated Tier 1 Metric for carbon intensity;</w:t>
      </w:r>
    </w:p>
    <w:p>
      <w:pPr>
        <w:spacing w:after="0" w:line="90" w:lineRule="exact"/>
        <w:rPr>
          <w:rFonts w:ascii="Arial" w:cs="Arial" w:eastAsia="Arial" w:hAnsi="Arial"/>
          <w:sz w:val="18"/>
          <w:szCs w:val="18"/>
          <w:b w:val="1"/>
          <w:bCs w:val="1"/>
          <w:color w:val="355675"/>
        </w:rPr>
      </w:pPr>
    </w:p>
    <w:p>
      <w:pPr>
        <w:ind w:left="260" w:hanging="252"/>
        <w:spacing w:after="0"/>
        <w:tabs>
          <w:tab w:leader="none" w:pos="260" w:val="left"/>
        </w:tabs>
        <w:numPr>
          <w:ilvl w:val="0"/>
          <w:numId w:val="39"/>
        </w:numPr>
        <w:rPr>
          <w:rFonts w:ascii="Arial" w:cs="Arial" w:eastAsia="Arial" w:hAnsi="Arial"/>
          <w:sz w:val="18"/>
          <w:szCs w:val="18"/>
          <w:b w:val="1"/>
          <w:bCs w:val="1"/>
          <w:color w:val="355675"/>
        </w:rPr>
      </w:pPr>
      <w:r>
        <w:rPr>
          <w:rFonts w:ascii="Arial" w:cs="Arial" w:eastAsia="Arial" w:hAnsi="Arial"/>
          <w:sz w:val="18"/>
          <w:szCs w:val="18"/>
          <w:color w:val="auto"/>
        </w:rPr>
        <w:t>Focused clean energy strategy messaging in communications and disclosure documents; and</w:t>
      </w:r>
    </w:p>
    <w:p>
      <w:pPr>
        <w:spacing w:after="0" w:line="90" w:lineRule="exact"/>
        <w:rPr>
          <w:rFonts w:ascii="Arial" w:cs="Arial" w:eastAsia="Arial" w:hAnsi="Arial"/>
          <w:sz w:val="18"/>
          <w:szCs w:val="18"/>
          <w:b w:val="1"/>
          <w:bCs w:val="1"/>
          <w:color w:val="355675"/>
        </w:rPr>
      </w:pPr>
    </w:p>
    <w:p>
      <w:pPr>
        <w:ind w:left="260" w:hanging="252"/>
        <w:spacing w:after="0"/>
        <w:tabs>
          <w:tab w:leader="none" w:pos="260" w:val="left"/>
        </w:tabs>
        <w:numPr>
          <w:ilvl w:val="0"/>
          <w:numId w:val="39"/>
        </w:numPr>
        <w:rPr>
          <w:rFonts w:ascii="Arial" w:cs="Arial" w:eastAsia="Arial" w:hAnsi="Arial"/>
          <w:sz w:val="18"/>
          <w:szCs w:val="18"/>
          <w:b w:val="1"/>
          <w:bCs w:val="1"/>
          <w:color w:val="355675"/>
        </w:rPr>
      </w:pPr>
      <w:r>
        <w:rPr>
          <w:rFonts w:ascii="Arial" w:cs="Arial" w:eastAsia="Arial" w:hAnsi="Arial"/>
          <w:sz w:val="18"/>
          <w:szCs w:val="18"/>
          <w:color w:val="auto"/>
        </w:rPr>
        <w:t>Consistent outreach and dialog with stakeholders, including the ACC.</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Responsibility for oversight of this risk was allocated to the full Board of Directors.</w:t>
      </w:r>
    </w:p>
    <w:p>
      <w:pPr>
        <w:spacing w:after="0" w:line="246"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Workforce Recruitment, Development and Retention</w:t>
      </w:r>
    </w:p>
    <w:p>
      <w:pPr>
        <w:spacing w:after="0" w:line="96" w:lineRule="exact"/>
        <w:rPr>
          <w:sz w:val="20"/>
          <w:szCs w:val="20"/>
          <w:color w:val="auto"/>
        </w:rPr>
      </w:pPr>
    </w:p>
    <w:p>
      <w:pPr>
        <w:spacing w:after="0" w:line="244" w:lineRule="auto"/>
        <w:rPr>
          <w:sz w:val="20"/>
          <w:szCs w:val="20"/>
          <w:color w:val="auto"/>
        </w:rPr>
      </w:pPr>
      <w:r>
        <w:rPr>
          <w:rFonts w:ascii="Arial" w:cs="Arial" w:eastAsia="Arial" w:hAnsi="Arial"/>
          <w:sz w:val="18"/>
          <w:szCs w:val="18"/>
          <w:color w:val="auto"/>
        </w:rPr>
        <w:t>The Company is increasingly challenged to compete for top talent in a workforce where its competitors are no longer simply other utilities, creating a risk of losing the Company’s most talented and vital workers and/or an inability to attract the top talent needed for the future growth of the Company. Relatedly, the Company must work to expand and update the digital skills of its existing workforce to meet with a changing workplace needs. In addition, the Company must continue to further promote and sustain a vital level of diversity and inclusion across the enterprise. Main components of the mitigation strategy include:</w:t>
      </w:r>
    </w:p>
    <w:p>
      <w:pPr>
        <w:spacing w:after="0" w:line="149" w:lineRule="exact"/>
        <w:rPr>
          <w:sz w:val="20"/>
          <w:szCs w:val="20"/>
          <w:color w:val="auto"/>
        </w:rPr>
      </w:pPr>
    </w:p>
    <w:p>
      <w:pPr>
        <w:ind w:left="260" w:hanging="252"/>
        <w:spacing w:after="0"/>
        <w:tabs>
          <w:tab w:leader="none" w:pos="260" w:val="left"/>
        </w:tabs>
        <w:numPr>
          <w:ilvl w:val="0"/>
          <w:numId w:val="40"/>
        </w:numPr>
        <w:rPr>
          <w:rFonts w:ascii="Arial" w:cs="Arial" w:eastAsia="Arial" w:hAnsi="Arial"/>
          <w:sz w:val="18"/>
          <w:szCs w:val="18"/>
          <w:b w:val="1"/>
          <w:bCs w:val="1"/>
          <w:color w:val="355675"/>
        </w:rPr>
      </w:pPr>
      <w:r>
        <w:rPr>
          <w:rFonts w:ascii="Arial" w:cs="Arial" w:eastAsia="Arial" w:hAnsi="Arial"/>
          <w:sz w:val="18"/>
          <w:szCs w:val="18"/>
          <w:color w:val="auto"/>
        </w:rPr>
        <w:t>Strategic workforce planning strategy;</w:t>
      </w:r>
    </w:p>
    <w:p>
      <w:pPr>
        <w:spacing w:after="0" w:line="90" w:lineRule="exact"/>
        <w:rPr>
          <w:rFonts w:ascii="Arial" w:cs="Arial" w:eastAsia="Arial" w:hAnsi="Arial"/>
          <w:sz w:val="18"/>
          <w:szCs w:val="18"/>
          <w:b w:val="1"/>
          <w:bCs w:val="1"/>
          <w:color w:val="355675"/>
        </w:rPr>
      </w:pPr>
    </w:p>
    <w:p>
      <w:pPr>
        <w:ind w:left="260" w:hanging="252"/>
        <w:spacing w:after="0"/>
        <w:tabs>
          <w:tab w:leader="none" w:pos="260" w:val="left"/>
        </w:tabs>
        <w:numPr>
          <w:ilvl w:val="0"/>
          <w:numId w:val="40"/>
        </w:numPr>
        <w:rPr>
          <w:rFonts w:ascii="Arial" w:cs="Arial" w:eastAsia="Arial" w:hAnsi="Arial"/>
          <w:sz w:val="18"/>
          <w:szCs w:val="18"/>
          <w:b w:val="1"/>
          <w:bCs w:val="1"/>
          <w:color w:val="355675"/>
        </w:rPr>
      </w:pPr>
      <w:r>
        <w:rPr>
          <w:rFonts w:ascii="Arial" w:cs="Arial" w:eastAsia="Arial" w:hAnsi="Arial"/>
          <w:sz w:val="18"/>
          <w:szCs w:val="18"/>
          <w:color w:val="auto"/>
        </w:rPr>
        <w:t>Internship programs; and</w:t>
      </w:r>
    </w:p>
    <w:p>
      <w:pPr>
        <w:spacing w:after="0" w:line="90" w:lineRule="exact"/>
        <w:rPr>
          <w:rFonts w:ascii="Arial" w:cs="Arial" w:eastAsia="Arial" w:hAnsi="Arial"/>
          <w:sz w:val="18"/>
          <w:szCs w:val="18"/>
          <w:b w:val="1"/>
          <w:bCs w:val="1"/>
          <w:color w:val="355675"/>
        </w:rPr>
      </w:pPr>
    </w:p>
    <w:p>
      <w:pPr>
        <w:ind w:left="260" w:hanging="252"/>
        <w:spacing w:after="0"/>
        <w:tabs>
          <w:tab w:leader="none" w:pos="260" w:val="left"/>
        </w:tabs>
        <w:numPr>
          <w:ilvl w:val="0"/>
          <w:numId w:val="40"/>
        </w:numPr>
        <w:rPr>
          <w:rFonts w:ascii="Arial" w:cs="Arial" w:eastAsia="Arial" w:hAnsi="Arial"/>
          <w:sz w:val="18"/>
          <w:szCs w:val="18"/>
          <w:b w:val="1"/>
          <w:bCs w:val="1"/>
          <w:color w:val="355675"/>
        </w:rPr>
      </w:pPr>
      <w:r>
        <w:rPr>
          <w:rFonts w:ascii="Arial" w:cs="Arial" w:eastAsia="Arial" w:hAnsi="Arial"/>
          <w:sz w:val="18"/>
          <w:szCs w:val="18"/>
          <w:color w:val="auto"/>
        </w:rPr>
        <w:t>Workplace of the Future Initiative.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Responsibility for oversight of this risk was allocated to the Human Resources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146050</wp:posOffset>
            </wp:positionV>
            <wp:extent cx="1191260" cy="23177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49" w:name="page50"/>
    <w:bookmarkEnd w:id="4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Management Succession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4788535</wp:posOffset>
            </wp:positionH>
            <wp:positionV relativeFrom="paragraph">
              <wp:posOffset>145415</wp:posOffset>
            </wp:positionV>
            <wp:extent cx="2348865" cy="146558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2348865" cy="146558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p>
      <w:pPr>
        <w:spacing w:after="0" w:line="291"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Executive succession planning and senior management development continue to be specific areas of focus for the Corporate Governance and Public Responsibility and Human Resources Committees. Our deliberate and thoughtful succession plan was implemented largely in 2019 and 2020, resulting in the election of Jeffrey B. Guldner as Chairman of the Board, President and CEO of the Company and Chairman of the Board and CEO of APS. The Board also elected Maria L. Lacal as Executive Vice President and Chief Nuclear Officer, PVGS of APS, and Theodore N. Geisler as Senior Vice President and Chief Financial Officer of the Company and APS. In 2021, Mr. Guldner was promoted to President of APS, Jacob Tetlow was promoted to Executive Vice President, Operations of APS, and Robert E. Smith was promoted to Executive Vice President, General Counsel and Chief Development Officer of Pinnacle West and APS.</w:t>
      </w:r>
    </w:p>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Given our need for specialized experience, we maintain strong management succession planning practices and are focused on developing and retaining talent within our Company. Our Board’s focus on attracting, developing and retaining highly skilled and experienced executives is a core consideration in structuring our executive compensation programs.</w:t>
      </w:r>
    </w:p>
    <w:p>
      <w:pPr>
        <w:spacing w:after="0" w:line="547" w:lineRule="exact"/>
        <w:rPr>
          <w:sz w:val="20"/>
          <w:szCs w:val="20"/>
          <w:color w:val="auto"/>
        </w:rPr>
      </w:pPr>
    </w:p>
    <w:p>
      <w:pPr>
        <w:sectPr>
          <w:pgSz w:w="11900" w:h="16838" w:orient="portrait"/>
          <w:cols w:equalWidth="0" w:num="2">
            <w:col w:w="7300" w:space="340"/>
            <w:col w:w="3620"/>
          </w:cols>
          <w:pgMar w:left="320" w:top="125" w:right="319" w:bottom="1440" w:gutter="0" w:footer="0" w:header="0"/>
          <w:type w:val="continuous"/>
        </w:sectPr>
      </w:pPr>
    </w:p>
    <w:p>
      <w:pPr>
        <w:jc w:val="both"/>
        <w:ind w:right="540"/>
        <w:spacing w:after="0" w:line="253" w:lineRule="auto"/>
        <w:rPr>
          <w:sz w:val="20"/>
          <w:szCs w:val="20"/>
          <w:color w:val="auto"/>
        </w:rPr>
      </w:pPr>
      <w:r>
        <w:rPr>
          <w:rFonts w:ascii="Arial" w:cs="Arial" w:eastAsia="Arial" w:hAnsi="Arial"/>
          <w:sz w:val="18"/>
          <w:szCs w:val="18"/>
          <w:color w:val="auto"/>
        </w:rPr>
        <w:t>The implementation of our succession plan is the result of the Corporate Governance and Public Responsibility and Human Resources Committees engaging with management in thorough analysis and thoughtful discussions, including the development and evaluation of current and potential senior leaders.</w:t>
      </w:r>
    </w:p>
    <w:p>
      <w:pPr>
        <w:spacing w:after="0" w:line="128" w:lineRule="exact"/>
        <w:rPr>
          <w:sz w:val="20"/>
          <w:szCs w:val="20"/>
          <w:color w:val="auto"/>
        </w:rPr>
      </w:pPr>
    </w:p>
    <w:p>
      <w:pPr>
        <w:ind w:right="100"/>
        <w:spacing w:after="0" w:line="247" w:lineRule="auto"/>
        <w:rPr>
          <w:sz w:val="20"/>
          <w:szCs w:val="20"/>
          <w:color w:val="auto"/>
        </w:rPr>
      </w:pPr>
      <w:r>
        <w:rPr>
          <w:rFonts w:ascii="Arial" w:cs="Arial" w:eastAsia="Arial" w:hAnsi="Arial"/>
          <w:sz w:val="18"/>
          <w:szCs w:val="18"/>
          <w:color w:val="auto"/>
        </w:rPr>
        <w:t>Our Board places a high priority on senior management development and succession planning. While the Corporate Governance and Public Responsibility Committee has principal responsibility for overseeing CEO and other senior management succession planning, the Human Resources Committee and full Board are actively involved in reviewing our senior management succession plans, which are designed to provide for smooth and thoughtful leadership transitions in the future.</w:t>
      </w:r>
    </w:p>
    <w:p>
      <w:pPr>
        <w:spacing w:after="0" w:line="163"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Employee, Officer and Director Hedging</w:t>
      </w:r>
    </w:p>
    <w:p>
      <w:pPr>
        <w:spacing w:after="0" w:line="237" w:lineRule="exact"/>
        <w:rPr>
          <w:sz w:val="20"/>
          <w:szCs w:val="20"/>
          <w:color w:val="auto"/>
        </w:rPr>
      </w:pPr>
    </w:p>
    <w:p>
      <w:pPr>
        <w:ind w:right="120"/>
        <w:spacing w:after="0" w:line="244" w:lineRule="auto"/>
        <w:rPr>
          <w:sz w:val="20"/>
          <w:szCs w:val="20"/>
          <w:color w:val="auto"/>
        </w:rPr>
      </w:pPr>
      <w:r>
        <w:rPr>
          <w:rFonts w:ascii="Arial" w:cs="Arial" w:eastAsia="Arial" w:hAnsi="Arial"/>
          <w:sz w:val="18"/>
          <w:szCs w:val="18"/>
          <w:color w:val="auto"/>
        </w:rPr>
        <w:t>Directors, officers, and employees of the Company may not engage in any speculative trading, hedging, or derivative security transaction (including the purchase of any financial instrument such as a prepaid variable forward contract, equity swap, collar, short-sales, or exchange fund) that involves or references Company securities, whether granted to the employee or Director as part of the compensation program or otherwise held by the employee or Director. In addition, Directors and officers may not pledge, margin or otherwise grant an economic interest in any shares of Company stock.</w:t>
      </w:r>
    </w:p>
    <w:p>
      <w:pPr>
        <w:spacing w:after="0" w:line="172"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9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95675"/>
              </w:rPr>
              <w:t>41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50" w:name="page51"/>
    <w:bookmarkEnd w:id="5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Shareholder Engagement</w:t>
      </w:r>
    </w:p>
    <w:p>
      <w:pPr>
        <w:spacing w:after="0" w:line="237" w:lineRule="exact"/>
        <w:rPr>
          <w:sz w:val="20"/>
          <w:szCs w:val="20"/>
          <w:color w:val="auto"/>
        </w:rPr>
      </w:pPr>
    </w:p>
    <w:p>
      <w:pPr>
        <w:ind w:right="180"/>
        <w:spacing w:after="0" w:line="253" w:lineRule="auto"/>
        <w:rPr>
          <w:sz w:val="20"/>
          <w:szCs w:val="20"/>
          <w:color w:val="auto"/>
        </w:rPr>
      </w:pPr>
      <w:r>
        <w:rPr>
          <w:rFonts w:ascii="Arial" w:cs="Arial" w:eastAsia="Arial" w:hAnsi="Arial"/>
          <w:sz w:val="18"/>
          <w:szCs w:val="18"/>
          <w:color w:val="auto"/>
        </w:rPr>
        <w:t>We have an established shareholder engagement program to maintain a dialogue with our shareholders throughout the year. Each year we strive to respond to shareholder questions in a timely manner, conduct extensive proactive outreach to investors, and evaluate the information we provide to investors in an effort to continuously improve our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93345</wp:posOffset>
            </wp:positionV>
            <wp:extent cx="7132320" cy="22885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32320" cy="2288540"/>
                    </a:xfrm>
                    <a:prstGeom prst="rect">
                      <a:avLst/>
                    </a:prstGeom>
                    <a:noFill/>
                  </pic:spPr>
                </pic:pic>
              </a:graphicData>
            </a:graphic>
          </wp:anchor>
        </w:drawing>
      </w:r>
    </w:p>
    <w:p>
      <w:pPr>
        <w:spacing w:after="0" w:line="305" w:lineRule="exact"/>
        <w:rPr>
          <w:sz w:val="20"/>
          <w:szCs w:val="20"/>
          <w:color w:val="auto"/>
        </w:rPr>
      </w:pPr>
    </w:p>
    <w:p>
      <w:pPr>
        <w:ind w:left="220"/>
        <w:spacing w:after="0"/>
        <w:tabs>
          <w:tab w:leader="none" w:pos="6360" w:val="left"/>
        </w:tabs>
        <w:rPr>
          <w:sz w:val="20"/>
          <w:szCs w:val="20"/>
          <w:color w:val="auto"/>
        </w:rPr>
      </w:pPr>
      <w:r>
        <w:rPr>
          <w:rFonts w:ascii="Arial" w:cs="Arial" w:eastAsia="Arial" w:hAnsi="Arial"/>
          <w:sz w:val="25"/>
          <w:szCs w:val="25"/>
          <w:b w:val="1"/>
          <w:bCs w:val="1"/>
          <w:color w:val="355675"/>
        </w:rPr>
        <w:t>Shareholder Outreach</w:t>
      </w:r>
      <w:r>
        <w:rPr>
          <w:sz w:val="20"/>
          <w:szCs w:val="20"/>
          <w:color w:val="auto"/>
        </w:rPr>
        <w:tab/>
      </w:r>
      <w:r>
        <w:rPr>
          <w:rFonts w:ascii="Arial" w:cs="Arial" w:eastAsia="Arial" w:hAnsi="Arial"/>
          <w:sz w:val="25"/>
          <w:szCs w:val="25"/>
          <w:b w:val="1"/>
          <w:bCs w:val="1"/>
          <w:color w:val="355675"/>
        </w:rPr>
        <w:t>Board Access</w:t>
      </w:r>
    </w:p>
    <w:p>
      <w:pPr>
        <w:sectPr>
          <w:pgSz w:w="11900" w:h="16838" w:orient="portrait"/>
          <w:cols w:equalWidth="0" w:num="1">
            <w:col w:w="11240"/>
          </w:cols>
          <w:pgMar w:left="320" w:top="125" w:right="339" w:bottom="1440" w:gutter="0" w:footer="0" w:header="0"/>
        </w:sectPr>
      </w:pPr>
    </w:p>
    <w:p>
      <w:pPr>
        <w:spacing w:after="0" w:line="200" w:lineRule="exact"/>
        <w:rPr>
          <w:sz w:val="20"/>
          <w:szCs w:val="20"/>
          <w:color w:val="auto"/>
        </w:rPr>
      </w:pPr>
    </w:p>
    <w:p>
      <w:pPr>
        <w:spacing w:after="0" w:line="288" w:lineRule="exact"/>
        <w:rPr>
          <w:sz w:val="20"/>
          <w:szCs w:val="20"/>
          <w:color w:val="auto"/>
        </w:rPr>
      </w:pPr>
    </w:p>
    <w:p>
      <w:pPr>
        <w:ind w:left="1340"/>
        <w:spacing w:after="0" w:line="271" w:lineRule="auto"/>
        <w:rPr>
          <w:sz w:val="20"/>
          <w:szCs w:val="20"/>
          <w:color w:val="auto"/>
        </w:rPr>
      </w:pPr>
      <w:r>
        <w:rPr>
          <w:rFonts w:ascii="Arial" w:cs="Arial" w:eastAsia="Arial" w:hAnsi="Arial"/>
          <w:sz w:val="18"/>
          <w:szCs w:val="18"/>
          <w:color w:val="auto"/>
        </w:rPr>
        <w:t>In 2021, we contacted the holders of approximately 60% of the shares outstanding.</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p>
      <w:pPr>
        <w:ind w:right="40"/>
        <w:spacing w:after="0" w:line="244" w:lineRule="auto"/>
        <w:rPr>
          <w:sz w:val="20"/>
          <w:szCs w:val="20"/>
          <w:color w:val="auto"/>
        </w:rPr>
      </w:pPr>
      <w:r>
        <w:rPr>
          <w:rFonts w:ascii="Arial" w:cs="Arial" w:eastAsia="Arial" w:hAnsi="Arial"/>
          <w:sz w:val="18"/>
          <w:szCs w:val="18"/>
          <w:color w:val="auto"/>
        </w:rPr>
        <w:t>Our Board is focused on shareholder feedback. Our Lead Director and other members of the Board, depending on the topic to be discussed, have participated in shareholder discussions, providing shareholders with direct access to the Board.</w:t>
      </w:r>
    </w:p>
    <w:p>
      <w:pPr>
        <w:spacing w:after="0" w:line="200" w:lineRule="exact"/>
        <w:rPr>
          <w:sz w:val="20"/>
          <w:szCs w:val="20"/>
          <w:color w:val="auto"/>
        </w:rPr>
      </w:pPr>
    </w:p>
    <w:p>
      <w:pPr>
        <w:sectPr>
          <w:pgSz w:w="11900" w:h="16838" w:orient="portrait"/>
          <w:cols w:equalWidth="0" w:num="2">
            <w:col w:w="6020" w:space="360"/>
            <w:col w:w="4860"/>
          </w:cols>
          <w:pgMar w:left="320" w:top="125" w:right="339" w:bottom="1440" w:gutter="0" w:footer="0" w:header="0"/>
          <w:type w:val="continuous"/>
        </w:sectPr>
      </w:pPr>
    </w:p>
    <w:p>
      <w:pPr>
        <w:spacing w:after="0" w:line="308" w:lineRule="exact"/>
        <w:rPr>
          <w:sz w:val="20"/>
          <w:szCs w:val="20"/>
          <w:color w:val="auto"/>
        </w:rPr>
      </w:pPr>
    </w:p>
    <w:p>
      <w:pPr>
        <w:ind w:left="180"/>
        <w:spacing w:after="0"/>
        <w:rPr>
          <w:sz w:val="20"/>
          <w:szCs w:val="20"/>
          <w:color w:val="auto"/>
        </w:rPr>
      </w:pPr>
      <w:r>
        <w:rPr>
          <w:rFonts w:ascii="Arial" w:cs="Arial" w:eastAsia="Arial" w:hAnsi="Arial"/>
          <w:sz w:val="25"/>
          <w:szCs w:val="25"/>
          <w:b w:val="1"/>
          <w:bCs w:val="1"/>
          <w:color w:val="355675"/>
        </w:rPr>
        <w:t>Matters Discussed in our Fall 2021 Outreach</w:t>
      </w:r>
    </w:p>
    <w:p>
      <w:pPr>
        <w:spacing w:after="0" w:line="210" w:lineRule="exact"/>
        <w:rPr>
          <w:sz w:val="20"/>
          <w:szCs w:val="20"/>
          <w:color w:val="auto"/>
        </w:rPr>
      </w:pPr>
    </w:p>
    <w:tbl>
      <w:tblPr>
        <w:tblLayout w:type="fixed"/>
        <w:tblInd w:w="0" w:type="dxa"/>
        <w:tblCellMar>
          <w:top w:w="0" w:type="dxa"/>
          <w:left w:w="0" w:type="dxa"/>
          <w:bottom w:w="0" w:type="dxa"/>
          <w:right w:w="0" w:type="dxa"/>
        </w:tblCellMar>
      </w:tblPr>
      <w:tr>
        <w:trPr>
          <w:trHeight w:val="282"/>
        </w:trPr>
        <w:tc>
          <w:tcPr>
            <w:tcW w:w="380" w:type="dxa"/>
            <w:vAlign w:val="bottom"/>
            <w:shd w:val="clear" w:color="auto" w:fill="DEEEF3"/>
          </w:tcPr>
          <w:p>
            <w:pPr>
              <w:ind w:left="180"/>
              <w:spacing w:after="0"/>
              <w:rPr>
                <w:sz w:val="20"/>
                <w:szCs w:val="20"/>
                <w:color w:val="auto"/>
              </w:rPr>
            </w:pPr>
            <w:r>
              <w:rPr>
                <w:rFonts w:ascii="Arial" w:cs="Arial" w:eastAsia="Arial" w:hAnsi="Arial"/>
                <w:sz w:val="18"/>
                <w:szCs w:val="18"/>
                <w:b w:val="1"/>
                <w:bCs w:val="1"/>
                <w:color w:val="355675"/>
              </w:rPr>
              <w:t>●</w:t>
            </w:r>
          </w:p>
        </w:tc>
        <w:tc>
          <w:tcPr>
            <w:tcW w:w="3560" w:type="dxa"/>
            <w:vAlign w:val="bottom"/>
            <w:shd w:val="clear" w:color="auto" w:fill="DEEEF3"/>
          </w:tcPr>
          <w:p>
            <w:pPr>
              <w:ind w:left="60"/>
              <w:spacing w:after="0"/>
              <w:rPr>
                <w:sz w:val="20"/>
                <w:szCs w:val="20"/>
                <w:color w:val="auto"/>
              </w:rPr>
            </w:pPr>
            <w:r>
              <w:rPr>
                <w:rFonts w:ascii="Arial" w:cs="Arial" w:eastAsia="Arial" w:hAnsi="Arial"/>
                <w:sz w:val="18"/>
                <w:szCs w:val="18"/>
                <w:color w:val="auto"/>
              </w:rPr>
              <w:t>Our strategy</w:t>
            </w:r>
          </w:p>
        </w:tc>
        <w:tc>
          <w:tcPr>
            <w:tcW w:w="380" w:type="dxa"/>
            <w:vAlign w:val="bottom"/>
          </w:tcPr>
          <w:p>
            <w:pPr>
              <w:ind w:left="200"/>
              <w:spacing w:after="0"/>
              <w:rPr>
                <w:sz w:val="20"/>
                <w:szCs w:val="20"/>
                <w:color w:val="auto"/>
              </w:rPr>
            </w:pPr>
            <w:r>
              <w:rPr>
                <w:rFonts w:ascii="Arial" w:cs="Arial" w:eastAsia="Arial" w:hAnsi="Arial"/>
                <w:sz w:val="18"/>
                <w:szCs w:val="18"/>
                <w:b w:val="1"/>
                <w:bCs w:val="1"/>
                <w:color w:val="355675"/>
              </w:rPr>
              <w:t>●</w:t>
            </w:r>
          </w:p>
        </w:tc>
        <w:tc>
          <w:tcPr>
            <w:tcW w:w="2600" w:type="dxa"/>
            <w:vAlign w:val="bottom"/>
          </w:tcPr>
          <w:p>
            <w:pPr>
              <w:ind w:left="60"/>
              <w:spacing w:after="0"/>
              <w:rPr>
                <w:sz w:val="20"/>
                <w:szCs w:val="20"/>
                <w:color w:val="auto"/>
              </w:rPr>
            </w:pPr>
            <w:r>
              <w:rPr>
                <w:rFonts w:ascii="Arial" w:cs="Arial" w:eastAsia="Arial" w:hAnsi="Arial"/>
                <w:sz w:val="18"/>
                <w:szCs w:val="18"/>
                <w:color w:val="auto"/>
              </w:rPr>
              <w:t>Board refreshment</w:t>
            </w:r>
          </w:p>
        </w:tc>
        <w:tc>
          <w:tcPr>
            <w:tcW w:w="760" w:type="dxa"/>
            <w:vAlign w:val="bottom"/>
          </w:tcPr>
          <w:p>
            <w:pPr>
              <w:ind w:left="580"/>
              <w:spacing w:after="0"/>
              <w:rPr>
                <w:sz w:val="20"/>
                <w:szCs w:val="20"/>
                <w:color w:val="auto"/>
              </w:rPr>
            </w:pPr>
            <w:r>
              <w:rPr>
                <w:rFonts w:ascii="Arial" w:cs="Arial" w:eastAsia="Arial" w:hAnsi="Arial"/>
                <w:sz w:val="18"/>
                <w:szCs w:val="18"/>
                <w:b w:val="1"/>
                <w:bCs w:val="1"/>
                <w:color w:val="355675"/>
              </w:rPr>
              <w:t>●</w:t>
            </w:r>
          </w:p>
        </w:tc>
        <w:tc>
          <w:tcPr>
            <w:tcW w:w="3560" w:type="dxa"/>
            <w:vAlign w:val="bottom"/>
          </w:tcPr>
          <w:p>
            <w:pPr>
              <w:ind w:left="80"/>
              <w:spacing w:after="0"/>
              <w:rPr>
                <w:sz w:val="20"/>
                <w:szCs w:val="20"/>
                <w:color w:val="auto"/>
              </w:rPr>
            </w:pPr>
            <w:r>
              <w:rPr>
                <w:rFonts w:ascii="Arial" w:cs="Arial" w:eastAsia="Arial" w:hAnsi="Arial"/>
                <w:sz w:val="18"/>
                <w:szCs w:val="18"/>
                <w:color w:val="auto"/>
              </w:rPr>
              <w:t>Customer experience</w:t>
            </w:r>
          </w:p>
        </w:tc>
      </w:tr>
      <w:tr>
        <w:trPr>
          <w:trHeight w:val="297"/>
        </w:trPr>
        <w:tc>
          <w:tcPr>
            <w:tcW w:w="380" w:type="dxa"/>
            <w:vAlign w:val="bottom"/>
            <w:shd w:val="clear" w:color="auto" w:fill="DEEEF3"/>
          </w:tcPr>
          <w:p>
            <w:pPr>
              <w:ind w:left="180"/>
              <w:spacing w:after="0"/>
              <w:rPr>
                <w:sz w:val="20"/>
                <w:szCs w:val="20"/>
                <w:color w:val="auto"/>
              </w:rPr>
            </w:pPr>
            <w:r>
              <w:rPr>
                <w:rFonts w:ascii="Arial" w:cs="Arial" w:eastAsia="Arial" w:hAnsi="Arial"/>
                <w:sz w:val="18"/>
                <w:szCs w:val="18"/>
                <w:b w:val="1"/>
                <w:bCs w:val="1"/>
                <w:color w:val="355675"/>
              </w:rPr>
              <w:t>●</w:t>
            </w:r>
          </w:p>
        </w:tc>
        <w:tc>
          <w:tcPr>
            <w:tcW w:w="3560" w:type="dxa"/>
            <w:vAlign w:val="bottom"/>
            <w:shd w:val="clear" w:color="auto" w:fill="DEEEF3"/>
          </w:tcPr>
          <w:p>
            <w:pPr>
              <w:ind w:left="60"/>
              <w:spacing w:after="0"/>
              <w:rPr>
                <w:sz w:val="20"/>
                <w:szCs w:val="20"/>
                <w:color w:val="auto"/>
              </w:rPr>
            </w:pPr>
            <w:r>
              <w:rPr>
                <w:rFonts w:ascii="Arial" w:cs="Arial" w:eastAsia="Arial" w:hAnsi="Arial"/>
                <w:sz w:val="18"/>
                <w:szCs w:val="18"/>
                <w:color w:val="auto"/>
              </w:rPr>
              <w:t>Our performance</w:t>
            </w:r>
          </w:p>
        </w:tc>
        <w:tc>
          <w:tcPr>
            <w:tcW w:w="380" w:type="dxa"/>
            <w:vAlign w:val="bottom"/>
          </w:tcPr>
          <w:p>
            <w:pPr>
              <w:ind w:left="200"/>
              <w:spacing w:after="0"/>
              <w:rPr>
                <w:sz w:val="20"/>
                <w:szCs w:val="20"/>
                <w:color w:val="auto"/>
              </w:rPr>
            </w:pPr>
            <w:r>
              <w:rPr>
                <w:rFonts w:ascii="Arial" w:cs="Arial" w:eastAsia="Arial" w:hAnsi="Arial"/>
                <w:sz w:val="18"/>
                <w:szCs w:val="18"/>
                <w:b w:val="1"/>
                <w:bCs w:val="1"/>
                <w:color w:val="355675"/>
              </w:rPr>
              <w:t>●</w:t>
            </w:r>
          </w:p>
        </w:tc>
        <w:tc>
          <w:tcPr>
            <w:tcW w:w="2600" w:type="dxa"/>
            <w:vAlign w:val="bottom"/>
          </w:tcPr>
          <w:p>
            <w:pPr>
              <w:ind w:left="60"/>
              <w:spacing w:after="0"/>
              <w:rPr>
                <w:sz w:val="20"/>
                <w:szCs w:val="20"/>
                <w:color w:val="auto"/>
              </w:rPr>
            </w:pPr>
            <w:r>
              <w:rPr>
                <w:rFonts w:ascii="Arial" w:cs="Arial" w:eastAsia="Arial" w:hAnsi="Arial"/>
                <w:sz w:val="18"/>
                <w:szCs w:val="18"/>
                <w:color w:val="auto"/>
              </w:rPr>
              <w:t>Our people</w:t>
            </w:r>
          </w:p>
        </w:tc>
        <w:tc>
          <w:tcPr>
            <w:tcW w:w="760" w:type="dxa"/>
            <w:vAlign w:val="bottom"/>
          </w:tcPr>
          <w:p>
            <w:pPr>
              <w:ind w:left="580"/>
              <w:spacing w:after="0"/>
              <w:rPr>
                <w:sz w:val="20"/>
                <w:szCs w:val="20"/>
                <w:color w:val="auto"/>
              </w:rPr>
            </w:pPr>
            <w:r>
              <w:rPr>
                <w:rFonts w:ascii="Arial" w:cs="Arial" w:eastAsia="Arial" w:hAnsi="Arial"/>
                <w:sz w:val="18"/>
                <w:szCs w:val="18"/>
                <w:b w:val="1"/>
                <w:bCs w:val="1"/>
                <w:color w:val="355675"/>
              </w:rPr>
              <w:t>●</w:t>
            </w:r>
          </w:p>
        </w:tc>
        <w:tc>
          <w:tcPr>
            <w:tcW w:w="3560" w:type="dxa"/>
            <w:vAlign w:val="bottom"/>
          </w:tcPr>
          <w:p>
            <w:pPr>
              <w:ind w:left="80"/>
              <w:spacing w:after="0"/>
              <w:rPr>
                <w:sz w:val="20"/>
                <w:szCs w:val="20"/>
                <w:color w:val="auto"/>
              </w:rPr>
            </w:pPr>
            <w:r>
              <w:rPr>
                <w:rFonts w:ascii="Arial" w:cs="Arial" w:eastAsia="Arial" w:hAnsi="Arial"/>
                <w:sz w:val="18"/>
                <w:szCs w:val="18"/>
                <w:color w:val="auto"/>
              </w:rPr>
              <w:t>Diversity, equity and inclusion</w:t>
            </w:r>
          </w:p>
        </w:tc>
      </w:tr>
      <w:tr>
        <w:trPr>
          <w:trHeight w:val="305"/>
        </w:trPr>
        <w:tc>
          <w:tcPr>
            <w:tcW w:w="3940" w:type="dxa"/>
            <w:vAlign w:val="bottom"/>
            <w:gridSpan w:val="2"/>
            <w:shd w:val="clear" w:color="auto" w:fill="DEEEF3"/>
          </w:tcPr>
          <w:p>
            <w:pPr>
              <w:ind w:left="18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Our Clean Energy Commitment</w:t>
            </w:r>
          </w:p>
        </w:tc>
        <w:tc>
          <w:tcPr>
            <w:tcW w:w="380" w:type="dxa"/>
            <w:vAlign w:val="bottom"/>
          </w:tcPr>
          <w:p>
            <w:pPr>
              <w:ind w:left="200"/>
              <w:spacing w:after="0"/>
              <w:rPr>
                <w:sz w:val="20"/>
                <w:szCs w:val="20"/>
                <w:color w:val="auto"/>
              </w:rPr>
            </w:pPr>
            <w:r>
              <w:rPr>
                <w:rFonts w:ascii="Arial" w:cs="Arial" w:eastAsia="Arial" w:hAnsi="Arial"/>
                <w:sz w:val="18"/>
                <w:szCs w:val="18"/>
                <w:b w:val="1"/>
                <w:bCs w:val="1"/>
                <w:color w:val="355675"/>
              </w:rPr>
              <w:t>●</w:t>
            </w:r>
          </w:p>
        </w:tc>
        <w:tc>
          <w:tcPr>
            <w:tcW w:w="2600" w:type="dxa"/>
            <w:vAlign w:val="bottom"/>
          </w:tcPr>
          <w:p>
            <w:pPr>
              <w:ind w:left="60"/>
              <w:spacing w:after="0"/>
              <w:rPr>
                <w:sz w:val="20"/>
                <w:szCs w:val="20"/>
                <w:color w:val="auto"/>
              </w:rPr>
            </w:pPr>
            <w:r>
              <w:rPr>
                <w:rFonts w:ascii="Arial" w:cs="Arial" w:eastAsia="Arial" w:hAnsi="Arial"/>
                <w:sz w:val="18"/>
                <w:szCs w:val="18"/>
                <w:color w:val="auto"/>
              </w:rPr>
              <w:t>Executive compensation</w:t>
            </w:r>
          </w:p>
        </w:tc>
        <w:tc>
          <w:tcPr>
            <w:tcW w:w="760" w:type="dxa"/>
            <w:vAlign w:val="bottom"/>
          </w:tcPr>
          <w:p>
            <w:pPr>
              <w:spacing w:after="0"/>
              <w:rPr>
                <w:sz w:val="24"/>
                <w:szCs w:val="24"/>
                <w:color w:val="auto"/>
              </w:rPr>
            </w:pPr>
          </w:p>
        </w:tc>
        <w:tc>
          <w:tcPr>
            <w:tcW w:w="3560" w:type="dxa"/>
            <w:vAlign w:val="bottom"/>
          </w:tcPr>
          <w:p>
            <w:pPr>
              <w:spacing w:after="0"/>
              <w:rPr>
                <w:sz w:val="24"/>
                <w:szCs w:val="24"/>
                <w:color w:val="auto"/>
              </w:rPr>
            </w:pPr>
          </w:p>
        </w:tc>
      </w:tr>
      <w:tr>
        <w:trPr>
          <w:trHeight w:val="210"/>
        </w:trPr>
        <w:tc>
          <w:tcPr>
            <w:tcW w:w="380" w:type="dxa"/>
            <w:vAlign w:val="bottom"/>
            <w:shd w:val="clear" w:color="auto" w:fill="DEEEF3"/>
          </w:tcPr>
          <w:p>
            <w:pPr>
              <w:spacing w:after="0"/>
              <w:rPr>
                <w:sz w:val="18"/>
                <w:szCs w:val="18"/>
                <w:color w:val="auto"/>
              </w:rPr>
            </w:pPr>
          </w:p>
        </w:tc>
        <w:tc>
          <w:tcPr>
            <w:tcW w:w="3560" w:type="dxa"/>
            <w:vAlign w:val="bottom"/>
            <w:shd w:val="clear" w:color="auto" w:fill="DEEEF3"/>
          </w:tcPr>
          <w:p>
            <w:pPr>
              <w:spacing w:after="0"/>
              <w:rPr>
                <w:sz w:val="18"/>
                <w:szCs w:val="18"/>
                <w:color w:val="auto"/>
              </w:rPr>
            </w:pPr>
          </w:p>
        </w:tc>
        <w:tc>
          <w:tcPr>
            <w:tcW w:w="380" w:type="dxa"/>
            <w:vAlign w:val="bottom"/>
            <w:shd w:val="clear" w:color="auto" w:fill="DEEEF3"/>
          </w:tcPr>
          <w:p>
            <w:pPr>
              <w:spacing w:after="0"/>
              <w:rPr>
                <w:sz w:val="18"/>
                <w:szCs w:val="18"/>
                <w:color w:val="auto"/>
              </w:rPr>
            </w:pPr>
          </w:p>
        </w:tc>
        <w:tc>
          <w:tcPr>
            <w:tcW w:w="2600" w:type="dxa"/>
            <w:vAlign w:val="bottom"/>
            <w:shd w:val="clear" w:color="auto" w:fill="DEEEF3"/>
          </w:tcPr>
          <w:p>
            <w:pPr>
              <w:spacing w:after="0"/>
              <w:rPr>
                <w:sz w:val="18"/>
                <w:szCs w:val="18"/>
                <w:color w:val="auto"/>
              </w:rPr>
            </w:pPr>
          </w:p>
        </w:tc>
        <w:tc>
          <w:tcPr>
            <w:tcW w:w="760" w:type="dxa"/>
            <w:vAlign w:val="bottom"/>
            <w:shd w:val="clear" w:color="auto" w:fill="DEEEF3"/>
          </w:tcPr>
          <w:p>
            <w:pPr>
              <w:spacing w:after="0"/>
              <w:rPr>
                <w:sz w:val="18"/>
                <w:szCs w:val="18"/>
                <w:color w:val="auto"/>
              </w:rPr>
            </w:pPr>
          </w:p>
        </w:tc>
        <w:tc>
          <w:tcPr>
            <w:tcW w:w="3560" w:type="dxa"/>
            <w:vAlign w:val="bottom"/>
            <w:shd w:val="clear" w:color="auto" w:fill="DEEEF3"/>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0</wp:posOffset>
            </wp:positionV>
            <wp:extent cx="7132320" cy="220281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32320" cy="2202815"/>
                    </a:xfrm>
                    <a:prstGeom prst="rect">
                      <a:avLst/>
                    </a:prstGeom>
                    <a:noFill/>
                  </pic:spPr>
                </pic:pic>
              </a:graphicData>
            </a:graphic>
          </wp:anchor>
        </w:drawing>
      </w:r>
    </w:p>
    <w:p>
      <w:pPr>
        <w:spacing w:after="0" w:line="37" w:lineRule="exact"/>
        <w:rPr>
          <w:sz w:val="20"/>
          <w:szCs w:val="20"/>
          <w:color w:val="auto"/>
        </w:rPr>
      </w:pPr>
    </w:p>
    <w:p>
      <w:pPr>
        <w:ind w:left="220"/>
        <w:spacing w:after="0"/>
        <w:rPr>
          <w:sz w:val="20"/>
          <w:szCs w:val="20"/>
          <w:color w:val="auto"/>
        </w:rPr>
      </w:pPr>
      <w:r>
        <w:rPr>
          <w:rFonts w:ascii="Arial" w:cs="Arial" w:eastAsia="Arial" w:hAnsi="Arial"/>
          <w:sz w:val="25"/>
          <w:szCs w:val="25"/>
          <w:b w:val="1"/>
          <w:bCs w:val="1"/>
          <w:color w:val="355675"/>
        </w:rPr>
        <w:t>We Listen to our Shareholders</w:t>
      </w:r>
    </w:p>
    <w:p>
      <w:pPr>
        <w:spacing w:after="0" w:line="110" w:lineRule="exact"/>
        <w:rPr>
          <w:sz w:val="20"/>
          <w:szCs w:val="20"/>
          <w:color w:val="auto"/>
        </w:rPr>
      </w:pPr>
    </w:p>
    <w:p>
      <w:pPr>
        <w:ind w:left="220" w:right="240"/>
        <w:spacing w:after="0" w:line="247" w:lineRule="auto"/>
        <w:rPr>
          <w:sz w:val="20"/>
          <w:szCs w:val="20"/>
          <w:color w:val="auto"/>
        </w:rPr>
      </w:pPr>
      <w:r>
        <w:rPr>
          <w:rFonts w:ascii="Arial" w:cs="Arial" w:eastAsia="Arial" w:hAnsi="Arial"/>
          <w:sz w:val="18"/>
          <w:szCs w:val="18"/>
          <w:color w:val="auto"/>
        </w:rPr>
        <w:t>What our shareholders think is important to us and we want to ensure we have the opportunity to engage directly with our shareholders. We seek to maintain a transparent and productive dialogue with our shareholders. Each year we take feedback from our shareholders, ESG rating agencies and organizations, and other stakeholders to ensure our strategy and focus align with the interests of our shareholders and community.</w:t>
      </w:r>
    </w:p>
    <w:p>
      <w:pPr>
        <w:spacing w:after="0" w:line="200" w:lineRule="exact"/>
        <w:rPr>
          <w:sz w:val="20"/>
          <w:szCs w:val="20"/>
          <w:color w:val="auto"/>
        </w:rPr>
      </w:pPr>
    </w:p>
    <w:p>
      <w:pPr>
        <w:spacing w:after="0" w:line="360" w:lineRule="exact"/>
        <w:rPr>
          <w:sz w:val="20"/>
          <w:szCs w:val="20"/>
          <w:color w:val="auto"/>
        </w:rPr>
      </w:pPr>
    </w:p>
    <w:p>
      <w:pPr>
        <w:ind w:left="200"/>
        <w:spacing w:after="0"/>
        <w:rPr>
          <w:sz w:val="20"/>
          <w:szCs w:val="20"/>
          <w:color w:val="auto"/>
        </w:rPr>
      </w:pPr>
      <w:r>
        <w:rPr>
          <w:rFonts w:ascii="Arial" w:cs="Arial" w:eastAsia="Arial" w:hAnsi="Arial"/>
          <w:sz w:val="25"/>
          <w:szCs w:val="25"/>
          <w:b w:val="1"/>
          <w:bCs w:val="1"/>
          <w:color w:val="355675"/>
        </w:rPr>
        <w:t>Board Responsiveness</w:t>
      </w:r>
    </w:p>
    <w:p>
      <w:pPr>
        <w:spacing w:after="0" w:line="204" w:lineRule="exact"/>
        <w:rPr>
          <w:sz w:val="20"/>
          <w:szCs w:val="20"/>
          <w:color w:val="auto"/>
        </w:rPr>
      </w:pPr>
    </w:p>
    <w:p>
      <w:pPr>
        <w:ind w:left="200" w:right="360"/>
        <w:spacing w:after="0" w:line="244" w:lineRule="auto"/>
        <w:rPr>
          <w:sz w:val="20"/>
          <w:szCs w:val="20"/>
          <w:color w:val="auto"/>
        </w:rPr>
      </w:pPr>
      <w:r>
        <w:rPr>
          <w:rFonts w:ascii="Arial" w:cs="Arial" w:eastAsia="Arial" w:hAnsi="Arial"/>
          <w:sz w:val="18"/>
          <w:szCs w:val="18"/>
          <w:color w:val="auto"/>
        </w:rPr>
        <w:t>In response to feedback we’ve received, we improved shareholder rights by decreasing the number of shares required to call a special meeting of shareholders from 25% to 15%, refined our executive compensation program to further align pay-for-performance – as detailed in the CD&amp;A – and we announced our bold aspiration to serve customers with 100% clean, carbon-free energy by 2050. In addition, we set an interim target to achieve 65% clean, carbon-free energy and 45% renewables by 2030. We also revised our performance share metrics to add a new clean megawatts installed metric.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98425</wp:posOffset>
            </wp:positionV>
            <wp:extent cx="1191260" cy="2317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51" w:name="page52"/>
    <w:bookmarkEnd w:id="5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Information About Our Board and Corporate Governance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8F9396"/>
        </w:rPr>
        <w:t>ANNUAL ENGAGEMENT CYCLE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639445</wp:posOffset>
            </wp:positionH>
            <wp:positionV relativeFrom="paragraph">
              <wp:posOffset>128905</wp:posOffset>
            </wp:positionV>
            <wp:extent cx="5829300" cy="34632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829300" cy="3463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spacing w:after="0"/>
        <w:rPr>
          <w:sz w:val="20"/>
          <w:szCs w:val="20"/>
          <w:color w:val="auto"/>
        </w:rPr>
      </w:pPr>
      <w:r>
        <w:rPr>
          <w:rFonts w:ascii="Arial" w:cs="Arial" w:eastAsia="Arial" w:hAnsi="Arial"/>
          <w:sz w:val="29"/>
          <w:szCs w:val="29"/>
          <w:b w:val="1"/>
          <w:bCs w:val="1"/>
          <w:color w:val="1C8EA0"/>
        </w:rPr>
        <w:t>Communicating with the Board</w:t>
      </w:r>
    </w:p>
    <w:p>
      <w:pPr>
        <w:spacing w:after="0" w:line="195" w:lineRule="exact"/>
        <w:rPr>
          <w:sz w:val="20"/>
          <w:szCs w:val="20"/>
          <w:color w:val="auto"/>
        </w:rPr>
      </w:pPr>
    </w:p>
    <w:p>
      <w:pPr>
        <w:ind w:right="120"/>
        <w:spacing w:after="0" w:line="242" w:lineRule="auto"/>
        <w:rPr>
          <w:sz w:val="20"/>
          <w:szCs w:val="20"/>
          <w:color w:val="auto"/>
        </w:rPr>
      </w:pPr>
      <w:r>
        <w:rPr>
          <w:rFonts w:ascii="Arial" w:cs="Arial" w:eastAsia="Arial" w:hAnsi="Arial"/>
          <w:sz w:val="18"/>
          <w:szCs w:val="18"/>
          <w:color w:val="auto"/>
        </w:rPr>
        <w:t>Shareholders and other parties interested in communicating with the Board, the independent Directors or with the Lead Director may do so by writing to the Corporate Secretary, Pinnacle West Capital Corporation, 400 North Fifth Street, Mail Station 8602, Phoenix, Arizona 85004. The Corporate Secretary will transmit such communications, as appropriate, depending on the facts and circumstances outlined in the communications. In that regard, the Corporate Secretary has discretion to exclude communications that are unrelated to the duties and responsibilities of the Board, such as commercial advertisements or other forms of solicitations, service or billing matters and complaints related to individual employment-related actions.</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9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95675"/>
              </w:rPr>
              <w:t>43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52" w:name="page53"/>
    <w:bookmarkEnd w:id="5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82"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32320" cy="514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187960</wp:posOffset>
            </wp:positionV>
            <wp:extent cx="7132320" cy="10115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32320" cy="1011555"/>
                    </a:xfrm>
                    <a:prstGeom prst="rect">
                      <a:avLst/>
                    </a:prstGeom>
                    <a:noFill/>
                  </pic:spPr>
                </pic:pic>
              </a:graphicData>
            </a:graphic>
          </wp:anchor>
        </w:drawing>
      </w:r>
    </w:p>
    <w:p>
      <w:pPr>
        <w:spacing w:after="0" w:line="326"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355675"/>
        </w:rPr>
        <w:t>Proposal 1: Election of Directors</w:t>
      </w:r>
    </w:p>
    <w:p>
      <w:pPr>
        <w:spacing w:after="0" w:line="200" w:lineRule="exact"/>
        <w:rPr>
          <w:sz w:val="20"/>
          <w:szCs w:val="20"/>
          <w:color w:val="auto"/>
        </w:rPr>
      </w:pPr>
    </w:p>
    <w:p>
      <w:pPr>
        <w:spacing w:after="0" w:line="28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The Board of Directors unanimously recommends a vote </w:t>
      </w:r>
      <w:r>
        <w:rPr>
          <w:rFonts w:ascii="Arial" w:cs="Arial" w:eastAsia="Arial" w:hAnsi="Arial"/>
          <w:sz w:val="18"/>
          <w:szCs w:val="18"/>
          <w:b w:val="1"/>
          <w:bCs w:val="1"/>
          <w:color w:val="355675"/>
        </w:rPr>
        <w:t>FOR</w:t>
      </w:r>
      <w:r>
        <w:rPr>
          <w:rFonts w:ascii="Arial" w:cs="Arial" w:eastAsia="Arial" w:hAnsi="Arial"/>
          <w:sz w:val="18"/>
          <w:szCs w:val="18"/>
          <w:color w:val="auto"/>
        </w:rPr>
        <w:t xml:space="preserve"> the election of the nominated slate of directors</w:t>
      </w:r>
    </w:p>
    <w:p>
      <w:pPr>
        <w:spacing w:after="0" w:line="200" w:lineRule="exact"/>
        <w:rPr>
          <w:sz w:val="20"/>
          <w:szCs w:val="20"/>
          <w:color w:val="auto"/>
        </w:rPr>
      </w:pPr>
    </w:p>
    <w:p>
      <w:pPr>
        <w:spacing w:after="0" w:line="363"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The eleven nominees for election as directors are set forth below. All nominees will be elected for a one-year term that will expire at the 2023 Annual Meeting. The Directors’ ages are as of February 23, 2022. All of our Directors also serve as Directors of APS for no additional compensation.</w:t>
      </w:r>
    </w:p>
    <w:p>
      <w:pPr>
        <w:spacing w:after="0" w:line="128" w:lineRule="exact"/>
        <w:rPr>
          <w:sz w:val="20"/>
          <w:szCs w:val="20"/>
          <w:color w:val="auto"/>
        </w:rPr>
      </w:pPr>
    </w:p>
    <w:p>
      <w:pPr>
        <w:spacing w:after="0"/>
        <w:rPr>
          <w:sz w:val="20"/>
          <w:szCs w:val="20"/>
          <w:color w:val="auto"/>
        </w:rPr>
      </w:pPr>
      <w:r>
        <w:rPr>
          <w:rFonts w:ascii="Arial" w:cs="Arial" w:eastAsia="Arial" w:hAnsi="Arial"/>
          <w:sz w:val="18"/>
          <w:szCs w:val="18"/>
          <w:b w:val="1"/>
          <w:bCs w:val="1"/>
          <w:color w:val="8F9396"/>
        </w:rPr>
        <w:t>DIRECTOR NOMINEES’ KEY SKILLS AND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163195</wp:posOffset>
            </wp:positionV>
            <wp:extent cx="7132320" cy="43376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32320" cy="4337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auto"/>
        </w:rPr>
        <w:t>DIVERSITY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46355</wp:posOffset>
            </wp:positionV>
            <wp:extent cx="283210"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46355</wp:posOffset>
            </wp:positionV>
            <wp:extent cx="282575" cy="8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46355</wp:posOffset>
            </wp:positionV>
            <wp:extent cx="282575"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46355</wp:posOffset>
            </wp:positionV>
            <wp:extent cx="282575"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46355</wp:posOffset>
            </wp:positionV>
            <wp:extent cx="31750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89535</wp:posOffset>
            </wp:positionV>
            <wp:extent cx="171450" cy="17145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89535</wp:posOffset>
            </wp:positionV>
            <wp:extent cx="171450" cy="1714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89535</wp:posOffset>
            </wp:positionV>
            <wp:extent cx="171450" cy="1714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89535</wp:posOffset>
            </wp:positionV>
            <wp:extent cx="171450" cy="17145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89535</wp:posOffset>
            </wp:positionV>
            <wp:extent cx="171450" cy="17145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89535</wp:posOffset>
            </wp:positionV>
            <wp:extent cx="171450" cy="17145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47" w:lineRule="exact"/>
        <w:rPr>
          <w:sz w:val="20"/>
          <w:szCs w:val="20"/>
          <w:color w:val="auto"/>
        </w:rPr>
      </w:pPr>
    </w:p>
    <w:p>
      <w:pPr>
        <w:ind w:left="60"/>
        <w:spacing w:after="0"/>
        <w:rPr>
          <w:sz w:val="20"/>
          <w:szCs w:val="20"/>
          <w:color w:val="auto"/>
        </w:rPr>
      </w:pPr>
      <w:r>
        <w:rPr>
          <w:rFonts w:ascii="Arial" w:cs="Arial" w:eastAsia="Arial" w:hAnsi="Arial"/>
          <w:sz w:val="16"/>
          <w:szCs w:val="16"/>
          <w:color w:val="auto"/>
        </w:rPr>
        <w:t>Gender or Ethnicity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1714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283210" cy="1714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171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282575" cy="1714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171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282575" cy="1714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171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282575" cy="1714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171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317500" cy="17145"/>
                    </a:xfrm>
                    <a:prstGeom prst="rect">
                      <a:avLst/>
                    </a:prstGeom>
                    <a:noFill/>
                  </pic:spPr>
                </pic:pic>
              </a:graphicData>
            </a:graphic>
          </wp:anchor>
        </w:drawing>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auto"/>
        </w:rPr>
        <w:t>FINANCE &amp;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46355</wp:posOffset>
            </wp:positionV>
            <wp:extent cx="283210"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46355</wp:posOffset>
            </wp:positionV>
            <wp:extent cx="282575"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46355</wp:posOffset>
            </wp:positionV>
            <wp:extent cx="282575"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46355</wp:posOffset>
            </wp:positionV>
            <wp:extent cx="282575" cy="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46355</wp:posOffset>
            </wp:positionV>
            <wp:extent cx="31750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317500" cy="8255"/>
                    </a:xfrm>
                    <a:prstGeom prst="rect">
                      <a:avLst/>
                    </a:prstGeom>
                    <a:noFill/>
                  </pic:spPr>
                </pic:pic>
              </a:graphicData>
            </a:graphic>
          </wp:anchor>
        </w:drawing>
      </w:r>
    </w:p>
    <w:p>
      <w:pPr>
        <w:spacing w:after="0" w:line="134" w:lineRule="exact"/>
        <w:rPr>
          <w:sz w:val="20"/>
          <w:szCs w:val="20"/>
          <w:color w:val="auto"/>
        </w:rPr>
      </w:pPr>
    </w:p>
    <w:p>
      <w:pPr>
        <w:ind w:left="60"/>
        <w:spacing w:after="0"/>
        <w:rPr>
          <w:sz w:val="20"/>
          <w:szCs w:val="20"/>
          <w:color w:val="auto"/>
        </w:rPr>
      </w:pPr>
      <w:r>
        <w:rPr>
          <w:rFonts w:ascii="Arial" w:cs="Arial" w:eastAsia="Arial" w:hAnsi="Arial"/>
          <w:sz w:val="16"/>
          <w:szCs w:val="16"/>
          <w:color w:val="auto"/>
        </w:rPr>
        <w:t>Audit Expertise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Finance/Capital Allocation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283210" cy="8890"/>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282575"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8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282575" cy="8890"/>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282575" cy="8890"/>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317500" cy="889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Financial Literacy and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Investment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171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283210" cy="1714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171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282575" cy="1714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171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282575" cy="1714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171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282575" cy="1714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171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317500" cy="17145"/>
                    </a:xfrm>
                    <a:prstGeom prst="rect">
                      <a:avLst/>
                    </a:prstGeom>
                    <a:noFill/>
                  </pic:spPr>
                </pic:pic>
              </a:graphicData>
            </a:graphic>
          </wp:anchor>
        </w:drawing>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auto"/>
        </w:rPr>
        <w:t>BUSINESS OPERATIONS AND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46355</wp:posOffset>
            </wp:positionV>
            <wp:extent cx="283210"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46355</wp:posOffset>
            </wp:positionV>
            <wp:extent cx="282575"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46355</wp:posOffset>
            </wp:positionV>
            <wp:extent cx="282575"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46355</wp:posOffset>
            </wp:positionV>
            <wp:extent cx="282575"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46355</wp:posOffset>
            </wp:positionV>
            <wp:extent cx="317500"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89535</wp:posOffset>
            </wp:positionV>
            <wp:extent cx="171450" cy="17145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89535</wp:posOffset>
            </wp:positionV>
            <wp:extent cx="171450" cy="1714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89535</wp:posOffset>
            </wp:positionV>
            <wp:extent cx="171450" cy="1714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89535</wp:posOffset>
            </wp:positionV>
            <wp:extent cx="171450" cy="1714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47" w:lineRule="exact"/>
        <w:rPr>
          <w:sz w:val="20"/>
          <w:szCs w:val="20"/>
          <w:color w:val="auto"/>
        </w:rPr>
      </w:pPr>
    </w:p>
    <w:p>
      <w:pPr>
        <w:ind w:left="60"/>
        <w:spacing w:after="0"/>
        <w:rPr>
          <w:sz w:val="20"/>
          <w:szCs w:val="20"/>
          <w:color w:val="auto"/>
        </w:rPr>
      </w:pPr>
      <w:r>
        <w:rPr>
          <w:rFonts w:ascii="Arial" w:cs="Arial" w:eastAsia="Arial" w:hAnsi="Arial"/>
          <w:sz w:val="16"/>
          <w:szCs w:val="16"/>
          <w:color w:val="auto"/>
        </w:rPr>
        <w:t>Business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283210" cy="8890"/>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282575"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282575" cy="8890"/>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282575" cy="8890"/>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317500" cy="889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Complex Operations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Customer Perspectives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2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Extensive Knowledge of Company’s Business Environment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6503035</wp:posOffset>
            </wp:positionH>
            <wp:positionV relativeFrom="paragraph">
              <wp:posOffset>72390</wp:posOffset>
            </wp:positionV>
            <wp:extent cx="283210" cy="82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283210" cy="8255"/>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72390</wp:posOffset>
            </wp:positionV>
            <wp:extent cx="282575" cy="825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72390</wp:posOffset>
            </wp:positionV>
            <wp:extent cx="282575" cy="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4394200</wp:posOffset>
            </wp:positionH>
            <wp:positionV relativeFrom="paragraph">
              <wp:posOffset>72390</wp:posOffset>
            </wp:positionV>
            <wp:extent cx="282575" cy="825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282575" cy="8255"/>
                    </a:xfrm>
                    <a:prstGeom prst="rect">
                      <a:avLst/>
                    </a:prstGeom>
                    <a:noFill/>
                  </pic:spPr>
                </pic:pic>
              </a:graphicData>
            </a:graphic>
          </wp:anchor>
        </w:drawing>
        <w:drawing>
          <wp:anchor simplePos="0" relativeHeight="251657728" behindDoc="1" locked="0" layoutInCell="0" allowOverlap="1">
            <wp:simplePos x="0" y="0"/>
            <wp:positionH relativeFrom="column">
              <wp:posOffset>3656965</wp:posOffset>
            </wp:positionH>
            <wp:positionV relativeFrom="paragraph">
              <wp:posOffset>72390</wp:posOffset>
            </wp:positionV>
            <wp:extent cx="317500" cy="825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317500" cy="8255"/>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114935</wp:posOffset>
            </wp:positionV>
            <wp:extent cx="171450" cy="17145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4471035</wp:posOffset>
            </wp:positionH>
            <wp:positionV relativeFrom="paragraph">
              <wp:posOffset>114935</wp:posOffset>
            </wp:positionV>
            <wp:extent cx="171450" cy="1714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114935</wp:posOffset>
            </wp:positionV>
            <wp:extent cx="171450" cy="17145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5876925</wp:posOffset>
            </wp:positionH>
            <wp:positionV relativeFrom="paragraph">
              <wp:posOffset>114935</wp:posOffset>
            </wp:positionV>
            <wp:extent cx="171450" cy="17145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clrChange>
                        <a:clrFrom>
                          <a:srgbClr val="000000"/>
                        </a:clrFrom>
                        <a:clrTo>
                          <a:srgbClr val="000000">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6579870</wp:posOffset>
            </wp:positionH>
            <wp:positionV relativeFrom="paragraph">
              <wp:posOffset>114935</wp:posOffset>
            </wp:positionV>
            <wp:extent cx="171450" cy="17145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clrChange>
                        <a:clrFrom>
                          <a:srgbClr val="FFFFFF"/>
                        </a:clrFrom>
                        <a:clrTo>
                          <a:srgbClr val="FFFFFF">
                            <a:alpha val="0"/>
                          </a:srgbClr>
                        </a:clrTo>
                      </a:clrChange>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Sustainability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132320" cy="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217805</wp:posOffset>
            </wp:positionV>
            <wp:extent cx="1191260" cy="23177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80"/>
          </w:cols>
          <w:pgMar w:left="320" w:top="125" w:right="399" w:bottom="1440" w:gutter="0" w:footer="0" w:header="0"/>
        </w:sectPr>
      </w:pPr>
    </w:p>
    <w:bookmarkStart w:id="53" w:name="page54"/>
    <w:bookmarkEnd w:id="5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389255</wp:posOffset>
            </wp:positionV>
            <wp:extent cx="3583305" cy="360870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3583305" cy="3608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60" w:right="3260"/>
        <w:spacing w:after="0" w:line="484" w:lineRule="auto"/>
        <w:rPr>
          <w:sz w:val="20"/>
          <w:szCs w:val="20"/>
          <w:color w:val="auto"/>
        </w:rPr>
      </w:pPr>
      <w:r>
        <w:rPr>
          <w:rFonts w:ascii="Arial" w:cs="Arial" w:eastAsia="Arial" w:hAnsi="Arial"/>
          <w:sz w:val="16"/>
          <w:szCs w:val="16"/>
          <w:b w:val="1"/>
          <w:bCs w:val="1"/>
          <w:color w:val="auto"/>
        </w:rPr>
        <w:t xml:space="preserve">LARGE ORGANIZATIONAL LEADERSHIP </w:t>
      </w:r>
      <w:r>
        <w:rPr>
          <w:rFonts w:ascii="Arial" w:cs="Arial" w:eastAsia="Arial" w:hAnsi="Arial"/>
          <w:sz w:val="16"/>
          <w:szCs w:val="16"/>
          <w:color w:val="auto"/>
        </w:rPr>
        <w:t>CEO/Senior Leadership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-58420</wp:posOffset>
            </wp:positionV>
            <wp:extent cx="3214370" cy="825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321437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-307340</wp:posOffset>
            </wp:positionV>
            <wp:extent cx="3214370" cy="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ind w:left="60"/>
        <w:spacing w:after="0"/>
        <w:rPr>
          <w:sz w:val="20"/>
          <w:szCs w:val="20"/>
          <w:color w:val="auto"/>
        </w:rPr>
      </w:pPr>
      <w:r>
        <w:rPr>
          <w:rFonts w:ascii="Arial" w:cs="Arial" w:eastAsia="Arial" w:hAnsi="Arial"/>
          <w:sz w:val="16"/>
          <w:szCs w:val="16"/>
          <w:color w:val="auto"/>
        </w:rPr>
        <w:t>Public Board Service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3214370" cy="82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Human Capital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3214370" cy="171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3214370" cy="17145"/>
                    </a:xfrm>
                    <a:prstGeom prst="rect">
                      <a:avLst/>
                    </a:prstGeom>
                    <a:noFill/>
                  </pic:spPr>
                </pic:pic>
              </a:graphicData>
            </a:graphic>
          </wp:anchor>
        </w:drawing>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auto"/>
        </w:rPr>
        <w:t>THE COMPANY’S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3214370" cy="825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spacing w:after="0" w:line="147" w:lineRule="exact"/>
        <w:rPr>
          <w:sz w:val="20"/>
          <w:szCs w:val="20"/>
          <w:color w:val="auto"/>
        </w:rPr>
      </w:pPr>
    </w:p>
    <w:p>
      <w:pPr>
        <w:ind w:left="60"/>
        <w:spacing w:after="0"/>
        <w:rPr>
          <w:sz w:val="20"/>
          <w:szCs w:val="20"/>
          <w:color w:val="auto"/>
        </w:rPr>
      </w:pPr>
      <w:r>
        <w:rPr>
          <w:rFonts w:ascii="Arial" w:cs="Arial" w:eastAsia="Arial" w:hAnsi="Arial"/>
          <w:sz w:val="16"/>
          <w:szCs w:val="16"/>
          <w:color w:val="auto"/>
        </w:rPr>
        <w:t>Nuclear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3214370" cy="825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6"/>
          <w:szCs w:val="16"/>
          <w:color w:val="auto"/>
        </w:rPr>
        <w:t>Utility Industry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3214370" cy="171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3214370" cy="17145"/>
                    </a:xfrm>
                    <a:prstGeom prst="rect">
                      <a:avLst/>
                    </a:prstGeom>
                    <a:noFill/>
                  </pic:spPr>
                </pic:pic>
              </a:graphicData>
            </a:graphic>
          </wp:anchor>
        </w:drawing>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auto"/>
        </w:rPr>
        <w:t>PUBLIC POLICY AND REGULATORY COMPLIANCE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3214370" cy="825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spacing w:after="0" w:line="147" w:lineRule="exact"/>
        <w:rPr>
          <w:sz w:val="20"/>
          <w:szCs w:val="20"/>
          <w:color w:val="auto"/>
        </w:rPr>
      </w:pPr>
    </w:p>
    <w:p>
      <w:pPr>
        <w:ind w:left="60"/>
        <w:spacing w:after="0"/>
        <w:rPr>
          <w:sz w:val="20"/>
          <w:szCs w:val="20"/>
          <w:color w:val="auto"/>
        </w:rPr>
      </w:pPr>
      <w:r>
        <w:rPr>
          <w:rFonts w:ascii="Arial" w:cs="Arial" w:eastAsia="Arial" w:hAnsi="Arial"/>
          <w:sz w:val="16"/>
          <w:szCs w:val="16"/>
          <w:color w:val="auto"/>
        </w:rPr>
        <w:t>Government/Public Policy/Regulatory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3214370" cy="171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3214370" cy="17145"/>
                    </a:xfrm>
                    <a:prstGeom prst="rect">
                      <a:avLst/>
                    </a:prstGeom>
                    <a:noFill/>
                  </pic:spPr>
                </pic:pic>
              </a:graphicData>
            </a:graphic>
          </wp:anchor>
        </w:drawing>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auto"/>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46355</wp:posOffset>
            </wp:positionV>
            <wp:extent cx="3214370" cy="825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spacing w:after="0" w:line="147" w:lineRule="exact"/>
        <w:rPr>
          <w:sz w:val="20"/>
          <w:szCs w:val="20"/>
          <w:color w:val="auto"/>
        </w:rPr>
      </w:pPr>
    </w:p>
    <w:p>
      <w:pPr>
        <w:ind w:left="60"/>
        <w:spacing w:after="0"/>
        <w:rPr>
          <w:sz w:val="20"/>
          <w:szCs w:val="20"/>
          <w:color w:val="auto"/>
        </w:rPr>
      </w:pPr>
      <w:r>
        <w:rPr>
          <w:rFonts w:ascii="Arial" w:cs="Arial" w:eastAsia="Arial" w:hAnsi="Arial"/>
          <w:sz w:val="16"/>
          <w:szCs w:val="16"/>
          <w:color w:val="auto"/>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3214370" cy="171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3214370" cy="17145"/>
                    </a:xfrm>
                    <a:prstGeom prst="rect">
                      <a:avLst/>
                    </a:prstGeom>
                    <a:noFill/>
                  </pic:spPr>
                </pic:pic>
              </a:graphicData>
            </a:graphic>
          </wp:anchor>
        </w:drawing>
      </w:r>
    </w:p>
    <w:p>
      <w:pPr>
        <w:spacing w:after="0" w:line="234" w:lineRule="exact"/>
        <w:rPr>
          <w:sz w:val="20"/>
          <w:szCs w:val="20"/>
          <w:color w:val="auto"/>
        </w:rPr>
      </w:pPr>
    </w:p>
    <w:p>
      <w:pPr>
        <w:ind w:left="320" w:hanging="312"/>
        <w:spacing w:after="0"/>
        <w:tabs>
          <w:tab w:leader="none" w:pos="320" w:val="left"/>
        </w:tabs>
        <w:numPr>
          <w:ilvl w:val="0"/>
          <w:numId w:val="41"/>
        </w:numPr>
        <w:rPr>
          <w:rFonts w:ascii="Arial" w:cs="Arial" w:eastAsia="Arial" w:hAnsi="Arial"/>
          <w:sz w:val="27"/>
          <w:szCs w:val="27"/>
          <w:color w:val="008C9F"/>
        </w:rPr>
      </w:pPr>
      <w:r>
        <w:rPr>
          <w:rFonts w:ascii="Arial" w:cs="Arial" w:eastAsia="Arial" w:hAnsi="Arial"/>
          <w:sz w:val="14"/>
          <w:szCs w:val="14"/>
          <w:color w:val="auto"/>
        </w:rPr>
        <w:t>Board Leadership</w:t>
      </w:r>
    </w:p>
    <w:p>
      <w:pPr>
        <w:spacing w:after="0" w:line="20" w:lineRule="exact"/>
        <w:rPr>
          <w:sz w:val="20"/>
          <w:szCs w:val="20"/>
          <w:color w:val="auto"/>
        </w:rPr>
      </w:pPr>
      <w:r>
        <w:rPr>
          <w:sz w:val="20"/>
          <w:szCs w:val="20"/>
          <w:color w:val="auto"/>
        </w:rPr>
        <w:br w:type="column"/>
      </w:r>
    </w:p>
    <w:p>
      <w:pPr>
        <w:spacing w:after="0" w:line="380" w:lineRule="exact"/>
        <w:rPr>
          <w:sz w:val="20"/>
          <w:szCs w:val="20"/>
          <w:color w:val="auto"/>
        </w:rPr>
      </w:pPr>
    </w:p>
    <w:p>
      <w:pPr>
        <w:spacing w:after="0"/>
        <w:rPr>
          <w:sz w:val="20"/>
          <w:szCs w:val="20"/>
          <w:color w:val="auto"/>
        </w:rPr>
      </w:pPr>
      <w:r>
        <w:rPr>
          <w:rFonts w:ascii="Arial" w:cs="Arial" w:eastAsia="Arial" w:hAnsi="Arial"/>
          <w:sz w:val="17"/>
          <w:szCs w:val="17"/>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-914400</wp:posOffset>
            </wp:positionH>
            <wp:positionV relativeFrom="paragraph">
              <wp:posOffset>127635</wp:posOffset>
            </wp:positionV>
            <wp:extent cx="3480435" cy="360870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3480435" cy="3608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tbl>
      <w:tblPr>
        <w:tblLayout w:type="fixed"/>
        <w:tblInd w:w="2180" w:type="dxa"/>
        <w:tblCellMar>
          <w:top w:w="0" w:type="dxa"/>
          <w:left w:w="0" w:type="dxa"/>
          <w:bottom w:w="0" w:type="dxa"/>
          <w:right w:w="0" w:type="dxa"/>
        </w:tblCellMar>
      </w:tblPr>
      <w:tr>
        <w:trPr>
          <w:trHeight w:val="196"/>
        </w:trPr>
        <w:tc>
          <w:tcPr>
            <w:tcW w:w="1560" w:type="dxa"/>
            <w:vAlign w:val="bottom"/>
          </w:tcPr>
          <w:p>
            <w:pPr>
              <w:spacing w:after="0"/>
              <w:rPr>
                <w:sz w:val="20"/>
                <w:szCs w:val="20"/>
                <w:color w:val="auto"/>
              </w:rPr>
            </w:pPr>
            <w:r>
              <w:rPr>
                <w:rFonts w:ascii="Arial" w:cs="Arial" w:eastAsia="Arial" w:hAnsi="Arial"/>
                <w:sz w:val="14"/>
                <w:szCs w:val="14"/>
                <w:color w:val="395675"/>
              </w:rPr>
              <w:t>2022 Proxy Statement</w:t>
            </w:r>
          </w:p>
        </w:tc>
        <w:tc>
          <w:tcPr>
            <w:tcW w:w="300" w:type="dxa"/>
            <w:vAlign w:val="bottom"/>
          </w:tcPr>
          <w:p>
            <w:pPr>
              <w:jc w:val="right"/>
              <w:spacing w:after="0"/>
              <w:rPr>
                <w:sz w:val="20"/>
                <w:szCs w:val="20"/>
                <w:color w:val="auto"/>
              </w:rPr>
            </w:pPr>
            <w:r>
              <w:rPr>
                <w:rFonts w:ascii="Arial" w:cs="Arial" w:eastAsia="Arial" w:hAnsi="Arial"/>
                <w:sz w:val="14"/>
                <w:szCs w:val="14"/>
                <w:b w:val="1"/>
                <w:bCs w:val="1"/>
                <w:color w:val="395675"/>
              </w:rPr>
              <w:t>45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-4568190</wp:posOffset>
            </wp:positionH>
            <wp:positionV relativeFrom="paragraph">
              <wp:posOffset>50800</wp:posOffset>
            </wp:positionV>
            <wp:extent cx="7153275" cy="215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2">
            <w:col w:w="6480" w:space="720"/>
            <w:col w:w="4040"/>
          </w:cols>
          <w:pgMar w:left="320" w:top="125" w:right="339" w:bottom="1440" w:gutter="0" w:footer="0" w:header="0"/>
        </w:sectPr>
      </w:pPr>
    </w:p>
    <w:bookmarkStart w:id="54" w:name="page55"/>
    <w:bookmarkEnd w:id="5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197"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Director Nominees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158115</wp:posOffset>
            </wp:positionV>
            <wp:extent cx="7132320" cy="527177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132320" cy="5271770"/>
                    </a:xfrm>
                    <a:prstGeom prst="rect">
                      <a:avLst/>
                    </a:prstGeom>
                    <a:noFill/>
                  </pic:spPr>
                </pic:pic>
              </a:graphicData>
            </a:graphic>
          </wp:anchor>
        </w:drawing>
      </w:r>
    </w:p>
    <w:p>
      <w:pPr>
        <w:sectPr>
          <w:pgSz w:w="11900" w:h="16838" w:orient="portrait"/>
          <w:cols w:equalWidth="0" w:num="1">
            <w:col w:w="11180"/>
          </w:cols>
          <w:pgMar w:left="320" w:top="125" w:right="3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Glynis A. Bryan</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63</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2020</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42"/>
        </w:numPr>
        <w:rPr>
          <w:rFonts w:ascii="Arial" w:cs="Arial" w:eastAsia="Arial" w:hAnsi="Arial"/>
          <w:sz w:val="14"/>
          <w:szCs w:val="14"/>
          <w:b w:val="1"/>
          <w:bCs w:val="1"/>
          <w:color w:val="355675"/>
        </w:rPr>
      </w:pPr>
      <w:r>
        <w:rPr>
          <w:rFonts w:ascii="Arial" w:cs="Arial" w:eastAsia="Arial" w:hAnsi="Arial"/>
          <w:sz w:val="14"/>
          <w:szCs w:val="14"/>
          <w:color w:val="auto"/>
        </w:rPr>
        <w:t>Audit</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2"/>
        </w:numPr>
        <w:rPr>
          <w:rFonts w:ascii="Arial" w:cs="Arial" w:eastAsia="Arial" w:hAnsi="Arial"/>
          <w:sz w:val="14"/>
          <w:szCs w:val="14"/>
          <w:b w:val="1"/>
          <w:bCs w:val="1"/>
          <w:color w:val="355675"/>
        </w:rPr>
      </w:pPr>
      <w:r>
        <w:rPr>
          <w:rFonts w:ascii="Arial" w:cs="Arial" w:eastAsia="Arial" w:hAnsi="Arial"/>
          <w:sz w:val="14"/>
          <w:szCs w:val="14"/>
          <w:color w:val="auto"/>
        </w:rPr>
        <w:t>Finance</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2"/>
        </w:numPr>
        <w:rPr>
          <w:rFonts w:ascii="Arial" w:cs="Arial" w:eastAsia="Arial" w:hAnsi="Arial"/>
          <w:sz w:val="14"/>
          <w:szCs w:val="14"/>
          <w:b w:val="1"/>
          <w:bCs w:val="1"/>
          <w:color w:val="355675"/>
        </w:rPr>
      </w:pPr>
      <w:r>
        <w:rPr>
          <w:rFonts w:ascii="Arial" w:cs="Arial" w:eastAsia="Arial" w:hAnsi="Arial"/>
          <w:sz w:val="14"/>
          <w:szCs w:val="14"/>
          <w:color w:val="auto"/>
        </w:rPr>
        <w:t>Nuclear and Operating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180" w:right="20"/>
        <w:spacing w:after="0" w:line="246" w:lineRule="auto"/>
        <w:rPr>
          <w:sz w:val="20"/>
          <w:szCs w:val="20"/>
          <w:color w:val="auto"/>
        </w:rPr>
      </w:pPr>
      <w:r>
        <w:rPr>
          <w:rFonts w:ascii="Arial" w:cs="Arial" w:eastAsia="Arial" w:hAnsi="Arial"/>
          <w:sz w:val="22"/>
          <w:szCs w:val="22"/>
          <w:b w:val="1"/>
          <w:bCs w:val="1"/>
          <w:color w:val="008C9F"/>
        </w:rPr>
        <w:t>Gonzalo A. de la Melena, Jr.</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Independent Director</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53</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2022</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43"/>
        </w:numPr>
        <w:rPr>
          <w:rFonts w:ascii="Arial" w:cs="Arial" w:eastAsia="Arial" w:hAnsi="Arial"/>
          <w:sz w:val="14"/>
          <w:szCs w:val="14"/>
          <w:b w:val="1"/>
          <w:bCs w:val="1"/>
          <w:color w:val="355675"/>
        </w:rPr>
      </w:pPr>
      <w:r>
        <w:rPr>
          <w:rFonts w:ascii="Arial" w:cs="Arial" w:eastAsia="Arial" w:hAnsi="Arial"/>
          <w:sz w:val="14"/>
          <w:szCs w:val="14"/>
          <w:color w:val="auto"/>
        </w:rPr>
        <w:t>Audit</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3"/>
        </w:numPr>
        <w:rPr>
          <w:rFonts w:ascii="Arial" w:cs="Arial" w:eastAsia="Arial" w:hAnsi="Arial"/>
          <w:sz w:val="14"/>
          <w:szCs w:val="14"/>
          <w:b w:val="1"/>
          <w:bCs w:val="1"/>
          <w:color w:val="355675"/>
        </w:rPr>
      </w:pPr>
      <w:r>
        <w:rPr>
          <w:rFonts w:ascii="Arial" w:cs="Arial" w:eastAsia="Arial" w:hAnsi="Arial"/>
          <w:sz w:val="14"/>
          <w:szCs w:val="14"/>
          <w:color w:val="auto"/>
        </w:rPr>
        <w:t>Nuclear and Operating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237490</wp:posOffset>
            </wp:positionV>
            <wp:extent cx="1191260" cy="23177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28"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BACKGROUND</w:t>
      </w:r>
      <w:r>
        <w:rPr>
          <w:sz w:val="20"/>
          <w:szCs w:val="20"/>
          <w:color w:val="auto"/>
        </w:rPr>
        <w:tab/>
      </w:r>
      <w:r>
        <w:rPr>
          <w:rFonts w:ascii="Arial" w:cs="Arial" w:eastAsia="Arial" w:hAnsi="Arial"/>
          <w:sz w:val="14"/>
          <w:szCs w:val="14"/>
          <w:b w:val="1"/>
          <w:bCs w:val="1"/>
          <w:color w:val="008C9F"/>
        </w:rPr>
        <w:t>NOMINEE SKILLS AND EXPERIENCE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2007: Chief Financial Officer, Insight Enterprises, Inc. (computer</w:t>
      </w:r>
      <w:r>
        <w:rPr>
          <w:sz w:val="20"/>
          <w:szCs w:val="20"/>
          <w:color w:val="auto"/>
        </w:rPr>
        <w:tab/>
      </w:r>
      <w:r>
        <w:rPr>
          <w:rFonts w:ascii="Arial" w:cs="Arial" w:eastAsia="Arial" w:hAnsi="Arial"/>
          <w:sz w:val="14"/>
          <w:szCs w:val="14"/>
          <w:color w:val="auto"/>
        </w:rPr>
        <w:t>As a long-tenured CFO and member of a public board</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hardware, software, and technology solutions)</w:t>
      </w:r>
      <w:r>
        <w:rPr>
          <w:sz w:val="20"/>
          <w:szCs w:val="20"/>
          <w:color w:val="auto"/>
        </w:rPr>
        <w:tab/>
      </w:r>
      <w:r>
        <w:rPr>
          <w:rFonts w:ascii="Arial" w:cs="Arial" w:eastAsia="Arial" w:hAnsi="Arial"/>
          <w:sz w:val="14"/>
          <w:szCs w:val="14"/>
          <w:color w:val="auto"/>
        </w:rPr>
        <w:t>of a large, multinational corporation, Ms. Bryan brings</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Ms. Bryan is also a director of Pentair plc</w:t>
      </w:r>
      <w:r>
        <w:rPr>
          <w:sz w:val="20"/>
          <w:szCs w:val="20"/>
          <w:color w:val="auto"/>
        </w:rPr>
        <w:tab/>
      </w:r>
      <w:r>
        <w:rPr>
          <w:rFonts w:ascii="Arial" w:cs="Arial" w:eastAsia="Arial" w:hAnsi="Arial"/>
          <w:sz w:val="14"/>
          <w:szCs w:val="14"/>
          <w:color w:val="auto"/>
        </w:rPr>
        <w:t>the following key attributes to the Company:</w:t>
      </w:r>
    </w:p>
    <w:p>
      <w:pPr>
        <w:spacing w:after="0" w:line="149"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QUALIFICATIONS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Audit Expertise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As a Chief Financial Officer for more than 20 years, Ms. Bryan brings to the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Finance/Capital Allocation</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Board broad functional experience in financial planning and analysis,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Literacy/Accounting</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treasury, capital markets and managing financial risk. In addition to her</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executive leadership experience, she also has more than 15 years of public</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Complex Operations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company board experience, serving on the Board of Pentair plc where she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serves as the Chair of the Audit and Finance Committee and previously</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Public Board Service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served as the Chair of the Governance Committee. Ms. Bryan also brings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Government/Public Policy/Regulatory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added diversity to the Board as a woman of color.</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1094740</wp:posOffset>
            </wp:positionV>
            <wp:extent cx="5486400" cy="1714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BACKGROUND</w:t>
      </w:r>
      <w:r>
        <w:rPr>
          <w:sz w:val="20"/>
          <w:szCs w:val="20"/>
          <w:color w:val="auto"/>
        </w:rPr>
        <w:tab/>
      </w:r>
      <w:r>
        <w:rPr>
          <w:rFonts w:ascii="Arial" w:cs="Arial" w:eastAsia="Arial" w:hAnsi="Arial"/>
          <w:sz w:val="14"/>
          <w:szCs w:val="14"/>
          <w:b w:val="1"/>
          <w:bCs w:val="1"/>
          <w:color w:val="008C9F"/>
        </w:rPr>
        <w:t>NOMINEE SKILLS AND EXPERIENCE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2012: Founder and CEO, Emerging Airport Ventures, LLC. (airport</w:t>
      </w:r>
      <w:r>
        <w:rPr>
          <w:sz w:val="20"/>
          <w:szCs w:val="20"/>
          <w:color w:val="auto"/>
        </w:rPr>
        <w:tab/>
      </w:r>
      <w:r>
        <w:rPr>
          <w:rFonts w:ascii="Arial" w:cs="Arial" w:eastAsia="Arial" w:hAnsi="Arial"/>
          <w:sz w:val="14"/>
          <w:szCs w:val="14"/>
          <w:color w:val="auto"/>
        </w:rPr>
        <w:t>As the current CEO and Founder of Emerging Airport</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concessions company)</w:t>
      </w:r>
      <w:r>
        <w:rPr>
          <w:sz w:val="20"/>
          <w:szCs w:val="20"/>
          <w:color w:val="auto"/>
        </w:rPr>
        <w:tab/>
      </w:r>
      <w:r>
        <w:rPr>
          <w:rFonts w:ascii="Arial" w:cs="Arial" w:eastAsia="Arial" w:hAnsi="Arial"/>
          <w:sz w:val="14"/>
          <w:szCs w:val="14"/>
          <w:color w:val="auto"/>
        </w:rPr>
        <w:t>Ventures and as an Arizonan, and as the former CEO</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de la Melena served as the CEO of the Arizona Hispanic Chamber of</w:t>
      </w:r>
      <w:r>
        <w:rPr>
          <w:sz w:val="20"/>
          <w:szCs w:val="20"/>
          <w:color w:val="auto"/>
        </w:rPr>
        <w:tab/>
      </w:r>
      <w:r>
        <w:rPr>
          <w:rFonts w:ascii="Arial" w:cs="Arial" w:eastAsia="Arial" w:hAnsi="Arial"/>
          <w:sz w:val="14"/>
          <w:szCs w:val="14"/>
          <w:color w:val="auto"/>
        </w:rPr>
        <w:t>of the Arizona Hispanic Chamber of Commerce, Mr.</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Commerce from 2010 to 2020</w:t>
      </w:r>
      <w:r>
        <w:rPr>
          <w:sz w:val="20"/>
          <w:szCs w:val="20"/>
          <w:color w:val="auto"/>
        </w:rPr>
        <w:tab/>
      </w:r>
      <w:r>
        <w:rPr>
          <w:rFonts w:ascii="Arial" w:cs="Arial" w:eastAsia="Arial" w:hAnsi="Arial"/>
          <w:sz w:val="14"/>
          <w:szCs w:val="14"/>
          <w:color w:val="auto"/>
        </w:rPr>
        <w:t>De la Melena brings the following key attributes to the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de la Melena currently serves on the Board of Directors of Gainey</w:t>
      </w:r>
      <w:r>
        <w:rPr>
          <w:sz w:val="20"/>
          <w:szCs w:val="20"/>
          <w:color w:val="auto"/>
        </w:rPr>
        <w:tab/>
      </w:r>
      <w:r>
        <w:rPr>
          <w:rFonts w:ascii="Arial" w:cs="Arial" w:eastAsia="Arial" w:hAnsi="Arial"/>
          <w:sz w:val="14"/>
          <w:szCs w:val="14"/>
          <w:color w:val="auto"/>
        </w:rPr>
        <w:t>Company:</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4"/>
          <w:szCs w:val="14"/>
          <w:color w:val="auto"/>
        </w:rPr>
        <w:t>Business Bank (de novo), Education Forward Arizona and the Airport</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Minority Advisory Council.</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Finance/Capital Allocation</w:t>
      </w:r>
    </w:p>
    <w:p>
      <w:pPr>
        <w:spacing w:after="0" w:line="1" w:lineRule="exact"/>
        <w:rPr>
          <w:sz w:val="20"/>
          <w:szCs w:val="20"/>
          <w:color w:val="auto"/>
        </w:rPr>
      </w:pPr>
    </w:p>
    <w:p>
      <w:pPr>
        <w:ind w:left="514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 and Accounting</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QUALIFICATIONS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Investment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As the current Founder and CEO of Emerging Airport Ventures, Mr. de la</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Melena brings a deep understanding of finance, investment experience and</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Customer Perspectives</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CEO experience to the Board. As an Arizonan, Mr. de la Melena can provide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Sustainability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valuable insight into our customers’ expectations, needs, and perspectives.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As the former CEO of the Hispanic Chamber of Commerce, he brings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Human Capital Management</w:t>
      </w:r>
    </w:p>
    <w:p>
      <w:pPr>
        <w:spacing w:after="0" w:line="1" w:lineRule="exact"/>
        <w:rPr>
          <w:sz w:val="20"/>
          <w:szCs w:val="20"/>
          <w:color w:val="auto"/>
        </w:rPr>
      </w:pPr>
    </w:p>
    <w:p>
      <w:pPr>
        <w:ind w:right="880"/>
        <w:spacing w:after="0" w:line="252" w:lineRule="auto"/>
        <w:rPr>
          <w:sz w:val="20"/>
          <w:szCs w:val="20"/>
          <w:color w:val="auto"/>
        </w:rPr>
      </w:pPr>
      <w:r>
        <w:rPr>
          <w:rFonts w:ascii="Arial" w:cs="Arial" w:eastAsia="Arial" w:hAnsi="Arial"/>
          <w:sz w:val="14"/>
          <w:szCs w:val="14"/>
          <w:color w:val="auto"/>
        </w:rPr>
        <w:t xml:space="preserve">extensive experience in economic development, which is a valuable attribute </w:t>
      </w:r>
      <w:r>
        <w:rPr>
          <w:rFonts w:ascii="Arial" w:cs="Arial" w:eastAsia="Arial" w:hAnsi="Arial"/>
          <w:sz w:val="14"/>
          <w:szCs w:val="14"/>
          <w:b w:val="1"/>
          <w:bCs w:val="1"/>
          <w:color w:val="355675"/>
        </w:rPr>
        <w:t>●</w:t>
      </w:r>
      <w:r>
        <w:rPr>
          <w:rFonts w:ascii="Arial" w:cs="Arial" w:eastAsia="Arial" w:hAnsi="Arial"/>
          <w:sz w:val="14"/>
          <w:szCs w:val="14"/>
          <w:color w:val="auto"/>
        </w:rPr>
        <w:t xml:space="preserve"> Government/Public Policy/Regulatory in light of Arizona’s fast growth and development. Mr. de la Melena also brings added diversity to the Board as a member of the Hispanic community.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720725</wp:posOffset>
            </wp:positionV>
            <wp:extent cx="5486400" cy="171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1190" w:lineRule="exact"/>
        <w:rPr>
          <w:sz w:val="20"/>
          <w:szCs w:val="20"/>
          <w:color w:val="auto"/>
        </w:rPr>
      </w:pPr>
    </w:p>
    <w:p>
      <w:pPr>
        <w:sectPr>
          <w:pgSz w:w="11900" w:h="16838" w:orient="portrait"/>
          <w:cols w:equalWidth="0" w:num="2">
            <w:col w:w="1880" w:space="720"/>
            <w:col w:w="8580"/>
          </w:cols>
          <w:pgMar w:left="320" w:top="125" w:right="399" w:bottom="1440" w:gutter="0" w:footer="0" w:header="0"/>
          <w:type w:val="continuous"/>
        </w:sectPr>
      </w:pPr>
    </w:p>
    <w:p>
      <w:pPr>
        <w:spacing w:after="0" w:line="368"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80"/>
          </w:cols>
          <w:pgMar w:left="320" w:top="125" w:right="399" w:bottom="1440" w:gutter="0" w:footer="0" w:header="0"/>
          <w:type w:val="continuous"/>
        </w:sectPr>
      </w:pPr>
    </w:p>
    <w:bookmarkStart w:id="55" w:name="page56"/>
    <w:bookmarkEnd w:id="5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398145</wp:posOffset>
            </wp:positionV>
            <wp:extent cx="1517015" cy="294068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1517015" cy="2940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Richard P. Fox</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74</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2014</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line="241" w:lineRule="auto"/>
        <w:tabs>
          <w:tab w:leader="none" w:pos="347" w:val="left"/>
        </w:tabs>
        <w:numPr>
          <w:ilvl w:val="0"/>
          <w:numId w:val="44"/>
        </w:numPr>
        <w:rPr>
          <w:rFonts w:ascii="Arial" w:cs="Arial" w:eastAsia="Arial" w:hAnsi="Arial"/>
          <w:sz w:val="14"/>
          <w:szCs w:val="14"/>
          <w:b w:val="1"/>
          <w:bCs w:val="1"/>
          <w:color w:val="355675"/>
        </w:rPr>
      </w:pPr>
      <w:r>
        <w:rPr>
          <w:rFonts w:ascii="Arial" w:cs="Arial" w:eastAsia="Arial" w:hAnsi="Arial"/>
          <w:sz w:val="14"/>
          <w:szCs w:val="14"/>
          <w:color w:val="auto"/>
        </w:rPr>
        <w:t>Corporate Governance and Public Responsibility</w:t>
      </w:r>
    </w:p>
    <w:p>
      <w:pPr>
        <w:ind w:left="360" w:hanging="172"/>
        <w:spacing w:after="0"/>
        <w:tabs>
          <w:tab w:leader="none" w:pos="360" w:val="left"/>
        </w:tabs>
        <w:numPr>
          <w:ilvl w:val="0"/>
          <w:numId w:val="44"/>
        </w:numPr>
        <w:rPr>
          <w:rFonts w:ascii="Arial" w:cs="Arial" w:eastAsia="Arial" w:hAnsi="Arial"/>
          <w:sz w:val="14"/>
          <w:szCs w:val="14"/>
          <w:b w:val="1"/>
          <w:bCs w:val="1"/>
          <w:color w:val="355675"/>
        </w:rPr>
      </w:pPr>
      <w:r>
        <w:rPr>
          <w:rFonts w:ascii="Arial" w:cs="Arial" w:eastAsia="Arial" w:hAnsi="Arial"/>
          <w:sz w:val="14"/>
          <w:szCs w:val="14"/>
          <w:color w:val="auto"/>
        </w:rPr>
        <w:t>Finance</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4"/>
        </w:numPr>
        <w:rPr>
          <w:rFonts w:ascii="Arial" w:cs="Arial" w:eastAsia="Arial" w:hAnsi="Arial"/>
          <w:sz w:val="14"/>
          <w:szCs w:val="14"/>
          <w:b w:val="1"/>
          <w:bCs w:val="1"/>
          <w:color w:val="355675"/>
        </w:rPr>
      </w:pPr>
      <w:r>
        <w:rPr>
          <w:rFonts w:ascii="Arial" w:cs="Arial" w:eastAsia="Arial" w:hAnsi="Arial"/>
          <w:sz w:val="14"/>
          <w:szCs w:val="14"/>
          <w:color w:val="auto"/>
        </w:rPr>
        <w:t>Human Resources (Chair)</w:t>
      </w:r>
    </w:p>
    <w:p>
      <w:pPr>
        <w:spacing w:after="0" w:line="20" w:lineRule="exact"/>
        <w:rPr>
          <w:sz w:val="20"/>
          <w:szCs w:val="20"/>
          <w:color w:val="auto"/>
        </w:rPr>
      </w:pPr>
      <w:r>
        <w:rPr>
          <w:sz w:val="20"/>
          <w:szCs w:val="20"/>
          <w:color w:val="auto"/>
        </w:rPr>
        <w:br w:type="column"/>
      </w:r>
    </w:p>
    <w:p>
      <w:pPr>
        <w:spacing w:after="0" w:line="38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120650</wp:posOffset>
            </wp:positionV>
            <wp:extent cx="5486400" cy="1714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5060" w:type="dxa"/>
            <w:vAlign w:val="bottom"/>
          </w:tcPr>
          <w:p>
            <w:pPr>
              <w:spacing w:after="0"/>
              <w:rPr>
                <w:sz w:val="20"/>
                <w:szCs w:val="20"/>
                <w:color w:val="auto"/>
              </w:rPr>
            </w:pPr>
            <w:r>
              <w:rPr>
                <w:rFonts w:ascii="Arial" w:cs="Arial" w:eastAsia="Arial" w:hAnsi="Arial"/>
                <w:sz w:val="14"/>
                <w:szCs w:val="14"/>
                <w:b w:val="1"/>
                <w:bCs w:val="1"/>
                <w:color w:val="008C9F"/>
              </w:rPr>
              <w:t>BACKGROUND</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008C9F"/>
              </w:rPr>
              <w:t>NOMINEE SKILLS AND EXPERIENCE</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2001: Consultant and independent board member for companies in</w:t>
            </w:r>
          </w:p>
        </w:tc>
        <w:tc>
          <w:tcPr>
            <w:tcW w:w="3580" w:type="dxa"/>
            <w:vAlign w:val="bottom"/>
            <w:gridSpan w:val="2"/>
          </w:tcPr>
          <w:p>
            <w:pPr>
              <w:ind w:left="120"/>
              <w:spacing w:after="0"/>
              <w:rPr>
                <w:sz w:val="20"/>
                <w:szCs w:val="20"/>
                <w:color w:val="auto"/>
              </w:rPr>
            </w:pPr>
            <w:r>
              <w:rPr>
                <w:rFonts w:ascii="Arial" w:cs="Arial" w:eastAsia="Arial" w:hAnsi="Arial"/>
                <w:sz w:val="14"/>
                <w:szCs w:val="14"/>
                <w:color w:val="auto"/>
              </w:rPr>
              <w:t>As a former Managing Partner of Ernst &amp; Young, one</w:t>
            </w: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various industries</w:t>
            </w:r>
          </w:p>
        </w:tc>
        <w:tc>
          <w:tcPr>
            <w:tcW w:w="3300" w:type="dxa"/>
            <w:vAlign w:val="bottom"/>
          </w:tcPr>
          <w:p>
            <w:pPr>
              <w:ind w:left="120"/>
              <w:spacing w:after="0"/>
              <w:rPr>
                <w:sz w:val="20"/>
                <w:szCs w:val="20"/>
                <w:color w:val="auto"/>
              </w:rPr>
            </w:pPr>
            <w:r>
              <w:rPr>
                <w:rFonts w:ascii="Arial" w:cs="Arial" w:eastAsia="Arial" w:hAnsi="Arial"/>
                <w:sz w:val="14"/>
                <w:szCs w:val="14"/>
                <w:color w:val="auto"/>
              </w:rPr>
              <w:t>of the “Big Four” auditing firms with multinational</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Fox previously held executive, operational and financial positions at</w:t>
            </w:r>
          </w:p>
        </w:tc>
        <w:tc>
          <w:tcPr>
            <w:tcW w:w="3580" w:type="dxa"/>
            <w:vAlign w:val="bottom"/>
            <w:gridSpan w:val="2"/>
          </w:tcPr>
          <w:p>
            <w:pPr>
              <w:ind w:left="120"/>
              <w:spacing w:after="0"/>
              <w:rPr>
                <w:sz w:val="20"/>
                <w:szCs w:val="20"/>
                <w:color w:val="auto"/>
              </w:rPr>
            </w:pPr>
            <w:r>
              <w:rPr>
                <w:rFonts w:ascii="Arial" w:cs="Arial" w:eastAsia="Arial" w:hAnsi="Arial"/>
                <w:sz w:val="14"/>
                <w:szCs w:val="14"/>
                <w:color w:val="auto"/>
              </w:rPr>
              <w:t>operations, Mr. Fox brings the following key attributes</w:t>
            </w: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CyberSafe Corporation (“CyberSafe”), Wall Data, Incorporated (“Wall</w:t>
            </w:r>
          </w:p>
        </w:tc>
        <w:tc>
          <w:tcPr>
            <w:tcW w:w="3300" w:type="dxa"/>
            <w:vAlign w:val="bottom"/>
          </w:tcPr>
          <w:p>
            <w:pPr>
              <w:ind w:left="120"/>
              <w:spacing w:after="0"/>
              <w:rPr>
                <w:sz w:val="20"/>
                <w:szCs w:val="20"/>
                <w:color w:val="auto"/>
              </w:rPr>
            </w:pPr>
            <w:r>
              <w:rPr>
                <w:rFonts w:ascii="Arial" w:cs="Arial" w:eastAsia="Arial" w:hAnsi="Arial"/>
                <w:sz w:val="14"/>
                <w:szCs w:val="14"/>
                <w:color w:val="auto"/>
              </w:rPr>
              <w:t>to the Company:</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Data”) and PACCAR Inc., and is a former Managing Partner of Ernst &amp;</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Young’s Seattle office</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Finance/Capital Allocation</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Fox is a director of LiveRamp Holdings, Inc., but has informed the</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 and Accounting</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Board of Directors of LiveRamp Holdings, Inc. of his intention not to stand</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Investment Experience</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for re-election at the 2022 Liveramp Holdings, Inc. Annual Meeting, which</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Corporate Governance</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is scheduled for August 9, 2022</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Customer Perspectives</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Fox is also a director of FrontDoor, Inc. and Univar Solutions, Inc.</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Sustainability</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Within the past five years, Mr. Fox has served as a director of</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Public Board Service</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ind w:left="180"/>
              <w:spacing w:after="0"/>
              <w:rPr>
                <w:sz w:val="20"/>
                <w:szCs w:val="20"/>
                <w:color w:val="auto"/>
              </w:rPr>
            </w:pPr>
            <w:r>
              <w:rPr>
                <w:rFonts w:ascii="Arial" w:cs="Arial" w:eastAsia="Arial" w:hAnsi="Arial"/>
                <w:sz w:val="14"/>
                <w:szCs w:val="14"/>
                <w:color w:val="auto"/>
              </w:rPr>
              <w:t>ServiceMaster Global Holdings and Acxiom Corporation</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Human Capital Management</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5060" w:type="dxa"/>
            <w:vAlign w:val="bottom"/>
            <w:vMerge w:val="restart"/>
          </w:tcPr>
          <w:p>
            <w:pPr>
              <w:spacing w:after="0"/>
              <w:rPr>
                <w:sz w:val="20"/>
                <w:szCs w:val="20"/>
                <w:color w:val="auto"/>
              </w:rPr>
            </w:pPr>
            <w:r>
              <w:rPr>
                <w:rFonts w:ascii="Arial" w:cs="Arial" w:eastAsia="Arial" w:hAnsi="Arial"/>
                <w:sz w:val="14"/>
                <w:szCs w:val="14"/>
                <w:b w:val="1"/>
                <w:bCs w:val="1"/>
                <w:color w:val="008C9F"/>
              </w:rPr>
              <w:t>QUALIFICATIONS</w:t>
            </w:r>
          </w:p>
        </w:tc>
        <w:tc>
          <w:tcPr>
            <w:tcW w:w="330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tc>
        <w:tc>
          <w:tcPr>
            <w:tcW w:w="2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8"/>
        </w:trPr>
        <w:tc>
          <w:tcPr>
            <w:tcW w:w="5060" w:type="dxa"/>
            <w:vAlign w:val="bottom"/>
            <w:vMerge w:val="continue"/>
          </w:tcPr>
          <w:p>
            <w:pPr>
              <w:spacing w:after="0"/>
              <w:rPr>
                <w:sz w:val="11"/>
                <w:szCs w:val="11"/>
                <w:color w:val="auto"/>
              </w:rPr>
            </w:pPr>
          </w:p>
        </w:tc>
        <w:tc>
          <w:tcPr>
            <w:tcW w:w="33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As a former Managing Partner of Ernst &amp; Young, former Chief Financial</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Officer of Wall Data, and President and Chief Operating Officer of CyberSafe,</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Mr. Fox has a deep understanding of auditing, financial and accounting</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matters. Mr. Fox has also served on the boards of several companies</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throughout his career, including seven public companies, giving him extensive</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insights into corporate governance, human capital management and</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compensation, investment opportunities, risk oversight and risk management,</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and the customer perspective. His extensive board experience, including</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service on various audit, governance, human resources and finance</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20"/>
                <w:szCs w:val="20"/>
                <w:color w:val="auto"/>
              </w:rPr>
            </w:pPr>
            <w:r>
              <w:rPr>
                <w:rFonts w:ascii="Arial" w:cs="Arial" w:eastAsia="Arial" w:hAnsi="Arial"/>
                <w:sz w:val="14"/>
                <w:szCs w:val="14"/>
                <w:color w:val="auto"/>
              </w:rPr>
              <w:t>committees, including chairmanships, adds to the Board’s depth and</w:t>
            </w:r>
          </w:p>
        </w:tc>
        <w:tc>
          <w:tcPr>
            <w:tcW w:w="3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5060" w:type="dxa"/>
            <w:vAlign w:val="bottom"/>
          </w:tcPr>
          <w:p>
            <w:pPr>
              <w:spacing w:after="0"/>
              <w:rPr>
                <w:sz w:val="20"/>
                <w:szCs w:val="20"/>
                <w:color w:val="auto"/>
              </w:rPr>
            </w:pPr>
            <w:r>
              <w:rPr>
                <w:rFonts w:ascii="Arial" w:cs="Arial" w:eastAsia="Arial" w:hAnsi="Arial"/>
                <w:sz w:val="14"/>
                <w:szCs w:val="14"/>
                <w:color w:val="auto"/>
              </w:rPr>
              <w:t>capabilities.</w:t>
            </w:r>
          </w:p>
        </w:tc>
        <w:tc>
          <w:tcPr>
            <w:tcW w:w="33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37"/>
        </w:trPr>
        <w:tc>
          <w:tcPr>
            <w:tcW w:w="5060" w:type="dxa"/>
            <w:vAlign w:val="bottom"/>
            <w:tcBorders>
              <w:bottom w:val="single" w:sz="8" w:color="008C9F"/>
            </w:tcBorders>
          </w:tcPr>
          <w:p>
            <w:pPr>
              <w:spacing w:after="0"/>
              <w:rPr>
                <w:sz w:val="11"/>
                <w:szCs w:val="11"/>
                <w:color w:val="auto"/>
              </w:rPr>
            </w:pPr>
          </w:p>
        </w:tc>
        <w:tc>
          <w:tcPr>
            <w:tcW w:w="3300" w:type="dxa"/>
            <w:vAlign w:val="bottom"/>
            <w:tcBorders>
              <w:bottom w:val="single" w:sz="8" w:color="008C9F"/>
            </w:tcBorders>
          </w:tcPr>
          <w:p>
            <w:pPr>
              <w:spacing w:after="0"/>
              <w:rPr>
                <w:sz w:val="11"/>
                <w:szCs w:val="11"/>
                <w:color w:val="auto"/>
              </w:rPr>
            </w:pPr>
          </w:p>
        </w:tc>
        <w:tc>
          <w:tcPr>
            <w:tcW w:w="280" w:type="dxa"/>
            <w:vAlign w:val="bottom"/>
            <w:tcBorders>
              <w:bottom w:val="single" w:sz="8" w:color="008C9F"/>
            </w:tcBorders>
          </w:tcPr>
          <w:p>
            <w:pPr>
              <w:spacing w:after="0"/>
              <w:rPr>
                <w:sz w:val="11"/>
                <w:szCs w:val="11"/>
                <w:color w:val="auto"/>
              </w:rPr>
            </w:pPr>
          </w:p>
        </w:tc>
        <w:tc>
          <w:tcPr>
            <w:tcW w:w="0" w:type="dxa"/>
            <w:vAlign w:val="bottom"/>
          </w:tcPr>
          <w:p>
            <w:pPr>
              <w:spacing w:after="0"/>
              <w:rPr>
                <w:sz w:val="1"/>
                <w:szCs w:val="1"/>
                <w:color w:val="auto"/>
              </w:rPr>
            </w:pPr>
          </w:p>
        </w:tc>
      </w:tr>
      <w:tr>
        <w:trPr>
          <w:trHeight w:val="349"/>
        </w:trPr>
        <w:tc>
          <w:tcPr>
            <w:tcW w:w="5060" w:type="dxa"/>
            <w:vAlign w:val="bottom"/>
          </w:tcPr>
          <w:p>
            <w:pPr>
              <w:spacing w:after="0"/>
              <w:rPr>
                <w:sz w:val="24"/>
                <w:szCs w:val="24"/>
                <w:color w:val="auto"/>
              </w:rPr>
            </w:pPr>
          </w:p>
        </w:tc>
        <w:tc>
          <w:tcPr>
            <w:tcW w:w="3300" w:type="dxa"/>
            <w:vAlign w:val="bottom"/>
          </w:tcPr>
          <w:p>
            <w:pPr>
              <w:ind w:left="1720"/>
              <w:spacing w:after="0"/>
              <w:rPr>
                <w:sz w:val="20"/>
                <w:szCs w:val="20"/>
                <w:color w:val="auto"/>
              </w:rPr>
            </w:pPr>
            <w:r>
              <w:rPr>
                <w:rFonts w:ascii="Arial" w:cs="Arial" w:eastAsia="Arial" w:hAnsi="Arial"/>
                <w:sz w:val="14"/>
                <w:szCs w:val="14"/>
                <w:color w:val="355675"/>
              </w:rPr>
              <w:t>2022 Proxy Statement</w:t>
            </w:r>
          </w:p>
        </w:tc>
        <w:tc>
          <w:tcPr>
            <w:tcW w:w="280" w:type="dxa"/>
            <w:vAlign w:val="bottom"/>
          </w:tcPr>
          <w:p>
            <w:pPr>
              <w:jc w:val="right"/>
              <w:spacing w:after="0"/>
              <w:rPr>
                <w:sz w:val="20"/>
                <w:szCs w:val="20"/>
                <w:color w:val="auto"/>
              </w:rPr>
            </w:pPr>
            <w:r>
              <w:rPr>
                <w:rFonts w:ascii="Arial" w:cs="Arial" w:eastAsia="Arial" w:hAnsi="Arial"/>
                <w:sz w:val="14"/>
                <w:szCs w:val="14"/>
                <w:b w:val="1"/>
                <w:bCs w:val="1"/>
                <w:color w:val="355675"/>
              </w:rPr>
              <w:t>47</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-1647190</wp:posOffset>
            </wp:positionH>
            <wp:positionV relativeFrom="paragraph">
              <wp:posOffset>50800</wp:posOffset>
            </wp:positionV>
            <wp:extent cx="7153275" cy="2095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2">
            <w:col w:w="2100" w:space="500"/>
            <w:col w:w="8640"/>
          </w:cols>
          <w:pgMar w:left="320" w:top="125" w:right="339" w:bottom="1440" w:gutter="0" w:footer="0" w:header="0"/>
        </w:sectPr>
      </w:pPr>
    </w:p>
    <w:bookmarkStart w:id="56" w:name="page57"/>
    <w:bookmarkEnd w:id="5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120650</wp:posOffset>
            </wp:positionV>
            <wp:extent cx="7132320" cy="518604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132320" cy="518604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Jeffrey B. Guldner</w:t>
      </w:r>
    </w:p>
    <w:p>
      <w:pPr>
        <w:spacing w:after="0" w:line="15" w:lineRule="exact"/>
        <w:rPr>
          <w:sz w:val="20"/>
          <w:szCs w:val="20"/>
          <w:color w:val="auto"/>
        </w:rPr>
      </w:pPr>
    </w:p>
    <w:p>
      <w:pPr>
        <w:ind w:left="180" w:right="120"/>
        <w:spacing w:after="0"/>
        <w:rPr>
          <w:sz w:val="20"/>
          <w:szCs w:val="20"/>
          <w:color w:val="auto"/>
        </w:rPr>
      </w:pPr>
      <w:r>
        <w:rPr>
          <w:rFonts w:ascii="Arial" w:cs="Arial" w:eastAsia="Arial" w:hAnsi="Arial"/>
          <w:sz w:val="15"/>
          <w:szCs w:val="15"/>
          <w:b w:val="1"/>
          <w:bCs w:val="1"/>
          <w:color w:val="355675"/>
        </w:rPr>
        <w:t>Chairman of the Board, President and CEO of the Company and of APS</w:t>
      </w:r>
    </w:p>
    <w:p>
      <w:pPr>
        <w:spacing w:after="0" w:line="12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56</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180"/>
        <w:spacing w:after="0"/>
        <w:rPr>
          <w:sz w:val="20"/>
          <w:szCs w:val="20"/>
          <w:color w:val="auto"/>
        </w:rPr>
      </w:pPr>
      <w:r>
        <w:rPr>
          <w:rFonts w:ascii="Arial" w:cs="Arial" w:eastAsia="Arial" w:hAnsi="Arial"/>
          <w:sz w:val="21"/>
          <w:szCs w:val="21"/>
          <w:b w:val="1"/>
          <w:bCs w:val="1"/>
          <w:color w:val="008C9F"/>
        </w:rPr>
        <w:t>Dale E. Klein, Ph.D.</w:t>
      </w:r>
    </w:p>
    <w:p>
      <w:pPr>
        <w:spacing w:after="0" w:line="27"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74</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2010</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45"/>
        </w:numPr>
        <w:rPr>
          <w:rFonts w:ascii="Arial" w:cs="Arial" w:eastAsia="Arial" w:hAnsi="Arial"/>
          <w:sz w:val="14"/>
          <w:szCs w:val="14"/>
          <w:b w:val="1"/>
          <w:bCs w:val="1"/>
          <w:color w:val="355675"/>
        </w:rPr>
      </w:pPr>
      <w:r>
        <w:rPr>
          <w:rFonts w:ascii="Arial" w:cs="Arial" w:eastAsia="Arial" w:hAnsi="Arial"/>
          <w:sz w:val="14"/>
          <w:szCs w:val="14"/>
          <w:color w:val="auto"/>
        </w:rPr>
        <w:t>Audit</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5"/>
        </w:numPr>
        <w:rPr>
          <w:rFonts w:ascii="Arial" w:cs="Arial" w:eastAsia="Arial" w:hAnsi="Arial"/>
          <w:sz w:val="14"/>
          <w:szCs w:val="14"/>
          <w:b w:val="1"/>
          <w:bCs w:val="1"/>
          <w:color w:val="355675"/>
        </w:rPr>
      </w:pPr>
      <w:r>
        <w:rPr>
          <w:rFonts w:ascii="Arial" w:cs="Arial" w:eastAsia="Arial" w:hAnsi="Arial"/>
          <w:sz w:val="14"/>
          <w:szCs w:val="14"/>
          <w:color w:val="auto"/>
        </w:rPr>
        <w:t>Nuclear and Operating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306070</wp:posOffset>
            </wp:positionV>
            <wp:extent cx="1191260" cy="23177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6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008C9F"/>
              </w:rPr>
              <w:t>BACKGROUND</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008C9F"/>
              </w:rPr>
              <w:t>NOMINEE SKILLS AND EXPERIENCE</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August of 2021, Chairman of the Board, President and CEO of the</w:t>
            </w:r>
          </w:p>
        </w:tc>
        <w:tc>
          <w:tcPr>
            <w:tcW w:w="3600" w:type="dxa"/>
            <w:vAlign w:val="bottom"/>
          </w:tcPr>
          <w:p>
            <w:pPr>
              <w:ind w:left="100"/>
              <w:spacing w:after="0"/>
              <w:rPr>
                <w:sz w:val="20"/>
                <w:szCs w:val="20"/>
                <w:color w:val="auto"/>
              </w:rPr>
            </w:pPr>
            <w:r>
              <w:rPr>
                <w:rFonts w:ascii="Arial" w:cs="Arial" w:eastAsia="Arial" w:hAnsi="Arial"/>
                <w:sz w:val="14"/>
                <w:szCs w:val="14"/>
                <w:color w:val="auto"/>
              </w:rPr>
              <w:t>Mr. Guldner has comprehensive experience within the</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Company and of APS</w:t>
            </w:r>
          </w:p>
        </w:tc>
        <w:tc>
          <w:tcPr>
            <w:tcW w:w="3600" w:type="dxa"/>
            <w:vAlign w:val="bottom"/>
          </w:tcPr>
          <w:p>
            <w:pPr>
              <w:ind w:left="100"/>
              <w:spacing w:after="0"/>
              <w:rPr>
                <w:sz w:val="20"/>
                <w:szCs w:val="20"/>
                <w:color w:val="auto"/>
              </w:rPr>
            </w:pPr>
            <w:r>
              <w:rPr>
                <w:rFonts w:ascii="Arial" w:cs="Arial" w:eastAsia="Arial" w:hAnsi="Arial"/>
                <w:sz w:val="14"/>
                <w:szCs w:val="14"/>
                <w:color w:val="auto"/>
              </w:rPr>
              <w:t>Company in many different areas of importance to the</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November 2019: Chairman of the Board, President and CEO of the</w:t>
            </w:r>
          </w:p>
        </w:tc>
        <w:tc>
          <w:tcPr>
            <w:tcW w:w="3600" w:type="dxa"/>
            <w:vAlign w:val="bottom"/>
          </w:tcPr>
          <w:p>
            <w:pPr>
              <w:ind w:left="100"/>
              <w:spacing w:after="0"/>
              <w:rPr>
                <w:sz w:val="20"/>
                <w:szCs w:val="20"/>
                <w:color w:val="auto"/>
              </w:rPr>
            </w:pPr>
            <w:r>
              <w:rPr>
                <w:rFonts w:ascii="Arial" w:cs="Arial" w:eastAsia="Arial" w:hAnsi="Arial"/>
                <w:sz w:val="14"/>
                <w:szCs w:val="14"/>
                <w:color w:val="auto"/>
              </w:rPr>
              <w:t>overall health of the Company, including the</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Company and Chairman of the Board and CEO of APS</w:t>
            </w:r>
          </w:p>
        </w:tc>
        <w:tc>
          <w:tcPr>
            <w:tcW w:w="3600" w:type="dxa"/>
            <w:vAlign w:val="bottom"/>
          </w:tcPr>
          <w:p>
            <w:pPr>
              <w:ind w:left="100"/>
              <w:spacing w:after="0"/>
              <w:rPr>
                <w:sz w:val="20"/>
                <w:szCs w:val="20"/>
                <w:color w:val="auto"/>
              </w:rPr>
            </w:pPr>
            <w:r>
              <w:rPr>
                <w:rFonts w:ascii="Arial" w:cs="Arial" w:eastAsia="Arial" w:hAnsi="Arial"/>
                <w:sz w:val="14"/>
                <w:szCs w:val="14"/>
                <w:color w:val="auto"/>
              </w:rPr>
              <w:t>development of strategy with respect to rates and</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December 2018 to January 2020: President of APS</w:t>
            </w:r>
          </w:p>
        </w:tc>
        <w:tc>
          <w:tcPr>
            <w:tcW w:w="3600" w:type="dxa"/>
            <w:vAlign w:val="bottom"/>
          </w:tcPr>
          <w:p>
            <w:pPr>
              <w:ind w:left="100"/>
              <w:spacing w:after="0"/>
              <w:rPr>
                <w:sz w:val="20"/>
                <w:szCs w:val="20"/>
                <w:color w:val="auto"/>
              </w:rPr>
            </w:pPr>
            <w:r>
              <w:rPr>
                <w:rFonts w:ascii="Arial" w:cs="Arial" w:eastAsia="Arial" w:hAnsi="Arial"/>
                <w:sz w:val="14"/>
                <w:szCs w:val="14"/>
                <w:color w:val="auto"/>
              </w:rPr>
              <w:t>regulation as well as our clean energy vision. Mr.</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May 2017 to November 2019: Executive Vice President, Public</w:t>
            </w:r>
          </w:p>
        </w:tc>
        <w:tc>
          <w:tcPr>
            <w:tcW w:w="3600" w:type="dxa"/>
            <w:vAlign w:val="bottom"/>
          </w:tcPr>
          <w:p>
            <w:pPr>
              <w:ind w:left="100"/>
              <w:spacing w:after="0"/>
              <w:rPr>
                <w:sz w:val="20"/>
                <w:szCs w:val="20"/>
                <w:color w:val="auto"/>
              </w:rPr>
            </w:pPr>
            <w:r>
              <w:rPr>
                <w:rFonts w:ascii="Arial" w:cs="Arial" w:eastAsia="Arial" w:hAnsi="Arial"/>
                <w:sz w:val="14"/>
                <w:szCs w:val="14"/>
                <w:color w:val="auto"/>
              </w:rPr>
              <w:t>Guldner brings the following key attributes to the</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Policy of the Company</w:t>
            </w:r>
          </w:p>
        </w:tc>
        <w:tc>
          <w:tcPr>
            <w:tcW w:w="3600" w:type="dxa"/>
            <w:vAlign w:val="bottom"/>
          </w:tcPr>
          <w:p>
            <w:pPr>
              <w:ind w:left="100"/>
              <w:spacing w:after="0"/>
              <w:rPr>
                <w:sz w:val="20"/>
                <w:szCs w:val="20"/>
                <w:color w:val="auto"/>
              </w:rPr>
            </w:pPr>
            <w:r>
              <w:rPr>
                <w:rFonts w:ascii="Arial" w:cs="Arial" w:eastAsia="Arial" w:hAnsi="Arial"/>
                <w:sz w:val="14"/>
                <w:szCs w:val="14"/>
                <w:color w:val="auto"/>
              </w:rPr>
              <w:t>Company:</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May 2017 to December 2018: Executive Vice President, Public</w:t>
            </w:r>
          </w:p>
        </w:tc>
        <w:tc>
          <w:tcPr>
            <w:tcW w:w="3600" w:type="dxa"/>
            <w:vAlign w:val="bottom"/>
          </w:tcPr>
          <w:p>
            <w:pPr>
              <w:spacing w:after="0"/>
              <w:rPr>
                <w:sz w:val="14"/>
                <w:szCs w:val="14"/>
                <w:color w:val="auto"/>
              </w:rPr>
            </w:pP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Policy of APS</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May 2017 to August 2018: General Counsel of the Company and</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Customer Perspective</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APS</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Extensive Knowledge of Company’s Business</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2014 to May 2017: Senior Vice President, Public Policy of APS</w:t>
            </w:r>
          </w:p>
        </w:tc>
        <w:tc>
          <w:tcPr>
            <w:tcW w:w="3600" w:type="dxa"/>
            <w:vAlign w:val="bottom"/>
          </w:tcPr>
          <w:p>
            <w:pPr>
              <w:ind w:left="280"/>
              <w:spacing w:after="0"/>
              <w:rPr>
                <w:sz w:val="20"/>
                <w:szCs w:val="20"/>
                <w:color w:val="auto"/>
              </w:rPr>
            </w:pPr>
            <w:r>
              <w:rPr>
                <w:rFonts w:ascii="Arial" w:cs="Arial" w:eastAsia="Arial" w:hAnsi="Arial"/>
                <w:sz w:val="14"/>
                <w:szCs w:val="14"/>
                <w:color w:val="auto"/>
              </w:rPr>
              <w:t>Environment</w:t>
            </w:r>
          </w:p>
        </w:tc>
      </w:tr>
      <w:tr>
        <w:trPr>
          <w:trHeight w:val="162"/>
        </w:trPr>
        <w:tc>
          <w:tcPr>
            <w:tcW w:w="5040" w:type="dxa"/>
            <w:vAlign w:val="bottom"/>
          </w:tcPr>
          <w:p>
            <w:pPr>
              <w:spacing w:after="0"/>
              <w:rPr>
                <w:sz w:val="14"/>
                <w:szCs w:val="14"/>
                <w:color w:val="auto"/>
              </w:rPr>
            </w:pP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Sustainability</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008C9F"/>
              </w:rPr>
              <w:t>QUALIFICATIONS</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Mr. Guldner joined the Company in 2004 and has held a number of</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Human Capital Management</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leadership and executive positions responsible for several different areas of</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Utility Industry Experience</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importance to the health and success of the Company, including public</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Government/Public Policy/Regulatory</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policy, legal, rates and regulation, government affairs and customer service.</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Prior to joining APS, Mr. Guldner was a partner in the Phoenix office of</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Snell &amp; Wilmer LLP, where he practiced public utility, telecommunications and</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energy law. Before practicing law, Mr. Guldner served as a surface warfare</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officer in the United States Navy and was an assistant professor of naval</w:t>
            </w:r>
          </w:p>
        </w:tc>
        <w:tc>
          <w:tcPr>
            <w:tcW w:w="3600" w:type="dxa"/>
            <w:vAlign w:val="bottom"/>
          </w:tcPr>
          <w:p>
            <w:pPr>
              <w:spacing w:after="0"/>
              <w:rPr>
                <w:sz w:val="14"/>
                <w:szCs w:val="14"/>
                <w:color w:val="auto"/>
              </w:rPr>
            </w:pPr>
          </w:p>
        </w:tc>
      </w:tr>
      <w:tr>
        <w:trPr>
          <w:trHeight w:val="190"/>
        </w:trPr>
        <w:tc>
          <w:tcPr>
            <w:tcW w:w="5040" w:type="dxa"/>
            <w:vAlign w:val="bottom"/>
          </w:tcPr>
          <w:p>
            <w:pPr>
              <w:spacing w:after="0"/>
              <w:rPr>
                <w:sz w:val="20"/>
                <w:szCs w:val="20"/>
                <w:color w:val="auto"/>
              </w:rPr>
            </w:pPr>
            <w:r>
              <w:rPr>
                <w:rFonts w:ascii="Arial" w:cs="Arial" w:eastAsia="Arial" w:hAnsi="Arial"/>
                <w:sz w:val="14"/>
                <w:szCs w:val="14"/>
                <w:color w:val="auto"/>
              </w:rPr>
              <w:t>history at the University of Washington.</w:t>
            </w:r>
          </w:p>
        </w:tc>
        <w:tc>
          <w:tcPr>
            <w:tcW w:w="3600" w:type="dxa"/>
            <w:vAlign w:val="bottom"/>
          </w:tcPr>
          <w:p>
            <w:pPr>
              <w:spacing w:after="0"/>
              <w:rPr>
                <w:sz w:val="16"/>
                <w:szCs w:val="16"/>
                <w:color w:val="auto"/>
              </w:rPr>
            </w:pPr>
          </w:p>
        </w:tc>
      </w:tr>
      <w:tr>
        <w:trPr>
          <w:trHeight w:val="150"/>
        </w:trPr>
        <w:tc>
          <w:tcPr>
            <w:tcW w:w="5040" w:type="dxa"/>
            <w:vAlign w:val="bottom"/>
            <w:tcBorders>
              <w:bottom w:val="single" w:sz="8" w:color="008C9F"/>
            </w:tcBorders>
          </w:tcPr>
          <w:p>
            <w:pPr>
              <w:spacing w:after="0"/>
              <w:rPr>
                <w:sz w:val="13"/>
                <w:szCs w:val="13"/>
                <w:color w:val="auto"/>
              </w:rPr>
            </w:pPr>
          </w:p>
        </w:tc>
        <w:tc>
          <w:tcPr>
            <w:tcW w:w="3600" w:type="dxa"/>
            <w:vAlign w:val="bottom"/>
            <w:tcBorders>
              <w:bottom w:val="single" w:sz="8" w:color="008C9F"/>
            </w:tcBorders>
          </w:tcPr>
          <w:p>
            <w:pPr>
              <w:spacing w:after="0"/>
              <w:rPr>
                <w:sz w:val="13"/>
                <w:szCs w:val="13"/>
                <w:color w:val="auto"/>
              </w:rPr>
            </w:pPr>
          </w:p>
        </w:tc>
      </w:tr>
      <w:tr>
        <w:trPr>
          <w:trHeight w:val="234"/>
        </w:trPr>
        <w:tc>
          <w:tcPr>
            <w:tcW w:w="5040" w:type="dxa"/>
            <w:vAlign w:val="bottom"/>
          </w:tcPr>
          <w:p>
            <w:pPr>
              <w:spacing w:after="0"/>
              <w:rPr>
                <w:sz w:val="20"/>
                <w:szCs w:val="20"/>
                <w:color w:val="auto"/>
              </w:rPr>
            </w:pPr>
            <w:r>
              <w:rPr>
                <w:rFonts w:ascii="Arial" w:cs="Arial" w:eastAsia="Arial" w:hAnsi="Arial"/>
                <w:sz w:val="14"/>
                <w:szCs w:val="14"/>
                <w:b w:val="1"/>
                <w:bCs w:val="1"/>
                <w:color w:val="008C9F"/>
              </w:rPr>
              <w:t>BACKGROUND</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008C9F"/>
              </w:rPr>
              <w:t>NOMINEE SKILLS AND EXPERIENCE</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January 2011: Associate Vice Chancellor for Research, The</w:t>
            </w:r>
          </w:p>
        </w:tc>
        <w:tc>
          <w:tcPr>
            <w:tcW w:w="3600" w:type="dxa"/>
            <w:vAlign w:val="bottom"/>
          </w:tcPr>
          <w:p>
            <w:pPr>
              <w:ind w:left="100"/>
              <w:spacing w:after="0"/>
              <w:rPr>
                <w:sz w:val="20"/>
                <w:szCs w:val="20"/>
                <w:color w:val="auto"/>
              </w:rPr>
            </w:pPr>
            <w:r>
              <w:rPr>
                <w:rFonts w:ascii="Arial" w:cs="Arial" w:eastAsia="Arial" w:hAnsi="Arial"/>
                <w:sz w:val="14"/>
                <w:szCs w:val="14"/>
                <w:color w:val="auto"/>
              </w:rPr>
              <w:t>As former Chairman of the NRC, the entity that</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University of Texas System</w:t>
            </w:r>
          </w:p>
        </w:tc>
        <w:tc>
          <w:tcPr>
            <w:tcW w:w="3600" w:type="dxa"/>
            <w:vAlign w:val="bottom"/>
          </w:tcPr>
          <w:p>
            <w:pPr>
              <w:ind w:left="100"/>
              <w:spacing w:after="0"/>
              <w:rPr>
                <w:sz w:val="20"/>
                <w:szCs w:val="20"/>
                <w:color w:val="auto"/>
              </w:rPr>
            </w:pPr>
            <w:r>
              <w:rPr>
                <w:rFonts w:ascii="Arial" w:cs="Arial" w:eastAsia="Arial" w:hAnsi="Arial"/>
                <w:sz w:val="14"/>
                <w:szCs w:val="14"/>
                <w:color w:val="auto"/>
              </w:rPr>
              <w:t>formulates policies and regulations governing nuclear</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July 2006 to May 2009: Chairman of the Nuclear Regulatory</w:t>
            </w:r>
          </w:p>
        </w:tc>
        <w:tc>
          <w:tcPr>
            <w:tcW w:w="3600" w:type="dxa"/>
            <w:vAlign w:val="bottom"/>
          </w:tcPr>
          <w:p>
            <w:pPr>
              <w:ind w:left="100"/>
              <w:spacing w:after="0"/>
              <w:rPr>
                <w:sz w:val="20"/>
                <w:szCs w:val="20"/>
                <w:color w:val="auto"/>
              </w:rPr>
            </w:pPr>
            <w:r>
              <w:rPr>
                <w:rFonts w:ascii="Arial" w:cs="Arial" w:eastAsia="Arial" w:hAnsi="Arial"/>
                <w:sz w:val="14"/>
                <w:szCs w:val="14"/>
                <w:color w:val="auto"/>
              </w:rPr>
              <w:t>reactor and materials safety, issues orders to</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Commission (“NRC”), and thereafter continued as a Commissioner until</w:t>
            </w:r>
          </w:p>
        </w:tc>
        <w:tc>
          <w:tcPr>
            <w:tcW w:w="3600" w:type="dxa"/>
            <w:vAlign w:val="bottom"/>
          </w:tcPr>
          <w:p>
            <w:pPr>
              <w:ind w:left="100"/>
              <w:spacing w:after="0"/>
              <w:rPr>
                <w:sz w:val="20"/>
                <w:szCs w:val="20"/>
                <w:color w:val="auto"/>
              </w:rPr>
            </w:pPr>
            <w:r>
              <w:rPr>
                <w:rFonts w:ascii="Arial" w:cs="Arial" w:eastAsia="Arial" w:hAnsi="Arial"/>
                <w:sz w:val="14"/>
                <w:szCs w:val="14"/>
                <w:color w:val="auto"/>
              </w:rPr>
              <w:t>licensees, and adjudicates legal matters brought</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March 2010</w:t>
            </w:r>
          </w:p>
        </w:tc>
        <w:tc>
          <w:tcPr>
            <w:tcW w:w="3600" w:type="dxa"/>
            <w:vAlign w:val="bottom"/>
          </w:tcPr>
          <w:p>
            <w:pPr>
              <w:ind w:left="100"/>
              <w:spacing w:after="0"/>
              <w:rPr>
                <w:sz w:val="20"/>
                <w:szCs w:val="20"/>
                <w:color w:val="auto"/>
              </w:rPr>
            </w:pPr>
            <w:r>
              <w:rPr>
                <w:rFonts w:ascii="Arial" w:cs="Arial" w:eastAsia="Arial" w:hAnsi="Arial"/>
                <w:sz w:val="14"/>
                <w:szCs w:val="14"/>
                <w:color w:val="auto"/>
              </w:rPr>
              <w:t>before it, Dr. Klein brings the following key attributes to</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November 2001 to July 2006: Assistant to the Secretary of Defense</w:t>
            </w:r>
          </w:p>
        </w:tc>
        <w:tc>
          <w:tcPr>
            <w:tcW w:w="3600" w:type="dxa"/>
            <w:vAlign w:val="bottom"/>
          </w:tcPr>
          <w:p>
            <w:pPr>
              <w:ind w:left="100"/>
              <w:spacing w:after="0"/>
              <w:rPr>
                <w:sz w:val="20"/>
                <w:szCs w:val="20"/>
                <w:color w:val="auto"/>
              </w:rPr>
            </w:pPr>
            <w:r>
              <w:rPr>
                <w:rFonts w:ascii="Arial" w:cs="Arial" w:eastAsia="Arial" w:hAnsi="Arial"/>
                <w:sz w:val="14"/>
                <w:szCs w:val="14"/>
                <w:color w:val="auto"/>
              </w:rPr>
              <w:t>the Company:</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for Nuclear, Chemical and Biological Defense Program</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September 1977: Professor of Mechanical Engineering, University</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Literacy/Accounting</w:t>
            </w:r>
          </w:p>
        </w:tc>
      </w:tr>
      <w:tr>
        <w:trPr>
          <w:trHeight w:val="162"/>
        </w:trPr>
        <w:tc>
          <w:tcPr>
            <w:tcW w:w="5040" w:type="dxa"/>
            <w:vAlign w:val="bottom"/>
          </w:tcPr>
          <w:p>
            <w:pPr>
              <w:ind w:left="180"/>
              <w:spacing w:after="0"/>
              <w:rPr>
                <w:sz w:val="20"/>
                <w:szCs w:val="20"/>
                <w:color w:val="auto"/>
              </w:rPr>
            </w:pPr>
            <w:r>
              <w:rPr>
                <w:rFonts w:ascii="Arial" w:cs="Arial" w:eastAsia="Arial" w:hAnsi="Arial"/>
                <w:sz w:val="14"/>
                <w:szCs w:val="14"/>
                <w:color w:val="auto"/>
              </w:rPr>
              <w:t>of Texas at Austin</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Complex Operations Experience</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Dr. Klein is also a director of Southern Company</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Extensive Knowledge of Company’s Business</w:t>
            </w:r>
          </w:p>
        </w:tc>
      </w:tr>
      <w:tr>
        <w:trPr>
          <w:trHeight w:val="162"/>
        </w:trPr>
        <w:tc>
          <w:tcPr>
            <w:tcW w:w="5040" w:type="dxa"/>
            <w:vAlign w:val="bottom"/>
          </w:tcPr>
          <w:p>
            <w:pPr>
              <w:spacing w:after="0"/>
              <w:rPr>
                <w:sz w:val="14"/>
                <w:szCs w:val="14"/>
                <w:color w:val="auto"/>
              </w:rPr>
            </w:pPr>
          </w:p>
        </w:tc>
        <w:tc>
          <w:tcPr>
            <w:tcW w:w="3600" w:type="dxa"/>
            <w:vAlign w:val="bottom"/>
          </w:tcPr>
          <w:p>
            <w:pPr>
              <w:ind w:left="280"/>
              <w:spacing w:after="0"/>
              <w:rPr>
                <w:sz w:val="20"/>
                <w:szCs w:val="20"/>
                <w:color w:val="auto"/>
              </w:rPr>
            </w:pPr>
            <w:r>
              <w:rPr>
                <w:rFonts w:ascii="Arial" w:cs="Arial" w:eastAsia="Arial" w:hAnsi="Arial"/>
                <w:sz w:val="14"/>
                <w:szCs w:val="14"/>
                <w:color w:val="auto"/>
              </w:rPr>
              <w:t>Environment</w:t>
            </w:r>
          </w:p>
        </w:tc>
      </w:tr>
      <w:tr>
        <w:trPr>
          <w:trHeight w:val="162"/>
        </w:trPr>
        <w:tc>
          <w:tcPr>
            <w:tcW w:w="5040" w:type="dxa"/>
            <w:vAlign w:val="bottom"/>
          </w:tcPr>
          <w:p>
            <w:pPr>
              <w:spacing w:after="0"/>
              <w:rPr>
                <w:sz w:val="20"/>
                <w:szCs w:val="20"/>
                <w:color w:val="auto"/>
              </w:rPr>
            </w:pPr>
            <w:r>
              <w:rPr>
                <w:rFonts w:ascii="Arial" w:cs="Arial" w:eastAsia="Arial" w:hAnsi="Arial"/>
                <w:sz w:val="14"/>
                <w:szCs w:val="14"/>
                <w:b w:val="1"/>
                <w:bCs w:val="1"/>
                <w:color w:val="008C9F"/>
              </w:rPr>
              <w:t>QUALIFICATIONS</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The NRC oversees nuclear power plant operations in the United States. As</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Public Board Service</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the former Chairman of the NRC, Dr. Klein brings expertise in all aspects of</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Human Capital Management</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nuclear energy regulation, operation, technology and safety. His broad</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Nuclear Experience</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national and international experience in all aspects of the nuclear utility</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Utility Industry Experience</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industry, nuclear energy, government and regulation brings value to the</w:t>
            </w:r>
          </w:p>
        </w:tc>
        <w:tc>
          <w:tcPr>
            <w:tcW w:w="3600" w:type="dxa"/>
            <w:vAlign w:val="bottom"/>
          </w:tcPr>
          <w:p>
            <w:pPr>
              <w:ind w:left="10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Government/Public Policy/Regulatory</w:t>
            </w: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Board, particularly from the perspective of our operations at Palo Verde</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Generating Station and business environment. His service with the NRC,</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including his tenure as Chairman, gives him senior leadership experience in</w:t>
            </w:r>
          </w:p>
        </w:tc>
        <w:tc>
          <w:tcPr>
            <w:tcW w:w="3600" w:type="dxa"/>
            <w:vAlign w:val="bottom"/>
          </w:tcPr>
          <w:p>
            <w:pPr>
              <w:spacing w:after="0"/>
              <w:rPr>
                <w:sz w:val="14"/>
                <w:szCs w:val="14"/>
                <w:color w:val="auto"/>
              </w:rPr>
            </w:pPr>
          </w:p>
        </w:tc>
      </w:tr>
      <w:tr>
        <w:trPr>
          <w:trHeight w:val="162"/>
        </w:trPr>
        <w:tc>
          <w:tcPr>
            <w:tcW w:w="5040" w:type="dxa"/>
            <w:vAlign w:val="bottom"/>
          </w:tcPr>
          <w:p>
            <w:pPr>
              <w:spacing w:after="0"/>
              <w:rPr>
                <w:sz w:val="20"/>
                <w:szCs w:val="20"/>
                <w:color w:val="auto"/>
              </w:rPr>
            </w:pPr>
            <w:r>
              <w:rPr>
                <w:rFonts w:ascii="Arial" w:cs="Arial" w:eastAsia="Arial" w:hAnsi="Arial"/>
                <w:sz w:val="14"/>
                <w:szCs w:val="14"/>
                <w:color w:val="auto"/>
              </w:rPr>
              <w:t>operating large, complex organizations, financial literacy and human capital</w:t>
            </w:r>
          </w:p>
        </w:tc>
        <w:tc>
          <w:tcPr>
            <w:tcW w:w="3600" w:type="dxa"/>
            <w:vAlign w:val="bottom"/>
          </w:tcPr>
          <w:p>
            <w:pPr>
              <w:spacing w:after="0"/>
              <w:rPr>
                <w:sz w:val="14"/>
                <w:szCs w:val="14"/>
                <w:color w:val="auto"/>
              </w:rPr>
            </w:pPr>
          </w:p>
        </w:tc>
      </w:tr>
      <w:tr>
        <w:trPr>
          <w:trHeight w:val="190"/>
        </w:trPr>
        <w:tc>
          <w:tcPr>
            <w:tcW w:w="5040" w:type="dxa"/>
            <w:vAlign w:val="bottom"/>
          </w:tcPr>
          <w:p>
            <w:pPr>
              <w:spacing w:after="0"/>
              <w:rPr>
                <w:sz w:val="20"/>
                <w:szCs w:val="20"/>
                <w:color w:val="auto"/>
              </w:rPr>
            </w:pPr>
            <w:r>
              <w:rPr>
                <w:rFonts w:ascii="Arial" w:cs="Arial" w:eastAsia="Arial" w:hAnsi="Arial"/>
                <w:sz w:val="14"/>
                <w:szCs w:val="14"/>
                <w:color w:val="auto"/>
              </w:rPr>
              <w:t>management and compensation experience.</w:t>
            </w:r>
          </w:p>
        </w:tc>
        <w:tc>
          <w:tcPr>
            <w:tcW w:w="3600" w:type="dxa"/>
            <w:vAlign w:val="bottom"/>
          </w:tcPr>
          <w:p>
            <w:pPr>
              <w:spacing w:after="0"/>
              <w:rPr>
                <w:sz w:val="16"/>
                <w:szCs w:val="16"/>
                <w:color w:val="auto"/>
              </w:rPr>
            </w:pPr>
          </w:p>
        </w:tc>
      </w:tr>
      <w:tr>
        <w:trPr>
          <w:trHeight w:val="150"/>
        </w:trPr>
        <w:tc>
          <w:tcPr>
            <w:tcW w:w="5040" w:type="dxa"/>
            <w:vAlign w:val="bottom"/>
            <w:tcBorders>
              <w:bottom w:val="single" w:sz="8" w:color="008C9F"/>
            </w:tcBorders>
          </w:tcPr>
          <w:p>
            <w:pPr>
              <w:spacing w:after="0"/>
              <w:rPr>
                <w:sz w:val="13"/>
                <w:szCs w:val="13"/>
                <w:color w:val="auto"/>
              </w:rPr>
            </w:pPr>
          </w:p>
        </w:tc>
        <w:tc>
          <w:tcPr>
            <w:tcW w:w="3600" w:type="dxa"/>
            <w:vAlign w:val="bottom"/>
            <w:tcBorders>
              <w:bottom w:val="single" w:sz="8" w:color="008C9F"/>
            </w:tcBorders>
          </w:tcPr>
          <w:p>
            <w:pPr>
              <w:spacing w:after="0"/>
              <w:rPr>
                <w:sz w:val="13"/>
                <w:szCs w:val="13"/>
                <w:color w:val="auto"/>
              </w:rPr>
            </w:pPr>
          </w:p>
        </w:tc>
      </w:tr>
    </w:tbl>
    <w:p>
      <w:pPr>
        <w:spacing w:after="0" w:line="200" w:lineRule="exact"/>
        <w:rPr>
          <w:sz w:val="20"/>
          <w:szCs w:val="20"/>
          <w:color w:val="auto"/>
        </w:rPr>
      </w:pPr>
    </w:p>
    <w:p>
      <w:pPr>
        <w:sectPr>
          <w:pgSz w:w="11900" w:h="16838" w:orient="portrait"/>
          <w:cols w:equalWidth="0" w:num="2">
            <w:col w:w="2160" w:space="440"/>
            <w:col w:w="8640"/>
          </w:cols>
          <w:pgMar w:left="320" w:top="125" w:right="339" w:bottom="1440" w:gutter="0" w:footer="0" w:header="0"/>
          <w:type w:val="continuous"/>
        </w:sectPr>
      </w:pPr>
    </w:p>
    <w:p>
      <w:pPr>
        <w:spacing w:after="0" w:line="19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57" w:name="page58"/>
    <w:bookmarkEnd w:id="5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398145</wp:posOffset>
            </wp:positionV>
            <wp:extent cx="1517015" cy="558038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1517015" cy="55803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Kathryn L. Munro</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73</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2000</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Lead Director</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right="40" w:hanging="172"/>
        <w:spacing w:after="0" w:line="241" w:lineRule="auto"/>
        <w:tabs>
          <w:tab w:leader="none" w:pos="347" w:val="left"/>
        </w:tabs>
        <w:numPr>
          <w:ilvl w:val="0"/>
          <w:numId w:val="46"/>
        </w:numPr>
        <w:rPr>
          <w:rFonts w:ascii="Arial" w:cs="Arial" w:eastAsia="Arial" w:hAnsi="Arial"/>
          <w:sz w:val="14"/>
          <w:szCs w:val="14"/>
          <w:b w:val="1"/>
          <w:bCs w:val="1"/>
          <w:color w:val="355675"/>
        </w:rPr>
      </w:pPr>
      <w:r>
        <w:rPr>
          <w:rFonts w:ascii="Arial" w:cs="Arial" w:eastAsia="Arial" w:hAnsi="Arial"/>
          <w:sz w:val="14"/>
          <w:szCs w:val="14"/>
          <w:color w:val="auto"/>
        </w:rPr>
        <w:t>Corporate Governance and Public Responsibility (Chair)</w:t>
      </w:r>
    </w:p>
    <w:p>
      <w:pPr>
        <w:ind w:left="360" w:hanging="172"/>
        <w:spacing w:after="0"/>
        <w:tabs>
          <w:tab w:leader="none" w:pos="360" w:val="left"/>
        </w:tabs>
        <w:numPr>
          <w:ilvl w:val="0"/>
          <w:numId w:val="46"/>
        </w:numPr>
        <w:rPr>
          <w:rFonts w:ascii="Arial" w:cs="Arial" w:eastAsia="Arial" w:hAnsi="Arial"/>
          <w:sz w:val="14"/>
          <w:szCs w:val="14"/>
          <w:b w:val="1"/>
          <w:bCs w:val="1"/>
          <w:color w:val="355675"/>
        </w:rPr>
      </w:pPr>
      <w:r>
        <w:rPr>
          <w:rFonts w:ascii="Arial" w:cs="Arial" w:eastAsia="Arial" w:hAnsi="Arial"/>
          <w:sz w:val="14"/>
          <w:szCs w:val="14"/>
          <w:color w:val="auto"/>
        </w:rPr>
        <w:t>Finance</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6"/>
        </w:numPr>
        <w:rPr>
          <w:rFonts w:ascii="Arial" w:cs="Arial" w:eastAsia="Arial" w:hAnsi="Arial"/>
          <w:sz w:val="14"/>
          <w:szCs w:val="14"/>
          <w:b w:val="1"/>
          <w:bCs w:val="1"/>
          <w:color w:val="355675"/>
        </w:rPr>
      </w:pPr>
      <w:r>
        <w:rPr>
          <w:rFonts w:ascii="Arial" w:cs="Arial" w:eastAsia="Arial" w:hAnsi="Arial"/>
          <w:sz w:val="14"/>
          <w:szCs w:val="14"/>
          <w:color w:val="auto"/>
        </w:rPr>
        <w:t>Human Resources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80"/>
        <w:spacing w:after="0"/>
        <w:rPr>
          <w:sz w:val="20"/>
          <w:szCs w:val="20"/>
          <w:color w:val="auto"/>
        </w:rPr>
      </w:pPr>
      <w:r>
        <w:rPr>
          <w:rFonts w:ascii="Arial" w:cs="Arial" w:eastAsia="Arial" w:hAnsi="Arial"/>
          <w:sz w:val="21"/>
          <w:szCs w:val="21"/>
          <w:b w:val="1"/>
          <w:bCs w:val="1"/>
          <w:color w:val="008C9F"/>
        </w:rPr>
        <w:t>Bruce J. Nordstrom</w:t>
      </w:r>
    </w:p>
    <w:p>
      <w:pPr>
        <w:spacing w:after="0" w:line="27"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72</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2000</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47"/>
        </w:numPr>
        <w:rPr>
          <w:rFonts w:ascii="Arial" w:cs="Arial" w:eastAsia="Arial" w:hAnsi="Arial"/>
          <w:sz w:val="14"/>
          <w:szCs w:val="14"/>
          <w:b w:val="1"/>
          <w:bCs w:val="1"/>
          <w:color w:val="355675"/>
        </w:rPr>
      </w:pPr>
      <w:r>
        <w:rPr>
          <w:rFonts w:ascii="Arial" w:cs="Arial" w:eastAsia="Arial" w:hAnsi="Arial"/>
          <w:sz w:val="14"/>
          <w:szCs w:val="14"/>
          <w:color w:val="auto"/>
        </w:rPr>
        <w:t>Audit (Chair)</w:t>
      </w:r>
    </w:p>
    <w:p>
      <w:pPr>
        <w:spacing w:after="0" w:line="1" w:lineRule="exact"/>
        <w:rPr>
          <w:rFonts w:ascii="Arial" w:cs="Arial" w:eastAsia="Arial" w:hAnsi="Arial"/>
          <w:sz w:val="14"/>
          <w:szCs w:val="14"/>
          <w:b w:val="1"/>
          <w:bCs w:val="1"/>
          <w:color w:val="355675"/>
        </w:rPr>
      </w:pPr>
    </w:p>
    <w:p>
      <w:pPr>
        <w:ind w:left="360" w:right="100" w:hanging="172"/>
        <w:spacing w:after="0" w:line="241" w:lineRule="auto"/>
        <w:tabs>
          <w:tab w:leader="none" w:pos="347" w:val="left"/>
        </w:tabs>
        <w:numPr>
          <w:ilvl w:val="0"/>
          <w:numId w:val="47"/>
        </w:numPr>
        <w:rPr>
          <w:rFonts w:ascii="Arial" w:cs="Arial" w:eastAsia="Arial" w:hAnsi="Arial"/>
          <w:sz w:val="14"/>
          <w:szCs w:val="14"/>
          <w:b w:val="1"/>
          <w:bCs w:val="1"/>
          <w:color w:val="355675"/>
        </w:rPr>
      </w:pPr>
      <w:r>
        <w:rPr>
          <w:rFonts w:ascii="Arial" w:cs="Arial" w:eastAsia="Arial" w:hAnsi="Arial"/>
          <w:sz w:val="14"/>
          <w:szCs w:val="14"/>
          <w:color w:val="auto"/>
        </w:rPr>
        <w:t>Corporate Governance and Public Responsibility</w:t>
      </w:r>
    </w:p>
    <w:p>
      <w:pPr>
        <w:ind w:left="360" w:hanging="172"/>
        <w:spacing w:after="0"/>
        <w:tabs>
          <w:tab w:leader="none" w:pos="360" w:val="left"/>
        </w:tabs>
        <w:numPr>
          <w:ilvl w:val="0"/>
          <w:numId w:val="47"/>
        </w:numPr>
        <w:rPr>
          <w:rFonts w:ascii="Arial" w:cs="Arial" w:eastAsia="Arial" w:hAnsi="Arial"/>
          <w:sz w:val="14"/>
          <w:szCs w:val="14"/>
          <w:b w:val="1"/>
          <w:bCs w:val="1"/>
          <w:color w:val="355675"/>
        </w:rPr>
      </w:pPr>
      <w:r>
        <w:rPr>
          <w:rFonts w:ascii="Arial" w:cs="Arial" w:eastAsia="Arial" w:hAnsi="Arial"/>
          <w:sz w:val="14"/>
          <w:szCs w:val="14"/>
          <w:color w:val="auto"/>
        </w:rPr>
        <w:t>Human Resources</w:t>
      </w:r>
    </w:p>
    <w:p>
      <w:pPr>
        <w:spacing w:after="0" w:line="20" w:lineRule="exact"/>
        <w:rPr>
          <w:sz w:val="20"/>
          <w:szCs w:val="20"/>
          <w:color w:val="auto"/>
        </w:rPr>
      </w:pPr>
      <w:r>
        <w:rPr>
          <w:sz w:val="20"/>
          <w:szCs w:val="20"/>
          <w:color w:val="auto"/>
        </w:rPr>
        <w:br w:type="column"/>
      </w:r>
    </w:p>
    <w:p>
      <w:pPr>
        <w:spacing w:after="0" w:line="38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120650</wp:posOffset>
            </wp:positionV>
            <wp:extent cx="5486400" cy="1714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008C9F"/>
              </w:rPr>
              <w:t>BACKGROUND</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008C9F"/>
              </w:rPr>
              <w:t>NOMINEE SKILLS AND EXPERIENCE</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July 2003: Principal of BridgeWest, LLC (an investment company)</w:t>
            </w:r>
          </w:p>
        </w:tc>
        <w:tc>
          <w:tcPr>
            <w:tcW w:w="3620" w:type="dxa"/>
            <w:vAlign w:val="bottom"/>
          </w:tcPr>
          <w:p>
            <w:pPr>
              <w:ind w:left="120"/>
              <w:spacing w:after="0"/>
              <w:rPr>
                <w:sz w:val="20"/>
                <w:szCs w:val="20"/>
                <w:color w:val="auto"/>
              </w:rPr>
            </w:pPr>
            <w:r>
              <w:rPr>
                <w:rFonts w:ascii="Arial" w:cs="Arial" w:eastAsia="Arial" w:hAnsi="Arial"/>
                <w:sz w:val="14"/>
                <w:szCs w:val="14"/>
                <w:color w:val="auto"/>
              </w:rPr>
              <w:t>As a former CEO of BofA’s Southwest Banking Group,</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February 1999 until July 2003: Chairman of BridgeWest, LLC</w:t>
            </w:r>
          </w:p>
        </w:tc>
        <w:tc>
          <w:tcPr>
            <w:tcW w:w="3620" w:type="dxa"/>
            <w:vAlign w:val="bottom"/>
          </w:tcPr>
          <w:p>
            <w:pPr>
              <w:ind w:left="120"/>
              <w:spacing w:after="0"/>
              <w:rPr>
                <w:sz w:val="20"/>
                <w:szCs w:val="20"/>
                <w:color w:val="auto"/>
              </w:rPr>
            </w:pPr>
            <w:r>
              <w:rPr>
                <w:rFonts w:ascii="Arial" w:cs="Arial" w:eastAsia="Arial" w:hAnsi="Arial"/>
                <w:sz w:val="14"/>
                <w:szCs w:val="14"/>
                <w:color w:val="auto"/>
              </w:rPr>
              <w:t>Ms. Munro brings a wealth of experience to the</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1996 to 2000: Chief Executive Officer of Bank of America’s (“BofA”)</w:t>
            </w:r>
          </w:p>
        </w:tc>
        <w:tc>
          <w:tcPr>
            <w:tcW w:w="3620" w:type="dxa"/>
            <w:vAlign w:val="bottom"/>
          </w:tcPr>
          <w:p>
            <w:pPr>
              <w:ind w:left="120"/>
              <w:spacing w:after="0"/>
              <w:rPr>
                <w:sz w:val="20"/>
                <w:szCs w:val="20"/>
                <w:color w:val="auto"/>
              </w:rPr>
            </w:pPr>
            <w:r>
              <w:rPr>
                <w:rFonts w:ascii="Arial" w:cs="Arial" w:eastAsia="Arial" w:hAnsi="Arial"/>
                <w:sz w:val="14"/>
                <w:szCs w:val="14"/>
                <w:color w:val="auto"/>
              </w:rPr>
              <w:t>Company, including the following key attributes:</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Southwest Banking Group</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1994 to 1996: President of BofA Arizona. Prior to that, Ms. Munro</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Finance/Capital Allocation</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held a variety of senior positions during her 20-year career with BofA</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Investment Experience</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Ms. Munro is Lead Director of Knight-Swift Transportation Holdings, Inc.</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Corporate Governance</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(“Knight-Swift”)</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Extensive Knowledge of Company’s Business</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Within the past five years, Ms. Munro has served as a director of Premera</w:t>
            </w:r>
          </w:p>
        </w:tc>
        <w:tc>
          <w:tcPr>
            <w:tcW w:w="3620" w:type="dxa"/>
            <w:vAlign w:val="bottom"/>
          </w:tcPr>
          <w:p>
            <w:pPr>
              <w:ind w:left="300"/>
              <w:spacing w:after="0"/>
              <w:rPr>
                <w:sz w:val="20"/>
                <w:szCs w:val="20"/>
                <w:color w:val="auto"/>
              </w:rPr>
            </w:pPr>
            <w:r>
              <w:rPr>
                <w:rFonts w:ascii="Arial" w:cs="Arial" w:eastAsia="Arial" w:hAnsi="Arial"/>
                <w:sz w:val="14"/>
                <w:szCs w:val="14"/>
                <w:color w:val="auto"/>
              </w:rPr>
              <w:t>Environment</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Blue Cross</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Sustainability</w:t>
            </w:r>
          </w:p>
        </w:tc>
      </w:tr>
      <w:tr>
        <w:trPr>
          <w:trHeight w:val="162"/>
        </w:trPr>
        <w:tc>
          <w:tcPr>
            <w:tcW w:w="5020" w:type="dxa"/>
            <w:vAlign w:val="bottom"/>
          </w:tcPr>
          <w:p>
            <w:pPr>
              <w:spacing w:after="0"/>
              <w:rPr>
                <w:sz w:val="14"/>
                <w:szCs w:val="14"/>
                <w:color w:val="auto"/>
              </w:rPr>
            </w:pP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008C9F"/>
              </w:rPr>
              <w:t>QUALIFICATIONS</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Public Board Service</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As principal of an investment company, former Chief Executive Officer of</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Human Capital Management</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BofA’s Southwest Banking Group, and President of BofA Arizona, Ms. Munro</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brings business and investment acumen, financial and capital allocation</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experience, and leadership skills to the Company. Her extensive knowledge</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of the Company’s business environment includes experience with the cycles</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in Arizona’s economy, which assists a growing infrastructure company like</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Pinnacle West in accessing capital and meeting its financing needs. Ms.</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Munro is an experienced director, currently serving on the boards of Knight-</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Swift and Premera Blue Cross, providing her experience in human capital</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management and compensation, corporate governance, and risk oversight</w:t>
            </w:r>
          </w:p>
        </w:tc>
        <w:tc>
          <w:tcPr>
            <w:tcW w:w="3620" w:type="dxa"/>
            <w:vAlign w:val="bottom"/>
          </w:tcPr>
          <w:p>
            <w:pPr>
              <w:spacing w:after="0"/>
              <w:rPr>
                <w:sz w:val="14"/>
                <w:szCs w:val="14"/>
                <w:color w:val="auto"/>
              </w:rPr>
            </w:pPr>
          </w:p>
        </w:tc>
      </w:tr>
      <w:tr>
        <w:trPr>
          <w:trHeight w:val="190"/>
        </w:trPr>
        <w:tc>
          <w:tcPr>
            <w:tcW w:w="5020" w:type="dxa"/>
            <w:vAlign w:val="bottom"/>
          </w:tcPr>
          <w:p>
            <w:pPr>
              <w:spacing w:after="0"/>
              <w:rPr>
                <w:sz w:val="20"/>
                <w:szCs w:val="20"/>
                <w:color w:val="auto"/>
              </w:rPr>
            </w:pPr>
            <w:r>
              <w:rPr>
                <w:rFonts w:ascii="Arial" w:cs="Arial" w:eastAsia="Arial" w:hAnsi="Arial"/>
                <w:sz w:val="14"/>
                <w:szCs w:val="14"/>
                <w:color w:val="auto"/>
              </w:rPr>
              <w:t>and risk management.</w:t>
            </w:r>
          </w:p>
        </w:tc>
        <w:tc>
          <w:tcPr>
            <w:tcW w:w="3620" w:type="dxa"/>
            <w:vAlign w:val="bottom"/>
          </w:tcPr>
          <w:p>
            <w:pPr>
              <w:spacing w:after="0"/>
              <w:rPr>
                <w:sz w:val="16"/>
                <w:szCs w:val="16"/>
                <w:color w:val="auto"/>
              </w:rPr>
            </w:pPr>
          </w:p>
        </w:tc>
      </w:tr>
      <w:tr>
        <w:trPr>
          <w:trHeight w:val="542"/>
        </w:trPr>
        <w:tc>
          <w:tcPr>
            <w:tcW w:w="5020" w:type="dxa"/>
            <w:vAlign w:val="bottom"/>
            <w:tcBorders>
              <w:bottom w:val="single" w:sz="8" w:color="008C9F"/>
            </w:tcBorders>
          </w:tcPr>
          <w:p>
            <w:pPr>
              <w:spacing w:after="0"/>
              <w:rPr>
                <w:sz w:val="24"/>
                <w:szCs w:val="24"/>
                <w:color w:val="auto"/>
              </w:rPr>
            </w:pPr>
          </w:p>
        </w:tc>
        <w:tc>
          <w:tcPr>
            <w:tcW w:w="3620" w:type="dxa"/>
            <w:vAlign w:val="bottom"/>
            <w:tcBorders>
              <w:bottom w:val="single" w:sz="8" w:color="008C9F"/>
            </w:tcBorders>
          </w:tcPr>
          <w:p>
            <w:pPr>
              <w:spacing w:after="0"/>
              <w:rPr>
                <w:sz w:val="24"/>
                <w:szCs w:val="24"/>
                <w:color w:val="auto"/>
              </w:rPr>
            </w:pPr>
          </w:p>
        </w:tc>
      </w:tr>
      <w:tr>
        <w:trPr>
          <w:trHeight w:val="234"/>
        </w:trPr>
        <w:tc>
          <w:tcPr>
            <w:tcW w:w="5020" w:type="dxa"/>
            <w:vAlign w:val="bottom"/>
          </w:tcPr>
          <w:p>
            <w:pPr>
              <w:spacing w:after="0"/>
              <w:rPr>
                <w:sz w:val="20"/>
                <w:szCs w:val="20"/>
                <w:color w:val="auto"/>
              </w:rPr>
            </w:pPr>
            <w:r>
              <w:rPr>
                <w:rFonts w:ascii="Arial" w:cs="Arial" w:eastAsia="Arial" w:hAnsi="Arial"/>
                <w:sz w:val="14"/>
                <w:szCs w:val="14"/>
                <w:b w:val="1"/>
                <w:bCs w:val="1"/>
                <w:color w:val="008C9F"/>
              </w:rPr>
              <w:t>BACKGROUND</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008C9F"/>
              </w:rPr>
              <w:t>NOMINEE SKILLS AND EXPERIENCE</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January 2021: Of Counsel to and certified public accountant,</w:t>
            </w:r>
          </w:p>
        </w:tc>
        <w:tc>
          <w:tcPr>
            <w:tcW w:w="3620" w:type="dxa"/>
            <w:vAlign w:val="bottom"/>
          </w:tcPr>
          <w:p>
            <w:pPr>
              <w:ind w:left="120"/>
              <w:spacing w:after="0"/>
              <w:rPr>
                <w:sz w:val="20"/>
                <w:szCs w:val="20"/>
                <w:color w:val="auto"/>
              </w:rPr>
            </w:pPr>
            <w:r>
              <w:rPr>
                <w:rFonts w:ascii="Arial" w:cs="Arial" w:eastAsia="Arial" w:hAnsi="Arial"/>
                <w:sz w:val="14"/>
                <w:szCs w:val="14"/>
                <w:color w:val="auto"/>
              </w:rPr>
              <w:t>As the former President of Nordstrom &amp; Associates,</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Nordstrom &amp; Associates, P.C., in Flagstaff, Arizona</w:t>
            </w:r>
          </w:p>
        </w:tc>
        <w:tc>
          <w:tcPr>
            <w:tcW w:w="3620" w:type="dxa"/>
            <w:vAlign w:val="bottom"/>
          </w:tcPr>
          <w:p>
            <w:pPr>
              <w:ind w:left="120"/>
              <w:spacing w:after="0"/>
              <w:rPr>
                <w:sz w:val="20"/>
                <w:szCs w:val="20"/>
                <w:color w:val="auto"/>
              </w:rPr>
            </w:pPr>
            <w:r>
              <w:rPr>
                <w:rFonts w:ascii="Arial" w:cs="Arial" w:eastAsia="Arial" w:hAnsi="Arial"/>
                <w:sz w:val="14"/>
                <w:szCs w:val="14"/>
                <w:color w:val="auto"/>
              </w:rPr>
              <w:t>P.C. and a practicing CPA, Mr. Nordstrom brings the</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June 2019 to December 2020: Vice President of and certified public</w:t>
            </w:r>
          </w:p>
        </w:tc>
        <w:tc>
          <w:tcPr>
            <w:tcW w:w="3620" w:type="dxa"/>
            <w:vAlign w:val="bottom"/>
          </w:tcPr>
          <w:p>
            <w:pPr>
              <w:ind w:left="120"/>
              <w:spacing w:after="0"/>
              <w:rPr>
                <w:sz w:val="20"/>
                <w:szCs w:val="20"/>
                <w:color w:val="auto"/>
              </w:rPr>
            </w:pPr>
            <w:r>
              <w:rPr>
                <w:rFonts w:ascii="Arial" w:cs="Arial" w:eastAsia="Arial" w:hAnsi="Arial"/>
                <w:sz w:val="14"/>
                <w:szCs w:val="14"/>
                <w:color w:val="auto"/>
              </w:rPr>
              <w:t>following key attributes to the Company:</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accountant, Nordstrom &amp; Associates, P.C.</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1988 to June 2019: President of and certified public accountant at</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Audit Expertise</w:t>
            </w:r>
          </w:p>
        </w:tc>
      </w:tr>
      <w:tr>
        <w:trPr>
          <w:trHeight w:val="162"/>
        </w:trPr>
        <w:tc>
          <w:tcPr>
            <w:tcW w:w="5020" w:type="dxa"/>
            <w:vAlign w:val="bottom"/>
          </w:tcPr>
          <w:p>
            <w:pPr>
              <w:ind w:left="180"/>
              <w:spacing w:after="0"/>
              <w:rPr>
                <w:sz w:val="20"/>
                <w:szCs w:val="20"/>
                <w:color w:val="auto"/>
              </w:rPr>
            </w:pPr>
            <w:r>
              <w:rPr>
                <w:rFonts w:ascii="Arial" w:cs="Arial" w:eastAsia="Arial" w:hAnsi="Arial"/>
                <w:sz w:val="14"/>
                <w:szCs w:val="14"/>
                <w:color w:val="auto"/>
              </w:rPr>
              <w:t>Nordstrom &amp; Associates, P.C.</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Literacy/Accounting</w:t>
            </w:r>
          </w:p>
        </w:tc>
      </w:tr>
      <w:tr>
        <w:trPr>
          <w:trHeight w:val="162"/>
        </w:trPr>
        <w:tc>
          <w:tcPr>
            <w:tcW w:w="5020" w:type="dxa"/>
            <w:vAlign w:val="bottom"/>
          </w:tcPr>
          <w:p>
            <w:pPr>
              <w:spacing w:after="0"/>
              <w:rPr>
                <w:sz w:val="14"/>
                <w:szCs w:val="14"/>
                <w:color w:val="auto"/>
              </w:rPr>
            </w:pP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Investment Experience</w:t>
            </w:r>
          </w:p>
        </w:tc>
      </w:tr>
      <w:tr>
        <w:trPr>
          <w:trHeight w:val="162"/>
        </w:trPr>
        <w:tc>
          <w:tcPr>
            <w:tcW w:w="5020" w:type="dxa"/>
            <w:vAlign w:val="bottom"/>
          </w:tcPr>
          <w:p>
            <w:pPr>
              <w:spacing w:after="0"/>
              <w:rPr>
                <w:sz w:val="20"/>
                <w:szCs w:val="20"/>
                <w:color w:val="auto"/>
              </w:rPr>
            </w:pPr>
            <w:r>
              <w:rPr>
                <w:rFonts w:ascii="Arial" w:cs="Arial" w:eastAsia="Arial" w:hAnsi="Arial"/>
                <w:sz w:val="14"/>
                <w:szCs w:val="14"/>
                <w:b w:val="1"/>
                <w:bCs w:val="1"/>
                <w:color w:val="008C9F"/>
              </w:rPr>
              <w:t>QUALIFICATIONS</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As the former president of and current Of Counsel to an accounting firm, Mr.</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Corporate Governance</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Nordstrom has gained an extensive accounting, auditing and financial skill</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Customer Perspectives</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set, as well as experience in strategy development and the principles of risk</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Extensive Knowledge of Company’s Business</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oversight and risk management. His tenure with the Company in addition to</w:t>
            </w:r>
          </w:p>
        </w:tc>
        <w:tc>
          <w:tcPr>
            <w:tcW w:w="3620" w:type="dxa"/>
            <w:vAlign w:val="bottom"/>
          </w:tcPr>
          <w:p>
            <w:pPr>
              <w:ind w:left="300"/>
              <w:spacing w:after="0"/>
              <w:rPr>
                <w:sz w:val="20"/>
                <w:szCs w:val="20"/>
                <w:color w:val="auto"/>
              </w:rPr>
            </w:pPr>
            <w:r>
              <w:rPr>
                <w:rFonts w:ascii="Arial" w:cs="Arial" w:eastAsia="Arial" w:hAnsi="Arial"/>
                <w:sz w:val="14"/>
                <w:szCs w:val="14"/>
                <w:color w:val="auto"/>
              </w:rPr>
              <w:t>Environment</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operating an Arizona-based business has provided him with extensive</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Human Capital Management</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knowledge of the Company’s business environment. Furthermore, as an</w:t>
            </w:r>
          </w:p>
        </w:tc>
        <w:tc>
          <w:tcPr>
            <w:tcW w:w="3620" w:type="dxa"/>
            <w:vAlign w:val="bottom"/>
          </w:tcPr>
          <w:p>
            <w:pPr>
              <w:ind w:left="12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individual who built an accounting firm in Flagstaff, Arizona, Mr. Nordstrom</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has obtained experience in human capital management and compensation</w:t>
            </w:r>
          </w:p>
        </w:tc>
        <w:tc>
          <w:tcPr>
            <w:tcW w:w="3620" w:type="dxa"/>
            <w:vAlign w:val="bottom"/>
          </w:tcPr>
          <w:p>
            <w:pPr>
              <w:spacing w:after="0"/>
              <w:rPr>
                <w:sz w:val="14"/>
                <w:szCs w:val="14"/>
                <w:color w:val="auto"/>
              </w:rPr>
            </w:pPr>
          </w:p>
        </w:tc>
      </w:tr>
      <w:tr>
        <w:trPr>
          <w:trHeight w:val="162"/>
        </w:trPr>
        <w:tc>
          <w:tcPr>
            <w:tcW w:w="5020" w:type="dxa"/>
            <w:vAlign w:val="bottom"/>
          </w:tcPr>
          <w:p>
            <w:pPr>
              <w:spacing w:after="0"/>
              <w:rPr>
                <w:sz w:val="20"/>
                <w:szCs w:val="20"/>
                <w:color w:val="auto"/>
              </w:rPr>
            </w:pPr>
            <w:r>
              <w:rPr>
                <w:rFonts w:ascii="Arial" w:cs="Arial" w:eastAsia="Arial" w:hAnsi="Arial"/>
                <w:sz w:val="14"/>
                <w:szCs w:val="14"/>
                <w:color w:val="auto"/>
              </w:rPr>
              <w:t>and corporate governance as well as a familiarity with the perspectives of</w:t>
            </w:r>
          </w:p>
        </w:tc>
        <w:tc>
          <w:tcPr>
            <w:tcW w:w="3620" w:type="dxa"/>
            <w:vAlign w:val="bottom"/>
          </w:tcPr>
          <w:p>
            <w:pPr>
              <w:spacing w:after="0"/>
              <w:rPr>
                <w:sz w:val="14"/>
                <w:szCs w:val="14"/>
                <w:color w:val="auto"/>
              </w:rPr>
            </w:pPr>
          </w:p>
        </w:tc>
      </w:tr>
      <w:tr>
        <w:trPr>
          <w:trHeight w:val="190"/>
        </w:trPr>
        <w:tc>
          <w:tcPr>
            <w:tcW w:w="5020" w:type="dxa"/>
            <w:vAlign w:val="bottom"/>
          </w:tcPr>
          <w:p>
            <w:pPr>
              <w:spacing w:after="0"/>
              <w:rPr>
                <w:sz w:val="20"/>
                <w:szCs w:val="20"/>
                <w:color w:val="auto"/>
              </w:rPr>
            </w:pPr>
            <w:r>
              <w:rPr>
                <w:rFonts w:ascii="Arial" w:cs="Arial" w:eastAsia="Arial" w:hAnsi="Arial"/>
                <w:sz w:val="14"/>
                <w:szCs w:val="14"/>
                <w:color w:val="auto"/>
              </w:rPr>
              <w:t>customers in the Northern Arizona service territory of APS.</w:t>
            </w:r>
          </w:p>
        </w:tc>
        <w:tc>
          <w:tcPr>
            <w:tcW w:w="3620" w:type="dxa"/>
            <w:vAlign w:val="bottom"/>
          </w:tcPr>
          <w:p>
            <w:pPr>
              <w:spacing w:after="0"/>
              <w:rPr>
                <w:sz w:val="16"/>
                <w:szCs w:val="16"/>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656590</wp:posOffset>
            </wp:positionV>
            <wp:extent cx="5486400" cy="1714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6780" w:type="dxa"/>
        <w:tblCellMar>
          <w:top w:w="0" w:type="dxa"/>
          <w:left w:w="0" w:type="dxa"/>
          <w:bottom w:w="0" w:type="dxa"/>
          <w:right w:w="0" w:type="dxa"/>
        </w:tblCellMar>
      </w:tblPr>
      <w:tr>
        <w:trPr>
          <w:trHeight w:val="196"/>
        </w:trPr>
        <w:tc>
          <w:tcPr>
            <w:tcW w:w="1560" w:type="dxa"/>
            <w:vAlign w:val="bottom"/>
          </w:tcPr>
          <w:p>
            <w:pPr>
              <w:spacing w:after="0"/>
              <w:rPr>
                <w:sz w:val="20"/>
                <w:szCs w:val="20"/>
                <w:color w:val="auto"/>
              </w:rPr>
            </w:pPr>
            <w:r>
              <w:rPr>
                <w:rFonts w:ascii="Arial" w:cs="Arial" w:eastAsia="Arial" w:hAnsi="Arial"/>
                <w:sz w:val="14"/>
                <w:szCs w:val="14"/>
                <w:color w:val="355675"/>
              </w:rPr>
              <w:t>2022 Proxy Statement</w:t>
            </w:r>
          </w:p>
        </w:tc>
        <w:tc>
          <w:tcPr>
            <w:tcW w:w="300" w:type="dxa"/>
            <w:vAlign w:val="bottom"/>
          </w:tcPr>
          <w:p>
            <w:pPr>
              <w:jc w:val="right"/>
              <w:spacing w:after="0"/>
              <w:rPr>
                <w:sz w:val="20"/>
                <w:szCs w:val="20"/>
                <w:color w:val="auto"/>
              </w:rPr>
            </w:pPr>
            <w:r>
              <w:rPr>
                <w:rFonts w:ascii="Arial" w:cs="Arial" w:eastAsia="Arial" w:hAnsi="Arial"/>
                <w:sz w:val="14"/>
                <w:szCs w:val="14"/>
                <w:b w:val="1"/>
                <w:bCs w:val="1"/>
                <w:color w:val="355675"/>
              </w:rPr>
              <w:t>49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-1647190</wp:posOffset>
            </wp:positionH>
            <wp:positionV relativeFrom="paragraph">
              <wp:posOffset>50800</wp:posOffset>
            </wp:positionV>
            <wp:extent cx="7153275" cy="2095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2">
            <w:col w:w="2200" w:space="400"/>
            <w:col w:w="8640"/>
          </w:cols>
          <w:pgMar w:left="320" w:top="125" w:right="339" w:bottom="1440" w:gutter="0" w:footer="0" w:header="0"/>
        </w:sectPr>
      </w:pPr>
    </w:p>
    <w:bookmarkStart w:id="58" w:name="page59"/>
    <w:bookmarkEnd w:id="5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120650</wp:posOffset>
            </wp:positionV>
            <wp:extent cx="7132320" cy="545211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132320" cy="5452110"/>
                    </a:xfrm>
                    <a:prstGeom prst="rect">
                      <a:avLst/>
                    </a:prstGeom>
                    <a:noFill/>
                  </pic:spPr>
                </pic:pic>
              </a:graphicData>
            </a:graphic>
          </wp:anchor>
        </w:drawing>
      </w:r>
    </w:p>
    <w:p>
      <w:pPr>
        <w:sectPr>
          <w:pgSz w:w="11900" w:h="16838" w:orient="portrait"/>
          <w:cols w:equalWidth="0" w:num="1">
            <w:col w:w="11220"/>
          </w:cols>
          <w:pgMar w:left="320" w:top="125"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Paula J. Sims</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60</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2016</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48"/>
        </w:numPr>
        <w:rPr>
          <w:rFonts w:ascii="Arial" w:cs="Arial" w:eastAsia="Arial" w:hAnsi="Arial"/>
          <w:sz w:val="14"/>
          <w:szCs w:val="14"/>
          <w:b w:val="1"/>
          <w:bCs w:val="1"/>
          <w:color w:val="355675"/>
        </w:rPr>
      </w:pPr>
      <w:r>
        <w:rPr>
          <w:rFonts w:ascii="Arial" w:cs="Arial" w:eastAsia="Arial" w:hAnsi="Arial"/>
          <w:sz w:val="14"/>
          <w:szCs w:val="14"/>
          <w:color w:val="auto"/>
        </w:rPr>
        <w:t>Audit</w:t>
      </w:r>
    </w:p>
    <w:p>
      <w:pPr>
        <w:spacing w:after="0" w:line="1" w:lineRule="exact"/>
        <w:rPr>
          <w:rFonts w:ascii="Arial" w:cs="Arial" w:eastAsia="Arial" w:hAnsi="Arial"/>
          <w:sz w:val="14"/>
          <w:szCs w:val="14"/>
          <w:b w:val="1"/>
          <w:bCs w:val="1"/>
          <w:color w:val="355675"/>
        </w:rPr>
      </w:pPr>
    </w:p>
    <w:p>
      <w:pPr>
        <w:ind w:left="360" w:hanging="172"/>
        <w:spacing w:after="0" w:line="241" w:lineRule="auto"/>
        <w:tabs>
          <w:tab w:leader="none" w:pos="347" w:val="left"/>
        </w:tabs>
        <w:numPr>
          <w:ilvl w:val="0"/>
          <w:numId w:val="48"/>
        </w:numPr>
        <w:rPr>
          <w:rFonts w:ascii="Arial" w:cs="Arial" w:eastAsia="Arial" w:hAnsi="Arial"/>
          <w:sz w:val="14"/>
          <w:szCs w:val="14"/>
          <w:b w:val="1"/>
          <w:bCs w:val="1"/>
          <w:color w:val="355675"/>
        </w:rPr>
      </w:pPr>
      <w:r>
        <w:rPr>
          <w:rFonts w:ascii="Arial" w:cs="Arial" w:eastAsia="Arial" w:hAnsi="Arial"/>
          <w:sz w:val="14"/>
          <w:szCs w:val="14"/>
          <w:color w:val="auto"/>
        </w:rPr>
        <w:t>Corporate Governance and Public Responsibility</w:t>
      </w:r>
    </w:p>
    <w:p>
      <w:pPr>
        <w:ind w:left="360" w:right="300" w:hanging="172"/>
        <w:spacing w:after="0" w:line="264" w:lineRule="auto"/>
        <w:tabs>
          <w:tab w:leader="none" w:pos="347" w:val="left"/>
        </w:tabs>
        <w:numPr>
          <w:ilvl w:val="0"/>
          <w:numId w:val="48"/>
        </w:numPr>
        <w:rPr>
          <w:rFonts w:ascii="Arial" w:cs="Arial" w:eastAsia="Arial" w:hAnsi="Arial"/>
          <w:sz w:val="14"/>
          <w:szCs w:val="14"/>
          <w:b w:val="1"/>
          <w:bCs w:val="1"/>
          <w:color w:val="355675"/>
        </w:rPr>
      </w:pPr>
      <w:r>
        <w:rPr>
          <w:rFonts w:ascii="Arial" w:cs="Arial" w:eastAsia="Arial" w:hAnsi="Arial"/>
          <w:sz w:val="14"/>
          <w:szCs w:val="14"/>
          <w:color w:val="auto"/>
        </w:rPr>
        <w:t>Nuclear and Operating (Chair)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William H. Spence</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65</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2021</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49"/>
        </w:numPr>
        <w:rPr>
          <w:rFonts w:ascii="Arial" w:cs="Arial" w:eastAsia="Arial" w:hAnsi="Arial"/>
          <w:sz w:val="14"/>
          <w:szCs w:val="14"/>
          <w:b w:val="1"/>
          <w:bCs w:val="1"/>
          <w:color w:val="355675"/>
        </w:rPr>
      </w:pPr>
      <w:r>
        <w:rPr>
          <w:rFonts w:ascii="Arial" w:cs="Arial" w:eastAsia="Arial" w:hAnsi="Arial"/>
          <w:sz w:val="14"/>
          <w:szCs w:val="14"/>
          <w:color w:val="auto"/>
        </w:rPr>
        <w:t>Finance</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9"/>
        </w:numPr>
        <w:rPr>
          <w:rFonts w:ascii="Arial" w:cs="Arial" w:eastAsia="Arial" w:hAnsi="Arial"/>
          <w:sz w:val="14"/>
          <w:szCs w:val="14"/>
          <w:b w:val="1"/>
          <w:bCs w:val="1"/>
          <w:color w:val="355675"/>
        </w:rPr>
      </w:pPr>
      <w:r>
        <w:rPr>
          <w:rFonts w:ascii="Arial" w:cs="Arial" w:eastAsia="Arial" w:hAnsi="Arial"/>
          <w:sz w:val="14"/>
          <w:szCs w:val="14"/>
          <w:color w:val="auto"/>
        </w:rPr>
        <w:t>Human Resources</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49"/>
        </w:numPr>
        <w:rPr>
          <w:rFonts w:ascii="Arial" w:cs="Arial" w:eastAsia="Arial" w:hAnsi="Arial"/>
          <w:sz w:val="14"/>
          <w:szCs w:val="14"/>
          <w:b w:val="1"/>
          <w:bCs w:val="1"/>
          <w:color w:val="355675"/>
        </w:rPr>
      </w:pPr>
      <w:r>
        <w:rPr>
          <w:rFonts w:ascii="Arial" w:cs="Arial" w:eastAsia="Arial" w:hAnsi="Arial"/>
          <w:sz w:val="14"/>
          <w:szCs w:val="14"/>
          <w:color w:val="auto"/>
        </w:rPr>
        <w:t>Nuclear and Operating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237490</wp:posOffset>
            </wp:positionV>
            <wp:extent cx="1191260" cy="23114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69"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BACKGROUND</w:t>
      </w:r>
      <w:r>
        <w:rPr>
          <w:sz w:val="20"/>
          <w:szCs w:val="20"/>
          <w:color w:val="auto"/>
        </w:rPr>
        <w:tab/>
      </w:r>
      <w:r>
        <w:rPr>
          <w:rFonts w:ascii="Arial" w:cs="Arial" w:eastAsia="Arial" w:hAnsi="Arial"/>
          <w:sz w:val="14"/>
          <w:szCs w:val="14"/>
          <w:b w:val="1"/>
          <w:bCs w:val="1"/>
          <w:color w:val="008C9F"/>
        </w:rPr>
        <w:t>NOMINEE SKILLS AND EXPERIENCE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May 2012: Professor of Practice and Executive Coach, University of</w:t>
      </w:r>
      <w:r>
        <w:rPr>
          <w:sz w:val="20"/>
          <w:szCs w:val="20"/>
          <w:color w:val="auto"/>
        </w:rPr>
        <w:tab/>
      </w:r>
      <w:r>
        <w:rPr>
          <w:rFonts w:ascii="Arial" w:cs="Arial" w:eastAsia="Arial" w:hAnsi="Arial"/>
          <w:sz w:val="14"/>
          <w:szCs w:val="14"/>
          <w:color w:val="auto"/>
        </w:rPr>
        <w:t>Ms. Sims brings hands-on experience in electric utility</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North Carolina Kenan-Flagler Business School</w:t>
      </w:r>
      <w:r>
        <w:rPr>
          <w:sz w:val="20"/>
          <w:szCs w:val="20"/>
          <w:color w:val="auto"/>
        </w:rPr>
        <w:tab/>
      </w:r>
      <w:r>
        <w:rPr>
          <w:rFonts w:ascii="Arial" w:cs="Arial" w:eastAsia="Arial" w:hAnsi="Arial"/>
          <w:sz w:val="14"/>
          <w:szCs w:val="14"/>
          <w:color w:val="auto"/>
        </w:rPr>
        <w:t>operations, including generation, renewable energy,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July 2010 to June 2012: Senior Vice President of Corporate</w:t>
      </w:r>
      <w:r>
        <w:rPr>
          <w:sz w:val="20"/>
          <w:szCs w:val="20"/>
          <w:color w:val="auto"/>
        </w:rPr>
        <w:tab/>
      </w:r>
      <w:r>
        <w:rPr>
          <w:rFonts w:ascii="Arial" w:cs="Arial" w:eastAsia="Arial" w:hAnsi="Arial"/>
          <w:sz w:val="14"/>
          <w:szCs w:val="14"/>
          <w:color w:val="auto"/>
        </w:rPr>
        <w:t>energy efficiency, fuels and energy trading, and</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Development and Improvement, Progress Energy Inc.</w:t>
      </w:r>
      <w:r>
        <w:rPr>
          <w:sz w:val="20"/>
          <w:szCs w:val="20"/>
          <w:color w:val="auto"/>
        </w:rPr>
        <w:tab/>
      </w:r>
      <w:r>
        <w:rPr>
          <w:rFonts w:ascii="Arial" w:cs="Arial" w:eastAsia="Arial" w:hAnsi="Arial"/>
          <w:sz w:val="14"/>
          <w:szCs w:val="14"/>
          <w:color w:val="auto"/>
        </w:rPr>
        <w:t>customer service, as well as an understanding of the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July 2007 to July 2010: Senior Vice President Power Operations,</w:t>
      </w:r>
      <w:r>
        <w:rPr>
          <w:sz w:val="20"/>
          <w:szCs w:val="20"/>
          <w:color w:val="auto"/>
        </w:rPr>
        <w:tab/>
      </w:r>
      <w:r>
        <w:rPr>
          <w:rFonts w:ascii="Arial" w:cs="Arial" w:eastAsia="Arial" w:hAnsi="Arial"/>
          <w:sz w:val="14"/>
          <w:szCs w:val="14"/>
          <w:color w:val="auto"/>
        </w:rPr>
        <w:t>role of management and executive oversight, and</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Progress Energy Inc.</w:t>
      </w:r>
      <w:r>
        <w:rPr>
          <w:sz w:val="20"/>
          <w:szCs w:val="20"/>
          <w:color w:val="auto"/>
        </w:rPr>
        <w:tab/>
      </w:r>
      <w:r>
        <w:rPr>
          <w:rFonts w:ascii="Arial" w:cs="Arial" w:eastAsia="Arial" w:hAnsi="Arial"/>
          <w:sz w:val="14"/>
          <w:szCs w:val="14"/>
          <w:color w:val="auto"/>
        </w:rPr>
        <w:t>brings the following key attributes to the Company:</w:t>
      </w:r>
    </w:p>
    <w:p>
      <w:pPr>
        <w:spacing w:after="0" w:line="149"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QUALIFICATIONS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 and Accounting</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Ms. Sims worked directly in the utility industry for more than 13 years. She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Complex Operations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brings extensive leadership experience to the Company in business and</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Corporate Governance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finance strategy, electric utility operations, nuclear strategy, and operating in</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Sustainability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 regulated environment. In her prior roles at Progress Energy, Ms. Sims was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responsible for complex business operations and strategy, including new</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Nuclear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generation, supply chain and information technology, as well as overall</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Utility Industry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process and efficiency improvements. Her experience gives her extensive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Government/Public Policy/Regulatory</w:t>
      </w:r>
    </w:p>
    <w:p>
      <w:pPr>
        <w:spacing w:after="0" w:line="1" w:lineRule="exact"/>
        <w:rPr>
          <w:sz w:val="20"/>
          <w:szCs w:val="20"/>
          <w:color w:val="auto"/>
        </w:rPr>
      </w:pPr>
    </w:p>
    <w:p>
      <w:pPr>
        <w:ind w:right="900"/>
        <w:spacing w:after="0" w:line="264" w:lineRule="auto"/>
        <w:rPr>
          <w:sz w:val="20"/>
          <w:szCs w:val="20"/>
          <w:color w:val="auto"/>
        </w:rPr>
      </w:pPr>
      <w:r>
        <w:rPr>
          <w:rFonts w:ascii="Arial" w:cs="Arial" w:eastAsia="Arial" w:hAnsi="Arial"/>
          <w:sz w:val="14"/>
          <w:szCs w:val="14"/>
          <w:color w:val="auto"/>
        </w:rPr>
        <w:t xml:space="preserve">insight into the operational, financial, regulatory, and risk-related matters that </w:t>
      </w:r>
      <w:r>
        <w:rPr>
          <w:rFonts w:ascii="Arial" w:cs="Arial" w:eastAsia="Arial" w:hAnsi="Arial"/>
          <w:sz w:val="14"/>
          <w:szCs w:val="14"/>
          <w:b w:val="1"/>
          <w:bCs w:val="1"/>
          <w:color w:val="355675"/>
        </w:rPr>
        <w:t>●</w:t>
      </w:r>
      <w:r>
        <w:rPr>
          <w:rFonts w:ascii="Arial" w:cs="Arial" w:eastAsia="Arial" w:hAnsi="Arial"/>
          <w:sz w:val="14"/>
          <w:szCs w:val="14"/>
          <w:color w:val="auto"/>
        </w:rPr>
        <w:t xml:space="preserve"> Risk Oversight and Risk Management are of ever-increasing significance to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869315</wp:posOffset>
            </wp:positionV>
            <wp:extent cx="5486400" cy="171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BACKGROUND</w:t>
      </w:r>
      <w:r>
        <w:rPr>
          <w:sz w:val="20"/>
          <w:szCs w:val="20"/>
          <w:color w:val="auto"/>
        </w:rPr>
        <w:tab/>
      </w:r>
      <w:r>
        <w:rPr>
          <w:rFonts w:ascii="Arial" w:cs="Arial" w:eastAsia="Arial" w:hAnsi="Arial"/>
          <w:sz w:val="14"/>
          <w:szCs w:val="14"/>
          <w:b w:val="1"/>
          <w:bCs w:val="1"/>
          <w:color w:val="008C9F"/>
        </w:rPr>
        <w:t>NOMINEE SKILLS AND EXPERIENCE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March 2021: Former Chairman of the Board of PPL Corporation</w:t>
      </w:r>
      <w:r>
        <w:rPr>
          <w:sz w:val="20"/>
          <w:szCs w:val="20"/>
          <w:color w:val="auto"/>
        </w:rPr>
        <w:tab/>
      </w:r>
      <w:r>
        <w:rPr>
          <w:rFonts w:ascii="Arial" w:cs="Arial" w:eastAsia="Arial" w:hAnsi="Arial"/>
          <w:sz w:val="14"/>
          <w:szCs w:val="14"/>
          <w:color w:val="auto"/>
        </w:rPr>
        <w:t>As a former CEO of an electric utility, Mr. Spence bring</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(investor-owned electric utility)</w:t>
      </w:r>
      <w:r>
        <w:rPr>
          <w:sz w:val="20"/>
          <w:szCs w:val="20"/>
          <w:color w:val="auto"/>
        </w:rPr>
        <w:tab/>
      </w:r>
      <w:r>
        <w:rPr>
          <w:rFonts w:ascii="Arial" w:cs="Arial" w:eastAsia="Arial" w:hAnsi="Arial"/>
          <w:sz w:val="14"/>
          <w:szCs w:val="14"/>
          <w:color w:val="auto"/>
        </w:rPr>
        <w:t>the following skills to the Board:</w:t>
      </w:r>
    </w:p>
    <w:p>
      <w:pPr>
        <w:spacing w:after="0" w:line="1"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June 2020 to March 2021: Chairman of the Board, PPL Corporation</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March 2012 to June 2020: Chairman of the Board, President and</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Chief Executive Officer, PPL Corporation</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Complex Operations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Spence is also a director of the Williams Companies, Inc.</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Customer Perspectives</w:t>
      </w:r>
    </w:p>
    <w:p>
      <w:pPr>
        <w:spacing w:after="0" w:line="1" w:lineRule="exact"/>
        <w:rPr>
          <w:sz w:val="20"/>
          <w:szCs w:val="20"/>
          <w:color w:val="auto"/>
        </w:rPr>
      </w:pPr>
    </w:p>
    <w:p>
      <w:pPr>
        <w:ind w:left="514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Sustainability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QUALIFICATIONS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As the former Chief Executive of an investor-owned electric utility company,</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Public Board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Mr. Spence brings a broad range of operating experience in the energy</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Nuclear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industry. He has extensive experience in strategy development and risk</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Government/Public Policy/Regulatory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management and has a comprehensive understanding of the issues facing</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p>
      <w:pPr>
        <w:spacing w:after="0" w:line="1" w:lineRule="exact"/>
        <w:rPr>
          <w:sz w:val="20"/>
          <w:szCs w:val="20"/>
          <w:color w:val="auto"/>
        </w:rPr>
      </w:pPr>
    </w:p>
    <w:p>
      <w:pPr>
        <w:ind w:right="3760"/>
        <w:spacing w:after="0" w:line="249" w:lineRule="auto"/>
        <w:rPr>
          <w:sz w:val="20"/>
          <w:szCs w:val="20"/>
          <w:color w:val="auto"/>
        </w:rPr>
      </w:pPr>
      <w:r>
        <w:rPr>
          <w:rFonts w:ascii="Arial" w:cs="Arial" w:eastAsia="Arial" w:hAnsi="Arial"/>
          <w:sz w:val="14"/>
          <w:szCs w:val="14"/>
          <w:color w:val="auto"/>
        </w:rPr>
        <w:t>an electric utility, including regulatory strategy and customer service. He also brings significant public board experience both from his role as Chairman of PPL Corporation and from his service as a director of the Williams Companies,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798830</wp:posOffset>
            </wp:positionV>
            <wp:extent cx="5486400" cy="1714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1312" w:lineRule="exact"/>
        <w:rPr>
          <w:sz w:val="20"/>
          <w:szCs w:val="20"/>
          <w:color w:val="auto"/>
        </w:rPr>
      </w:pPr>
    </w:p>
    <w:p>
      <w:pPr>
        <w:sectPr>
          <w:pgSz w:w="11900" w:h="16838" w:orient="portrait"/>
          <w:cols w:equalWidth="0" w:num="2">
            <w:col w:w="2100" w:space="500"/>
            <w:col w:w="8620"/>
          </w:cols>
          <w:pgMar w:left="320" w:top="125" w:right="359" w:bottom="1440" w:gutter="0" w:footer="0" w:header="0"/>
          <w:type w:val="continuous"/>
        </w:sectPr>
      </w:pPr>
    </w:p>
    <w:p>
      <w:pPr>
        <w:spacing w:after="0" w:line="368"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20"/>
          </w:cols>
          <w:pgMar w:left="320" w:top="125" w:right="359" w:bottom="1440" w:gutter="0" w:footer="0" w:header="0"/>
          <w:type w:val="continuous"/>
        </w:sectPr>
      </w:pPr>
    </w:p>
    <w:bookmarkStart w:id="59" w:name="page60"/>
    <w:bookmarkEnd w:id="5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398145</wp:posOffset>
            </wp:positionV>
            <wp:extent cx="1517015" cy="543496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1517015" cy="5434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James E.</w:t>
      </w:r>
    </w:p>
    <w:p>
      <w:pPr>
        <w:spacing w:after="0" w:line="5"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Trevathan, Jr.</w:t>
      </w:r>
    </w:p>
    <w:p>
      <w:pPr>
        <w:ind w:left="180"/>
        <w:spacing w:after="0"/>
        <w:rPr>
          <w:sz w:val="20"/>
          <w:szCs w:val="20"/>
          <w:color w:val="auto"/>
        </w:rPr>
      </w:pPr>
      <w:r>
        <w:rPr>
          <w:rFonts w:ascii="Arial" w:cs="Arial" w:eastAsia="Arial" w:hAnsi="Arial"/>
          <w:sz w:val="15"/>
          <w:szCs w:val="15"/>
          <w:b w:val="1"/>
          <w:bCs w:val="1"/>
          <w:color w:val="355675"/>
        </w:rPr>
        <w:t>Independent Director</w:t>
      </w:r>
    </w:p>
    <w:p>
      <w:pPr>
        <w:spacing w:after="0" w:line="146"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68</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2018</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tabs>
          <w:tab w:leader="none" w:pos="360" w:val="left"/>
        </w:tabs>
        <w:numPr>
          <w:ilvl w:val="0"/>
          <w:numId w:val="50"/>
        </w:numPr>
        <w:rPr>
          <w:rFonts w:ascii="Arial" w:cs="Arial" w:eastAsia="Arial" w:hAnsi="Arial"/>
          <w:sz w:val="14"/>
          <w:szCs w:val="14"/>
          <w:b w:val="1"/>
          <w:bCs w:val="1"/>
          <w:color w:val="355675"/>
        </w:rPr>
      </w:pPr>
      <w:r>
        <w:rPr>
          <w:rFonts w:ascii="Arial" w:cs="Arial" w:eastAsia="Arial" w:hAnsi="Arial"/>
          <w:sz w:val="14"/>
          <w:szCs w:val="14"/>
          <w:color w:val="auto"/>
        </w:rPr>
        <w:t>Finance</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50"/>
        </w:numPr>
        <w:rPr>
          <w:rFonts w:ascii="Arial" w:cs="Arial" w:eastAsia="Arial" w:hAnsi="Arial"/>
          <w:sz w:val="14"/>
          <w:szCs w:val="14"/>
          <w:b w:val="1"/>
          <w:bCs w:val="1"/>
          <w:color w:val="355675"/>
        </w:rPr>
      </w:pPr>
      <w:r>
        <w:rPr>
          <w:rFonts w:ascii="Arial" w:cs="Arial" w:eastAsia="Arial" w:hAnsi="Arial"/>
          <w:sz w:val="14"/>
          <w:szCs w:val="14"/>
          <w:color w:val="auto"/>
        </w:rPr>
        <w:t>Human Resources</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50"/>
        </w:numPr>
        <w:rPr>
          <w:rFonts w:ascii="Arial" w:cs="Arial" w:eastAsia="Arial" w:hAnsi="Arial"/>
          <w:sz w:val="14"/>
          <w:szCs w:val="14"/>
          <w:b w:val="1"/>
          <w:bCs w:val="1"/>
          <w:color w:val="355675"/>
        </w:rPr>
      </w:pPr>
      <w:r>
        <w:rPr>
          <w:rFonts w:ascii="Arial" w:cs="Arial" w:eastAsia="Arial" w:hAnsi="Arial"/>
          <w:sz w:val="14"/>
          <w:szCs w:val="14"/>
          <w:color w:val="auto"/>
        </w:rPr>
        <w:t>Nuclear and Operating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180"/>
        <w:spacing w:after="0"/>
        <w:rPr>
          <w:sz w:val="20"/>
          <w:szCs w:val="20"/>
          <w:color w:val="auto"/>
        </w:rPr>
      </w:pPr>
      <w:r>
        <w:rPr>
          <w:rFonts w:ascii="Arial" w:cs="Arial" w:eastAsia="Arial" w:hAnsi="Arial"/>
          <w:sz w:val="22"/>
          <w:szCs w:val="22"/>
          <w:b w:val="1"/>
          <w:bCs w:val="1"/>
          <w:color w:val="008C9F"/>
        </w:rPr>
        <w:t>David P. Wagener</w:t>
      </w:r>
    </w:p>
    <w:p>
      <w:pPr>
        <w:spacing w:after="0" w:line="23"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Independent Director</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Age: </w:t>
      </w:r>
      <w:r>
        <w:rPr>
          <w:rFonts w:ascii="Arial" w:cs="Arial" w:eastAsia="Arial" w:hAnsi="Arial"/>
          <w:sz w:val="14"/>
          <w:szCs w:val="14"/>
          <w:b w:val="1"/>
          <w:bCs w:val="1"/>
          <w:color w:val="355675"/>
        </w:rPr>
        <w:t>67</w:t>
      </w:r>
    </w:p>
    <w:p>
      <w:pPr>
        <w:spacing w:after="0" w:line="15" w:lineRule="exact"/>
        <w:rPr>
          <w:sz w:val="20"/>
          <w:szCs w:val="20"/>
          <w:color w:val="auto"/>
        </w:rPr>
      </w:pPr>
    </w:p>
    <w:p>
      <w:pPr>
        <w:ind w:left="180"/>
        <w:spacing w:after="0"/>
        <w:rPr>
          <w:sz w:val="20"/>
          <w:szCs w:val="20"/>
          <w:color w:val="auto"/>
        </w:rPr>
      </w:pPr>
      <w:r>
        <w:rPr>
          <w:rFonts w:ascii="Arial" w:cs="Arial" w:eastAsia="Arial" w:hAnsi="Arial"/>
          <w:sz w:val="14"/>
          <w:szCs w:val="14"/>
          <w:color w:val="auto"/>
        </w:rPr>
        <w:t xml:space="preserve">Director since: </w:t>
      </w:r>
      <w:r>
        <w:rPr>
          <w:rFonts w:ascii="Arial" w:cs="Arial" w:eastAsia="Arial" w:hAnsi="Arial"/>
          <w:sz w:val="14"/>
          <w:szCs w:val="14"/>
          <w:b w:val="1"/>
          <w:bCs w:val="1"/>
          <w:color w:val="355675"/>
        </w:rPr>
        <w:t>2014</w:t>
      </w:r>
    </w:p>
    <w:p>
      <w:pPr>
        <w:spacing w:after="0" w:line="149" w:lineRule="exact"/>
        <w:rPr>
          <w:sz w:val="20"/>
          <w:szCs w:val="20"/>
          <w:color w:val="auto"/>
        </w:rPr>
      </w:pPr>
    </w:p>
    <w:p>
      <w:pPr>
        <w:ind w:left="180"/>
        <w:spacing w:after="0"/>
        <w:rPr>
          <w:sz w:val="20"/>
          <w:szCs w:val="20"/>
          <w:color w:val="auto"/>
        </w:rPr>
      </w:pPr>
      <w:r>
        <w:rPr>
          <w:rFonts w:ascii="Arial" w:cs="Arial" w:eastAsia="Arial" w:hAnsi="Arial"/>
          <w:sz w:val="14"/>
          <w:szCs w:val="14"/>
          <w:b w:val="1"/>
          <w:bCs w:val="1"/>
          <w:color w:val="355675"/>
        </w:rPr>
        <w:t>Committees</w:t>
      </w:r>
    </w:p>
    <w:p>
      <w:pPr>
        <w:spacing w:after="0" w:line="15" w:lineRule="exact"/>
        <w:rPr>
          <w:sz w:val="20"/>
          <w:szCs w:val="20"/>
          <w:color w:val="auto"/>
        </w:rPr>
      </w:pPr>
    </w:p>
    <w:p>
      <w:pPr>
        <w:ind w:left="360" w:hanging="172"/>
        <w:spacing w:after="0" w:line="241" w:lineRule="auto"/>
        <w:tabs>
          <w:tab w:leader="none" w:pos="347" w:val="left"/>
        </w:tabs>
        <w:numPr>
          <w:ilvl w:val="0"/>
          <w:numId w:val="51"/>
        </w:numPr>
        <w:rPr>
          <w:rFonts w:ascii="Arial" w:cs="Arial" w:eastAsia="Arial" w:hAnsi="Arial"/>
          <w:sz w:val="14"/>
          <w:szCs w:val="14"/>
          <w:b w:val="1"/>
          <w:bCs w:val="1"/>
          <w:color w:val="355675"/>
        </w:rPr>
      </w:pPr>
      <w:r>
        <w:rPr>
          <w:rFonts w:ascii="Arial" w:cs="Arial" w:eastAsia="Arial" w:hAnsi="Arial"/>
          <w:sz w:val="14"/>
          <w:szCs w:val="14"/>
          <w:color w:val="auto"/>
        </w:rPr>
        <w:t>Corporate Governance and Public Responsibility</w:t>
      </w:r>
    </w:p>
    <w:p>
      <w:pPr>
        <w:ind w:left="360" w:hanging="172"/>
        <w:spacing w:after="0"/>
        <w:tabs>
          <w:tab w:leader="none" w:pos="360" w:val="left"/>
        </w:tabs>
        <w:numPr>
          <w:ilvl w:val="0"/>
          <w:numId w:val="51"/>
        </w:numPr>
        <w:rPr>
          <w:rFonts w:ascii="Arial" w:cs="Arial" w:eastAsia="Arial" w:hAnsi="Arial"/>
          <w:sz w:val="14"/>
          <w:szCs w:val="14"/>
          <w:b w:val="1"/>
          <w:bCs w:val="1"/>
          <w:color w:val="355675"/>
        </w:rPr>
      </w:pPr>
      <w:r>
        <w:rPr>
          <w:rFonts w:ascii="Arial" w:cs="Arial" w:eastAsia="Arial" w:hAnsi="Arial"/>
          <w:sz w:val="14"/>
          <w:szCs w:val="14"/>
          <w:color w:val="auto"/>
        </w:rPr>
        <w:t>Finance (Chair)</w:t>
      </w:r>
    </w:p>
    <w:p>
      <w:pPr>
        <w:spacing w:after="0" w:line="1" w:lineRule="exact"/>
        <w:rPr>
          <w:rFonts w:ascii="Arial" w:cs="Arial" w:eastAsia="Arial" w:hAnsi="Arial"/>
          <w:sz w:val="14"/>
          <w:szCs w:val="14"/>
          <w:b w:val="1"/>
          <w:bCs w:val="1"/>
          <w:color w:val="355675"/>
        </w:rPr>
      </w:pPr>
    </w:p>
    <w:p>
      <w:pPr>
        <w:ind w:left="360" w:hanging="172"/>
        <w:spacing w:after="0"/>
        <w:tabs>
          <w:tab w:leader="none" w:pos="360" w:val="left"/>
        </w:tabs>
        <w:numPr>
          <w:ilvl w:val="0"/>
          <w:numId w:val="51"/>
        </w:numPr>
        <w:rPr>
          <w:rFonts w:ascii="Arial" w:cs="Arial" w:eastAsia="Arial" w:hAnsi="Arial"/>
          <w:sz w:val="14"/>
          <w:szCs w:val="14"/>
          <w:b w:val="1"/>
          <w:bCs w:val="1"/>
          <w:color w:val="355675"/>
        </w:rPr>
      </w:pPr>
      <w:r>
        <w:rPr>
          <w:rFonts w:ascii="Arial" w:cs="Arial" w:eastAsia="Arial" w:hAnsi="Arial"/>
          <w:sz w:val="14"/>
          <w:szCs w:val="14"/>
          <w:color w:val="auto"/>
        </w:rPr>
        <w:t>Nuclear and Operating</w:t>
      </w:r>
    </w:p>
    <w:p>
      <w:pPr>
        <w:spacing w:after="0" w:line="20" w:lineRule="exact"/>
        <w:rPr>
          <w:sz w:val="20"/>
          <w:szCs w:val="20"/>
          <w:color w:val="auto"/>
        </w:rPr>
      </w:pPr>
      <w:r>
        <w:rPr>
          <w:sz w:val="20"/>
          <w:szCs w:val="20"/>
          <w:color w:val="auto"/>
        </w:rPr>
        <w:br w:type="column"/>
      </w:r>
    </w:p>
    <w:p>
      <w:pPr>
        <w:spacing w:after="0" w:line="38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120650</wp:posOffset>
            </wp:positionV>
            <wp:extent cx="5486400" cy="1714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69"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BACKGROUND</w:t>
      </w:r>
      <w:r>
        <w:rPr>
          <w:sz w:val="20"/>
          <w:szCs w:val="20"/>
          <w:color w:val="auto"/>
        </w:rPr>
        <w:tab/>
      </w:r>
      <w:r>
        <w:rPr>
          <w:rFonts w:ascii="Arial" w:cs="Arial" w:eastAsia="Arial" w:hAnsi="Arial"/>
          <w:sz w:val="14"/>
          <w:szCs w:val="14"/>
          <w:b w:val="1"/>
          <w:bCs w:val="1"/>
          <w:color w:val="008C9F"/>
        </w:rPr>
        <w:t>NOMINEE SKILLS AND EXPERIENCE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July 2012 to December 2018: Executive Vice President and Chief</w:t>
      </w:r>
      <w:r>
        <w:rPr>
          <w:sz w:val="20"/>
          <w:szCs w:val="20"/>
          <w:color w:val="auto"/>
        </w:rPr>
        <w:tab/>
      </w:r>
      <w:r>
        <w:rPr>
          <w:rFonts w:ascii="Arial" w:cs="Arial" w:eastAsia="Arial" w:hAnsi="Arial"/>
          <w:sz w:val="14"/>
          <w:szCs w:val="14"/>
          <w:color w:val="auto"/>
        </w:rPr>
        <w:t>From his more than 35 years of operational and</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Operating Officer, Waste Management, Inc. (“Waste Management”) (waste</w:t>
        <w:tab/>
        <w:t>executive experience at Waste Management, Mr.</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disposal and recycling solutions)</w:t>
      </w:r>
      <w:r>
        <w:rPr>
          <w:sz w:val="20"/>
          <w:szCs w:val="20"/>
          <w:color w:val="auto"/>
        </w:rPr>
        <w:tab/>
      </w:r>
      <w:r>
        <w:rPr>
          <w:rFonts w:ascii="Arial" w:cs="Arial" w:eastAsia="Arial" w:hAnsi="Arial"/>
          <w:sz w:val="14"/>
          <w:szCs w:val="14"/>
          <w:color w:val="auto"/>
        </w:rPr>
        <w:t>Trevathan brings the following key attributes to the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June 2011 to July 2012: Executive Vice President of Growth,</w:t>
      </w:r>
      <w:r>
        <w:rPr>
          <w:sz w:val="20"/>
          <w:szCs w:val="20"/>
          <w:color w:val="auto"/>
        </w:rPr>
        <w:tab/>
      </w:r>
      <w:r>
        <w:rPr>
          <w:rFonts w:ascii="Arial" w:cs="Arial" w:eastAsia="Arial" w:hAnsi="Arial"/>
          <w:sz w:val="14"/>
          <w:szCs w:val="14"/>
          <w:color w:val="auto"/>
        </w:rPr>
        <w:t>Company:</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4"/>
          <w:szCs w:val="14"/>
          <w:color w:val="auto"/>
        </w:rPr>
        <w:t>Innovation and Field Support, Waste Management, Inc.</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From July 2007 to June 2011: Senior Vice President – Southern Group,</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 and Accounting</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Waste Management, Inc.</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p>
      <w:pPr>
        <w:spacing w:after="0" w:line="1" w:lineRule="exact"/>
        <w:rPr>
          <w:sz w:val="20"/>
          <w:szCs w:val="20"/>
          <w:color w:val="auto"/>
        </w:rPr>
      </w:pPr>
    </w:p>
    <w:p>
      <w:pPr>
        <w:ind w:left="514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Complex Operations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QUALIFICATIONS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Customer Perspectives</w:t>
      </w:r>
    </w:p>
    <w:p>
      <w:pPr>
        <w:spacing w:after="0" w:line="1" w:lineRule="exact"/>
        <w:rPr>
          <w:sz w:val="20"/>
          <w:szCs w:val="20"/>
          <w:color w:val="auto"/>
        </w:rPr>
      </w:pPr>
    </w:p>
    <w:p>
      <w:pPr>
        <w:ind w:right="1500"/>
        <w:spacing w:after="0" w:line="241" w:lineRule="auto"/>
        <w:rPr>
          <w:sz w:val="20"/>
          <w:szCs w:val="20"/>
          <w:color w:val="auto"/>
        </w:rPr>
      </w:pPr>
      <w:r>
        <w:rPr>
          <w:rFonts w:ascii="Arial" w:cs="Arial" w:eastAsia="Arial" w:hAnsi="Arial"/>
          <w:sz w:val="14"/>
          <w:szCs w:val="14"/>
          <w:color w:val="auto"/>
        </w:rPr>
        <w:t xml:space="preserve">Mr. Trevathan brings to the Board more than 35 years of complex operational </w:t>
      </w:r>
      <w:r>
        <w:rPr>
          <w:rFonts w:ascii="Arial" w:cs="Arial" w:eastAsia="Arial" w:hAnsi="Arial"/>
          <w:sz w:val="14"/>
          <w:szCs w:val="14"/>
          <w:b w:val="1"/>
          <w:bCs w:val="1"/>
          <w:color w:val="355675"/>
        </w:rPr>
        <w:t>●</w:t>
      </w:r>
      <w:r>
        <w:rPr>
          <w:rFonts w:ascii="Arial" w:cs="Arial" w:eastAsia="Arial" w:hAnsi="Arial"/>
          <w:sz w:val="14"/>
          <w:szCs w:val="14"/>
          <w:color w:val="auto"/>
        </w:rPr>
        <w:t xml:space="preserve"> Sustainability experience, serving 15 years in an executive capacity, with a focus on safety, </w:t>
      </w:r>
      <w:r>
        <w:rPr>
          <w:rFonts w:ascii="Arial" w:cs="Arial" w:eastAsia="Arial" w:hAnsi="Arial"/>
          <w:sz w:val="14"/>
          <w:szCs w:val="14"/>
          <w:b w:val="1"/>
          <w:bCs w:val="1"/>
          <w:color w:val="355675"/>
        </w:rPr>
        <w:t>●</w:t>
      </w:r>
      <w:r>
        <w:rPr>
          <w:rFonts w:ascii="Arial" w:cs="Arial" w:eastAsia="Arial" w:hAnsi="Arial"/>
          <w:sz w:val="14"/>
          <w:szCs w:val="14"/>
          <w:color w:val="auto"/>
        </w:rPr>
        <w:t xml:space="preserve"> CEO/Senior Leadership environmental issues, customer service, disruptive technology, risk oversight </w:t>
      </w:r>
      <w:r>
        <w:rPr>
          <w:rFonts w:ascii="Arial" w:cs="Arial" w:eastAsia="Arial" w:hAnsi="Arial"/>
          <w:sz w:val="14"/>
          <w:szCs w:val="14"/>
          <w:b w:val="1"/>
          <w:bCs w:val="1"/>
          <w:color w:val="355675"/>
        </w:rPr>
        <w:t>●</w:t>
      </w:r>
      <w:r>
        <w:rPr>
          <w:rFonts w:ascii="Arial" w:cs="Arial" w:eastAsia="Arial" w:hAnsi="Arial"/>
          <w:sz w:val="14"/>
          <w:szCs w:val="14"/>
          <w:color w:val="auto"/>
        </w:rPr>
        <w:t xml:space="preserve"> Human Capital Management</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and risk management, and community and regulatory affairs. Through his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Government/Public Policy/Regulatory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experience at Waste Management, Mr. Trevathan has gained significant</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p>
      <w:pPr>
        <w:spacing w:after="0" w:line="1" w:lineRule="exact"/>
        <w:rPr>
          <w:sz w:val="20"/>
          <w:szCs w:val="20"/>
          <w:color w:val="auto"/>
        </w:rPr>
      </w:pPr>
    </w:p>
    <w:p>
      <w:pPr>
        <w:ind w:right="3920"/>
        <w:spacing w:after="0" w:line="252" w:lineRule="auto"/>
        <w:rPr>
          <w:sz w:val="20"/>
          <w:szCs w:val="20"/>
          <w:color w:val="auto"/>
        </w:rPr>
      </w:pPr>
      <w:r>
        <w:rPr>
          <w:rFonts w:ascii="Arial" w:cs="Arial" w:eastAsia="Arial" w:hAnsi="Arial"/>
          <w:sz w:val="14"/>
          <w:szCs w:val="14"/>
          <w:color w:val="auto"/>
        </w:rPr>
        <w:t>experience in the oversight and management of risk, human capital management, business strategy development as well as literacy in finance and accounting.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815340</wp:posOffset>
            </wp:positionV>
            <wp:extent cx="5486400" cy="1714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BACKGROUND</w:t>
      </w:r>
      <w:r>
        <w:rPr>
          <w:sz w:val="20"/>
          <w:szCs w:val="20"/>
          <w:color w:val="auto"/>
        </w:rPr>
        <w:tab/>
      </w:r>
      <w:r>
        <w:rPr>
          <w:rFonts w:ascii="Arial" w:cs="Arial" w:eastAsia="Arial" w:hAnsi="Arial"/>
          <w:sz w:val="14"/>
          <w:szCs w:val="14"/>
          <w:b w:val="1"/>
          <w:bCs w:val="1"/>
          <w:color w:val="008C9F"/>
        </w:rPr>
        <w:t>NOMINEE SKILLS AND EXPERIENCE</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Since June 1995: Managing Partner, Wagener Capital Management</w:t>
      </w:r>
      <w:r>
        <w:rPr>
          <w:sz w:val="20"/>
          <w:szCs w:val="20"/>
          <w:color w:val="auto"/>
        </w:rPr>
        <w:tab/>
      </w:r>
      <w:r>
        <w:rPr>
          <w:rFonts w:ascii="Arial" w:cs="Arial" w:eastAsia="Arial" w:hAnsi="Arial"/>
          <w:sz w:val="14"/>
          <w:szCs w:val="14"/>
          <w:color w:val="auto"/>
        </w:rPr>
        <w:t>As the Managing Partner of Wagener Capital</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(investment and advisory firm serving utility and private equity companies)</w:t>
      </w:r>
      <w:r>
        <w:rPr>
          <w:sz w:val="20"/>
          <w:szCs w:val="20"/>
          <w:color w:val="auto"/>
        </w:rPr>
        <w:tab/>
      </w:r>
      <w:r>
        <w:rPr>
          <w:rFonts w:ascii="Arial" w:cs="Arial" w:eastAsia="Arial" w:hAnsi="Arial"/>
          <w:sz w:val="14"/>
          <w:szCs w:val="14"/>
          <w:color w:val="auto"/>
        </w:rPr>
        <w:t>Management, Mr. Wagener is experienced at</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Mr. Wagener previously held executive positions at Salomon Brothers and</w:t>
      </w:r>
      <w:r>
        <w:rPr>
          <w:sz w:val="20"/>
          <w:szCs w:val="20"/>
          <w:color w:val="auto"/>
        </w:rPr>
        <w:tab/>
      </w:r>
      <w:r>
        <w:rPr>
          <w:rFonts w:ascii="Arial" w:cs="Arial" w:eastAsia="Arial" w:hAnsi="Arial"/>
          <w:sz w:val="14"/>
          <w:szCs w:val="14"/>
          <w:color w:val="auto"/>
        </w:rPr>
        <w:t>analyzing business strategies, and brings the following</w:t>
      </w:r>
    </w:p>
    <w:p>
      <w:pPr>
        <w:spacing w:after="0" w:line="1" w:lineRule="exact"/>
        <w:rPr>
          <w:sz w:val="20"/>
          <w:szCs w:val="20"/>
          <w:color w:val="auto"/>
        </w:rPr>
      </w:pPr>
    </w:p>
    <w:p>
      <w:pPr>
        <w:ind w:left="180"/>
        <w:spacing w:after="0"/>
        <w:tabs>
          <w:tab w:leader="none" w:pos="5120" w:val="left"/>
        </w:tabs>
        <w:rPr>
          <w:sz w:val="20"/>
          <w:szCs w:val="20"/>
          <w:color w:val="auto"/>
        </w:rPr>
      </w:pPr>
      <w:r>
        <w:rPr>
          <w:rFonts w:ascii="Arial" w:cs="Arial" w:eastAsia="Arial" w:hAnsi="Arial"/>
          <w:sz w:val="14"/>
          <w:szCs w:val="14"/>
          <w:color w:val="auto"/>
        </w:rPr>
        <w:t>Goldman, Sachs &amp; Co.</w:t>
      </w:r>
      <w:r>
        <w:rPr>
          <w:sz w:val="20"/>
          <w:szCs w:val="20"/>
          <w:color w:val="auto"/>
        </w:rPr>
        <w:tab/>
      </w:r>
      <w:r>
        <w:rPr>
          <w:rFonts w:ascii="Arial" w:cs="Arial" w:eastAsia="Arial" w:hAnsi="Arial"/>
          <w:sz w:val="14"/>
          <w:szCs w:val="14"/>
          <w:color w:val="auto"/>
        </w:rPr>
        <w:t>key attributes to the Company:</w:t>
      </w:r>
    </w:p>
    <w:p>
      <w:pPr>
        <w:spacing w:after="0" w:line="149"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b w:val="1"/>
          <w:bCs w:val="1"/>
          <w:color w:val="008C9F"/>
        </w:rPr>
        <w:t>QUALIFICATIONS</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Finance/Capital Allocation</w:t>
      </w:r>
    </w:p>
    <w:p>
      <w:pPr>
        <w:spacing w:after="0" w:line="15"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Mr. Wagener brings to the Board over 40 years of experience in the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Financial Literacy/Accounting</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power/energy industry, project finance and investment banking experience,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Investment Experience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and knowledge of utility regulation. Through his financial experience and</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Business Strategy</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service on boards of public companies he has developed key experience in</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Corporate Governance</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corporate governance, capital allocation, accounting, and risk oversight and</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Extensive Knowledge of Company’s Business</w:t>
      </w:r>
    </w:p>
    <w:p>
      <w:pPr>
        <w:spacing w:after="0" w:line="1" w:lineRule="exact"/>
        <w:rPr>
          <w:sz w:val="20"/>
          <w:szCs w:val="20"/>
          <w:color w:val="auto"/>
        </w:rPr>
      </w:pPr>
    </w:p>
    <w:p>
      <w:pPr>
        <w:spacing w:after="0"/>
        <w:tabs>
          <w:tab w:leader="none" w:pos="5300" w:val="left"/>
        </w:tabs>
        <w:rPr>
          <w:sz w:val="20"/>
          <w:szCs w:val="20"/>
          <w:color w:val="auto"/>
        </w:rPr>
      </w:pPr>
      <w:r>
        <w:rPr>
          <w:rFonts w:ascii="Arial" w:cs="Arial" w:eastAsia="Arial" w:hAnsi="Arial"/>
          <w:sz w:val="14"/>
          <w:szCs w:val="14"/>
          <w:color w:val="auto"/>
        </w:rPr>
        <w:t>risk management. His participation brings value to the Company and the</w:t>
      </w:r>
      <w:r>
        <w:rPr>
          <w:sz w:val="20"/>
          <w:szCs w:val="20"/>
          <w:color w:val="auto"/>
        </w:rPr>
        <w:tab/>
      </w:r>
      <w:r>
        <w:rPr>
          <w:rFonts w:ascii="Arial" w:cs="Arial" w:eastAsia="Arial" w:hAnsi="Arial"/>
          <w:sz w:val="14"/>
          <w:szCs w:val="14"/>
          <w:color w:val="auto"/>
        </w:rPr>
        <w:t>Environment</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Board as we address structural and business strategy challenges facing the</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CEO/Senior Leadership</w:t>
      </w:r>
    </w:p>
    <w:p>
      <w:pPr>
        <w:spacing w:after="0" w:line="1" w:lineRule="exact"/>
        <w:rPr>
          <w:sz w:val="20"/>
          <w:szCs w:val="20"/>
          <w:color w:val="auto"/>
        </w:rPr>
      </w:pPr>
    </w:p>
    <w:p>
      <w:pPr>
        <w:spacing w:after="0"/>
        <w:tabs>
          <w:tab w:leader="none" w:pos="5120" w:val="left"/>
        </w:tabs>
        <w:rPr>
          <w:sz w:val="20"/>
          <w:szCs w:val="20"/>
          <w:color w:val="auto"/>
        </w:rPr>
      </w:pPr>
      <w:r>
        <w:rPr>
          <w:rFonts w:ascii="Arial" w:cs="Arial" w:eastAsia="Arial" w:hAnsi="Arial"/>
          <w:sz w:val="14"/>
          <w:szCs w:val="14"/>
          <w:color w:val="auto"/>
        </w:rPr>
        <w:t>utility industry.</w:t>
      </w:r>
      <w:r>
        <w:rPr>
          <w:sz w:val="20"/>
          <w:szCs w:val="20"/>
          <w:color w:val="auto"/>
        </w:rPr>
        <w:tab/>
      </w:r>
      <w:r>
        <w:rPr>
          <w:rFonts w:ascii="Arial" w:cs="Arial" w:eastAsia="Arial" w:hAnsi="Arial"/>
          <w:sz w:val="14"/>
          <w:szCs w:val="14"/>
          <w:b w:val="1"/>
          <w:bCs w:val="1"/>
          <w:color w:val="355675"/>
        </w:rPr>
        <w:t xml:space="preserve">● </w:t>
      </w:r>
      <w:r>
        <w:rPr>
          <w:rFonts w:ascii="Arial" w:cs="Arial" w:eastAsia="Arial" w:hAnsi="Arial"/>
          <w:sz w:val="14"/>
          <w:szCs w:val="14"/>
          <w:color w:val="000000"/>
        </w:rPr>
        <w:t>Utility Industry Experience</w:t>
      </w:r>
    </w:p>
    <w:p>
      <w:pPr>
        <w:spacing w:after="0" w:line="1" w:lineRule="exact"/>
        <w:rPr>
          <w:sz w:val="20"/>
          <w:szCs w:val="20"/>
          <w:color w:val="auto"/>
        </w:rPr>
      </w:pPr>
    </w:p>
    <w:p>
      <w:pPr>
        <w:ind w:left="5140"/>
        <w:spacing w:after="0"/>
        <w:rPr>
          <w:sz w:val="20"/>
          <w:szCs w:val="20"/>
          <w:color w:val="auto"/>
        </w:rPr>
      </w:pPr>
      <w:r>
        <w:rPr>
          <w:rFonts w:ascii="Arial" w:cs="Arial" w:eastAsia="Arial" w:hAnsi="Arial"/>
          <w:sz w:val="14"/>
          <w:szCs w:val="14"/>
          <w:b w:val="1"/>
          <w:bCs w:val="1"/>
          <w:color w:val="355675"/>
        </w:rPr>
        <w:t xml:space="preserve">● </w:t>
      </w:r>
      <w:r>
        <w:rPr>
          <w:rFonts w:ascii="Arial" w:cs="Arial" w:eastAsia="Arial" w:hAnsi="Arial"/>
          <w:sz w:val="14"/>
          <w:szCs w:val="14"/>
          <w:color w:val="000000"/>
        </w:rPr>
        <w:t>Risk Oversight and Risk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966470</wp:posOffset>
            </wp:positionV>
            <wp:extent cx="5486400" cy="1714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5486400" cy="17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tbl>
      <w:tblPr>
        <w:tblLayout w:type="fixed"/>
        <w:tblInd w:w="6780" w:type="dxa"/>
        <w:tblCellMar>
          <w:top w:w="0" w:type="dxa"/>
          <w:left w:w="0" w:type="dxa"/>
          <w:bottom w:w="0" w:type="dxa"/>
          <w:right w:w="0" w:type="dxa"/>
        </w:tblCellMar>
      </w:tblPr>
      <w:tr>
        <w:trPr>
          <w:trHeight w:val="196"/>
        </w:trPr>
        <w:tc>
          <w:tcPr>
            <w:tcW w:w="1560" w:type="dxa"/>
            <w:vAlign w:val="bottom"/>
          </w:tcPr>
          <w:p>
            <w:pPr>
              <w:spacing w:after="0"/>
              <w:rPr>
                <w:sz w:val="20"/>
                <w:szCs w:val="20"/>
                <w:color w:val="auto"/>
              </w:rPr>
            </w:pPr>
            <w:r>
              <w:rPr>
                <w:rFonts w:ascii="Arial" w:cs="Arial" w:eastAsia="Arial" w:hAnsi="Arial"/>
                <w:sz w:val="14"/>
                <w:szCs w:val="14"/>
                <w:color w:val="355675"/>
              </w:rPr>
              <w:t>2022 Proxy Statement</w:t>
            </w:r>
          </w:p>
        </w:tc>
        <w:tc>
          <w:tcPr>
            <w:tcW w:w="300" w:type="dxa"/>
            <w:vAlign w:val="bottom"/>
          </w:tcPr>
          <w:p>
            <w:pPr>
              <w:jc w:val="right"/>
              <w:spacing w:after="0"/>
              <w:rPr>
                <w:sz w:val="20"/>
                <w:szCs w:val="20"/>
                <w:color w:val="auto"/>
              </w:rPr>
            </w:pPr>
            <w:r>
              <w:rPr>
                <w:rFonts w:ascii="Arial" w:cs="Arial" w:eastAsia="Arial" w:hAnsi="Arial"/>
                <w:sz w:val="14"/>
                <w:szCs w:val="14"/>
                <w:b w:val="1"/>
                <w:bCs w:val="1"/>
                <w:color w:val="355675"/>
              </w:rPr>
              <w:t>51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-1647190</wp:posOffset>
            </wp:positionH>
            <wp:positionV relativeFrom="paragraph">
              <wp:posOffset>50800</wp:posOffset>
            </wp:positionV>
            <wp:extent cx="7153275" cy="215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2">
            <w:col w:w="2100" w:space="500"/>
            <w:col w:w="8640"/>
          </w:cols>
          <w:pgMar w:left="320" w:top="125" w:right="339" w:bottom="1440" w:gutter="0" w:footer="0" w:header="0"/>
        </w:sectPr>
      </w:pPr>
    </w:p>
    <w:bookmarkStart w:id="60" w:name="page61"/>
    <w:bookmarkEnd w:id="6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Current Directors Not Standing for Reelection</w:t>
      </w:r>
    </w:p>
    <w:p>
      <w:pPr>
        <w:spacing w:after="0" w:line="210" w:lineRule="exact"/>
        <w:rPr>
          <w:sz w:val="20"/>
          <w:szCs w:val="20"/>
          <w:color w:val="auto"/>
        </w:rPr>
      </w:pPr>
    </w:p>
    <w:p>
      <w:pPr>
        <w:ind w:right="580"/>
        <w:spacing w:after="0" w:line="271" w:lineRule="auto"/>
        <w:rPr>
          <w:sz w:val="20"/>
          <w:szCs w:val="20"/>
          <w:color w:val="auto"/>
        </w:rPr>
      </w:pPr>
      <w:r>
        <w:rPr>
          <w:rFonts w:ascii="Arial" w:cs="Arial" w:eastAsia="Arial" w:hAnsi="Arial"/>
          <w:sz w:val="18"/>
          <w:szCs w:val="18"/>
          <w:color w:val="auto"/>
        </w:rPr>
        <w:t>Dr. Denis A. Cortese will retire from the Board effective at the Annual Meeting. The Board recognizes Dr. Cortese for his distinguished service throughout the years and thanks him for his tireless labor, devotion and service to the Company.</w:t>
      </w:r>
    </w:p>
    <w:p>
      <w:pPr>
        <w:spacing w:after="0" w:line="98"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Director Independence</w:t>
      </w:r>
    </w:p>
    <w:p>
      <w:pPr>
        <w:spacing w:after="0" w:line="190" w:lineRule="exact"/>
        <w:rPr>
          <w:sz w:val="20"/>
          <w:szCs w:val="20"/>
          <w:color w:val="auto"/>
        </w:rPr>
      </w:pPr>
    </w:p>
    <w:p>
      <w:pPr>
        <w:spacing w:after="0" w:line="244" w:lineRule="auto"/>
        <w:rPr>
          <w:sz w:val="20"/>
          <w:szCs w:val="20"/>
          <w:color w:val="auto"/>
        </w:rPr>
      </w:pPr>
      <w:r>
        <w:rPr>
          <w:rFonts w:ascii="Arial" w:cs="Arial" w:eastAsia="Arial" w:hAnsi="Arial"/>
          <w:sz w:val="18"/>
          <w:szCs w:val="18"/>
          <w:color w:val="auto"/>
        </w:rPr>
        <w:t>NYSE rules require companies whose securities are traded on the NYSE to have a majority of independent directors. These rules describe certain relationships that prevent a director from being independent and require a company’s board of directors to make director independence determinations in all other circumstances. The Company’s Board has also adopted Director Independence Standards to assist the Board in making independence determinations. These Director Independence Standards are available on the Company’s website (www.pinnaclewest.com).</w:t>
      </w:r>
    </w:p>
    <w:p>
      <w:pPr>
        <w:spacing w:after="0" w:line="149" w:lineRule="exact"/>
        <w:rPr>
          <w:sz w:val="20"/>
          <w:szCs w:val="20"/>
          <w:color w:val="auto"/>
        </w:rPr>
      </w:pPr>
    </w:p>
    <w:p>
      <w:pPr>
        <w:jc w:val="both"/>
        <w:ind w:right="20"/>
        <w:spacing w:after="0" w:line="253" w:lineRule="auto"/>
        <w:rPr>
          <w:sz w:val="20"/>
          <w:szCs w:val="20"/>
          <w:color w:val="auto"/>
        </w:rPr>
      </w:pPr>
      <w:r>
        <w:rPr>
          <w:rFonts w:ascii="Arial" w:cs="Arial" w:eastAsia="Arial" w:hAnsi="Arial"/>
          <w:sz w:val="18"/>
          <w:szCs w:val="18"/>
          <w:color w:val="auto"/>
        </w:rPr>
        <w:t>In accordance with the NYSE rules and the Director Independence Standards, the Board undertakes an annual review to determine which of its Directors are independent. The review generally takes place in the first quarter of each year; however, Directors are required to notify the Company of any changes that occur throughout the year that may impact their independence.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5774055</wp:posOffset>
            </wp:positionH>
            <wp:positionV relativeFrom="paragraph">
              <wp:posOffset>93345</wp:posOffset>
            </wp:positionV>
            <wp:extent cx="1362710" cy="54864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1362710" cy="548640"/>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sectPr>
      </w:pPr>
    </w:p>
    <w:p>
      <w:pPr>
        <w:spacing w:after="0" w:line="250" w:lineRule="exact"/>
        <w:rPr>
          <w:sz w:val="20"/>
          <w:szCs w:val="20"/>
          <w:color w:val="auto"/>
        </w:rPr>
      </w:pPr>
    </w:p>
    <w:p>
      <w:pPr>
        <w:jc w:val="both"/>
        <w:ind w:right="380"/>
        <w:spacing w:after="0" w:line="253" w:lineRule="auto"/>
        <w:rPr>
          <w:sz w:val="20"/>
          <w:szCs w:val="20"/>
          <w:color w:val="auto"/>
        </w:rPr>
      </w:pPr>
      <w:r>
        <w:rPr>
          <w:rFonts w:ascii="Arial" w:cs="Arial" w:eastAsia="Arial" w:hAnsi="Arial"/>
          <w:sz w:val="18"/>
          <w:szCs w:val="18"/>
          <w:color w:val="auto"/>
        </w:rPr>
        <w:t>Based on the Board’s review, the Board has determined that all of the Company’s Directors and Director nominees are independent, except Mr. Guldner due to his employment with the Company. Mr. Lopez was independent while he was a member of the Board.</w:t>
      </w:r>
    </w:p>
    <w:p>
      <w:pPr>
        <w:spacing w:after="0" w:line="20" w:lineRule="exact"/>
        <w:rPr>
          <w:sz w:val="20"/>
          <w:szCs w:val="20"/>
          <w:color w:val="auto"/>
        </w:rPr>
      </w:pPr>
      <w:r>
        <w:rPr>
          <w:sz w:val="20"/>
          <w:szCs w:val="20"/>
          <w:color w:val="auto"/>
        </w:rPr>
        <w:br w:type="column"/>
      </w:r>
    </w:p>
    <w:p>
      <w:pPr>
        <w:spacing w:after="0" w:line="184" w:lineRule="exact"/>
        <w:rPr>
          <w:sz w:val="20"/>
          <w:szCs w:val="20"/>
          <w:color w:val="auto"/>
        </w:rPr>
      </w:pPr>
    </w:p>
    <w:p>
      <w:pPr>
        <w:jc w:val="center"/>
        <w:ind w:right="340"/>
        <w:spacing w:after="0"/>
        <w:rPr>
          <w:sz w:val="20"/>
          <w:szCs w:val="20"/>
          <w:color w:val="auto"/>
        </w:rPr>
      </w:pPr>
      <w:r>
        <w:rPr>
          <w:rFonts w:ascii="Arial" w:cs="Arial" w:eastAsia="Arial" w:hAnsi="Arial"/>
          <w:sz w:val="24"/>
          <w:szCs w:val="24"/>
          <w:b w:val="1"/>
          <w:bCs w:val="1"/>
          <w:color w:val="008C9F"/>
        </w:rPr>
        <w:t>11 of our 12</w:t>
      </w:r>
    </w:p>
    <w:p>
      <w:pPr>
        <w:spacing w:after="0" w:line="40" w:lineRule="exact"/>
        <w:rPr>
          <w:sz w:val="20"/>
          <w:szCs w:val="20"/>
          <w:color w:val="auto"/>
        </w:rPr>
      </w:pPr>
    </w:p>
    <w:p>
      <w:pPr>
        <w:ind w:left="200"/>
        <w:spacing w:after="0"/>
        <w:rPr>
          <w:sz w:val="20"/>
          <w:szCs w:val="20"/>
          <w:color w:val="auto"/>
        </w:rPr>
      </w:pPr>
      <w:r>
        <w:rPr>
          <w:rFonts w:ascii="Arial" w:cs="Arial" w:eastAsia="Arial" w:hAnsi="Arial"/>
          <w:sz w:val="18"/>
          <w:szCs w:val="18"/>
          <w:color w:val="auto"/>
        </w:rPr>
        <w:t>Directors are</w:t>
      </w:r>
    </w:p>
    <w:p>
      <w:pPr>
        <w:ind w:left="220"/>
        <w:spacing w:after="0"/>
        <w:rPr>
          <w:sz w:val="20"/>
          <w:szCs w:val="20"/>
          <w:color w:val="auto"/>
        </w:rPr>
      </w:pPr>
      <w:r>
        <w:rPr>
          <w:rFonts w:ascii="Arial" w:cs="Arial" w:eastAsia="Arial" w:hAnsi="Arial"/>
          <w:sz w:val="18"/>
          <w:szCs w:val="18"/>
          <w:color w:val="auto"/>
        </w:rPr>
        <w:t>independent</w:t>
      </w:r>
    </w:p>
    <w:p>
      <w:pPr>
        <w:spacing w:after="0" w:line="200" w:lineRule="exact"/>
        <w:rPr>
          <w:sz w:val="20"/>
          <w:szCs w:val="20"/>
          <w:color w:val="auto"/>
        </w:rPr>
      </w:pPr>
    </w:p>
    <w:p>
      <w:pPr>
        <w:sectPr>
          <w:pgSz w:w="11900" w:h="16838" w:orient="portrait"/>
          <w:cols w:equalWidth="0" w:num="2">
            <w:col w:w="8740" w:space="720"/>
            <w:col w:w="1740"/>
          </w:cols>
          <w:pgMar w:left="320" w:top="125" w:right="379" w:bottom="1440" w:gutter="0" w:footer="0" w:header="0"/>
          <w:type w:val="continuous"/>
        </w:sectPr>
      </w:pPr>
    </w:p>
    <w:p>
      <w:pPr>
        <w:spacing w:after="0" w:line="34" w:lineRule="exact"/>
        <w:rPr>
          <w:sz w:val="20"/>
          <w:szCs w:val="20"/>
          <w:color w:val="auto"/>
        </w:rPr>
      </w:pPr>
    </w:p>
    <w:p>
      <w:pPr>
        <w:ind w:right="20"/>
        <w:spacing w:after="0" w:line="247" w:lineRule="auto"/>
        <w:rPr>
          <w:sz w:val="20"/>
          <w:szCs w:val="20"/>
          <w:color w:val="auto"/>
        </w:rPr>
      </w:pPr>
      <w:r>
        <w:rPr>
          <w:rFonts w:ascii="Arial" w:cs="Arial" w:eastAsia="Arial" w:hAnsi="Arial"/>
          <w:sz w:val="18"/>
          <w:szCs w:val="18"/>
          <w:color w:val="auto"/>
        </w:rPr>
        <w:t>The Company has purchase, sale and other transactions and relationships in the normal course of business with companies with which certain Company Directors are associated but which the Board determined are not material to our Company, the Directors or the companies with which the Directors are associated. These transactions were reviewed and considered by the Board in determining the independence of Company Directors. In particular, the Board took into account the following transactions during fiscal year 2021:</w:t>
      </w:r>
    </w:p>
    <w:p>
      <w:pPr>
        <w:spacing w:after="0" w:line="147" w:lineRule="exact"/>
        <w:rPr>
          <w:sz w:val="20"/>
          <w:szCs w:val="20"/>
          <w:color w:val="auto"/>
        </w:rPr>
      </w:pPr>
    </w:p>
    <w:p>
      <w:pPr>
        <w:ind w:left="260" w:right="120" w:hanging="252"/>
        <w:spacing w:after="0" w:line="253" w:lineRule="auto"/>
        <w:tabs>
          <w:tab w:leader="none" w:pos="260" w:val="left"/>
        </w:tabs>
        <w:numPr>
          <w:ilvl w:val="0"/>
          <w:numId w:val="52"/>
        </w:numPr>
        <w:rPr>
          <w:rFonts w:ascii="Arial" w:cs="Arial" w:eastAsia="Arial" w:hAnsi="Arial"/>
          <w:sz w:val="18"/>
          <w:szCs w:val="18"/>
          <w:b w:val="1"/>
          <w:bCs w:val="1"/>
          <w:color w:val="355675"/>
        </w:rPr>
      </w:pPr>
      <w:r>
        <w:rPr>
          <w:rFonts w:ascii="Arial" w:cs="Arial" w:eastAsia="Arial" w:hAnsi="Arial"/>
          <w:sz w:val="18"/>
          <w:szCs w:val="18"/>
          <w:color w:val="auto"/>
        </w:rPr>
        <w:t>Ms. Bryan is an executive officer of Insight Enterprises, Inc. (“Insight”), which provides computer hardware and software products and information technology services to APS. The amounts paid to Insight represent less than 1% of the Company’s and Insight’s total annual revenues;</w:t>
      </w:r>
    </w:p>
    <w:p>
      <w:pPr>
        <w:spacing w:after="0" w:line="128" w:lineRule="exact"/>
        <w:rPr>
          <w:rFonts w:ascii="Arial" w:cs="Arial" w:eastAsia="Arial" w:hAnsi="Arial"/>
          <w:sz w:val="18"/>
          <w:szCs w:val="18"/>
          <w:b w:val="1"/>
          <w:bCs w:val="1"/>
          <w:color w:val="355675"/>
        </w:rPr>
      </w:pPr>
    </w:p>
    <w:p>
      <w:pPr>
        <w:ind w:left="260" w:right="60" w:hanging="252"/>
        <w:spacing w:after="0" w:line="244" w:lineRule="auto"/>
        <w:tabs>
          <w:tab w:leader="none" w:pos="260" w:val="left"/>
        </w:tabs>
        <w:numPr>
          <w:ilvl w:val="0"/>
          <w:numId w:val="52"/>
        </w:numPr>
        <w:rPr>
          <w:rFonts w:ascii="Arial" w:cs="Arial" w:eastAsia="Arial" w:hAnsi="Arial"/>
          <w:sz w:val="18"/>
          <w:szCs w:val="18"/>
          <w:b w:val="1"/>
          <w:bCs w:val="1"/>
          <w:color w:val="355675"/>
        </w:rPr>
      </w:pPr>
      <w:r>
        <w:rPr>
          <w:rFonts w:ascii="Arial" w:cs="Arial" w:eastAsia="Arial" w:hAnsi="Arial"/>
          <w:sz w:val="18"/>
          <w:szCs w:val="18"/>
          <w:color w:val="auto"/>
        </w:rPr>
        <w:t>Dr. Cortese is an employee of Arizona State University, which is considered a part of the reporting entity for the State of Arizona (the “State”) for financial reporting purposes. During fiscal year 2021, various transactions occurred between the State and the Company and its affiliates, such as the provision of electric service, the payment of various State fees, taxes, memberships, licenses, sponsorships and donations, and the payment by each party of utility-related costs. The amounts paid to and received from the State represent less than 2% of the State’s total annual revenues; and</w:t>
      </w:r>
    </w:p>
    <w:p>
      <w:pPr>
        <w:spacing w:after="0" w:line="135" w:lineRule="exact"/>
        <w:rPr>
          <w:rFonts w:ascii="Arial" w:cs="Arial" w:eastAsia="Arial" w:hAnsi="Arial"/>
          <w:sz w:val="18"/>
          <w:szCs w:val="18"/>
          <w:b w:val="1"/>
          <w:bCs w:val="1"/>
          <w:color w:val="355675"/>
        </w:rPr>
      </w:pPr>
    </w:p>
    <w:p>
      <w:pPr>
        <w:ind w:left="260" w:right="100" w:hanging="252"/>
        <w:spacing w:after="0" w:line="253" w:lineRule="auto"/>
        <w:tabs>
          <w:tab w:leader="none" w:pos="260" w:val="left"/>
        </w:tabs>
        <w:numPr>
          <w:ilvl w:val="0"/>
          <w:numId w:val="52"/>
        </w:numPr>
        <w:rPr>
          <w:rFonts w:ascii="Arial" w:cs="Arial" w:eastAsia="Arial" w:hAnsi="Arial"/>
          <w:sz w:val="18"/>
          <w:szCs w:val="18"/>
          <w:b w:val="1"/>
          <w:bCs w:val="1"/>
          <w:color w:val="355675"/>
        </w:rPr>
      </w:pPr>
      <w:r>
        <w:rPr>
          <w:rFonts w:ascii="Arial" w:cs="Arial" w:eastAsia="Arial" w:hAnsi="Arial"/>
          <w:sz w:val="18"/>
          <w:szCs w:val="18"/>
          <w:color w:val="auto"/>
        </w:rPr>
        <w:t>Mr. Fox serves as a director of Univar Solutions, Inc. (“Univar”), from which APS purchases chemicals that are used in the operation and maintenance of our power plants. The amounts paid to Univar represent less than 1.5% of the Company’s and Univar’s total annual revenues.</w:t>
      </w:r>
    </w:p>
    <w:p>
      <w:pPr>
        <w:spacing w:after="0" w:line="128" w:lineRule="exact"/>
        <w:rPr>
          <w:sz w:val="20"/>
          <w:szCs w:val="20"/>
          <w:color w:val="auto"/>
        </w:rPr>
      </w:pPr>
    </w:p>
    <w:p>
      <w:pPr>
        <w:ind w:right="160"/>
        <w:spacing w:after="0" w:line="301" w:lineRule="auto"/>
        <w:rPr>
          <w:sz w:val="20"/>
          <w:szCs w:val="20"/>
          <w:color w:val="auto"/>
        </w:rPr>
      </w:pPr>
      <w:r>
        <w:rPr>
          <w:rFonts w:ascii="Arial" w:cs="Arial" w:eastAsia="Arial" w:hAnsi="Arial"/>
          <w:sz w:val="17"/>
          <w:szCs w:val="17"/>
          <w:color w:val="auto"/>
        </w:rPr>
        <w:t>The Board believes that all of the transactions and relationships during fiscal year 2021 described above were on arm’s-length terms that were reasonable and competitive and that the Directors did not participate in or receive any direct personal benefit from these transactions.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69215</wp:posOffset>
            </wp:positionV>
            <wp:extent cx="1191260" cy="23114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82"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type w:val="continuous"/>
        </w:sectPr>
      </w:pPr>
    </w:p>
    <w:bookmarkStart w:id="61" w:name="page62"/>
    <w:bookmarkEnd w:id="6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7200"/>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171" w:lineRule="exact"/>
        <w:rPr>
          <w:sz w:val="20"/>
          <w:szCs w:val="20"/>
          <w:color w:val="auto"/>
        </w:rPr>
      </w:pPr>
    </w:p>
    <w:p>
      <w:pPr>
        <w:ind w:right="20"/>
        <w:spacing w:after="0"/>
        <w:rPr>
          <w:sz w:val="20"/>
          <w:szCs w:val="20"/>
          <w:color w:val="auto"/>
        </w:rPr>
      </w:pPr>
      <w:r>
        <w:rPr>
          <w:rFonts w:ascii="Arial" w:cs="Arial" w:eastAsia="Arial" w:hAnsi="Arial"/>
          <w:sz w:val="18"/>
          <w:szCs w:val="18"/>
          <w:color w:val="auto"/>
        </w:rPr>
        <w:t>In addition, with respect to all of the Directors, the Board considered that many of the Directors and/or businesses of which they are officers, Directors, shareholders, or employees are located in APS’s service territory and purchase electricity from APS at regulated rates in the normal course of business. The Board considered these relationships in determining the Directors’ independence, but, because the rates and charges for electricity provided by APS are fixed by the ACC, and the Directors satisfied the other independence criteria specified in the NYSE rules and the Director Independence Standards, the Board determined that these relationships did not impact the independence of any Director. The Board also considered contributions to charitable and non-profit organizations where a Director also serves as a director of such charity or organization. However, since no Director is also an executive officer of such charitable or nonprofit organization, the Board determined that these payments did not impact the independence of any Director.</w:t>
      </w:r>
    </w:p>
    <w:p>
      <w:pPr>
        <w:spacing w:after="0" w:line="138"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Director Compensation</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of the directors for 2021 was as follows: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50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98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Change in Pension Value</w:t>
            </w:r>
          </w:p>
        </w:tc>
        <w:tc>
          <w:tcPr>
            <w:tcW w:w="10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20" w:type="dxa"/>
            <w:vAlign w:val="bottom"/>
          </w:tcPr>
          <w:p>
            <w:pPr>
              <w:spacing w:after="0"/>
              <w:rPr>
                <w:sz w:val="14"/>
                <w:szCs w:val="14"/>
                <w:color w:val="auto"/>
              </w:rPr>
            </w:pPr>
          </w:p>
        </w:tc>
      </w:tr>
      <w:tr>
        <w:trPr>
          <w:trHeight w:val="171"/>
        </w:trPr>
        <w:tc>
          <w:tcPr>
            <w:tcW w:w="50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2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Fees Earned or</w:t>
            </w:r>
          </w:p>
        </w:tc>
        <w:tc>
          <w:tcPr>
            <w:tcW w:w="8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Stock</w:t>
            </w:r>
          </w:p>
        </w:tc>
        <w:tc>
          <w:tcPr>
            <w:tcW w:w="198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and Nonqualified Deferred</w:t>
            </w:r>
          </w:p>
        </w:tc>
        <w:tc>
          <w:tcPr>
            <w:tcW w:w="120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All Other</w:t>
            </w:r>
          </w:p>
        </w:tc>
        <w:tc>
          <w:tcPr>
            <w:tcW w:w="820" w:type="dxa"/>
            <w:vAlign w:val="bottom"/>
          </w:tcPr>
          <w:p>
            <w:pPr>
              <w:spacing w:after="0"/>
              <w:rPr>
                <w:sz w:val="14"/>
                <w:szCs w:val="14"/>
                <w:color w:val="auto"/>
              </w:rPr>
            </w:pPr>
          </w:p>
        </w:tc>
      </w:tr>
      <w:tr>
        <w:trPr>
          <w:trHeight w:val="162"/>
        </w:trPr>
        <w:tc>
          <w:tcPr>
            <w:tcW w:w="50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2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Paid in Cash</w:t>
            </w:r>
          </w:p>
        </w:tc>
        <w:tc>
          <w:tcPr>
            <w:tcW w:w="8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Awards</w:t>
            </w:r>
          </w:p>
        </w:tc>
        <w:tc>
          <w:tcPr>
            <w:tcW w:w="198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Compensation Earnings</w:t>
            </w:r>
          </w:p>
        </w:tc>
        <w:tc>
          <w:tcPr>
            <w:tcW w:w="120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Compensation</w:t>
            </w:r>
          </w:p>
        </w:tc>
        <w:tc>
          <w:tcPr>
            <w:tcW w:w="820" w:type="dxa"/>
            <w:vAlign w:val="bottom"/>
          </w:tcPr>
          <w:p>
            <w:pPr>
              <w:jc w:val="right"/>
              <w:spacing w:after="0"/>
              <w:rPr>
                <w:sz w:val="20"/>
                <w:szCs w:val="20"/>
                <w:color w:val="auto"/>
              </w:rPr>
            </w:pPr>
            <w:r>
              <w:rPr>
                <w:rFonts w:ascii="Arial" w:cs="Arial" w:eastAsia="Arial" w:hAnsi="Arial"/>
                <w:sz w:val="14"/>
                <w:szCs w:val="14"/>
                <w:b w:val="1"/>
                <w:bCs w:val="1"/>
                <w:color w:val="355675"/>
              </w:rPr>
              <w:t>Total</w:t>
            </w:r>
          </w:p>
        </w:tc>
      </w:tr>
      <w:tr>
        <w:trPr>
          <w:trHeight w:val="216"/>
        </w:trPr>
        <w:tc>
          <w:tcPr>
            <w:tcW w:w="5020" w:type="dxa"/>
            <w:vAlign w:val="bottom"/>
          </w:tcPr>
          <w:p>
            <w:pPr>
              <w:ind w:left="60"/>
              <w:spacing w:after="0"/>
              <w:rPr>
                <w:sz w:val="20"/>
                <w:szCs w:val="20"/>
                <w:color w:val="auto"/>
              </w:rPr>
            </w:pPr>
            <w:r>
              <w:rPr>
                <w:rFonts w:ascii="Arial" w:cs="Arial" w:eastAsia="Arial" w:hAnsi="Arial"/>
                <w:sz w:val="14"/>
                <w:szCs w:val="14"/>
                <w:b w:val="1"/>
                <w:bCs w:val="1"/>
                <w:color w:val="355675"/>
              </w:rPr>
              <w:t>Name</w:t>
            </w:r>
          </w:p>
        </w:tc>
        <w:tc>
          <w:tcPr>
            <w:tcW w:w="200" w:type="dxa"/>
            <w:vAlign w:val="bottom"/>
          </w:tcPr>
          <w:p>
            <w:pPr>
              <w:spacing w:after="0"/>
              <w:rPr>
                <w:sz w:val="18"/>
                <w:szCs w:val="18"/>
                <w:color w:val="auto"/>
              </w:rPr>
            </w:pPr>
          </w:p>
        </w:tc>
        <w:tc>
          <w:tcPr>
            <w:tcW w:w="1040" w:type="dxa"/>
            <w:vAlign w:val="bottom"/>
          </w:tcPr>
          <w:p>
            <w:pPr>
              <w:jc w:val="right"/>
              <w:spacing w:after="0"/>
              <w:rPr>
                <w:sz w:val="20"/>
                <w:szCs w:val="20"/>
                <w:color w:val="auto"/>
              </w:rPr>
            </w:pPr>
            <w:r>
              <w:rPr>
                <w:rFonts w:ascii="Arial" w:cs="Arial" w:eastAsia="Arial" w:hAnsi="Arial"/>
                <w:sz w:val="14"/>
                <w:szCs w:val="14"/>
                <w:b w:val="1"/>
                <w:bCs w:val="1"/>
                <w:color w:val="355675"/>
              </w:rPr>
              <w:t>($)</w:t>
            </w:r>
          </w:p>
        </w:tc>
        <w:tc>
          <w:tcPr>
            <w:tcW w:w="180" w:type="dxa"/>
            <w:vAlign w:val="bottom"/>
          </w:tcPr>
          <w:p>
            <w:pPr>
              <w:spacing w:after="0"/>
              <w:rPr>
                <w:sz w:val="18"/>
                <w:szCs w:val="18"/>
                <w:color w:val="auto"/>
              </w:rPr>
            </w:pPr>
          </w:p>
        </w:tc>
        <w:tc>
          <w:tcPr>
            <w:tcW w:w="800" w:type="dxa"/>
            <w:vAlign w:val="bottom"/>
            <w:gridSpan w:val="2"/>
          </w:tcPr>
          <w:p>
            <w:pPr>
              <w:jc w:val="right"/>
              <w:ind w:right="20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(1)</w:t>
            </w:r>
          </w:p>
        </w:tc>
        <w:tc>
          <w:tcPr>
            <w:tcW w:w="1980" w:type="dxa"/>
            <w:vAlign w:val="bottom"/>
            <w:gridSpan w:val="2"/>
          </w:tcPr>
          <w:p>
            <w:pPr>
              <w:jc w:val="right"/>
              <w:ind w:right="18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(2)</w:t>
            </w:r>
          </w:p>
        </w:tc>
        <w:tc>
          <w:tcPr>
            <w:tcW w:w="120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355675"/>
              </w:rPr>
              <w:t>($)</w:t>
            </w:r>
          </w:p>
        </w:tc>
        <w:tc>
          <w:tcPr>
            <w:tcW w:w="82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27"/>
        </w:trPr>
        <w:tc>
          <w:tcPr>
            <w:tcW w:w="502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040" w:type="dxa"/>
            <w:vAlign w:val="bottom"/>
            <w:shd w:val="clear" w:color="auto" w:fill="355675"/>
          </w:tcPr>
          <w:p>
            <w:pPr>
              <w:spacing w:after="0"/>
              <w:rPr>
                <w:sz w:val="2"/>
                <w:szCs w:val="2"/>
                <w:color w:val="auto"/>
              </w:rPr>
            </w:pPr>
          </w:p>
        </w:tc>
        <w:tc>
          <w:tcPr>
            <w:tcW w:w="180" w:type="dxa"/>
            <w:vAlign w:val="bottom"/>
          </w:tcPr>
          <w:p>
            <w:pPr>
              <w:spacing w:after="0"/>
              <w:rPr>
                <w:sz w:val="2"/>
                <w:szCs w:val="2"/>
                <w:color w:val="auto"/>
              </w:rPr>
            </w:pPr>
          </w:p>
        </w:tc>
        <w:tc>
          <w:tcPr>
            <w:tcW w:w="6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800" w:type="dxa"/>
            <w:vAlign w:val="bottom"/>
            <w:shd w:val="clear" w:color="auto" w:fill="355675"/>
          </w:tcPr>
          <w:p>
            <w:pPr>
              <w:spacing w:after="0"/>
              <w:rPr>
                <w:sz w:val="2"/>
                <w:szCs w:val="2"/>
                <w:color w:val="auto"/>
              </w:rPr>
            </w:pPr>
          </w:p>
        </w:tc>
        <w:tc>
          <w:tcPr>
            <w:tcW w:w="180" w:type="dxa"/>
            <w:vAlign w:val="bottom"/>
          </w:tcPr>
          <w:p>
            <w:pPr>
              <w:spacing w:after="0"/>
              <w:rPr>
                <w:sz w:val="2"/>
                <w:szCs w:val="2"/>
                <w:color w:val="auto"/>
              </w:rPr>
            </w:pPr>
          </w:p>
        </w:tc>
        <w:tc>
          <w:tcPr>
            <w:tcW w:w="1020" w:type="dxa"/>
            <w:vAlign w:val="bottom"/>
            <w:shd w:val="clear" w:color="auto" w:fill="355675"/>
          </w:tcPr>
          <w:p>
            <w:pPr>
              <w:spacing w:after="0"/>
              <w:rPr>
                <w:sz w:val="2"/>
                <w:szCs w:val="2"/>
                <w:color w:val="auto"/>
              </w:rPr>
            </w:pPr>
          </w:p>
        </w:tc>
        <w:tc>
          <w:tcPr>
            <w:tcW w:w="180" w:type="dxa"/>
            <w:vAlign w:val="bottom"/>
          </w:tcPr>
          <w:p>
            <w:pPr>
              <w:spacing w:after="0"/>
              <w:rPr>
                <w:sz w:val="2"/>
                <w:szCs w:val="2"/>
                <w:color w:val="auto"/>
              </w:rPr>
            </w:pPr>
          </w:p>
        </w:tc>
        <w:tc>
          <w:tcPr>
            <w:tcW w:w="820" w:type="dxa"/>
            <w:vAlign w:val="bottom"/>
            <w:shd w:val="clear" w:color="auto" w:fill="355675"/>
          </w:tcPr>
          <w:p>
            <w:pPr>
              <w:spacing w:after="0"/>
              <w:rPr>
                <w:sz w:val="2"/>
                <w:szCs w:val="2"/>
                <w:color w:val="auto"/>
              </w:rPr>
            </w:pPr>
          </w:p>
        </w:tc>
      </w:tr>
      <w:tr>
        <w:trPr>
          <w:trHeight w:val="239"/>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Glynis A. Bryan</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108,328</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0</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248,177</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6"/>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Denis A. Cortese, M.D.</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108,328</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0</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248,177</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7"/>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Richard P. Fox</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126,656</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38,698</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305,203</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81"/>
        </w:trPr>
        <w:tc>
          <w:tcPr>
            <w:tcW w:w="5020" w:type="dxa"/>
            <w:vAlign w:val="bottom"/>
          </w:tcPr>
          <w:p>
            <w:pPr>
              <w:ind w:left="60"/>
              <w:spacing w:after="0" w:line="281" w:lineRule="exact"/>
              <w:rPr>
                <w:sz w:val="20"/>
                <w:szCs w:val="20"/>
                <w:color w:val="auto"/>
              </w:rPr>
            </w:pPr>
            <w:r>
              <w:rPr>
                <w:rFonts w:ascii="Arial" w:cs="Arial" w:eastAsia="Arial" w:hAnsi="Arial"/>
                <w:sz w:val="16"/>
                <w:szCs w:val="16"/>
                <w:b w:val="1"/>
                <w:bCs w:val="1"/>
                <w:color w:val="355675"/>
              </w:rPr>
              <w:t>Jeffrey B. Guldner</w:t>
            </w:r>
            <w:r>
              <w:rPr>
                <w:rFonts w:ascii="Arial" w:cs="Arial" w:eastAsia="Arial" w:hAnsi="Arial"/>
                <w:sz w:val="26"/>
                <w:szCs w:val="26"/>
                <w:b w:val="1"/>
                <w:bCs w:val="1"/>
                <w:color w:val="355675"/>
                <w:vertAlign w:val="superscript"/>
              </w:rPr>
              <w:t>(3)</w:t>
            </w: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98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3"/>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Dale E. Klein, Ph.D.</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108,328</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0</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248,177</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81"/>
        </w:trPr>
        <w:tc>
          <w:tcPr>
            <w:tcW w:w="5020" w:type="dxa"/>
            <w:vAlign w:val="bottom"/>
          </w:tcPr>
          <w:p>
            <w:pPr>
              <w:ind w:left="60"/>
              <w:spacing w:after="0" w:line="281" w:lineRule="exact"/>
              <w:rPr>
                <w:sz w:val="20"/>
                <w:szCs w:val="20"/>
                <w:color w:val="auto"/>
              </w:rPr>
            </w:pPr>
            <w:r>
              <w:rPr>
                <w:rFonts w:ascii="Arial" w:cs="Arial" w:eastAsia="Arial" w:hAnsi="Arial"/>
                <w:sz w:val="16"/>
                <w:szCs w:val="16"/>
                <w:b w:val="1"/>
                <w:bCs w:val="1"/>
                <w:color w:val="355675"/>
              </w:rPr>
              <w:t>Humberto S. Lopez</w:t>
            </w:r>
            <w:r>
              <w:rPr>
                <w:rFonts w:ascii="Arial" w:cs="Arial" w:eastAsia="Arial" w:hAnsi="Arial"/>
                <w:sz w:val="26"/>
                <w:szCs w:val="26"/>
                <w:b w:val="1"/>
                <w:bCs w:val="1"/>
                <w:color w:val="355675"/>
                <w:vertAlign w:val="superscript"/>
              </w:rPr>
              <w:t>(4)</w:t>
            </w:r>
          </w:p>
        </w:tc>
        <w:tc>
          <w:tcPr>
            <w:tcW w:w="20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40,615</w:t>
            </w:r>
          </w:p>
        </w:tc>
        <w:tc>
          <w:tcPr>
            <w:tcW w:w="180" w:type="dxa"/>
            <w:vAlign w:val="bottom"/>
          </w:tcPr>
          <w:p>
            <w:pPr>
              <w:spacing w:after="0"/>
              <w:rPr>
                <w:sz w:val="24"/>
                <w:szCs w:val="24"/>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800" w:type="dxa"/>
            <w:vAlign w:val="bottom"/>
          </w:tcPr>
          <w:p>
            <w:pPr>
              <w:jc w:val="right"/>
              <w:spacing w:after="0"/>
              <w:rPr>
                <w:sz w:val="20"/>
                <w:szCs w:val="20"/>
                <w:color w:val="auto"/>
              </w:rPr>
            </w:pPr>
            <w:r>
              <w:rPr>
                <w:rFonts w:ascii="Arial" w:cs="Arial" w:eastAsia="Arial" w:hAnsi="Arial"/>
                <w:sz w:val="16"/>
                <w:szCs w:val="16"/>
                <w:color w:val="auto"/>
              </w:rPr>
              <w:t>321,196</w:t>
            </w:r>
          </w:p>
        </w:tc>
        <w:tc>
          <w:tcPr>
            <w:tcW w:w="180" w:type="dxa"/>
            <w:vAlign w:val="bottom"/>
          </w:tcPr>
          <w:p>
            <w:pPr>
              <w:spacing w:after="0"/>
              <w:rPr>
                <w:sz w:val="24"/>
                <w:szCs w:val="24"/>
                <w:color w:val="auto"/>
              </w:rPr>
            </w:pPr>
          </w:p>
        </w:tc>
        <w:tc>
          <w:tcPr>
            <w:tcW w:w="1200" w:type="dxa"/>
            <w:vAlign w:val="bottom"/>
            <w:gridSpan w:val="2"/>
          </w:tcPr>
          <w:p>
            <w:pPr>
              <w:jc w:val="right"/>
              <w:ind w:right="180"/>
              <w:spacing w:after="0" w:line="281" w:lineRule="exact"/>
              <w:rPr>
                <w:sz w:val="20"/>
                <w:szCs w:val="20"/>
                <w:color w:val="auto"/>
              </w:rPr>
            </w:pPr>
            <w:r>
              <w:rPr>
                <w:rFonts w:ascii="Arial" w:cs="Arial" w:eastAsia="Arial" w:hAnsi="Arial"/>
                <w:sz w:val="16"/>
                <w:szCs w:val="16"/>
                <w:color w:val="auto"/>
              </w:rPr>
              <w:t>25,000</w:t>
            </w:r>
            <w:r>
              <w:rPr>
                <w:rFonts w:ascii="Arial" w:cs="Arial" w:eastAsia="Arial" w:hAnsi="Arial"/>
                <w:sz w:val="26"/>
                <w:szCs w:val="26"/>
                <w:color w:val="auto"/>
                <w:vertAlign w:val="superscript"/>
              </w:rPr>
              <w:t>(6)</w:t>
            </w:r>
          </w:p>
        </w:tc>
        <w:tc>
          <w:tcPr>
            <w:tcW w:w="820" w:type="dxa"/>
            <w:vAlign w:val="bottom"/>
          </w:tcPr>
          <w:p>
            <w:pPr>
              <w:jc w:val="right"/>
              <w:spacing w:after="0"/>
              <w:rPr>
                <w:sz w:val="20"/>
                <w:szCs w:val="20"/>
                <w:color w:val="auto"/>
              </w:rPr>
            </w:pPr>
            <w:r>
              <w:rPr>
                <w:rFonts w:ascii="Arial" w:cs="Arial" w:eastAsia="Arial" w:hAnsi="Arial"/>
                <w:sz w:val="16"/>
                <w:szCs w:val="16"/>
                <w:color w:val="auto"/>
              </w:rPr>
              <w:t>386,811</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3"/>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Kathryn L. Munro</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156,656</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38,570</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335,075</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6"/>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Bruce J. Nordstrom</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126,656</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130,563</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397,068</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7"/>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Paula J. Sims</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126,656</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6,708</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273,213</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81"/>
        </w:trPr>
        <w:tc>
          <w:tcPr>
            <w:tcW w:w="5020" w:type="dxa"/>
            <w:vAlign w:val="bottom"/>
          </w:tcPr>
          <w:p>
            <w:pPr>
              <w:ind w:left="60"/>
              <w:spacing w:after="0" w:line="281" w:lineRule="exact"/>
              <w:rPr>
                <w:sz w:val="20"/>
                <w:szCs w:val="20"/>
                <w:color w:val="auto"/>
              </w:rPr>
            </w:pPr>
            <w:r>
              <w:rPr>
                <w:rFonts w:ascii="Arial" w:cs="Arial" w:eastAsia="Arial" w:hAnsi="Arial"/>
                <w:sz w:val="16"/>
                <w:szCs w:val="16"/>
                <w:b w:val="1"/>
                <w:bCs w:val="1"/>
                <w:color w:val="355675"/>
              </w:rPr>
              <w:t>William H. Spence</w:t>
            </w:r>
            <w:r>
              <w:rPr>
                <w:rFonts w:ascii="Arial" w:cs="Arial" w:eastAsia="Arial" w:hAnsi="Arial"/>
                <w:sz w:val="26"/>
                <w:szCs w:val="26"/>
                <w:b w:val="1"/>
                <w:bCs w:val="1"/>
                <w:color w:val="355675"/>
                <w:vertAlign w:val="superscript"/>
              </w:rPr>
              <w:t>(5)</w:t>
            </w:r>
          </w:p>
        </w:tc>
        <w:tc>
          <w:tcPr>
            <w:tcW w:w="20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91,766</w:t>
            </w:r>
          </w:p>
        </w:tc>
        <w:tc>
          <w:tcPr>
            <w:tcW w:w="180" w:type="dxa"/>
            <w:vAlign w:val="bottom"/>
          </w:tcPr>
          <w:p>
            <w:pPr>
              <w:spacing w:after="0"/>
              <w:rPr>
                <w:sz w:val="24"/>
                <w:szCs w:val="24"/>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179,686</w:t>
            </w:r>
          </w:p>
        </w:tc>
        <w:tc>
          <w:tcPr>
            <w:tcW w:w="200" w:type="dxa"/>
            <w:vAlign w:val="bottom"/>
          </w:tcPr>
          <w:p>
            <w:pPr>
              <w:spacing w:after="0"/>
              <w:rPr>
                <w:sz w:val="24"/>
                <w:szCs w:val="24"/>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0</w:t>
            </w:r>
          </w:p>
        </w:tc>
        <w:tc>
          <w:tcPr>
            <w:tcW w:w="180" w:type="dxa"/>
            <w:vAlign w:val="bottom"/>
          </w:tcPr>
          <w:p>
            <w:pPr>
              <w:spacing w:after="0"/>
              <w:rPr>
                <w:sz w:val="24"/>
                <w:szCs w:val="24"/>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271,452</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3"/>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James E. Trevathan, Jr.</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108,328</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14,824</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263,001</w:t>
            </w:r>
          </w:p>
        </w:tc>
      </w:tr>
      <w:tr>
        <w:trPr>
          <w:trHeight w:val="20"/>
        </w:trPr>
        <w:tc>
          <w:tcPr>
            <w:tcW w:w="50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939598"/>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r>
      <w:tr>
        <w:trPr>
          <w:trHeight w:val="237"/>
        </w:trPr>
        <w:tc>
          <w:tcPr>
            <w:tcW w:w="5020" w:type="dxa"/>
            <w:vAlign w:val="bottom"/>
          </w:tcPr>
          <w:p>
            <w:pPr>
              <w:ind w:left="60"/>
              <w:spacing w:after="0"/>
              <w:rPr>
                <w:sz w:val="20"/>
                <w:szCs w:val="20"/>
                <w:color w:val="auto"/>
              </w:rPr>
            </w:pPr>
            <w:r>
              <w:rPr>
                <w:rFonts w:ascii="Arial" w:cs="Arial" w:eastAsia="Arial" w:hAnsi="Arial"/>
                <w:sz w:val="16"/>
                <w:szCs w:val="16"/>
                <w:b w:val="1"/>
                <w:bCs w:val="1"/>
                <w:color w:val="355675"/>
              </w:rPr>
              <w:t>David P. Wagener</w:t>
            </w:r>
          </w:p>
        </w:tc>
        <w:tc>
          <w:tcPr>
            <w:tcW w:w="2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6"/>
                <w:szCs w:val="16"/>
                <w:color w:val="auto"/>
              </w:rPr>
              <w:t>126,656</w:t>
            </w:r>
          </w:p>
        </w:tc>
        <w:tc>
          <w:tcPr>
            <w:tcW w:w="1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139,849</w:t>
            </w:r>
          </w:p>
        </w:tc>
        <w:tc>
          <w:tcPr>
            <w:tcW w:w="200" w:type="dxa"/>
            <w:vAlign w:val="bottom"/>
          </w:tcPr>
          <w:p>
            <w:pPr>
              <w:spacing w:after="0"/>
              <w:rPr>
                <w:sz w:val="20"/>
                <w:szCs w:val="20"/>
                <w:color w:val="auto"/>
              </w:rPr>
            </w:pPr>
          </w:p>
        </w:tc>
        <w:tc>
          <w:tcPr>
            <w:tcW w:w="1800" w:type="dxa"/>
            <w:vAlign w:val="bottom"/>
          </w:tcPr>
          <w:p>
            <w:pPr>
              <w:jc w:val="right"/>
              <w:spacing w:after="0"/>
              <w:rPr>
                <w:sz w:val="20"/>
                <w:szCs w:val="20"/>
                <w:color w:val="auto"/>
              </w:rPr>
            </w:pPr>
            <w:r>
              <w:rPr>
                <w:rFonts w:ascii="Arial" w:cs="Arial" w:eastAsia="Arial" w:hAnsi="Arial"/>
                <w:sz w:val="16"/>
                <w:szCs w:val="16"/>
                <w:color w:val="auto"/>
              </w:rPr>
              <w:t>0</w:t>
            </w:r>
          </w:p>
        </w:tc>
        <w:tc>
          <w:tcPr>
            <w:tcW w:w="180" w:type="dxa"/>
            <w:vAlign w:val="bottom"/>
          </w:tcPr>
          <w:p>
            <w:pPr>
              <w:spacing w:after="0"/>
              <w:rPr>
                <w:sz w:val="20"/>
                <w:szCs w:val="20"/>
                <w:color w:val="auto"/>
              </w:rPr>
            </w:pPr>
          </w:p>
        </w:tc>
        <w:tc>
          <w:tcPr>
            <w:tcW w:w="1200" w:type="dxa"/>
            <w:vAlign w:val="bottom"/>
            <w:gridSpan w:val="2"/>
          </w:tcPr>
          <w:p>
            <w:pPr>
              <w:jc w:val="right"/>
              <w:ind w:right="18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266,505</w:t>
            </w:r>
          </w:p>
        </w:tc>
      </w:tr>
      <w:tr>
        <w:trPr>
          <w:trHeight w:val="31"/>
        </w:trPr>
        <w:tc>
          <w:tcPr>
            <w:tcW w:w="502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040" w:type="dxa"/>
            <w:vAlign w:val="bottom"/>
            <w:shd w:val="clear" w:color="auto" w:fill="355675"/>
          </w:tcPr>
          <w:p>
            <w:pPr>
              <w:spacing w:after="0"/>
              <w:rPr>
                <w:sz w:val="2"/>
                <w:szCs w:val="2"/>
                <w:color w:val="auto"/>
              </w:rPr>
            </w:pPr>
          </w:p>
        </w:tc>
        <w:tc>
          <w:tcPr>
            <w:tcW w:w="180" w:type="dxa"/>
            <w:vAlign w:val="bottom"/>
          </w:tcPr>
          <w:p>
            <w:pPr>
              <w:spacing w:after="0"/>
              <w:rPr>
                <w:sz w:val="2"/>
                <w:szCs w:val="2"/>
                <w:color w:val="auto"/>
              </w:rPr>
            </w:pPr>
          </w:p>
        </w:tc>
        <w:tc>
          <w:tcPr>
            <w:tcW w:w="6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800" w:type="dxa"/>
            <w:vAlign w:val="bottom"/>
            <w:shd w:val="clear" w:color="auto" w:fill="355675"/>
          </w:tcPr>
          <w:p>
            <w:pPr>
              <w:spacing w:after="0"/>
              <w:rPr>
                <w:sz w:val="2"/>
                <w:szCs w:val="2"/>
                <w:color w:val="auto"/>
              </w:rPr>
            </w:pPr>
          </w:p>
        </w:tc>
        <w:tc>
          <w:tcPr>
            <w:tcW w:w="180" w:type="dxa"/>
            <w:vAlign w:val="bottom"/>
          </w:tcPr>
          <w:p>
            <w:pPr>
              <w:spacing w:after="0"/>
              <w:rPr>
                <w:sz w:val="2"/>
                <w:szCs w:val="2"/>
                <w:color w:val="auto"/>
              </w:rPr>
            </w:pPr>
          </w:p>
        </w:tc>
        <w:tc>
          <w:tcPr>
            <w:tcW w:w="1020" w:type="dxa"/>
            <w:vAlign w:val="bottom"/>
            <w:shd w:val="clear" w:color="auto" w:fill="355675"/>
          </w:tcPr>
          <w:p>
            <w:pPr>
              <w:spacing w:after="0"/>
              <w:rPr>
                <w:sz w:val="2"/>
                <w:szCs w:val="2"/>
                <w:color w:val="auto"/>
              </w:rPr>
            </w:pPr>
          </w:p>
        </w:tc>
        <w:tc>
          <w:tcPr>
            <w:tcW w:w="180" w:type="dxa"/>
            <w:vAlign w:val="bottom"/>
          </w:tcPr>
          <w:p>
            <w:pPr>
              <w:spacing w:after="0"/>
              <w:rPr>
                <w:sz w:val="2"/>
                <w:szCs w:val="2"/>
                <w:color w:val="auto"/>
              </w:rPr>
            </w:pPr>
          </w:p>
        </w:tc>
        <w:tc>
          <w:tcPr>
            <w:tcW w:w="820" w:type="dxa"/>
            <w:vAlign w:val="bottom"/>
            <w:shd w:val="clear" w:color="auto" w:fill="355675"/>
          </w:tcPr>
          <w:p>
            <w:pPr>
              <w:spacing w:after="0"/>
              <w:rPr>
                <w:sz w:val="2"/>
                <w:szCs w:val="2"/>
                <w:color w:val="auto"/>
              </w:rPr>
            </w:pPr>
          </w:p>
        </w:tc>
      </w:tr>
    </w:tbl>
    <w:p>
      <w:pPr>
        <w:spacing w:after="0" w:line="139" w:lineRule="exact"/>
        <w:rPr>
          <w:sz w:val="20"/>
          <w:szCs w:val="20"/>
          <w:color w:val="auto"/>
        </w:rPr>
      </w:pPr>
    </w:p>
    <w:p>
      <w:pPr>
        <w:ind w:left="300" w:right="80" w:hanging="292"/>
        <w:spacing w:after="0" w:line="228" w:lineRule="auto"/>
        <w:tabs>
          <w:tab w:leader="none" w:pos="300" w:val="left"/>
        </w:tabs>
        <w:numPr>
          <w:ilvl w:val="0"/>
          <w:numId w:val="53"/>
        </w:numPr>
        <w:rPr>
          <w:rFonts w:ascii="Arial" w:cs="Arial" w:eastAsia="Arial" w:hAnsi="Arial"/>
          <w:sz w:val="24"/>
          <w:szCs w:val="24"/>
          <w:color w:val="auto"/>
          <w:vertAlign w:val="superscript"/>
        </w:rPr>
      </w:pPr>
      <w:r>
        <w:rPr>
          <w:rFonts w:ascii="Arial" w:cs="Arial" w:eastAsia="Arial" w:hAnsi="Arial"/>
          <w:sz w:val="14"/>
          <w:szCs w:val="14"/>
          <w:color w:val="auto"/>
        </w:rPr>
        <w:t>In accordance with FASB ASC Topic 718, this amount reflects the aggregate grant date fair value of the stock awards. On May 19, 2021, all of the Directors at that time received a grant of either common stock or stock units (“SUs”), based on an election previously delivered to the Company. All Directors who received the grant on May 19, 2021 received common stock except for Messrs. Fox, Trevathan and Dr. Klein, and Mses. Bryan and Munro, who each received SUs. Under the terms of the SUs, M. Bryan, Mr. Trevathan and Dr. Klein will receive 100% of the SUs in stock and the remaining Directors who received SUs will receive 50% of the SUs in cash and 50% of the SUs in common stock, in all cases on the last business day of the month following the month in which they separate from service on the Board. The number of shares of common stock or SUs granted was 1,637, and the grant date fair value of each share of common stock or SU was $85.43, which was the closing stock price on May 19, 2021. In addition, on March 1, 2021, Mr. Spence received a pro-rata grant of common stock based on his service on the Board from February 2021 to May 2021 in the amount of 551 shares; and the shares have a grant date fair value of $72.30. As of December 31, 2021, the following Directors had the following outstanding RSU or SU awards: Ms. Bryan – 3,290; Mr. Fox — 8,927; Dr. Klein — 19,396; Ms. Munro — 17,351; Ms. Sims — 2,817; and Mr. Trevathan – 4,553.</w:t>
      </w:r>
    </w:p>
    <w:p>
      <w:pPr>
        <w:spacing w:after="0" w:line="107" w:lineRule="exact"/>
        <w:rPr>
          <w:rFonts w:ascii="Arial" w:cs="Arial" w:eastAsia="Arial" w:hAnsi="Arial"/>
          <w:sz w:val="24"/>
          <w:szCs w:val="24"/>
          <w:color w:val="auto"/>
          <w:vertAlign w:val="superscript"/>
        </w:rPr>
      </w:pPr>
    </w:p>
    <w:p>
      <w:pPr>
        <w:ind w:left="300" w:right="160" w:hanging="292"/>
        <w:spacing w:after="0" w:line="206" w:lineRule="auto"/>
        <w:tabs>
          <w:tab w:leader="none" w:pos="300" w:val="left"/>
        </w:tabs>
        <w:numPr>
          <w:ilvl w:val="0"/>
          <w:numId w:val="53"/>
        </w:numPr>
        <w:rPr>
          <w:rFonts w:ascii="Arial" w:cs="Arial" w:eastAsia="Arial" w:hAnsi="Arial"/>
          <w:sz w:val="24"/>
          <w:szCs w:val="24"/>
          <w:color w:val="auto"/>
          <w:vertAlign w:val="superscript"/>
        </w:rPr>
      </w:pPr>
      <w:r>
        <w:rPr>
          <w:rFonts w:ascii="Arial" w:cs="Arial" w:eastAsia="Arial" w:hAnsi="Arial"/>
          <w:sz w:val="14"/>
          <w:szCs w:val="14"/>
          <w:color w:val="auto"/>
        </w:rPr>
        <w:t>The Company does not have a pension plan for Directors. The amount in this column consists solely of the above-market portion of annual interest accrued under a deferred compensation plan pursuant to which Directors may defer all or a portion of their Board fees. See the discussion of the rates of interest applicable to the deferred compensation program under “Discussion of Nonqualified Deferred Compensation”.</w:t>
      </w:r>
    </w:p>
    <w:p>
      <w:pPr>
        <w:spacing w:after="0" w:line="22" w:lineRule="exact"/>
        <w:rPr>
          <w:rFonts w:ascii="Arial" w:cs="Arial" w:eastAsia="Arial" w:hAnsi="Arial"/>
          <w:sz w:val="24"/>
          <w:szCs w:val="24"/>
          <w:color w:val="auto"/>
          <w:vertAlign w:val="superscript"/>
        </w:rPr>
      </w:pPr>
    </w:p>
    <w:p>
      <w:pPr>
        <w:ind w:left="300" w:hanging="292"/>
        <w:spacing w:after="0"/>
        <w:tabs>
          <w:tab w:leader="none" w:pos="300" w:val="left"/>
        </w:tabs>
        <w:numPr>
          <w:ilvl w:val="0"/>
          <w:numId w:val="53"/>
        </w:numPr>
        <w:rPr>
          <w:rFonts w:ascii="Arial" w:cs="Arial" w:eastAsia="Arial" w:hAnsi="Arial"/>
          <w:sz w:val="24"/>
          <w:szCs w:val="24"/>
          <w:color w:val="auto"/>
          <w:vertAlign w:val="superscript"/>
        </w:rPr>
      </w:pPr>
      <w:r>
        <w:rPr>
          <w:rFonts w:ascii="Arial" w:cs="Arial" w:eastAsia="Arial" w:hAnsi="Arial"/>
          <w:sz w:val="14"/>
          <w:szCs w:val="14"/>
          <w:color w:val="auto"/>
        </w:rPr>
        <w:t>Mr. Guldner is an NEO and his compensation is set forth in the Summary Compensation Table. Only non-management directors are compensated for Board service.</w:t>
      </w:r>
    </w:p>
    <w:p>
      <w:pPr>
        <w:spacing w:after="0" w:line="120" w:lineRule="exact"/>
        <w:rPr>
          <w:rFonts w:ascii="Arial" w:cs="Arial" w:eastAsia="Arial" w:hAnsi="Arial"/>
          <w:sz w:val="24"/>
          <w:szCs w:val="24"/>
          <w:color w:val="auto"/>
          <w:vertAlign w:val="superscript"/>
        </w:rPr>
      </w:pPr>
    </w:p>
    <w:p>
      <w:pPr>
        <w:ind w:left="300" w:hanging="292"/>
        <w:spacing w:after="0" w:line="183" w:lineRule="auto"/>
        <w:tabs>
          <w:tab w:leader="none" w:pos="300" w:val="left"/>
        </w:tabs>
        <w:numPr>
          <w:ilvl w:val="0"/>
          <w:numId w:val="53"/>
        </w:numPr>
        <w:rPr>
          <w:rFonts w:ascii="Arial" w:cs="Arial" w:eastAsia="Arial" w:hAnsi="Arial"/>
          <w:sz w:val="20"/>
          <w:szCs w:val="20"/>
          <w:color w:val="auto"/>
          <w:vertAlign w:val="superscript"/>
        </w:rPr>
      </w:pPr>
      <w:r>
        <w:rPr>
          <w:rFonts w:ascii="Arial" w:cs="Arial" w:eastAsia="Arial" w:hAnsi="Arial"/>
          <w:sz w:val="12"/>
          <w:szCs w:val="12"/>
          <w:color w:val="auto"/>
        </w:rPr>
        <w:t>Mr. Lopez retired from the Board of Directors on May 19, 2021.</w:t>
      </w:r>
    </w:p>
    <w:p>
      <w:pPr>
        <w:spacing w:after="0" w:line="121" w:lineRule="exact"/>
        <w:rPr>
          <w:rFonts w:ascii="Arial" w:cs="Arial" w:eastAsia="Arial" w:hAnsi="Arial"/>
          <w:sz w:val="20"/>
          <w:szCs w:val="20"/>
          <w:color w:val="auto"/>
          <w:vertAlign w:val="superscript"/>
        </w:rPr>
      </w:pPr>
    </w:p>
    <w:p>
      <w:pPr>
        <w:ind w:left="300" w:hanging="292"/>
        <w:spacing w:after="0" w:line="183" w:lineRule="auto"/>
        <w:tabs>
          <w:tab w:leader="none" w:pos="300" w:val="left"/>
        </w:tabs>
        <w:numPr>
          <w:ilvl w:val="0"/>
          <w:numId w:val="53"/>
        </w:numPr>
        <w:rPr>
          <w:rFonts w:ascii="Arial" w:cs="Arial" w:eastAsia="Arial" w:hAnsi="Arial"/>
          <w:sz w:val="20"/>
          <w:szCs w:val="20"/>
          <w:color w:val="auto"/>
          <w:vertAlign w:val="superscript"/>
        </w:rPr>
      </w:pPr>
      <w:r>
        <w:rPr>
          <w:rFonts w:ascii="Arial" w:cs="Arial" w:eastAsia="Arial" w:hAnsi="Arial"/>
          <w:sz w:val="12"/>
          <w:szCs w:val="12"/>
          <w:color w:val="auto"/>
        </w:rPr>
        <w:t>Mr. Spence joined the Board of Directors on February 26, 2021.</w:t>
      </w:r>
    </w:p>
    <w:p>
      <w:pPr>
        <w:spacing w:after="0" w:line="121" w:lineRule="exact"/>
        <w:rPr>
          <w:rFonts w:ascii="Arial" w:cs="Arial" w:eastAsia="Arial" w:hAnsi="Arial"/>
          <w:sz w:val="20"/>
          <w:szCs w:val="20"/>
          <w:color w:val="auto"/>
          <w:vertAlign w:val="superscript"/>
        </w:rPr>
      </w:pPr>
    </w:p>
    <w:p>
      <w:pPr>
        <w:ind w:left="300" w:right="80" w:hanging="292"/>
        <w:spacing w:after="0" w:line="218" w:lineRule="auto"/>
        <w:tabs>
          <w:tab w:leader="none" w:pos="300" w:val="left"/>
        </w:tabs>
        <w:numPr>
          <w:ilvl w:val="0"/>
          <w:numId w:val="53"/>
        </w:numPr>
        <w:rPr>
          <w:rFonts w:ascii="Arial" w:cs="Arial" w:eastAsia="Arial" w:hAnsi="Arial"/>
          <w:sz w:val="24"/>
          <w:szCs w:val="24"/>
          <w:color w:val="auto"/>
          <w:vertAlign w:val="superscript"/>
        </w:rPr>
      </w:pPr>
      <w:r>
        <w:rPr>
          <w:rFonts w:ascii="Arial" w:cs="Arial" w:eastAsia="Arial" w:hAnsi="Arial"/>
          <w:sz w:val="14"/>
          <w:szCs w:val="14"/>
          <w:color w:val="auto"/>
        </w:rPr>
        <w:t>In 2018, Mr. Lopez and the H.S. Lopez Family Foundation, in partnership with the Gospel Rescue Mission, established the Center of Opportunity, a one-stop refuge for the homeless that provides holistic support for individuals as they journey out of homelessness into self-sufficiency. More than just a shelter, the Center of Opportunity provides short- and long-term care for the homeless, and provides a large number of services, including housing, food, job training, addiction counseling, medical and dental services, and much more. The Center of Opportunity provides valuable resources to help individuals journey out of homelessness. In December of 2021, in recognition of his service to the Pinnacle West Board of Directors, Pinnacle West made a contribution of $25,000 to the Gospel Rescue Mission, which is the managing partner for the Center of Opportunity.</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53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62" w:name="page63"/>
    <w:bookmarkEnd w:id="6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Director Nominees for the 2022 Annual Meeting</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Discussion of Directors’ Compensation</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color w:val="auto"/>
        </w:rPr>
        <w:t>The Human Resources Committee makes recommendations to the Board for compensation, equity participation, and other benefits for</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Directors. The director compensation program consists of the following components:</w:t>
      </w:r>
    </w:p>
    <w:p>
      <w:pPr>
        <w:sectPr>
          <w:pgSz w:w="11900" w:h="16838" w:orient="portrait"/>
          <w:cols w:equalWidth="0" w:num="1">
            <w:col w:w="11220"/>
          </w:cols>
          <w:pgMar w:left="320" w:top="125" w:right="359" w:bottom="1440" w:gutter="0" w:footer="0" w:header="0"/>
        </w:sectPr>
      </w:pPr>
    </w:p>
    <w:p>
      <w:pPr>
        <w:spacing w:after="0" w:line="32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Compensation Component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wp:posOffset>
            </wp:positionV>
            <wp:extent cx="5288915" cy="1714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5288915" cy="17145"/>
                    </a:xfrm>
                    <a:prstGeom prst="rect">
                      <a:avLst/>
                    </a:prstGeom>
                    <a:noFill/>
                  </pic:spPr>
                </pic:pic>
              </a:graphicData>
            </a:graphic>
          </wp:anchor>
        </w:drawing>
      </w:r>
    </w:p>
    <w:p>
      <w:pPr>
        <w:spacing w:after="0" w:line="15" w:lineRule="exact"/>
        <w:rPr>
          <w:sz w:val="20"/>
          <w:szCs w:val="20"/>
          <w:color w:val="auto"/>
        </w:rPr>
      </w:pPr>
    </w:p>
    <w:p>
      <w:pPr>
        <w:ind w:left="60"/>
        <w:spacing w:after="0"/>
        <w:rPr>
          <w:sz w:val="20"/>
          <w:szCs w:val="20"/>
          <w:color w:val="auto"/>
        </w:rPr>
      </w:pPr>
      <w:r>
        <w:rPr>
          <w:rFonts w:ascii="Arial" w:cs="Arial" w:eastAsia="Arial" w:hAnsi="Arial"/>
          <w:sz w:val="16"/>
          <w:szCs w:val="16"/>
          <w:color w:val="auto"/>
        </w:rPr>
        <w:t>Annual Retainer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5288915" cy="825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5288915" cy="8255"/>
                    </a:xfrm>
                    <a:prstGeom prst="rect">
                      <a:avLst/>
                    </a:prstGeom>
                    <a:noFill/>
                  </pic:spPr>
                </pic:pic>
              </a:graphicData>
            </a:graphic>
          </wp:anchor>
        </w:drawing>
      </w:r>
    </w:p>
    <w:p>
      <w:pPr>
        <w:ind w:left="60"/>
        <w:spacing w:after="0" w:line="255" w:lineRule="auto"/>
        <w:rPr>
          <w:sz w:val="20"/>
          <w:szCs w:val="20"/>
          <w:color w:val="auto"/>
        </w:rPr>
      </w:pPr>
      <w:r>
        <w:rPr>
          <w:rFonts w:ascii="Arial" w:cs="Arial" w:eastAsia="Arial" w:hAnsi="Arial"/>
          <w:sz w:val="16"/>
          <w:szCs w:val="16"/>
          <w:color w:val="auto"/>
        </w:rPr>
        <w:t>Audit Committee, Corporate Governance and Public Responsibility Committee, Human Resources Committee, Finance Committee, and Nuclear and Operating Committee Chairs Annual Retainers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wp:posOffset>
            </wp:positionV>
            <wp:extent cx="5288915" cy="82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5288915" cy="8255"/>
                    </a:xfrm>
                    <a:prstGeom prst="rect">
                      <a:avLst/>
                    </a:prstGeom>
                    <a:noFill/>
                  </pic:spPr>
                </pic:pic>
              </a:graphicData>
            </a:graphic>
          </wp:anchor>
        </w:drawing>
      </w:r>
    </w:p>
    <w:p>
      <w:pPr>
        <w:ind w:left="60"/>
        <w:spacing w:after="0"/>
        <w:rPr>
          <w:sz w:val="20"/>
          <w:szCs w:val="20"/>
          <w:color w:val="auto"/>
        </w:rPr>
      </w:pPr>
      <w:r>
        <w:rPr>
          <w:rFonts w:ascii="Arial" w:cs="Arial" w:eastAsia="Arial" w:hAnsi="Arial"/>
          <w:sz w:val="16"/>
          <w:szCs w:val="16"/>
          <w:color w:val="auto"/>
        </w:rPr>
        <w:t>Lead Director Annual Retainer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5288915" cy="825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5288915" cy="8255"/>
                    </a:xfrm>
                    <a:prstGeom prst="rect">
                      <a:avLst/>
                    </a:prstGeom>
                    <a:noFill/>
                  </pic:spPr>
                </pic:pic>
              </a:graphicData>
            </a:graphic>
          </wp:anchor>
        </w:drawing>
      </w:r>
    </w:p>
    <w:p>
      <w:pPr>
        <w:ind w:left="60"/>
        <w:spacing w:after="0"/>
        <w:rPr>
          <w:sz w:val="20"/>
          <w:szCs w:val="20"/>
          <w:color w:val="auto"/>
        </w:rPr>
      </w:pPr>
      <w:r>
        <w:rPr>
          <w:rFonts w:ascii="Arial" w:cs="Arial" w:eastAsia="Arial" w:hAnsi="Arial"/>
          <w:sz w:val="16"/>
          <w:szCs w:val="16"/>
          <w:color w:val="auto"/>
        </w:rPr>
        <w:t>Annual Equity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124460</wp:posOffset>
            </wp:positionV>
            <wp:extent cx="5288915" cy="171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528891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3" w:lineRule="exact"/>
        <w:rPr>
          <w:sz w:val="20"/>
          <w:szCs w:val="20"/>
          <w:color w:val="auto"/>
        </w:rPr>
      </w:pPr>
    </w:p>
    <w:p>
      <w:pPr>
        <w:jc w:val="right"/>
        <w:ind w:right="40"/>
        <w:spacing w:after="0"/>
        <w:rPr>
          <w:sz w:val="20"/>
          <w:szCs w:val="20"/>
          <w:color w:val="auto"/>
        </w:rPr>
      </w:pPr>
      <w:r>
        <w:rPr>
          <w:rFonts w:ascii="Arial" w:cs="Arial" w:eastAsia="Arial" w:hAnsi="Arial"/>
          <w:sz w:val="14"/>
          <w:szCs w:val="14"/>
          <w:b w:val="1"/>
          <w:bCs w:val="1"/>
          <w:color w:val="355675"/>
        </w:rPr>
        <w:t>Amount</w:t>
      </w:r>
    </w:p>
    <w:p>
      <w:pPr>
        <w:spacing w:after="0" w:line="15" w:lineRule="exact"/>
        <w:rPr>
          <w:sz w:val="20"/>
          <w:szCs w:val="20"/>
          <w:color w:val="auto"/>
        </w:rPr>
      </w:pPr>
    </w:p>
    <w:p>
      <w:pPr>
        <w:jc w:val="right"/>
        <w:ind w:right="40"/>
        <w:spacing w:after="0"/>
        <w:rPr>
          <w:sz w:val="20"/>
          <w:szCs w:val="20"/>
          <w:color w:val="auto"/>
        </w:rPr>
      </w:pPr>
      <w:r>
        <w:rPr>
          <w:rFonts w:ascii="Arial" w:cs="Arial" w:eastAsia="Arial" w:hAnsi="Arial"/>
          <w:sz w:val="14"/>
          <w:szCs w:val="14"/>
          <w:b w:val="1"/>
          <w:bCs w:val="1"/>
          <w:color w:val="355675"/>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-1905</wp:posOffset>
            </wp:positionV>
            <wp:extent cx="1722755" cy="171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1722755" cy="17145"/>
                    </a:xfrm>
                    <a:prstGeom prst="rect">
                      <a:avLst/>
                    </a:prstGeom>
                    <a:noFill/>
                  </pic:spPr>
                </pic:pic>
              </a:graphicData>
            </a:graphic>
          </wp:anchor>
        </w:drawing>
      </w:r>
    </w:p>
    <w:p>
      <w:pPr>
        <w:spacing w:after="0" w:line="1"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110,000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4445</wp:posOffset>
            </wp:positionV>
            <wp:extent cx="1722755" cy="825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722755" cy="8255"/>
                    </a:xfrm>
                    <a:prstGeom prst="rect">
                      <a:avLst/>
                    </a:prstGeom>
                    <a:noFill/>
                  </pic:spPr>
                </pic:pic>
              </a:graphicData>
            </a:graphic>
          </wp:anchor>
        </w:drawing>
      </w:r>
    </w:p>
    <w:p>
      <w:pPr>
        <w:jc w:val="right"/>
        <w:ind w:right="40"/>
        <w:spacing w:after="0"/>
        <w:rPr>
          <w:sz w:val="20"/>
          <w:szCs w:val="20"/>
          <w:color w:val="auto"/>
        </w:rPr>
      </w:pPr>
      <w:r>
        <w:rPr>
          <w:rFonts w:ascii="Arial" w:cs="Arial" w:eastAsia="Arial" w:hAnsi="Arial"/>
          <w:sz w:val="16"/>
          <w:szCs w:val="16"/>
          <w:color w:val="auto"/>
        </w:rPr>
        <w:t>20,000</w:t>
      </w:r>
    </w:p>
    <w:p>
      <w:pPr>
        <w:spacing w:after="0" w:line="195" w:lineRule="exact"/>
        <w:rPr>
          <w:sz w:val="20"/>
          <w:szCs w:val="20"/>
          <w:color w:val="auto"/>
        </w:rPr>
      </w:pPr>
    </w:p>
    <w:p>
      <w:pPr>
        <w:ind w:left="2160"/>
        <w:spacing w:after="0"/>
        <w:rPr>
          <w:sz w:val="20"/>
          <w:szCs w:val="20"/>
          <w:color w:val="auto"/>
        </w:rPr>
      </w:pPr>
      <w:r>
        <w:rPr>
          <w:rFonts w:ascii="Arial" w:cs="Arial" w:eastAsia="Arial" w:hAnsi="Arial"/>
          <w:sz w:val="15"/>
          <w:szCs w:val="15"/>
          <w:color w:val="auto"/>
        </w:rPr>
        <w:t>30,000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19685</wp:posOffset>
            </wp:positionV>
            <wp:extent cx="1722755" cy="825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1722755" cy="8255"/>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-108585</wp:posOffset>
            </wp:positionV>
            <wp:extent cx="1722755" cy="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1722755" cy="8255"/>
                    </a:xfrm>
                    <a:prstGeom prst="rect">
                      <a:avLst/>
                    </a:prstGeom>
                    <a:noFill/>
                  </pic:spPr>
                </pic:pic>
              </a:graphicData>
            </a:graphic>
          </wp:anchor>
        </w:drawing>
      </w:r>
    </w:p>
    <w:p>
      <w:pPr>
        <w:spacing w:after="0" w:line="22" w:lineRule="exact"/>
        <w:rPr>
          <w:sz w:val="20"/>
          <w:szCs w:val="20"/>
          <w:color w:val="auto"/>
        </w:rPr>
      </w:pPr>
    </w:p>
    <w:p>
      <w:pPr>
        <w:jc w:val="right"/>
        <w:ind w:right="40"/>
        <w:spacing w:after="0" w:line="270" w:lineRule="auto"/>
        <w:rPr>
          <w:sz w:val="20"/>
          <w:szCs w:val="20"/>
          <w:color w:val="auto"/>
        </w:rPr>
      </w:pPr>
      <w:r>
        <w:rPr>
          <w:rFonts w:ascii="Arial" w:cs="Arial" w:eastAsia="Arial" w:hAnsi="Arial"/>
          <w:sz w:val="16"/>
          <w:szCs w:val="16"/>
          <w:color w:val="auto"/>
        </w:rPr>
        <w:t>Shares with a value of approximately $140,000 on the grant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-20955</wp:posOffset>
            </wp:positionV>
            <wp:extent cx="1722755" cy="171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1722755" cy="17145"/>
                    </a:xfrm>
                    <a:prstGeom prst="rect">
                      <a:avLst/>
                    </a:prstGeom>
                    <a:noFill/>
                  </pic:spPr>
                </pic:pic>
              </a:graphicData>
            </a:graphic>
          </wp:anchor>
        </w:drawing>
      </w:r>
    </w:p>
    <w:p>
      <w:pPr>
        <w:spacing w:after="0" w:line="150" w:lineRule="exact"/>
        <w:rPr>
          <w:sz w:val="20"/>
          <w:szCs w:val="20"/>
          <w:color w:val="auto"/>
        </w:rPr>
      </w:pPr>
    </w:p>
    <w:p>
      <w:pPr>
        <w:sectPr>
          <w:pgSz w:w="11900" w:h="16838" w:orient="portrait"/>
          <w:cols w:equalWidth="0" w:num="2">
            <w:col w:w="7980" w:space="560"/>
            <w:col w:w="2680"/>
          </w:cols>
          <w:pgMar w:left="320" w:top="125" w:right="359" w:bottom="1440" w:gutter="0" w:footer="0" w:header="0"/>
          <w:type w:val="continuous"/>
        </w:sectPr>
      </w:pPr>
    </w:p>
    <w:p>
      <w:pPr>
        <w:ind w:right="60"/>
        <w:spacing w:after="0"/>
        <w:rPr>
          <w:sz w:val="20"/>
          <w:szCs w:val="20"/>
          <w:color w:val="auto"/>
        </w:rPr>
      </w:pPr>
      <w:r>
        <w:rPr>
          <w:rFonts w:ascii="Arial" w:cs="Arial" w:eastAsia="Arial" w:hAnsi="Arial"/>
          <w:sz w:val="18"/>
          <w:szCs w:val="18"/>
          <w:color w:val="auto"/>
        </w:rPr>
        <w:t>Directors had an option to either receive the stock grant on May 19, 2021 or defer the receipt until a later date. A director who elected to defer his or her receipt of stock received SUs in lieu of the stock grant. Those directors who elected to receive SUs were able to elect to receive payment for the SUs in either: (1) stock; (2) 50% in stock and 50% in cash; or (3) cash. The directors also elected whether to receive these payments either as of the last business day of the month following the month in which the director separates from service on the Board, or as of a date specified by the director, which date must be after December 31 of the year in which the grant was received. The SUs accrue dividend rights equal to the amount of dividends the director would have received if the director had directly owned one share of our common stock for each SU held, plus interest at the rate of 5% per annum, compounded quarterly. The manner of payment for the dividends and interest will be based on the director’s election for payment of the SUs.</w:t>
      </w:r>
    </w:p>
    <w:p>
      <w:pPr>
        <w:spacing w:after="0" w:line="153" w:lineRule="exact"/>
        <w:rPr>
          <w:sz w:val="20"/>
          <w:szCs w:val="20"/>
          <w:color w:val="auto"/>
        </w:rPr>
      </w:pPr>
    </w:p>
    <w:p>
      <w:pPr>
        <w:ind w:right="560"/>
        <w:spacing w:after="0" w:line="271" w:lineRule="auto"/>
        <w:rPr>
          <w:sz w:val="20"/>
          <w:szCs w:val="20"/>
          <w:color w:val="auto"/>
        </w:rPr>
      </w:pPr>
      <w:r>
        <w:rPr>
          <w:rFonts w:ascii="Arial" w:cs="Arial" w:eastAsia="Arial" w:hAnsi="Arial"/>
          <w:sz w:val="18"/>
          <w:szCs w:val="18"/>
          <w:color w:val="auto"/>
        </w:rPr>
        <w:t>Directors of Pinnacle West also serve on the APS Board of Directors for no additional compensation. The Company reimburses Board members for expenses associated with Board meetings and director education programs.</w:t>
      </w:r>
    </w:p>
    <w:p>
      <w:pPr>
        <w:spacing w:after="0" w:line="113"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The 2012 Long-Term Incentive Plan, as amended (the “2012 Plan”), was amended in 2017 to add an overall limit to non-employee directors’ compensation. The value of equity grants (based on the grant date value) plus the aggregate amount of cash fees earned or paid is limited to $500,000 per calendar year.</w:t>
      </w:r>
    </w:p>
    <w:p>
      <w:pPr>
        <w:spacing w:after="0" w:line="128" w:lineRule="exact"/>
        <w:rPr>
          <w:sz w:val="20"/>
          <w:szCs w:val="20"/>
          <w:color w:val="auto"/>
        </w:rPr>
      </w:pPr>
    </w:p>
    <w:p>
      <w:pPr>
        <w:ind w:right="100"/>
        <w:spacing w:after="0" w:line="244" w:lineRule="auto"/>
        <w:rPr>
          <w:sz w:val="20"/>
          <w:szCs w:val="20"/>
          <w:color w:val="auto"/>
        </w:rPr>
      </w:pPr>
      <w:r>
        <w:rPr>
          <w:rFonts w:ascii="Arial" w:cs="Arial" w:eastAsia="Arial" w:hAnsi="Arial"/>
          <w:sz w:val="18"/>
          <w:szCs w:val="18"/>
          <w:color w:val="auto"/>
        </w:rPr>
        <w:t>A comparison against the compensation programs of a peer group is generally performed every two years, and a study was last performed and reviewed by the Human Resources Committee in December 2020. At that time, the Human Resources Committee recommended to the Board, and the Board approved, increasing the value of the annual retainer from $105,000 to $110,000, the annual equity grant from $120,000 to $140,000, and the committee chair retainers from $15,000 to $20,000. These changes went into effect in May 2021. The Consultant concluded that the new amounts were within the competitive range.</w:t>
      </w:r>
    </w:p>
    <w:p>
      <w:pPr>
        <w:spacing w:after="0" w:line="138"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Director Stock Ownership Policy</w:t>
      </w:r>
    </w:p>
    <w:p>
      <w:pPr>
        <w:spacing w:after="0" w:line="197" w:lineRule="exact"/>
        <w:rPr>
          <w:sz w:val="20"/>
          <w:szCs w:val="20"/>
          <w:color w:val="auto"/>
        </w:rPr>
      </w:pPr>
    </w:p>
    <w:p>
      <w:pPr>
        <w:ind w:right="100"/>
        <w:spacing w:after="0" w:line="271" w:lineRule="auto"/>
        <w:rPr>
          <w:sz w:val="20"/>
          <w:szCs w:val="20"/>
          <w:color w:val="auto"/>
        </w:rPr>
      </w:pPr>
      <w:r>
        <w:rPr>
          <w:rFonts w:ascii="Arial" w:cs="Arial" w:eastAsia="Arial" w:hAnsi="Arial"/>
          <w:sz w:val="18"/>
          <w:szCs w:val="18"/>
          <w:color w:val="auto"/>
        </w:rPr>
        <w:t>The Company believes that directors should have a meaningful financial stake in the Company to align their personal financial interests with those of the Company’s shareholders.</w:t>
      </w:r>
    </w:p>
    <w:p>
      <w:pPr>
        <w:spacing w:after="0" w:line="113" w:lineRule="exact"/>
        <w:rPr>
          <w:sz w:val="20"/>
          <w:szCs w:val="20"/>
          <w:color w:val="auto"/>
        </w:rPr>
      </w:pPr>
    </w:p>
    <w:p>
      <w:pPr>
        <w:ind w:right="40"/>
        <w:spacing w:after="0"/>
        <w:rPr>
          <w:sz w:val="20"/>
          <w:szCs w:val="20"/>
          <w:color w:val="auto"/>
        </w:rPr>
      </w:pPr>
      <w:r>
        <w:rPr>
          <w:rFonts w:ascii="Arial" w:cs="Arial" w:eastAsia="Arial" w:hAnsi="Arial"/>
          <w:sz w:val="18"/>
          <w:szCs w:val="18"/>
          <w:color w:val="auto"/>
        </w:rPr>
        <w:t>In December 2019, the Board amended the Company’s stock ownership policy for non-management directors to increase the holding requirement. Each director is required to hold or control Company common stock, RSUs, or SUs with a value of at least five times the annual cash retainer fee paid to directors. Directors will have three years from the date of the adoption of the amendment to meet the new requirement; newly elected directors will have six years following the date they become a director to reach the required ownership level. The Corporate Governance and Public Responsibility Committee may grant exceptions to this policy for hardship or other special circumstances. Directors may not engage in any speculative trading, hedging, or derivative security transaction (including any financial instrument such as a prepaid variable forward contract, equity swap, collar, short-sales, or exchange fund) that involves or references Company securities. In addition, Directors may not pledge, margin or otherwise grant an economic interest in any shares of Company stock.</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color w:val="auto"/>
        </w:rPr>
        <w:t>All of the Directors are in compliance with the Director Stock Ownership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120650</wp:posOffset>
            </wp:positionV>
            <wp:extent cx="1191260" cy="23114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6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5" w:right="359" w:bottom="1440" w:gutter="0" w:footer="0" w:header="0"/>
          <w:type w:val="continuous"/>
        </w:sectPr>
      </w:pPr>
    </w:p>
    <w:bookmarkStart w:id="63" w:name="page64"/>
    <w:bookmarkEnd w:id="6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82"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132320" cy="514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187960</wp:posOffset>
            </wp:positionV>
            <wp:extent cx="7132320" cy="84010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132320" cy="840105"/>
                    </a:xfrm>
                    <a:prstGeom prst="rect">
                      <a:avLst/>
                    </a:prstGeom>
                    <a:noFill/>
                  </pic:spPr>
                </pic:pic>
              </a:graphicData>
            </a:graphic>
          </wp:anchor>
        </w:drawing>
      </w:r>
    </w:p>
    <w:p>
      <w:pPr>
        <w:spacing w:after="0" w:line="380" w:lineRule="exact"/>
        <w:rPr>
          <w:sz w:val="20"/>
          <w:szCs w:val="20"/>
          <w:color w:val="auto"/>
        </w:rPr>
      </w:pPr>
    </w:p>
    <w:p>
      <w:pPr>
        <w:ind w:left="160"/>
        <w:spacing w:after="0"/>
        <w:rPr>
          <w:sz w:val="20"/>
          <w:szCs w:val="20"/>
          <w:color w:val="auto"/>
        </w:rPr>
      </w:pPr>
      <w:r>
        <w:rPr>
          <w:rFonts w:ascii="Arial" w:cs="Arial" w:eastAsia="Arial" w:hAnsi="Arial"/>
          <w:sz w:val="32"/>
          <w:szCs w:val="32"/>
          <w:b w:val="1"/>
          <w:bCs w:val="1"/>
          <w:color w:val="355675"/>
        </w:rPr>
        <w:t>Proposal 2: Advisory Vote on Executive Compensation</w:t>
      </w:r>
    </w:p>
    <w:p>
      <w:pPr>
        <w:spacing w:after="0" w:line="29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The Board of Directors unanimously recommends a vote </w:t>
      </w:r>
      <w:r>
        <w:rPr>
          <w:rFonts w:ascii="Arial" w:cs="Arial" w:eastAsia="Arial" w:hAnsi="Arial"/>
          <w:sz w:val="18"/>
          <w:szCs w:val="18"/>
          <w:b w:val="1"/>
          <w:bCs w:val="1"/>
          <w:color w:val="355675"/>
        </w:rPr>
        <w:t>FOR</w:t>
      </w:r>
      <w:r>
        <w:rPr>
          <w:rFonts w:ascii="Arial" w:cs="Arial" w:eastAsia="Arial" w:hAnsi="Arial"/>
          <w:sz w:val="18"/>
          <w:szCs w:val="18"/>
          <w:color w:val="auto"/>
        </w:rPr>
        <w:t xml:space="preserve"> the approval of the Company’s executive compensation</w:t>
      </w:r>
    </w:p>
    <w:p>
      <w:pPr>
        <w:spacing w:after="0" w:line="200" w:lineRule="exact"/>
        <w:rPr>
          <w:sz w:val="20"/>
          <w:szCs w:val="20"/>
          <w:color w:val="auto"/>
        </w:rPr>
      </w:pPr>
    </w:p>
    <w:p>
      <w:pPr>
        <w:spacing w:after="0" w:line="322" w:lineRule="exact"/>
        <w:rPr>
          <w:sz w:val="20"/>
          <w:szCs w:val="20"/>
          <w:color w:val="auto"/>
        </w:rPr>
      </w:pPr>
    </w:p>
    <w:p>
      <w:pPr>
        <w:ind w:right="20"/>
        <w:spacing w:after="0" w:line="242" w:lineRule="auto"/>
        <w:rPr>
          <w:sz w:val="20"/>
          <w:szCs w:val="20"/>
          <w:color w:val="auto"/>
        </w:rPr>
      </w:pPr>
      <w:r>
        <w:rPr>
          <w:rFonts w:ascii="Arial" w:cs="Arial" w:eastAsia="Arial" w:hAnsi="Arial"/>
          <w:sz w:val="18"/>
          <w:szCs w:val="18"/>
          <w:color w:val="auto"/>
        </w:rPr>
        <w:t>Section 14A of the Exchange Act requires U.S. public corporations to provide for an advisory (non-binding) vote on executive compensation. As discussed in more detail in our CD&amp;A and the accompanying tables and narrative, the Company has designed its executive compensation program to align executives’ interests with those of our shareholders, make executives accountable for business and individual performance by putting pay at risk, and attract, retain and reward the executive talent required to achieve our corporate objectives and to increase long-term shareholder value. We believe that our compensation policies and practices promote a pay at risk philosophy and, as such, are aligned with the interests of our shareholders.</w:t>
      </w:r>
    </w:p>
    <w:p>
      <w:pPr>
        <w:spacing w:after="0" w:line="138" w:lineRule="exact"/>
        <w:rPr>
          <w:sz w:val="20"/>
          <w:szCs w:val="20"/>
          <w:color w:val="auto"/>
        </w:rPr>
      </w:pPr>
    </w:p>
    <w:p>
      <w:pPr>
        <w:spacing w:after="0"/>
        <w:rPr>
          <w:sz w:val="20"/>
          <w:szCs w:val="20"/>
          <w:color w:val="auto"/>
        </w:rPr>
      </w:pPr>
      <w:r>
        <w:rPr>
          <w:rFonts w:ascii="Arial" w:cs="Arial" w:eastAsia="Arial" w:hAnsi="Arial"/>
          <w:sz w:val="18"/>
          <w:szCs w:val="18"/>
          <w:color w:val="auto"/>
        </w:rPr>
        <w:t>In deciding how to vote on this say-on-pay proposal, the Board points out the following factors, many of which are more fully discussed in the</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CD&amp;A:</w:t>
      </w:r>
    </w:p>
    <w:p>
      <w:pPr>
        <w:spacing w:after="0" w:line="153" w:lineRule="exact"/>
        <w:rPr>
          <w:sz w:val="20"/>
          <w:szCs w:val="20"/>
          <w:color w:val="auto"/>
        </w:rPr>
      </w:pPr>
    </w:p>
    <w:p>
      <w:pPr>
        <w:ind w:left="260" w:right="180" w:hanging="252"/>
        <w:spacing w:after="0" w:line="271" w:lineRule="auto"/>
        <w:tabs>
          <w:tab w:leader="none" w:pos="260" w:val="left"/>
        </w:tabs>
        <w:numPr>
          <w:ilvl w:val="0"/>
          <w:numId w:val="54"/>
        </w:numPr>
        <w:rPr>
          <w:rFonts w:ascii="Arial" w:cs="Arial" w:eastAsia="Arial" w:hAnsi="Arial"/>
          <w:sz w:val="18"/>
          <w:szCs w:val="18"/>
          <w:b w:val="1"/>
          <w:bCs w:val="1"/>
          <w:color w:val="355675"/>
        </w:rPr>
      </w:pPr>
      <w:r>
        <w:rPr>
          <w:rFonts w:ascii="Arial" w:cs="Arial" w:eastAsia="Arial" w:hAnsi="Arial"/>
          <w:sz w:val="18"/>
          <w:szCs w:val="18"/>
          <w:color w:val="auto"/>
        </w:rPr>
        <w:t>Our Human Resources Committee has designed the compensation packages for our NEOs to depend significantly on putting pay at risk by tying pay to the achievement of goals that the Human Resources Committee believes drive long-term shareholder value;</w:t>
      </w:r>
    </w:p>
    <w:p>
      <w:pPr>
        <w:spacing w:after="0" w:line="113" w:lineRule="exact"/>
        <w:rPr>
          <w:rFonts w:ascii="Arial" w:cs="Arial" w:eastAsia="Arial" w:hAnsi="Arial"/>
          <w:sz w:val="18"/>
          <w:szCs w:val="18"/>
          <w:b w:val="1"/>
          <w:bCs w:val="1"/>
          <w:color w:val="355675"/>
        </w:rPr>
      </w:pPr>
    </w:p>
    <w:p>
      <w:pPr>
        <w:ind w:left="260" w:hanging="252"/>
        <w:spacing w:after="0"/>
        <w:tabs>
          <w:tab w:leader="none" w:pos="260" w:val="left"/>
        </w:tabs>
        <w:numPr>
          <w:ilvl w:val="0"/>
          <w:numId w:val="54"/>
        </w:numPr>
        <w:rPr>
          <w:rFonts w:ascii="Arial" w:cs="Arial" w:eastAsia="Arial" w:hAnsi="Arial"/>
          <w:sz w:val="18"/>
          <w:szCs w:val="18"/>
          <w:b w:val="1"/>
          <w:bCs w:val="1"/>
          <w:color w:val="355675"/>
        </w:rPr>
      </w:pPr>
      <w:r>
        <w:rPr>
          <w:rFonts w:ascii="Arial" w:cs="Arial" w:eastAsia="Arial" w:hAnsi="Arial"/>
          <w:sz w:val="18"/>
          <w:szCs w:val="18"/>
          <w:color w:val="auto"/>
        </w:rPr>
        <w:t>Our pay practices are designed to encourage management to not take unacceptable risks;</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54"/>
        </w:numPr>
        <w:rPr>
          <w:rFonts w:ascii="Arial" w:cs="Arial" w:eastAsia="Arial" w:hAnsi="Arial"/>
          <w:sz w:val="18"/>
          <w:szCs w:val="18"/>
          <w:b w:val="1"/>
          <w:bCs w:val="1"/>
          <w:color w:val="355675"/>
        </w:rPr>
      </w:pPr>
      <w:r>
        <w:rPr>
          <w:rFonts w:ascii="Arial" w:cs="Arial" w:eastAsia="Arial" w:hAnsi="Arial"/>
          <w:sz w:val="18"/>
          <w:szCs w:val="18"/>
          <w:color w:val="auto"/>
        </w:rPr>
        <w:t>We engage in periodic structural reviews of our compensation programs and policies; and</w:t>
      </w:r>
    </w:p>
    <w:p>
      <w:pPr>
        <w:spacing w:after="0" w:line="171" w:lineRule="exact"/>
        <w:rPr>
          <w:rFonts w:ascii="Arial" w:cs="Arial" w:eastAsia="Arial" w:hAnsi="Arial"/>
          <w:sz w:val="18"/>
          <w:szCs w:val="18"/>
          <w:b w:val="1"/>
          <w:bCs w:val="1"/>
          <w:color w:val="355675"/>
        </w:rPr>
      </w:pPr>
    </w:p>
    <w:p>
      <w:pPr>
        <w:ind w:left="260" w:right="340" w:hanging="252"/>
        <w:spacing w:after="0" w:line="271" w:lineRule="auto"/>
        <w:tabs>
          <w:tab w:leader="none" w:pos="260" w:val="left"/>
        </w:tabs>
        <w:numPr>
          <w:ilvl w:val="0"/>
          <w:numId w:val="54"/>
        </w:numPr>
        <w:rPr>
          <w:rFonts w:ascii="Arial" w:cs="Arial" w:eastAsia="Arial" w:hAnsi="Arial"/>
          <w:sz w:val="18"/>
          <w:szCs w:val="18"/>
          <w:b w:val="1"/>
          <w:bCs w:val="1"/>
          <w:color w:val="355675"/>
        </w:rPr>
      </w:pPr>
      <w:r>
        <w:rPr>
          <w:rFonts w:ascii="Arial" w:cs="Arial" w:eastAsia="Arial" w:hAnsi="Arial"/>
          <w:sz w:val="18"/>
          <w:szCs w:val="18"/>
          <w:color w:val="auto"/>
        </w:rPr>
        <w:t>We believe that the Company’s executive compensation program is well suited to promote the Company’s objectives in both the short-and long-term.</w:t>
      </w:r>
    </w:p>
    <w:p>
      <w:pPr>
        <w:spacing w:after="0" w:line="127" w:lineRule="exact"/>
        <w:rPr>
          <w:sz w:val="20"/>
          <w:szCs w:val="20"/>
          <w:color w:val="auto"/>
        </w:rPr>
      </w:pPr>
    </w:p>
    <w:p>
      <w:pPr>
        <w:ind w:right="220"/>
        <w:spacing w:after="0" w:line="271" w:lineRule="auto"/>
        <w:rPr>
          <w:sz w:val="20"/>
          <w:szCs w:val="20"/>
          <w:color w:val="auto"/>
        </w:rPr>
      </w:pPr>
      <w:r>
        <w:rPr>
          <w:rFonts w:ascii="Arial" w:cs="Arial" w:eastAsia="Arial" w:hAnsi="Arial"/>
          <w:sz w:val="18"/>
          <w:szCs w:val="18"/>
          <w:color w:val="auto"/>
        </w:rPr>
        <w:t>The Board endorses the Company’s executive compensation program and recommends that the shareholders vote in favor of the following resolution:</w:t>
      </w:r>
    </w:p>
    <w:p>
      <w:pPr>
        <w:spacing w:after="0" w:line="113" w:lineRule="exact"/>
        <w:rPr>
          <w:sz w:val="20"/>
          <w:szCs w:val="20"/>
          <w:color w:val="auto"/>
        </w:rPr>
      </w:pPr>
    </w:p>
    <w:p>
      <w:pPr>
        <w:ind w:left="340" w:right="100"/>
        <w:spacing w:after="0" w:line="271" w:lineRule="auto"/>
        <w:rPr>
          <w:sz w:val="20"/>
          <w:szCs w:val="20"/>
          <w:color w:val="auto"/>
        </w:rPr>
      </w:pPr>
      <w:r>
        <w:rPr>
          <w:rFonts w:ascii="Arial" w:cs="Arial" w:eastAsia="Arial" w:hAnsi="Arial"/>
          <w:sz w:val="18"/>
          <w:szCs w:val="18"/>
          <w:color w:val="auto"/>
        </w:rPr>
        <w:t>RESOLVED, that the compensation paid to the Company’s Named Executive Officers as disclosed in this Proxy Statement in the CD&amp;A, the compensation tables and the narrative discussion, is hereby approved.</w:t>
      </w:r>
    </w:p>
    <w:p>
      <w:pPr>
        <w:spacing w:after="0" w:line="113" w:lineRule="exact"/>
        <w:rPr>
          <w:sz w:val="20"/>
          <w:szCs w:val="20"/>
          <w:color w:val="auto"/>
        </w:rPr>
      </w:pPr>
    </w:p>
    <w:p>
      <w:pPr>
        <w:ind w:right="640"/>
        <w:spacing w:after="0" w:line="271" w:lineRule="auto"/>
        <w:rPr>
          <w:sz w:val="20"/>
          <w:szCs w:val="20"/>
          <w:color w:val="auto"/>
        </w:rPr>
      </w:pPr>
      <w:r>
        <w:rPr>
          <w:rFonts w:ascii="Arial" w:cs="Arial" w:eastAsia="Arial" w:hAnsi="Arial"/>
          <w:sz w:val="18"/>
          <w:szCs w:val="18"/>
          <w:color w:val="auto"/>
        </w:rPr>
        <w:t>Because your vote is advisory, it will not be binding upon the Human Resources Committee or the Board. However, we value our shareholders’ opinions, and we will consider the outcome of the vote when determining future executive compensation arrangements.</w:t>
      </w:r>
    </w:p>
    <w:p>
      <w:pPr>
        <w:spacing w:after="0" w:line="136"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55</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64" w:name="page65"/>
    <w:bookmarkEnd w:id="6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56"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Human Resources Committee Report</w:t>
      </w:r>
    </w:p>
    <w:p>
      <w:pPr>
        <w:spacing w:after="0" w:line="203" w:lineRule="exact"/>
        <w:rPr>
          <w:sz w:val="20"/>
          <w:szCs w:val="20"/>
          <w:color w:val="auto"/>
        </w:rPr>
      </w:pPr>
    </w:p>
    <w:p>
      <w:pPr>
        <w:spacing w:after="0"/>
        <w:rPr>
          <w:sz w:val="20"/>
          <w:szCs w:val="20"/>
          <w:color w:val="auto"/>
        </w:rPr>
      </w:pPr>
      <w:r>
        <w:rPr>
          <w:rFonts w:ascii="Arial" w:cs="Arial" w:eastAsia="Arial" w:hAnsi="Arial"/>
          <w:sz w:val="18"/>
          <w:szCs w:val="18"/>
          <w:color w:val="auto"/>
        </w:rPr>
        <w:t>The Human Resources Committee submitted the following report:</w:t>
      </w:r>
    </w:p>
    <w:p>
      <w:pPr>
        <w:spacing w:after="0" w:line="171" w:lineRule="exact"/>
        <w:rPr>
          <w:sz w:val="20"/>
          <w:szCs w:val="20"/>
          <w:color w:val="auto"/>
        </w:rPr>
      </w:pPr>
    </w:p>
    <w:p>
      <w:pPr>
        <w:spacing w:after="0" w:line="271" w:lineRule="auto"/>
        <w:rPr>
          <w:sz w:val="20"/>
          <w:szCs w:val="20"/>
          <w:color w:val="auto"/>
        </w:rPr>
      </w:pPr>
      <w:r>
        <w:rPr>
          <w:rFonts w:ascii="Arial" w:cs="Arial" w:eastAsia="Arial" w:hAnsi="Arial"/>
          <w:sz w:val="18"/>
          <w:szCs w:val="18"/>
          <w:color w:val="auto"/>
        </w:rPr>
        <w:t>The Human Resources Committee is composed of non-employee directors, each of whom is independent as defined by NYSE rules and the Company’s Director Independence Standards.</w:t>
      </w:r>
    </w:p>
    <w:p>
      <w:pPr>
        <w:spacing w:after="0" w:line="113" w:lineRule="exact"/>
        <w:rPr>
          <w:sz w:val="20"/>
          <w:szCs w:val="20"/>
          <w:color w:val="auto"/>
        </w:rPr>
      </w:pPr>
    </w:p>
    <w:p>
      <w:pPr>
        <w:ind w:right="140"/>
        <w:spacing w:after="0" w:line="253" w:lineRule="auto"/>
        <w:rPr>
          <w:sz w:val="20"/>
          <w:szCs w:val="20"/>
          <w:color w:val="auto"/>
        </w:rPr>
      </w:pPr>
      <w:r>
        <w:rPr>
          <w:rFonts w:ascii="Arial" w:cs="Arial" w:eastAsia="Arial" w:hAnsi="Arial"/>
          <w:sz w:val="18"/>
          <w:szCs w:val="18"/>
          <w:color w:val="auto"/>
        </w:rPr>
        <w:t>In accordance with SEC rules, the Human Resources Committee discussed and reviewed the Compensation Discussion and Analysis with management and, based on those discussions and review, the Human Resources Committee recommended to the Board that the Compensation Discussion and Analysis be included in this Proxy Statement.</w:t>
      </w:r>
    </w:p>
    <w:p>
      <w:pPr>
        <w:sectPr>
          <w:pgSz w:w="11900" w:h="16838" w:orient="portrait"/>
          <w:cols w:equalWidth="0" w:num="1">
            <w:col w:w="11160"/>
          </w:cols>
          <w:pgMar w:left="320" w:top="125" w:right="419" w:bottom="1440" w:gutter="0" w:footer="0" w:header="0"/>
        </w:sectPr>
      </w:pP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color w:val="auto"/>
        </w:rPr>
        <w:t>HUMAN RESOURCES COMMITTEE CHAIR</w:t>
      </w:r>
    </w:p>
    <w:p>
      <w:pPr>
        <w:spacing w:after="0" w:line="20" w:lineRule="exact"/>
        <w:rPr>
          <w:sz w:val="20"/>
          <w:szCs w:val="20"/>
          <w:color w:val="auto"/>
        </w:rPr>
      </w:pPr>
      <w:r>
        <w:rPr>
          <w:sz w:val="20"/>
          <w:szCs w:val="20"/>
          <w:color w:val="auto"/>
        </w:rPr>
        <w:br w:type="column"/>
      </w:r>
    </w:p>
    <w:p>
      <w:pPr>
        <w:spacing w:after="0" w:line="135" w:lineRule="exact"/>
        <w:rPr>
          <w:sz w:val="20"/>
          <w:szCs w:val="20"/>
          <w:color w:val="auto"/>
        </w:rPr>
      </w:pPr>
    </w:p>
    <w:p>
      <w:pPr>
        <w:spacing w:after="0"/>
        <w:rPr>
          <w:sz w:val="20"/>
          <w:szCs w:val="20"/>
          <w:color w:val="auto"/>
        </w:rPr>
      </w:pPr>
      <w:r>
        <w:rPr>
          <w:rFonts w:ascii="Arial" w:cs="Arial" w:eastAsia="Arial" w:hAnsi="Arial"/>
          <w:sz w:val="17"/>
          <w:szCs w:val="17"/>
          <w:color w:val="auto"/>
        </w:rPr>
        <w:t>HUMAN RESOURCES COMMITTEE MEMBERS</w:t>
      </w:r>
    </w:p>
    <w:p>
      <w:pPr>
        <w:spacing w:after="0" w:line="43" w:lineRule="exact"/>
        <w:rPr>
          <w:sz w:val="20"/>
          <w:szCs w:val="20"/>
          <w:color w:val="auto"/>
        </w:rPr>
      </w:pPr>
    </w:p>
    <w:p>
      <w:pPr>
        <w:sectPr>
          <w:pgSz w:w="11900" w:h="16838" w:orient="portrait"/>
          <w:cols w:equalWidth="0" w:num="2">
            <w:col w:w="5520" w:space="720"/>
            <w:col w:w="4920"/>
          </w:cols>
          <w:pgMar w:left="320" w:top="125" w:right="419" w:bottom="1440" w:gutter="0" w:footer="0" w:header="0"/>
          <w:type w:val="continuous"/>
        </w:sectPr>
      </w:pPr>
    </w:p>
    <w:p>
      <w:pPr>
        <w:spacing w:after="0"/>
        <w:rPr>
          <w:sz w:val="20"/>
          <w:szCs w:val="20"/>
          <w:color w:val="auto"/>
        </w:rPr>
      </w:pPr>
      <w:r>
        <w:rPr>
          <w:rFonts w:ascii="Arial" w:cs="Arial" w:eastAsia="Arial" w:hAnsi="Arial"/>
          <w:sz w:val="17"/>
          <w:szCs w:val="17"/>
          <w:b w:val="1"/>
          <w:bCs w:val="1"/>
          <w:color w:val="355675"/>
        </w:rPr>
        <w:t>Richard P. Fox</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b w:val="1"/>
          <w:bCs w:val="1"/>
          <w:color w:val="355675"/>
        </w:rPr>
        <w:t>Denis A. Cortese, M.D.</w:t>
      </w:r>
    </w:p>
    <w:p>
      <w:pPr>
        <w:spacing w:after="0"/>
        <w:rPr>
          <w:sz w:val="20"/>
          <w:szCs w:val="20"/>
          <w:color w:val="auto"/>
        </w:rPr>
      </w:pPr>
      <w:r>
        <w:rPr>
          <w:rFonts w:ascii="Arial" w:cs="Arial" w:eastAsia="Arial" w:hAnsi="Arial"/>
          <w:sz w:val="18"/>
          <w:szCs w:val="18"/>
          <w:b w:val="1"/>
          <w:bCs w:val="1"/>
          <w:color w:val="355675"/>
        </w:rPr>
        <w:t>Kathryn L. Munro</w:t>
      </w:r>
    </w:p>
    <w:p>
      <w:pPr>
        <w:spacing w:after="0" w:line="234" w:lineRule="auto"/>
        <w:rPr>
          <w:sz w:val="20"/>
          <w:szCs w:val="20"/>
          <w:color w:val="auto"/>
        </w:rPr>
      </w:pPr>
      <w:r>
        <w:rPr>
          <w:rFonts w:ascii="Arial" w:cs="Arial" w:eastAsia="Arial" w:hAnsi="Arial"/>
          <w:sz w:val="18"/>
          <w:szCs w:val="18"/>
          <w:b w:val="1"/>
          <w:bCs w:val="1"/>
          <w:color w:val="355675"/>
        </w:rPr>
        <w:t>Bruce J. Nordstrom</w:t>
      </w:r>
    </w:p>
    <w:p>
      <w:pPr>
        <w:spacing w:after="0" w:line="235" w:lineRule="auto"/>
        <w:rPr>
          <w:sz w:val="20"/>
          <w:szCs w:val="20"/>
          <w:color w:val="auto"/>
        </w:rPr>
      </w:pPr>
      <w:r>
        <w:rPr>
          <w:rFonts w:ascii="Arial" w:cs="Arial" w:eastAsia="Arial" w:hAnsi="Arial"/>
          <w:sz w:val="18"/>
          <w:szCs w:val="18"/>
          <w:b w:val="1"/>
          <w:bCs w:val="1"/>
          <w:color w:val="355675"/>
        </w:rPr>
        <w:t>William H. Spence</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b w:val="1"/>
          <w:bCs w:val="1"/>
          <w:color w:val="355675"/>
        </w:rPr>
        <w:t>James E. Trevathan, Jr.</w:t>
      </w:r>
    </w:p>
    <w:p>
      <w:pPr>
        <w:spacing w:after="0" w:line="177" w:lineRule="exact"/>
        <w:rPr>
          <w:sz w:val="20"/>
          <w:szCs w:val="20"/>
          <w:color w:val="auto"/>
        </w:rPr>
      </w:pPr>
    </w:p>
    <w:p>
      <w:pPr>
        <w:sectPr>
          <w:pgSz w:w="11900" w:h="16838" w:orient="portrait"/>
          <w:cols w:equalWidth="0" w:num="2">
            <w:col w:w="5520" w:space="720"/>
            <w:col w:w="4920"/>
          </w:cols>
          <w:pgMar w:left="320" w:top="125" w:right="419" w:bottom="1440" w:gutter="0" w:footer="0" w:header="0"/>
          <w:type w:val="continuous"/>
        </w:sectPr>
      </w:pPr>
    </w:p>
    <w:p>
      <w:pPr>
        <w:spacing w:after="0"/>
        <w:rPr>
          <w:sz w:val="20"/>
          <w:szCs w:val="20"/>
          <w:color w:val="auto"/>
        </w:rPr>
      </w:pPr>
      <w:r>
        <w:rPr>
          <w:rFonts w:ascii="Arial" w:cs="Arial" w:eastAsia="Arial" w:hAnsi="Arial"/>
          <w:sz w:val="40"/>
          <w:szCs w:val="40"/>
          <w:b w:val="1"/>
          <w:bCs w:val="1"/>
          <w:color w:val="008C9F"/>
        </w:rPr>
        <w:t>Compensation Discussion and Analysis (“CD&amp;A”)</w:t>
      </w:r>
    </w:p>
    <w:p>
      <w:pPr>
        <w:spacing w:after="0" w:line="178"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Named Executive Officers</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color w:val="auto"/>
        </w:rPr>
        <w:t>Our NEOs for 2021 were: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120650</wp:posOffset>
            </wp:positionV>
            <wp:extent cx="1028700" cy="6769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1028700" cy="676910"/>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120650</wp:posOffset>
            </wp:positionV>
            <wp:extent cx="1028700" cy="6686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1028700" cy="668655"/>
                    </a:xfrm>
                    <a:prstGeom prst="rect">
                      <a:avLst/>
                    </a:prstGeom>
                    <a:noFill/>
                  </pic:spPr>
                </pic:pic>
              </a:graphicData>
            </a:graphic>
          </wp:anchor>
        </w:drawing>
        <w:drawing>
          <wp:anchor simplePos="0" relativeHeight="251657728" behindDoc="1" locked="0" layoutInCell="0" allowOverlap="1">
            <wp:simplePos x="0" y="0"/>
            <wp:positionH relativeFrom="column">
              <wp:posOffset>5002530</wp:posOffset>
            </wp:positionH>
            <wp:positionV relativeFrom="paragraph">
              <wp:posOffset>120650</wp:posOffset>
            </wp:positionV>
            <wp:extent cx="1028700" cy="6686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1028700" cy="668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3560" w:type="dxa"/>
            <w:vAlign w:val="bottom"/>
          </w:tcPr>
          <w:p>
            <w:pPr>
              <w:spacing w:after="0"/>
              <w:rPr>
                <w:sz w:val="20"/>
                <w:szCs w:val="20"/>
                <w:color w:val="auto"/>
              </w:rPr>
            </w:pPr>
            <w:r>
              <w:rPr>
                <w:rFonts w:ascii="Arial" w:cs="Arial" w:eastAsia="Arial" w:hAnsi="Arial"/>
                <w:sz w:val="16"/>
                <w:szCs w:val="16"/>
                <w:b w:val="1"/>
                <w:bCs w:val="1"/>
                <w:color w:val="355675"/>
              </w:rPr>
              <w:t>Jeffrey B. Guldner</w:t>
            </w:r>
          </w:p>
        </w:tc>
        <w:tc>
          <w:tcPr>
            <w:tcW w:w="3840" w:type="dxa"/>
            <w:vAlign w:val="bottom"/>
          </w:tcPr>
          <w:p>
            <w:pPr>
              <w:ind w:left="400"/>
              <w:spacing w:after="0"/>
              <w:rPr>
                <w:sz w:val="20"/>
                <w:szCs w:val="20"/>
                <w:color w:val="auto"/>
              </w:rPr>
            </w:pPr>
            <w:r>
              <w:rPr>
                <w:rFonts w:ascii="Arial" w:cs="Arial" w:eastAsia="Arial" w:hAnsi="Arial"/>
                <w:sz w:val="16"/>
                <w:szCs w:val="16"/>
                <w:b w:val="1"/>
                <w:bCs w:val="1"/>
                <w:color w:val="355675"/>
              </w:rPr>
              <w:t>Theodore N. Geisler</w:t>
            </w:r>
          </w:p>
        </w:tc>
        <w:tc>
          <w:tcPr>
            <w:tcW w:w="3340" w:type="dxa"/>
            <w:vAlign w:val="bottom"/>
          </w:tcPr>
          <w:p>
            <w:pPr>
              <w:ind w:left="480"/>
              <w:spacing w:after="0"/>
              <w:rPr>
                <w:sz w:val="20"/>
                <w:szCs w:val="20"/>
                <w:color w:val="auto"/>
              </w:rPr>
            </w:pPr>
            <w:r>
              <w:rPr>
                <w:rFonts w:ascii="Arial" w:cs="Arial" w:eastAsia="Arial" w:hAnsi="Arial"/>
                <w:sz w:val="16"/>
                <w:szCs w:val="16"/>
                <w:b w:val="1"/>
                <w:bCs w:val="1"/>
                <w:color w:val="355675"/>
              </w:rPr>
              <w:t>James R. Hatfield</w:t>
            </w:r>
          </w:p>
        </w:tc>
      </w:tr>
      <w:tr>
        <w:trPr>
          <w:trHeight w:val="189"/>
        </w:trPr>
        <w:tc>
          <w:tcPr>
            <w:tcW w:w="3560" w:type="dxa"/>
            <w:vAlign w:val="bottom"/>
          </w:tcPr>
          <w:p>
            <w:pPr>
              <w:spacing w:after="0"/>
              <w:rPr>
                <w:sz w:val="20"/>
                <w:szCs w:val="20"/>
                <w:color w:val="auto"/>
              </w:rPr>
            </w:pPr>
            <w:r>
              <w:rPr>
                <w:rFonts w:ascii="Arial" w:cs="Arial" w:eastAsia="Arial" w:hAnsi="Arial"/>
                <w:sz w:val="16"/>
                <w:szCs w:val="16"/>
                <w:color w:val="auto"/>
              </w:rPr>
              <w:t>Chairman of the Board, President and Chief</w:t>
            </w:r>
          </w:p>
        </w:tc>
        <w:tc>
          <w:tcPr>
            <w:tcW w:w="3840" w:type="dxa"/>
            <w:vAlign w:val="bottom"/>
          </w:tcPr>
          <w:p>
            <w:pPr>
              <w:ind w:left="400"/>
              <w:spacing w:after="0"/>
              <w:rPr>
                <w:sz w:val="20"/>
                <w:szCs w:val="20"/>
                <w:color w:val="auto"/>
              </w:rPr>
            </w:pPr>
            <w:r>
              <w:rPr>
                <w:rFonts w:ascii="Arial" w:cs="Arial" w:eastAsia="Arial" w:hAnsi="Arial"/>
                <w:sz w:val="16"/>
                <w:szCs w:val="16"/>
                <w:color w:val="auto"/>
              </w:rPr>
              <w:t>Senior Vice President and Chief Financial</w:t>
            </w:r>
          </w:p>
        </w:tc>
        <w:tc>
          <w:tcPr>
            <w:tcW w:w="3340" w:type="dxa"/>
            <w:vAlign w:val="bottom"/>
          </w:tcPr>
          <w:p>
            <w:pPr>
              <w:ind w:left="480"/>
              <w:spacing w:after="0"/>
              <w:rPr>
                <w:sz w:val="20"/>
                <w:szCs w:val="20"/>
                <w:color w:val="auto"/>
              </w:rPr>
            </w:pPr>
            <w:r>
              <w:rPr>
                <w:rFonts w:ascii="Arial" w:cs="Arial" w:eastAsia="Arial" w:hAnsi="Arial"/>
                <w:sz w:val="16"/>
                <w:szCs w:val="16"/>
                <w:color w:val="auto"/>
              </w:rPr>
              <w:t>Advisor to the Chief Executive Officer of</w:t>
            </w:r>
          </w:p>
        </w:tc>
      </w:tr>
      <w:tr>
        <w:trPr>
          <w:trHeight w:val="361"/>
        </w:trPr>
        <w:tc>
          <w:tcPr>
            <w:tcW w:w="3560" w:type="dxa"/>
            <w:vAlign w:val="bottom"/>
          </w:tcPr>
          <w:p>
            <w:pPr>
              <w:spacing w:after="0"/>
              <w:rPr>
                <w:sz w:val="20"/>
                <w:szCs w:val="20"/>
                <w:color w:val="auto"/>
              </w:rPr>
            </w:pPr>
            <w:r>
              <w:rPr>
                <w:rFonts w:ascii="Arial" w:cs="Arial" w:eastAsia="Arial" w:hAnsi="Arial"/>
                <w:sz w:val="16"/>
                <w:szCs w:val="16"/>
                <w:color w:val="auto"/>
              </w:rPr>
              <w:t>Executive Officer of PNW and APS</w:t>
            </w:r>
          </w:p>
        </w:tc>
        <w:tc>
          <w:tcPr>
            <w:tcW w:w="3840" w:type="dxa"/>
            <w:vAlign w:val="bottom"/>
          </w:tcPr>
          <w:p>
            <w:pPr>
              <w:ind w:left="400"/>
              <w:spacing w:after="0"/>
              <w:rPr>
                <w:sz w:val="20"/>
                <w:szCs w:val="20"/>
                <w:color w:val="auto"/>
              </w:rPr>
            </w:pPr>
            <w:r>
              <w:rPr>
                <w:rFonts w:ascii="Arial" w:cs="Arial" w:eastAsia="Arial" w:hAnsi="Arial"/>
                <w:sz w:val="16"/>
                <w:szCs w:val="16"/>
                <w:color w:val="auto"/>
              </w:rPr>
              <w:t>Officer of PNW and APS</w:t>
            </w:r>
          </w:p>
        </w:tc>
        <w:tc>
          <w:tcPr>
            <w:tcW w:w="3340" w:type="dxa"/>
            <w:vAlign w:val="bottom"/>
          </w:tcPr>
          <w:p>
            <w:pPr>
              <w:ind w:left="480"/>
              <w:spacing w:after="0"/>
              <w:rPr>
                <w:sz w:val="20"/>
                <w:szCs w:val="20"/>
                <w:color w:val="auto"/>
              </w:rPr>
            </w:pPr>
            <w:r>
              <w:rPr>
                <w:rFonts w:ascii="Arial" w:cs="Arial" w:eastAsia="Arial" w:hAnsi="Arial"/>
                <w:sz w:val="16"/>
                <w:szCs w:val="16"/>
                <w:color w:val="auto"/>
              </w:rPr>
              <w:t>PNW</w:t>
            </w:r>
            <w:r>
              <w:rPr>
                <w:rFonts w:ascii="Arial" w:cs="Arial" w:eastAsia="Arial" w:hAnsi="Arial"/>
                <w:sz w:val="26"/>
                <w:szCs w:val="26"/>
                <w:color w:val="auto"/>
                <w:vertAlign w:val="superscript"/>
              </w:rPr>
              <w:t>(1)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53975</wp:posOffset>
            </wp:positionV>
            <wp:extent cx="1028700" cy="66865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1028700" cy="668655"/>
                    </a:xfrm>
                    <a:prstGeom prst="rect">
                      <a:avLst/>
                    </a:prstGeom>
                    <a:noFill/>
                  </pic:spPr>
                </pic:pic>
              </a:graphicData>
            </a:graphic>
          </wp:anchor>
        </w:drawing>
        <w:drawing>
          <wp:anchor simplePos="0" relativeHeight="251657728" behindDoc="1" locked="0" layoutInCell="0" allowOverlap="1">
            <wp:simplePos x="0" y="0"/>
            <wp:positionH relativeFrom="column">
              <wp:posOffset>2508250</wp:posOffset>
            </wp:positionH>
            <wp:positionV relativeFrom="paragraph">
              <wp:posOffset>53975</wp:posOffset>
            </wp:positionV>
            <wp:extent cx="1028700" cy="6686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028700" cy="668655"/>
                    </a:xfrm>
                    <a:prstGeom prst="rect">
                      <a:avLst/>
                    </a:prstGeom>
                    <a:noFill/>
                  </pic:spPr>
                </pic:pic>
              </a:graphicData>
            </a:graphic>
          </wp:anchor>
        </w:drawing>
      </w:r>
    </w:p>
    <w:p>
      <w:pPr>
        <w:sectPr>
          <w:pgSz w:w="11900" w:h="16838" w:orient="portrait"/>
          <w:cols w:equalWidth="0" w:num="1">
            <w:col w:w="11160"/>
          </w:cols>
          <w:pgMar w:left="320" w:top="125" w:right="4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b w:val="1"/>
          <w:bCs w:val="1"/>
          <w:color w:val="355675"/>
        </w:rPr>
        <w:t>Maria L. Lacal</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Executive Vice President and Chief Nuclear</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Officer of Palo Verde Generating Station,</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APS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Arial" w:cs="Arial" w:eastAsia="Arial" w:hAnsi="Arial"/>
          <w:sz w:val="16"/>
          <w:szCs w:val="16"/>
          <w:b w:val="1"/>
          <w:bCs w:val="1"/>
          <w:color w:val="355675"/>
        </w:rPr>
        <w:t>Robert E. Smith</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Executive Vice President, General Counsel</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and Chief Development Officer of PNW and</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APS</w:t>
      </w:r>
    </w:p>
    <w:p>
      <w:pPr>
        <w:spacing w:after="0" w:line="57" w:lineRule="exact"/>
        <w:rPr>
          <w:sz w:val="20"/>
          <w:szCs w:val="20"/>
          <w:color w:val="auto"/>
        </w:rPr>
      </w:pPr>
    </w:p>
    <w:p>
      <w:pPr>
        <w:sectPr>
          <w:pgSz w:w="11900" w:h="16838" w:orient="portrait"/>
          <w:cols w:equalWidth="0" w:num="2">
            <w:col w:w="3240" w:space="720"/>
            <w:col w:w="7200"/>
          </w:cols>
          <w:pgMar w:left="320" w:top="125" w:right="419" w:bottom="1440" w:gutter="0" w:footer="0" w:header="0"/>
          <w:type w:val="continuous"/>
        </w:sectPr>
      </w:pPr>
    </w:p>
    <w:p>
      <w:pPr>
        <w:ind w:left="300" w:hanging="292"/>
        <w:spacing w:after="0"/>
        <w:tabs>
          <w:tab w:leader="none" w:pos="300" w:val="left"/>
        </w:tabs>
        <w:numPr>
          <w:ilvl w:val="0"/>
          <w:numId w:val="55"/>
        </w:numPr>
        <w:rPr>
          <w:rFonts w:ascii="Arial" w:cs="Arial" w:eastAsia="Arial" w:hAnsi="Arial"/>
          <w:sz w:val="24"/>
          <w:szCs w:val="24"/>
          <w:color w:val="auto"/>
          <w:vertAlign w:val="superscript"/>
        </w:rPr>
      </w:pPr>
      <w:r>
        <w:rPr>
          <w:rFonts w:ascii="Arial" w:cs="Arial" w:eastAsia="Arial" w:hAnsi="Arial"/>
          <w:sz w:val="14"/>
          <w:szCs w:val="14"/>
          <w:color w:val="auto"/>
        </w:rPr>
        <w:t>Mr. Hatfield retired on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116205</wp:posOffset>
            </wp:positionV>
            <wp:extent cx="1191260" cy="23177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5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60"/>
          </w:cols>
          <w:pgMar w:left="320" w:top="125" w:right="419" w:bottom="1440" w:gutter="0" w:footer="0" w:header="0"/>
          <w:type w:val="continuous"/>
        </w:sectPr>
      </w:pPr>
    </w:p>
    <w:bookmarkStart w:id="65" w:name="page66"/>
    <w:bookmarkEnd w:id="6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Pay for Performance Overview</w:t>
      </w:r>
    </w:p>
    <w:p>
      <w:pPr>
        <w:spacing w:after="0" w:line="195"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Business Overview</w:t>
      </w:r>
    </w:p>
    <w:p>
      <w:pPr>
        <w:spacing w:after="0" w:line="195"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Pinnacle West is an electric utility holding company based in Phoenix, Arizona, one of the fastest-growing metropolitan areas in the United States. Through our principal subsidiary, APS, we provide retail electricity service to approximately 1.3 million customers in 11 of Arizona’s 15 counties.</w:t>
      </w:r>
    </w:p>
    <w:p>
      <w:pPr>
        <w:spacing w:after="0" w:line="128" w:lineRule="exact"/>
        <w:rPr>
          <w:sz w:val="20"/>
          <w:szCs w:val="20"/>
          <w:color w:val="auto"/>
        </w:rPr>
      </w:pPr>
    </w:p>
    <w:p>
      <w:pPr>
        <w:spacing w:after="0"/>
        <w:rPr>
          <w:sz w:val="20"/>
          <w:szCs w:val="20"/>
          <w:color w:val="auto"/>
        </w:rPr>
      </w:pPr>
      <w:r>
        <w:rPr>
          <w:rFonts w:ascii="Arial" w:cs="Arial" w:eastAsia="Arial" w:hAnsi="Arial"/>
          <w:sz w:val="18"/>
          <w:szCs w:val="18"/>
          <w:color w:val="auto"/>
        </w:rPr>
        <w:t>We have the full range of resources needed to satisfy customers’ expectations, support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4994275</wp:posOffset>
            </wp:positionH>
            <wp:positionV relativeFrom="paragraph">
              <wp:posOffset>-118745</wp:posOffset>
            </wp:positionV>
            <wp:extent cx="2143125" cy="21170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2143125" cy="211709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Arizona’s expanding economy and population, and deliver long-term value to shareholders:</w:t>
      </w:r>
    </w:p>
    <w:p>
      <w:pPr>
        <w:spacing w:after="0" w:line="167" w:lineRule="exact"/>
        <w:rPr>
          <w:sz w:val="20"/>
          <w:szCs w:val="20"/>
          <w:color w:val="auto"/>
        </w:rPr>
      </w:pPr>
    </w:p>
    <w:p>
      <w:pPr>
        <w:ind w:left="220" w:hanging="212"/>
        <w:spacing w:after="0"/>
        <w:tabs>
          <w:tab w:leader="none" w:pos="220" w:val="left"/>
        </w:tabs>
        <w:numPr>
          <w:ilvl w:val="0"/>
          <w:numId w:val="56"/>
        </w:numPr>
        <w:rPr>
          <w:rFonts w:ascii="Arial" w:cs="Arial" w:eastAsia="Arial" w:hAnsi="Arial"/>
          <w:sz w:val="18"/>
          <w:szCs w:val="18"/>
          <w:b w:val="1"/>
          <w:bCs w:val="1"/>
          <w:color w:val="355675"/>
        </w:rPr>
      </w:pPr>
      <w:r>
        <w:rPr>
          <w:rFonts w:ascii="Arial" w:cs="Arial" w:eastAsia="Arial" w:hAnsi="Arial"/>
          <w:sz w:val="18"/>
          <w:szCs w:val="18"/>
          <w:color w:val="auto"/>
        </w:rPr>
        <w:t>strong, experienced senior leadership;</w:t>
      </w:r>
    </w:p>
    <w:p>
      <w:pPr>
        <w:spacing w:after="0" w:line="198" w:lineRule="exact"/>
        <w:rPr>
          <w:rFonts w:ascii="Arial" w:cs="Arial" w:eastAsia="Arial" w:hAnsi="Arial"/>
          <w:sz w:val="18"/>
          <w:szCs w:val="18"/>
          <w:b w:val="1"/>
          <w:bCs w:val="1"/>
          <w:color w:val="355675"/>
        </w:rPr>
      </w:pPr>
    </w:p>
    <w:p>
      <w:pPr>
        <w:ind w:left="220" w:hanging="212"/>
        <w:spacing w:after="0"/>
        <w:tabs>
          <w:tab w:leader="none" w:pos="220" w:val="left"/>
        </w:tabs>
        <w:numPr>
          <w:ilvl w:val="0"/>
          <w:numId w:val="56"/>
        </w:numPr>
        <w:rPr>
          <w:rFonts w:ascii="Arial" w:cs="Arial" w:eastAsia="Arial" w:hAnsi="Arial"/>
          <w:sz w:val="18"/>
          <w:szCs w:val="18"/>
          <w:b w:val="1"/>
          <w:bCs w:val="1"/>
          <w:color w:val="355675"/>
        </w:rPr>
      </w:pPr>
      <w:r>
        <w:rPr>
          <w:rFonts w:ascii="Arial" w:cs="Arial" w:eastAsia="Arial" w:hAnsi="Arial"/>
          <w:sz w:val="18"/>
          <w:szCs w:val="18"/>
          <w:color w:val="auto"/>
        </w:rPr>
        <w:t>talented and resourceful employees who are the Company’s strength;</w:t>
      </w:r>
    </w:p>
    <w:p>
      <w:pPr>
        <w:spacing w:after="0" w:line="198" w:lineRule="exact"/>
        <w:rPr>
          <w:rFonts w:ascii="Arial" w:cs="Arial" w:eastAsia="Arial" w:hAnsi="Arial"/>
          <w:sz w:val="18"/>
          <w:szCs w:val="18"/>
          <w:b w:val="1"/>
          <w:bCs w:val="1"/>
          <w:color w:val="355675"/>
        </w:rPr>
      </w:pPr>
    </w:p>
    <w:p>
      <w:pPr>
        <w:ind w:left="220" w:right="3980" w:hanging="212"/>
        <w:spacing w:after="0" w:line="271" w:lineRule="auto"/>
        <w:tabs>
          <w:tab w:leader="none" w:pos="212" w:val="left"/>
        </w:tabs>
        <w:numPr>
          <w:ilvl w:val="0"/>
          <w:numId w:val="56"/>
        </w:numPr>
        <w:rPr>
          <w:rFonts w:ascii="Arial" w:cs="Arial" w:eastAsia="Arial" w:hAnsi="Arial"/>
          <w:sz w:val="18"/>
          <w:szCs w:val="18"/>
          <w:b w:val="1"/>
          <w:bCs w:val="1"/>
          <w:color w:val="355675"/>
        </w:rPr>
      </w:pPr>
      <w:r>
        <w:rPr>
          <w:rFonts w:ascii="Arial" w:cs="Arial" w:eastAsia="Arial" w:hAnsi="Arial"/>
          <w:sz w:val="18"/>
          <w:szCs w:val="18"/>
          <w:color w:val="auto"/>
        </w:rPr>
        <w:t>a diverse, well-performing energy portfolio that will grow even cleaner with our new clean energy commitment; and</w:t>
      </w:r>
    </w:p>
    <w:p>
      <w:pPr>
        <w:spacing w:after="0" w:line="140" w:lineRule="exact"/>
        <w:rPr>
          <w:rFonts w:ascii="Arial" w:cs="Arial" w:eastAsia="Arial" w:hAnsi="Arial"/>
          <w:sz w:val="18"/>
          <w:szCs w:val="18"/>
          <w:b w:val="1"/>
          <w:bCs w:val="1"/>
          <w:color w:val="355675"/>
        </w:rPr>
      </w:pPr>
    </w:p>
    <w:p>
      <w:pPr>
        <w:ind w:left="220" w:hanging="212"/>
        <w:spacing w:after="0"/>
        <w:tabs>
          <w:tab w:leader="none" w:pos="220" w:val="left"/>
        </w:tabs>
        <w:numPr>
          <w:ilvl w:val="0"/>
          <w:numId w:val="56"/>
        </w:numPr>
        <w:rPr>
          <w:rFonts w:ascii="Arial" w:cs="Arial" w:eastAsia="Arial" w:hAnsi="Arial"/>
          <w:sz w:val="18"/>
          <w:szCs w:val="18"/>
          <w:b w:val="1"/>
          <w:bCs w:val="1"/>
          <w:color w:val="355675"/>
        </w:rPr>
      </w:pPr>
      <w:r>
        <w:rPr>
          <w:rFonts w:ascii="Arial" w:cs="Arial" w:eastAsia="Arial" w:hAnsi="Arial"/>
          <w:sz w:val="18"/>
          <w:szCs w:val="18"/>
          <w:color w:val="auto"/>
        </w:rPr>
        <w:t>an established track record of safe, reliable operations.</w:t>
      </w:r>
    </w:p>
    <w:p>
      <w:pPr>
        <w:spacing w:after="0" w:line="171" w:lineRule="exact"/>
        <w:rPr>
          <w:sz w:val="20"/>
          <w:szCs w:val="20"/>
          <w:color w:val="auto"/>
        </w:rPr>
      </w:pPr>
    </w:p>
    <w:p>
      <w:pPr>
        <w:ind w:right="3740"/>
        <w:spacing w:after="0" w:line="238" w:lineRule="auto"/>
        <w:rPr>
          <w:sz w:val="20"/>
          <w:szCs w:val="20"/>
          <w:color w:val="auto"/>
        </w:rPr>
      </w:pPr>
      <w:r>
        <w:rPr>
          <w:rFonts w:ascii="Arial" w:cs="Arial" w:eastAsia="Arial" w:hAnsi="Arial"/>
          <w:sz w:val="18"/>
          <w:szCs w:val="18"/>
          <w:color w:val="auto"/>
        </w:rPr>
        <w:t>Clean energy plays a vital role in meeting our customers’ energy needs. By partnering with our customers, our shareholders and stakeholders and leveraging our existing assets, 50% of our diverse energy mix comes from clean, carbon-free resources. The Company has been on a trajectory of increasingly clean energy through solar power innovation, major investments in energy storage technology, carbon-free nuclear operations and advances in energy efficiency solutions while also reducing reliance on coal-generation. Now, we are accelerating and</w:t>
      </w:r>
    </w:p>
    <w:p>
      <w:pPr>
        <w:spacing w:after="0" w:line="1" w:lineRule="exact"/>
        <w:rPr>
          <w:sz w:val="20"/>
          <w:szCs w:val="20"/>
          <w:color w:val="auto"/>
        </w:rPr>
      </w:pPr>
    </w:p>
    <w:p>
      <w:pPr>
        <w:ind w:right="100"/>
        <w:spacing w:after="0"/>
        <w:rPr>
          <w:sz w:val="20"/>
          <w:szCs w:val="20"/>
          <w:color w:val="auto"/>
        </w:rPr>
      </w:pPr>
      <w:r>
        <w:rPr>
          <w:rFonts w:ascii="Arial" w:cs="Arial" w:eastAsia="Arial" w:hAnsi="Arial"/>
          <w:sz w:val="18"/>
          <w:szCs w:val="18"/>
          <w:color w:val="auto"/>
        </w:rPr>
        <w:t>solidifying that path with a goal to deliver 100% clean, carbon-free and affordable electricity to customers by 2050. We will rely on intelligent investments in renewable resources, continued modernization of the grid, the nuclear power produced at Palo Verde Generating Station, the nation’s largest carbon-free energy resource, and innovative partnerships to develop clean technologies like green hydrogen in order to sustain reliability and affordability on the pathway to the 100% goal.</w:t>
      </w:r>
    </w:p>
    <w:p>
      <w:pPr>
        <w:spacing w:after="0" w:line="140" w:lineRule="exact"/>
        <w:rPr>
          <w:sz w:val="20"/>
          <w:szCs w:val="20"/>
          <w:color w:val="auto"/>
        </w:rPr>
      </w:pPr>
    </w:p>
    <w:p>
      <w:pPr>
        <w:ind w:right="40"/>
        <w:spacing w:after="0" w:line="244" w:lineRule="auto"/>
        <w:rPr>
          <w:sz w:val="20"/>
          <w:szCs w:val="20"/>
          <w:color w:val="auto"/>
        </w:rPr>
      </w:pPr>
      <w:r>
        <w:rPr>
          <w:rFonts w:ascii="Arial" w:cs="Arial" w:eastAsia="Arial" w:hAnsi="Arial"/>
          <w:sz w:val="18"/>
          <w:szCs w:val="18"/>
          <w:color w:val="auto"/>
        </w:rPr>
        <w:t>While we share ownership of Palo Verde Generating Station, APS retains full day-to-day operational responsibility, including regulatory responsibility to the NRC. The complexity of running a nuclear plant of Palo Verde’s size requires a highly specialized and experienced management team. Given our need for specialized experience within our organization, we maintain strong succession planning practices and are focused on developing and retaining talent within our Company. Our Board’s focus on attracting, developing and retaining highly skilled and experienced executives is a core consideration in structuring our executive compensation programs.</w:t>
      </w:r>
    </w:p>
    <w:p>
      <w:pPr>
        <w:spacing w:after="0" w:line="361"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57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66" w:name="page67"/>
    <w:bookmarkEnd w:id="6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83"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Building Shareholder Value Through our APS Promise and 10-Year Strategic Plan</w:t>
      </w:r>
    </w:p>
    <w:p>
      <w:pPr>
        <w:spacing w:after="0" w:line="222" w:lineRule="exact"/>
        <w:rPr>
          <w:sz w:val="20"/>
          <w:szCs w:val="20"/>
          <w:color w:val="auto"/>
        </w:rPr>
      </w:pPr>
    </w:p>
    <w:p>
      <w:pPr>
        <w:jc w:val="both"/>
        <w:ind w:right="140"/>
        <w:spacing w:after="0" w:line="253" w:lineRule="auto"/>
        <w:rPr>
          <w:sz w:val="20"/>
          <w:szCs w:val="20"/>
          <w:color w:val="auto"/>
        </w:rPr>
      </w:pPr>
      <w:r>
        <w:rPr>
          <w:rFonts w:ascii="Arial" w:cs="Arial" w:eastAsia="Arial" w:hAnsi="Arial"/>
          <w:sz w:val="18"/>
          <w:szCs w:val="18"/>
          <w:color w:val="auto"/>
        </w:rPr>
        <w:t>As Arizona’s largest and longest-serving electric company, we’re proud of our heritage and performance. We also recognize the implications of new technologies and growing customer expectations, which are leading to changes at our Company and in our industry. Our strategy for building long-term value is driven by the APS Promise and our 10-Year Strategic Plan:</w:t>
      </w:r>
    </w:p>
    <w:p>
      <w:pPr>
        <w:spacing w:after="0" w:line="174" w:lineRule="exact"/>
        <w:rPr>
          <w:sz w:val="20"/>
          <w:szCs w:val="20"/>
          <w:color w:val="auto"/>
        </w:rPr>
      </w:pPr>
    </w:p>
    <w:tbl>
      <w:tblPr>
        <w:tblLayout w:type="fixed"/>
        <w:tblInd w:w="10" w:type="dxa"/>
        <w:tblCellMar>
          <w:top w:w="0" w:type="dxa"/>
          <w:left w:w="0" w:type="dxa"/>
          <w:bottom w:w="0" w:type="dxa"/>
          <w:right w:w="0" w:type="dxa"/>
        </w:tblCellMar>
      </w:tblPr>
      <w:tr>
        <w:trPr>
          <w:trHeight w:val="304"/>
        </w:trPr>
        <w:tc>
          <w:tcPr>
            <w:tcW w:w="5560" w:type="dxa"/>
            <w:vAlign w:val="bottom"/>
            <w:tcBorders>
              <w:left w:val="single" w:sz="8" w:color="355675"/>
              <w:bottom w:val="single" w:sz="8" w:color="355675"/>
              <w:right w:val="single" w:sz="8" w:color="355675"/>
            </w:tcBorders>
            <w:shd w:val="clear" w:color="auto" w:fill="355675"/>
          </w:tcPr>
          <w:p>
            <w:pPr>
              <w:ind w:left="120"/>
              <w:spacing w:after="0"/>
              <w:rPr>
                <w:sz w:val="20"/>
                <w:szCs w:val="20"/>
                <w:color w:val="auto"/>
              </w:rPr>
            </w:pPr>
            <w:r>
              <w:rPr>
                <w:rFonts w:ascii="Arial" w:cs="Arial" w:eastAsia="Arial" w:hAnsi="Arial"/>
                <w:sz w:val="18"/>
                <w:szCs w:val="18"/>
                <w:b w:val="1"/>
                <w:bCs w:val="1"/>
                <w:color w:val="FFFFFF"/>
              </w:rPr>
              <w:t>APS PROMISE</w:t>
            </w:r>
          </w:p>
        </w:tc>
        <w:tc>
          <w:tcPr>
            <w:tcW w:w="260" w:type="dxa"/>
            <w:vAlign w:val="bottom"/>
            <w:tcBorders>
              <w:right w:val="single" w:sz="8" w:color="008C9F"/>
            </w:tcBorders>
          </w:tcPr>
          <w:p>
            <w:pPr>
              <w:spacing w:after="0"/>
              <w:rPr>
                <w:sz w:val="24"/>
                <w:szCs w:val="24"/>
                <w:color w:val="auto"/>
              </w:rPr>
            </w:pPr>
          </w:p>
        </w:tc>
        <w:tc>
          <w:tcPr>
            <w:tcW w:w="5420" w:type="dxa"/>
            <w:vAlign w:val="bottom"/>
            <w:tcBorders>
              <w:bottom w:val="single" w:sz="8" w:color="008C9F"/>
              <w:right w:val="single" w:sz="8" w:color="008C9F"/>
            </w:tcBorders>
            <w:shd w:val="clear" w:color="auto" w:fill="008C9F"/>
          </w:tcPr>
          <w:p>
            <w:pPr>
              <w:ind w:left="80"/>
              <w:spacing w:after="0"/>
              <w:rPr>
                <w:sz w:val="20"/>
                <w:szCs w:val="20"/>
                <w:color w:val="auto"/>
              </w:rPr>
            </w:pPr>
            <w:r>
              <w:rPr>
                <w:rFonts w:ascii="Arial" w:cs="Arial" w:eastAsia="Arial" w:hAnsi="Arial"/>
                <w:sz w:val="18"/>
                <w:szCs w:val="18"/>
                <w:b w:val="1"/>
                <w:bCs w:val="1"/>
                <w:color w:val="FFFFFF"/>
              </w:rPr>
              <w:t>10-YEAR STRATEGIC PLAN</w:t>
            </w:r>
          </w:p>
        </w:tc>
      </w:tr>
      <w:tr>
        <w:trPr>
          <w:trHeight w:val="322"/>
        </w:trPr>
        <w:tc>
          <w:tcPr>
            <w:tcW w:w="5560" w:type="dxa"/>
            <w:vAlign w:val="bottom"/>
            <w:tcBorders>
              <w:left w:val="single" w:sz="8" w:color="355675"/>
              <w:right w:val="single" w:sz="8" w:color="355675"/>
            </w:tcBorders>
            <w:shd w:val="clear" w:color="auto" w:fill="EBECEF"/>
          </w:tcPr>
          <w:p>
            <w:pPr>
              <w:ind w:left="12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Do what is right for the people and prosperity of our state</w:t>
            </w:r>
          </w:p>
        </w:tc>
        <w:tc>
          <w:tcPr>
            <w:tcW w:w="260" w:type="dxa"/>
            <w:vAlign w:val="bottom"/>
            <w:tcBorders>
              <w:right w:val="single" w:sz="8" w:color="008C9F"/>
            </w:tcBorders>
          </w:tcPr>
          <w:p>
            <w:pPr>
              <w:spacing w:after="0"/>
              <w:rPr>
                <w:sz w:val="24"/>
                <w:szCs w:val="24"/>
                <w:color w:val="auto"/>
              </w:rPr>
            </w:pPr>
          </w:p>
        </w:tc>
        <w:tc>
          <w:tcPr>
            <w:tcW w:w="5420" w:type="dxa"/>
            <w:vAlign w:val="bottom"/>
            <w:tcBorders>
              <w:right w:val="single" w:sz="8" w:color="008C9F"/>
            </w:tcBorders>
            <w:shd w:val="clear" w:color="auto" w:fill="DEEEF3"/>
          </w:tcPr>
          <w:p>
            <w:pPr>
              <w:ind w:left="80"/>
              <w:spacing w:after="0"/>
              <w:rPr>
                <w:sz w:val="20"/>
                <w:szCs w:val="20"/>
                <w:color w:val="auto"/>
              </w:rPr>
            </w:pPr>
            <w:r>
              <w:rPr>
                <w:rFonts w:ascii="Arial" w:cs="Arial" w:eastAsia="Arial" w:hAnsi="Arial"/>
                <w:sz w:val="18"/>
                <w:szCs w:val="18"/>
                <w:b w:val="1"/>
                <w:bCs w:val="1"/>
                <w:color w:val="008C9F"/>
              </w:rPr>
              <w:t xml:space="preserve">● </w:t>
            </w:r>
            <w:r>
              <w:rPr>
                <w:rFonts w:ascii="Arial" w:cs="Arial" w:eastAsia="Arial" w:hAnsi="Arial"/>
                <w:sz w:val="18"/>
                <w:szCs w:val="18"/>
                <w:color w:val="000000"/>
              </w:rPr>
              <w:t>Focus on Customer Experience and Stewardship</w:t>
            </w:r>
          </w:p>
        </w:tc>
      </w:tr>
      <w:tr>
        <w:trPr>
          <w:trHeight w:val="297"/>
        </w:trPr>
        <w:tc>
          <w:tcPr>
            <w:tcW w:w="5560" w:type="dxa"/>
            <w:vAlign w:val="bottom"/>
            <w:tcBorders>
              <w:left w:val="single" w:sz="8" w:color="355675"/>
              <w:right w:val="single" w:sz="8" w:color="355675"/>
            </w:tcBorders>
            <w:shd w:val="clear" w:color="auto" w:fill="EBECEF"/>
          </w:tcPr>
          <w:p>
            <w:pPr>
              <w:ind w:left="12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Create a sustainable energy future in Arizona</w:t>
            </w:r>
          </w:p>
        </w:tc>
        <w:tc>
          <w:tcPr>
            <w:tcW w:w="260" w:type="dxa"/>
            <w:vAlign w:val="bottom"/>
            <w:tcBorders>
              <w:right w:val="single" w:sz="8" w:color="008C9F"/>
            </w:tcBorders>
          </w:tcPr>
          <w:p>
            <w:pPr>
              <w:spacing w:after="0"/>
              <w:rPr>
                <w:sz w:val="24"/>
                <w:szCs w:val="24"/>
                <w:color w:val="auto"/>
              </w:rPr>
            </w:pPr>
          </w:p>
        </w:tc>
        <w:tc>
          <w:tcPr>
            <w:tcW w:w="5420" w:type="dxa"/>
            <w:vAlign w:val="bottom"/>
            <w:tcBorders>
              <w:right w:val="single" w:sz="8" w:color="008C9F"/>
            </w:tcBorders>
            <w:shd w:val="clear" w:color="auto" w:fill="DEEEF3"/>
          </w:tcPr>
          <w:p>
            <w:pPr>
              <w:ind w:left="80"/>
              <w:spacing w:after="0"/>
              <w:rPr>
                <w:sz w:val="20"/>
                <w:szCs w:val="20"/>
                <w:color w:val="auto"/>
              </w:rPr>
            </w:pPr>
            <w:r>
              <w:rPr>
                <w:rFonts w:ascii="Arial" w:cs="Arial" w:eastAsia="Arial" w:hAnsi="Arial"/>
                <w:sz w:val="18"/>
                <w:szCs w:val="18"/>
                <w:b w:val="1"/>
                <w:bCs w:val="1"/>
                <w:color w:val="008C9F"/>
              </w:rPr>
              <w:t xml:space="preserve">● </w:t>
            </w:r>
            <w:r>
              <w:rPr>
                <w:rFonts w:ascii="Arial" w:cs="Arial" w:eastAsia="Arial" w:hAnsi="Arial"/>
                <w:sz w:val="18"/>
                <w:szCs w:val="18"/>
                <w:color w:val="000000"/>
              </w:rPr>
              <w:t>Support an Evolving Workforce</w:t>
            </w:r>
          </w:p>
        </w:tc>
      </w:tr>
      <w:tr>
        <w:trPr>
          <w:trHeight w:val="297"/>
        </w:trPr>
        <w:tc>
          <w:tcPr>
            <w:tcW w:w="5560" w:type="dxa"/>
            <w:vAlign w:val="bottom"/>
            <w:tcBorders>
              <w:left w:val="single" w:sz="8" w:color="355675"/>
              <w:right w:val="single" w:sz="8" w:color="355675"/>
            </w:tcBorders>
            <w:shd w:val="clear" w:color="auto" w:fill="EBECEF"/>
          </w:tcPr>
          <w:p>
            <w:pPr>
              <w:ind w:left="12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Serve our customers with clean, reliable and affordable energy</w:t>
            </w:r>
          </w:p>
        </w:tc>
        <w:tc>
          <w:tcPr>
            <w:tcW w:w="260" w:type="dxa"/>
            <w:vAlign w:val="bottom"/>
            <w:tcBorders>
              <w:right w:val="single" w:sz="8" w:color="008C9F"/>
            </w:tcBorders>
          </w:tcPr>
          <w:p>
            <w:pPr>
              <w:spacing w:after="0"/>
              <w:rPr>
                <w:sz w:val="24"/>
                <w:szCs w:val="24"/>
                <w:color w:val="auto"/>
              </w:rPr>
            </w:pPr>
          </w:p>
        </w:tc>
        <w:tc>
          <w:tcPr>
            <w:tcW w:w="5420" w:type="dxa"/>
            <w:vAlign w:val="bottom"/>
            <w:tcBorders>
              <w:right w:val="single" w:sz="8" w:color="008C9F"/>
            </w:tcBorders>
            <w:shd w:val="clear" w:color="auto" w:fill="DEEEF3"/>
          </w:tcPr>
          <w:p>
            <w:pPr>
              <w:ind w:left="80"/>
              <w:spacing w:after="0"/>
              <w:rPr>
                <w:sz w:val="20"/>
                <w:szCs w:val="20"/>
                <w:color w:val="auto"/>
              </w:rPr>
            </w:pPr>
            <w:r>
              <w:rPr>
                <w:rFonts w:ascii="Arial" w:cs="Arial" w:eastAsia="Arial" w:hAnsi="Arial"/>
                <w:sz w:val="18"/>
                <w:szCs w:val="18"/>
                <w:b w:val="1"/>
                <w:bCs w:val="1"/>
                <w:color w:val="008C9F"/>
              </w:rPr>
              <w:t xml:space="preserve">● </w:t>
            </w:r>
            <w:r>
              <w:rPr>
                <w:rFonts w:ascii="Arial" w:cs="Arial" w:eastAsia="Arial" w:hAnsi="Arial"/>
                <w:sz w:val="18"/>
                <w:szCs w:val="18"/>
                <w:color w:val="000000"/>
              </w:rPr>
              <w:t>Decarbonize and Manage Generation Resources</w:t>
            </w:r>
          </w:p>
        </w:tc>
      </w:tr>
      <w:tr>
        <w:trPr>
          <w:trHeight w:val="297"/>
        </w:trPr>
        <w:tc>
          <w:tcPr>
            <w:tcW w:w="5560" w:type="dxa"/>
            <w:vAlign w:val="bottom"/>
            <w:tcBorders>
              <w:left w:val="single" w:sz="8" w:color="355675"/>
              <w:right w:val="single" w:sz="8" w:color="355675"/>
            </w:tcBorders>
            <w:shd w:val="clear" w:color="auto" w:fill="EBECEF"/>
          </w:tcPr>
          <w:p>
            <w:pPr>
              <w:spacing w:after="0"/>
              <w:rPr>
                <w:sz w:val="24"/>
                <w:szCs w:val="24"/>
                <w:color w:val="auto"/>
              </w:rPr>
            </w:pPr>
          </w:p>
        </w:tc>
        <w:tc>
          <w:tcPr>
            <w:tcW w:w="260" w:type="dxa"/>
            <w:vAlign w:val="bottom"/>
            <w:tcBorders>
              <w:right w:val="single" w:sz="8" w:color="008C9F"/>
            </w:tcBorders>
          </w:tcPr>
          <w:p>
            <w:pPr>
              <w:spacing w:after="0"/>
              <w:rPr>
                <w:sz w:val="24"/>
                <w:szCs w:val="24"/>
                <w:color w:val="auto"/>
              </w:rPr>
            </w:pPr>
          </w:p>
        </w:tc>
        <w:tc>
          <w:tcPr>
            <w:tcW w:w="5420" w:type="dxa"/>
            <w:vAlign w:val="bottom"/>
            <w:tcBorders>
              <w:right w:val="single" w:sz="8" w:color="008C9F"/>
            </w:tcBorders>
            <w:shd w:val="clear" w:color="auto" w:fill="DEEEF3"/>
          </w:tcPr>
          <w:p>
            <w:pPr>
              <w:ind w:left="80"/>
              <w:spacing w:after="0"/>
              <w:rPr>
                <w:sz w:val="20"/>
                <w:szCs w:val="20"/>
                <w:color w:val="auto"/>
              </w:rPr>
            </w:pPr>
            <w:r>
              <w:rPr>
                <w:rFonts w:ascii="Arial" w:cs="Arial" w:eastAsia="Arial" w:hAnsi="Arial"/>
                <w:sz w:val="18"/>
                <w:szCs w:val="18"/>
                <w:b w:val="1"/>
                <w:bCs w:val="1"/>
                <w:color w:val="008C9F"/>
              </w:rPr>
              <w:t xml:space="preserve">● </w:t>
            </w:r>
            <w:r>
              <w:rPr>
                <w:rFonts w:ascii="Arial" w:cs="Arial" w:eastAsia="Arial" w:hAnsi="Arial"/>
                <w:sz w:val="18"/>
                <w:szCs w:val="18"/>
                <w:color w:val="000000"/>
              </w:rPr>
              <w:t>Achieve a Constructive Regulatory Environment</w:t>
            </w:r>
          </w:p>
        </w:tc>
      </w:tr>
      <w:tr>
        <w:trPr>
          <w:trHeight w:val="297"/>
        </w:trPr>
        <w:tc>
          <w:tcPr>
            <w:tcW w:w="5560" w:type="dxa"/>
            <w:vAlign w:val="bottom"/>
            <w:tcBorders>
              <w:left w:val="single" w:sz="8" w:color="355675"/>
              <w:right w:val="single" w:sz="8" w:color="355675"/>
            </w:tcBorders>
            <w:shd w:val="clear" w:color="auto" w:fill="EBECEF"/>
          </w:tcPr>
          <w:p>
            <w:pPr>
              <w:spacing w:after="0"/>
              <w:rPr>
                <w:sz w:val="24"/>
                <w:szCs w:val="24"/>
                <w:color w:val="auto"/>
              </w:rPr>
            </w:pPr>
          </w:p>
        </w:tc>
        <w:tc>
          <w:tcPr>
            <w:tcW w:w="260" w:type="dxa"/>
            <w:vAlign w:val="bottom"/>
            <w:tcBorders>
              <w:right w:val="single" w:sz="8" w:color="008C9F"/>
            </w:tcBorders>
          </w:tcPr>
          <w:p>
            <w:pPr>
              <w:spacing w:after="0"/>
              <w:rPr>
                <w:sz w:val="24"/>
                <w:szCs w:val="24"/>
                <w:color w:val="auto"/>
              </w:rPr>
            </w:pPr>
          </w:p>
        </w:tc>
        <w:tc>
          <w:tcPr>
            <w:tcW w:w="5420" w:type="dxa"/>
            <w:vAlign w:val="bottom"/>
            <w:tcBorders>
              <w:right w:val="single" w:sz="8" w:color="008C9F"/>
            </w:tcBorders>
            <w:shd w:val="clear" w:color="auto" w:fill="DEEEF3"/>
          </w:tcPr>
          <w:p>
            <w:pPr>
              <w:ind w:left="80"/>
              <w:spacing w:after="0"/>
              <w:rPr>
                <w:sz w:val="20"/>
                <w:szCs w:val="20"/>
                <w:color w:val="auto"/>
              </w:rPr>
            </w:pPr>
            <w:r>
              <w:rPr>
                <w:rFonts w:ascii="Arial" w:cs="Arial" w:eastAsia="Arial" w:hAnsi="Arial"/>
                <w:sz w:val="18"/>
                <w:szCs w:val="18"/>
                <w:b w:val="1"/>
                <w:bCs w:val="1"/>
                <w:color w:val="008C9F"/>
              </w:rPr>
              <w:t xml:space="preserve">● </w:t>
            </w:r>
            <w:r>
              <w:rPr>
                <w:rFonts w:ascii="Arial" w:cs="Arial" w:eastAsia="Arial" w:hAnsi="Arial"/>
                <w:sz w:val="18"/>
                <w:szCs w:val="18"/>
                <w:color w:val="000000"/>
              </w:rPr>
              <w:t>Ensure Long-Term Financial Health</w:t>
            </w:r>
          </w:p>
        </w:tc>
      </w:tr>
      <w:tr>
        <w:trPr>
          <w:trHeight w:val="76"/>
        </w:trPr>
        <w:tc>
          <w:tcPr>
            <w:tcW w:w="5560" w:type="dxa"/>
            <w:vAlign w:val="bottom"/>
            <w:tcBorders>
              <w:left w:val="single" w:sz="8" w:color="355675"/>
              <w:bottom w:val="single" w:sz="8" w:color="355675"/>
              <w:right w:val="single" w:sz="8" w:color="355675"/>
            </w:tcBorders>
            <w:shd w:val="clear" w:color="auto" w:fill="EBECEF"/>
          </w:tcPr>
          <w:p>
            <w:pPr>
              <w:spacing w:after="0"/>
              <w:rPr>
                <w:sz w:val="6"/>
                <w:szCs w:val="6"/>
                <w:color w:val="auto"/>
              </w:rPr>
            </w:pPr>
          </w:p>
        </w:tc>
        <w:tc>
          <w:tcPr>
            <w:tcW w:w="260" w:type="dxa"/>
            <w:vAlign w:val="bottom"/>
            <w:tcBorders>
              <w:right w:val="single" w:sz="8" w:color="008C9F"/>
            </w:tcBorders>
          </w:tcPr>
          <w:p>
            <w:pPr>
              <w:spacing w:after="0"/>
              <w:rPr>
                <w:sz w:val="6"/>
                <w:szCs w:val="6"/>
                <w:color w:val="auto"/>
              </w:rPr>
            </w:pPr>
          </w:p>
        </w:tc>
        <w:tc>
          <w:tcPr>
            <w:tcW w:w="5420" w:type="dxa"/>
            <w:vAlign w:val="bottom"/>
            <w:tcBorders>
              <w:bottom w:val="single" w:sz="8" w:color="008C9F"/>
              <w:right w:val="single" w:sz="8" w:color="008C9F"/>
            </w:tcBorders>
            <w:shd w:val="clear" w:color="auto" w:fill="DEEEF3"/>
          </w:tcPr>
          <w:p>
            <w:pPr>
              <w:spacing w:after="0"/>
              <w:rPr>
                <w:sz w:val="6"/>
                <w:szCs w:val="6"/>
                <w:color w:val="auto"/>
              </w:rPr>
            </w:pPr>
          </w:p>
        </w:tc>
      </w:tr>
    </w:tbl>
    <w:p>
      <w:pPr>
        <w:spacing w:after="0" w:line="141"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Delivering Results</w:t>
      </w:r>
    </w:p>
    <w:p>
      <w:pPr>
        <w:spacing w:after="0" w:line="208"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Our management team has maintained a focus on our core business of operating and investing in a vertically-integrated electric utility. Under the leadership of the senior officer team, PVGS continues to be a top producer of clean energy in the U.S. We have, over the long term, provided gains in shareholder returns and maintained high credit ratings.</w:t>
      </w:r>
    </w:p>
    <w:p>
      <w:pPr>
        <w:spacing w:after="0" w:line="128" w:lineRule="exact"/>
        <w:rPr>
          <w:sz w:val="20"/>
          <w:szCs w:val="20"/>
          <w:color w:val="auto"/>
        </w:rPr>
      </w:pPr>
    </w:p>
    <w:p>
      <w:pPr>
        <w:ind w:right="80"/>
        <w:spacing w:after="0"/>
        <w:rPr>
          <w:sz w:val="20"/>
          <w:szCs w:val="20"/>
          <w:color w:val="auto"/>
        </w:rPr>
      </w:pPr>
      <w:r>
        <w:rPr>
          <w:rFonts w:ascii="Arial" w:cs="Arial" w:eastAsia="Arial" w:hAnsi="Arial"/>
          <w:sz w:val="18"/>
          <w:szCs w:val="18"/>
          <w:color w:val="auto"/>
        </w:rPr>
        <w:t>During 2021, our total shareholder value underperformed our historical track record. ACC-driven discussions and increased regulatory uncertainty leading up to a disappointing outcome in our 2019 rate case impacted shareholder confidence. Coming out of our 2019 rate case decision, we are taking actions including announcing that we will file another rate case in 2022 and deferring any Pinnacle West equity issuance until after the next rate case. In addition, we anticipate further clarity around the regulatory environment in Arizona and look forward to the ability to have more detailed discussions regarding the execution of our clean energy commitment and growth profile. We are committed to maintaining robust communication and collaboration with the ACC and other stakeholders to find constructive solutions that support our customers while maintaining the financial health of our Company. We believe we have the right strategy and team in place to meet our near-term goals and deliver long-term shareholder value.</w:t>
      </w:r>
    </w:p>
    <w:p>
      <w:pPr>
        <w:spacing w:after="0" w:line="140" w:lineRule="exact"/>
        <w:rPr>
          <w:sz w:val="20"/>
          <w:szCs w:val="20"/>
          <w:color w:val="auto"/>
        </w:rPr>
      </w:pPr>
    </w:p>
    <w:p>
      <w:pPr>
        <w:ind w:right="240"/>
        <w:spacing w:after="0" w:line="271" w:lineRule="auto"/>
        <w:rPr>
          <w:sz w:val="20"/>
          <w:szCs w:val="20"/>
          <w:color w:val="auto"/>
        </w:rPr>
      </w:pPr>
      <w:r>
        <w:rPr>
          <w:rFonts w:ascii="Arial" w:cs="Arial" w:eastAsia="Arial" w:hAnsi="Arial"/>
          <w:sz w:val="18"/>
          <w:szCs w:val="18"/>
          <w:color w:val="auto"/>
        </w:rPr>
        <w:t>Due to our total shareholder value underperforming, the portion of performance shares that were based on relative total shareholder return with the performance period beginning January 1, 2019 and ending December 31, 2021 did not pay out in February 2022.</w:t>
      </w:r>
    </w:p>
    <w:p>
      <w:pPr>
        <w:spacing w:after="0" w:line="127" w:lineRule="exact"/>
        <w:rPr>
          <w:sz w:val="20"/>
          <w:szCs w:val="20"/>
          <w:color w:val="auto"/>
        </w:rPr>
      </w:pPr>
    </w:p>
    <w:p>
      <w:pPr>
        <w:spacing w:after="0"/>
        <w:rPr>
          <w:sz w:val="20"/>
          <w:szCs w:val="20"/>
          <w:color w:val="auto"/>
        </w:rPr>
      </w:pPr>
      <w:r>
        <w:rPr>
          <w:rFonts w:ascii="Arial" w:cs="Arial" w:eastAsia="Arial" w:hAnsi="Arial"/>
          <w:sz w:val="18"/>
          <w:szCs w:val="18"/>
          <w:color w:val="auto"/>
        </w:rPr>
        <w:t>Although our total shareholder value underperformed, we achieved the following accomplishments in 2021, among others:</w:t>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333"/>
        </w:trPr>
        <w:tc>
          <w:tcPr>
            <w:tcW w:w="5540" w:type="dxa"/>
            <w:vAlign w:val="bottom"/>
            <w:shd w:val="clear" w:color="auto" w:fill="EBECEF"/>
          </w:tcPr>
          <w:p>
            <w:pPr>
              <w:ind w:left="10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Pinnacle West increased its dividend for the 10</w:t>
            </w:r>
            <w:r>
              <w:rPr>
                <w:rFonts w:ascii="Arial" w:cs="Arial" w:eastAsia="Arial" w:hAnsi="Arial"/>
                <w:sz w:val="29"/>
                <w:szCs w:val="29"/>
                <w:color w:val="000000"/>
                <w:vertAlign w:val="superscript"/>
              </w:rPr>
              <w:t>th</w:t>
            </w:r>
            <w:r>
              <w:rPr>
                <w:rFonts w:ascii="Arial" w:cs="Arial" w:eastAsia="Arial" w:hAnsi="Arial"/>
                <w:sz w:val="18"/>
                <w:szCs w:val="18"/>
                <w:b w:val="1"/>
                <w:bCs w:val="1"/>
                <w:color w:val="355675"/>
              </w:rPr>
              <w:t xml:space="preserve"> </w:t>
            </w:r>
            <w:r>
              <w:rPr>
                <w:rFonts w:ascii="Arial" w:cs="Arial" w:eastAsia="Arial" w:hAnsi="Arial"/>
                <w:sz w:val="18"/>
                <w:szCs w:val="18"/>
                <w:color w:val="000000"/>
              </w:rPr>
              <w:t>consecutive</w:t>
            </w:r>
          </w:p>
        </w:tc>
        <w:tc>
          <w:tcPr>
            <w:tcW w:w="5700" w:type="dxa"/>
            <w:vAlign w:val="bottom"/>
            <w:shd w:val="clear" w:color="auto" w:fill="EBECEF"/>
          </w:tcPr>
          <w:p>
            <w:pPr>
              <w:ind w:left="36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Maintained reliable energy delivery to customers through the</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5540" w:type="dxa"/>
            <w:vAlign w:val="bottom"/>
            <w:shd w:val="clear" w:color="auto" w:fill="EBECEF"/>
          </w:tcPr>
          <w:p>
            <w:pPr>
              <w:ind w:left="320"/>
              <w:spacing w:after="0" w:line="201" w:lineRule="exact"/>
              <w:rPr>
                <w:sz w:val="20"/>
                <w:szCs w:val="20"/>
                <w:color w:val="auto"/>
              </w:rPr>
            </w:pPr>
            <w:r>
              <w:rPr>
                <w:rFonts w:ascii="Arial" w:cs="Arial" w:eastAsia="Arial" w:hAnsi="Arial"/>
                <w:sz w:val="18"/>
                <w:szCs w:val="18"/>
                <w:color w:val="auto"/>
              </w:rPr>
              <w:t>year</w:t>
            </w:r>
          </w:p>
        </w:tc>
        <w:tc>
          <w:tcPr>
            <w:tcW w:w="5700" w:type="dxa"/>
            <w:vAlign w:val="bottom"/>
            <w:shd w:val="clear" w:color="auto" w:fill="EBECEF"/>
          </w:tcPr>
          <w:p>
            <w:pPr>
              <w:ind w:left="580"/>
              <w:spacing w:after="0" w:line="201" w:lineRule="exact"/>
              <w:rPr>
                <w:sz w:val="20"/>
                <w:szCs w:val="20"/>
                <w:color w:val="auto"/>
              </w:rPr>
            </w:pPr>
            <w:r>
              <w:rPr>
                <w:rFonts w:ascii="Arial" w:cs="Arial" w:eastAsia="Arial" w:hAnsi="Arial"/>
                <w:sz w:val="18"/>
                <w:szCs w:val="18"/>
                <w:color w:val="auto"/>
              </w:rPr>
              <w:t>largest regional natural gas freeze-off event in recent history,</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5"/>
        </w:trPr>
        <w:tc>
          <w:tcPr>
            <w:tcW w:w="5540" w:type="dxa"/>
            <w:vAlign w:val="bottom"/>
            <w:vMerge w:val="restart"/>
            <w:shd w:val="clear" w:color="auto" w:fill="EBECEF"/>
          </w:tcPr>
          <w:p>
            <w:pPr>
              <w:ind w:left="10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Maintained strong credit ratings from all three rating agencies</w:t>
            </w:r>
          </w:p>
        </w:tc>
        <w:tc>
          <w:tcPr>
            <w:tcW w:w="5700" w:type="dxa"/>
            <w:vAlign w:val="bottom"/>
            <w:shd w:val="clear" w:color="auto" w:fill="EBECEF"/>
          </w:tcPr>
          <w:p>
            <w:pPr>
              <w:ind w:left="580"/>
              <w:spacing w:after="0" w:line="184" w:lineRule="exact"/>
              <w:rPr>
                <w:sz w:val="20"/>
                <w:szCs w:val="20"/>
                <w:color w:val="auto"/>
              </w:rPr>
            </w:pPr>
            <w:r>
              <w:rPr>
                <w:rFonts w:ascii="Arial" w:cs="Arial" w:eastAsia="Arial" w:hAnsi="Arial"/>
                <w:sz w:val="18"/>
                <w:szCs w:val="18"/>
                <w:color w:val="auto"/>
              </w:rPr>
              <w:t>loss of a pipeline due to an explosion, and severe transmission</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1"/>
        </w:trPr>
        <w:tc>
          <w:tcPr>
            <w:tcW w:w="5540" w:type="dxa"/>
            <w:vAlign w:val="bottom"/>
            <w:vMerge w:val="continue"/>
            <w:shd w:val="clear" w:color="auto" w:fill="EBECEF"/>
          </w:tcPr>
          <w:p>
            <w:pPr>
              <w:spacing w:after="0"/>
              <w:rPr>
                <w:sz w:val="15"/>
                <w:szCs w:val="15"/>
                <w:color w:val="auto"/>
              </w:rPr>
            </w:pPr>
          </w:p>
        </w:tc>
        <w:tc>
          <w:tcPr>
            <w:tcW w:w="5700" w:type="dxa"/>
            <w:vAlign w:val="bottom"/>
            <w:shd w:val="clear" w:color="auto" w:fill="EBECEF"/>
          </w:tcPr>
          <w:p>
            <w:pPr>
              <w:ind w:left="580"/>
              <w:spacing w:after="0" w:line="181" w:lineRule="exact"/>
              <w:rPr>
                <w:sz w:val="20"/>
                <w:szCs w:val="20"/>
                <w:color w:val="auto"/>
              </w:rPr>
            </w:pPr>
            <w:r>
              <w:rPr>
                <w:rFonts w:ascii="Arial" w:cs="Arial" w:eastAsia="Arial" w:hAnsi="Arial"/>
                <w:sz w:val="18"/>
                <w:szCs w:val="18"/>
                <w:color w:val="auto"/>
              </w:rPr>
              <w:t>limitation due to wildfire</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9"/>
        </w:trPr>
        <w:tc>
          <w:tcPr>
            <w:tcW w:w="5540" w:type="dxa"/>
            <w:vAlign w:val="bottom"/>
            <w:shd w:val="clear" w:color="auto" w:fill="EBECEF"/>
          </w:tcPr>
          <w:p>
            <w:pPr>
              <w:ind w:left="320"/>
              <w:spacing w:after="0"/>
              <w:rPr>
                <w:sz w:val="20"/>
                <w:szCs w:val="20"/>
                <w:color w:val="auto"/>
              </w:rPr>
            </w:pPr>
            <w:r>
              <w:rPr>
                <w:rFonts w:ascii="Arial" w:cs="Arial" w:eastAsia="Arial" w:hAnsi="Arial"/>
                <w:sz w:val="18"/>
                <w:szCs w:val="18"/>
                <w:color w:val="auto"/>
              </w:rPr>
              <w:t>despite a challenging rate case outcome</w:t>
            </w:r>
          </w:p>
        </w:tc>
        <w:tc>
          <w:tcPr>
            <w:tcW w:w="5700" w:type="dxa"/>
            <w:vAlign w:val="bottom"/>
            <w:vMerge w:val="restart"/>
            <w:shd w:val="clear" w:color="auto" w:fill="EBECEF"/>
          </w:tcPr>
          <w:p>
            <w:pPr>
              <w:ind w:left="36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Non-nuclear generation units performed exceptionally well</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80"/>
        </w:trPr>
        <w:tc>
          <w:tcPr>
            <w:tcW w:w="5540" w:type="dxa"/>
            <w:vAlign w:val="bottom"/>
            <w:vMerge w:val="restart"/>
            <w:shd w:val="clear" w:color="auto" w:fill="EBECEF"/>
          </w:tcPr>
          <w:p>
            <w:pPr>
              <w:ind w:left="10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In 2021, APS continued to drive our customer affordability</w:t>
            </w:r>
          </w:p>
        </w:tc>
        <w:tc>
          <w:tcPr>
            <w:tcW w:w="5700" w:type="dxa"/>
            <w:vAlign w:val="bottom"/>
            <w:vMerge w:val="continue"/>
            <w:shd w:val="clear" w:color="auto" w:fill="EBECEF"/>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1"/>
        </w:trPr>
        <w:tc>
          <w:tcPr>
            <w:tcW w:w="5540" w:type="dxa"/>
            <w:vAlign w:val="bottom"/>
            <w:vMerge w:val="continue"/>
            <w:shd w:val="clear" w:color="auto" w:fill="EBECEF"/>
          </w:tcPr>
          <w:p>
            <w:pPr>
              <w:spacing w:after="0"/>
              <w:rPr>
                <w:sz w:val="15"/>
                <w:szCs w:val="15"/>
                <w:color w:val="auto"/>
              </w:rPr>
            </w:pPr>
          </w:p>
        </w:tc>
        <w:tc>
          <w:tcPr>
            <w:tcW w:w="5700" w:type="dxa"/>
            <w:vAlign w:val="bottom"/>
            <w:shd w:val="clear" w:color="auto" w:fill="EBECEF"/>
          </w:tcPr>
          <w:p>
            <w:pPr>
              <w:ind w:left="580"/>
              <w:spacing w:after="0" w:line="181" w:lineRule="exact"/>
              <w:rPr>
                <w:sz w:val="20"/>
                <w:szCs w:val="20"/>
                <w:color w:val="auto"/>
              </w:rPr>
            </w:pPr>
            <w:r>
              <w:rPr>
                <w:rFonts w:ascii="Arial" w:cs="Arial" w:eastAsia="Arial" w:hAnsi="Arial"/>
                <w:sz w:val="18"/>
                <w:szCs w:val="18"/>
                <w:color w:val="auto"/>
              </w:rPr>
              <w:t>during the crucial summer run, with a summertime equivalent</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57"/>
        </w:trPr>
        <w:tc>
          <w:tcPr>
            <w:tcW w:w="5540" w:type="dxa"/>
            <w:vAlign w:val="bottom"/>
            <w:shd w:val="clear" w:color="auto" w:fill="EBECEF"/>
          </w:tcPr>
          <w:p>
            <w:pPr>
              <w:ind w:left="320"/>
              <w:spacing w:after="0" w:line="157" w:lineRule="exact"/>
              <w:rPr>
                <w:sz w:val="20"/>
                <w:szCs w:val="20"/>
                <w:color w:val="auto"/>
              </w:rPr>
            </w:pPr>
            <w:r>
              <w:rPr>
                <w:rFonts w:ascii="Arial" w:cs="Arial" w:eastAsia="Arial" w:hAnsi="Arial"/>
                <w:sz w:val="18"/>
                <w:szCs w:val="18"/>
                <w:color w:val="auto"/>
              </w:rPr>
              <w:t>initiative to identify opportunities to streamline its business</w:t>
            </w:r>
          </w:p>
        </w:tc>
        <w:tc>
          <w:tcPr>
            <w:tcW w:w="5700" w:type="dxa"/>
            <w:vAlign w:val="bottom"/>
            <w:vMerge w:val="restart"/>
            <w:shd w:val="clear" w:color="auto" w:fill="EBECEF"/>
          </w:tcPr>
          <w:p>
            <w:pPr>
              <w:ind w:left="580"/>
              <w:spacing w:after="0"/>
              <w:rPr>
                <w:sz w:val="20"/>
                <w:szCs w:val="20"/>
                <w:color w:val="auto"/>
              </w:rPr>
            </w:pPr>
            <w:r>
              <w:rPr>
                <w:rFonts w:ascii="Arial" w:cs="Arial" w:eastAsia="Arial" w:hAnsi="Arial"/>
                <w:sz w:val="18"/>
                <w:szCs w:val="18"/>
                <w:color w:val="auto"/>
              </w:rPr>
              <w:t>availability factor of 94.4%. This was our second highest</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8"/>
        </w:trPr>
        <w:tc>
          <w:tcPr>
            <w:tcW w:w="5540" w:type="dxa"/>
            <w:vAlign w:val="bottom"/>
            <w:vMerge w:val="restart"/>
            <w:shd w:val="clear" w:color="auto" w:fill="EBECEF"/>
          </w:tcPr>
          <w:p>
            <w:pPr>
              <w:ind w:left="320"/>
              <w:spacing w:after="0" w:line="202" w:lineRule="exact"/>
              <w:rPr>
                <w:sz w:val="20"/>
                <w:szCs w:val="20"/>
                <w:color w:val="auto"/>
              </w:rPr>
            </w:pPr>
            <w:r>
              <w:rPr>
                <w:rFonts w:ascii="Arial" w:cs="Arial" w:eastAsia="Arial" w:hAnsi="Arial"/>
                <w:sz w:val="18"/>
                <w:szCs w:val="18"/>
                <w:color w:val="auto"/>
              </w:rPr>
              <w:t>processes, which resulted in the Company identifying</w:t>
            </w:r>
          </w:p>
        </w:tc>
        <w:tc>
          <w:tcPr>
            <w:tcW w:w="5700" w:type="dxa"/>
            <w:vAlign w:val="bottom"/>
            <w:vMerge w:val="continue"/>
            <w:shd w:val="clear" w:color="auto" w:fill="EBECEF"/>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5"/>
        </w:trPr>
        <w:tc>
          <w:tcPr>
            <w:tcW w:w="5540" w:type="dxa"/>
            <w:vAlign w:val="bottom"/>
            <w:vMerge w:val="continue"/>
            <w:shd w:val="clear" w:color="auto" w:fill="EBECEF"/>
          </w:tcPr>
          <w:p>
            <w:pPr>
              <w:spacing w:after="0"/>
              <w:rPr>
                <w:sz w:val="11"/>
                <w:szCs w:val="11"/>
                <w:color w:val="auto"/>
              </w:rPr>
            </w:pPr>
          </w:p>
        </w:tc>
        <w:tc>
          <w:tcPr>
            <w:tcW w:w="5700" w:type="dxa"/>
            <w:vAlign w:val="bottom"/>
            <w:vMerge w:val="restart"/>
            <w:shd w:val="clear" w:color="auto" w:fill="EBECEF"/>
          </w:tcPr>
          <w:p>
            <w:pPr>
              <w:ind w:left="580"/>
              <w:spacing w:after="0" w:line="202" w:lineRule="exact"/>
              <w:rPr>
                <w:sz w:val="20"/>
                <w:szCs w:val="20"/>
                <w:color w:val="auto"/>
              </w:rPr>
            </w:pPr>
            <w:r>
              <w:rPr>
                <w:rFonts w:ascii="Arial" w:cs="Arial" w:eastAsia="Arial" w:hAnsi="Arial"/>
                <w:sz w:val="18"/>
                <w:szCs w:val="18"/>
                <w:color w:val="auto"/>
              </w:rPr>
              <w:t>performance percentage in the last 10 years, only second to</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68"/>
        </w:trPr>
        <w:tc>
          <w:tcPr>
            <w:tcW w:w="5540" w:type="dxa"/>
            <w:vAlign w:val="bottom"/>
            <w:vMerge w:val="restart"/>
            <w:shd w:val="clear" w:color="auto" w:fill="EBECEF"/>
          </w:tcPr>
          <w:p>
            <w:pPr>
              <w:ind w:left="320"/>
              <w:spacing w:after="0" w:line="202" w:lineRule="exact"/>
              <w:rPr>
                <w:sz w:val="20"/>
                <w:szCs w:val="20"/>
                <w:color w:val="auto"/>
              </w:rPr>
            </w:pPr>
            <w:r>
              <w:rPr>
                <w:rFonts w:ascii="Arial" w:cs="Arial" w:eastAsia="Arial" w:hAnsi="Arial"/>
                <w:sz w:val="18"/>
                <w:szCs w:val="18"/>
                <w:color w:val="auto"/>
              </w:rPr>
              <w:t>approximately $30 million in annual incremental cost saving</w:t>
            </w:r>
          </w:p>
        </w:tc>
        <w:tc>
          <w:tcPr>
            <w:tcW w:w="5700" w:type="dxa"/>
            <w:vAlign w:val="bottom"/>
            <w:vMerge w:val="continue"/>
            <w:shd w:val="clear" w:color="auto" w:fill="EBECEF"/>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5"/>
        </w:trPr>
        <w:tc>
          <w:tcPr>
            <w:tcW w:w="5540" w:type="dxa"/>
            <w:vAlign w:val="bottom"/>
            <w:vMerge w:val="continue"/>
            <w:shd w:val="clear" w:color="auto" w:fill="EBECEF"/>
          </w:tcPr>
          <w:p>
            <w:pPr>
              <w:spacing w:after="0"/>
              <w:rPr>
                <w:sz w:val="11"/>
                <w:szCs w:val="11"/>
                <w:color w:val="auto"/>
              </w:rPr>
            </w:pPr>
          </w:p>
        </w:tc>
        <w:tc>
          <w:tcPr>
            <w:tcW w:w="5700" w:type="dxa"/>
            <w:vAlign w:val="bottom"/>
            <w:vMerge w:val="restart"/>
            <w:shd w:val="clear" w:color="auto" w:fill="EBECEF"/>
          </w:tcPr>
          <w:p>
            <w:pPr>
              <w:ind w:left="580"/>
              <w:spacing w:after="0"/>
              <w:rPr>
                <w:sz w:val="20"/>
                <w:szCs w:val="20"/>
                <w:color w:val="auto"/>
              </w:rPr>
            </w:pPr>
            <w:r>
              <w:rPr>
                <w:rFonts w:ascii="Arial" w:cs="Arial" w:eastAsia="Arial" w:hAnsi="Arial"/>
                <w:sz w:val="18"/>
                <w:szCs w:val="18"/>
                <w:color w:val="auto"/>
              </w:rPr>
              <w:t>2020 which was 95.3%</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4"/>
        </w:trPr>
        <w:tc>
          <w:tcPr>
            <w:tcW w:w="5540" w:type="dxa"/>
            <w:vAlign w:val="bottom"/>
            <w:vMerge w:val="restart"/>
            <w:shd w:val="clear" w:color="auto" w:fill="EBECEF"/>
          </w:tcPr>
          <w:p>
            <w:pPr>
              <w:ind w:left="320"/>
              <w:spacing w:after="0"/>
              <w:rPr>
                <w:sz w:val="20"/>
                <w:szCs w:val="20"/>
                <w:color w:val="auto"/>
              </w:rPr>
            </w:pPr>
            <w:r>
              <w:rPr>
                <w:rFonts w:ascii="Arial" w:cs="Arial" w:eastAsia="Arial" w:hAnsi="Arial"/>
                <w:sz w:val="18"/>
                <w:szCs w:val="18"/>
                <w:color w:val="auto"/>
              </w:rPr>
              <w:t>opportunities in 2022 through LEAN principles</w:t>
            </w:r>
          </w:p>
        </w:tc>
        <w:tc>
          <w:tcPr>
            <w:tcW w:w="5700" w:type="dxa"/>
            <w:vAlign w:val="bottom"/>
            <w:vMerge w:val="continue"/>
            <w:shd w:val="clear" w:color="auto" w:fill="EBECEF"/>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5540" w:type="dxa"/>
            <w:vAlign w:val="bottom"/>
            <w:vMerge w:val="continue"/>
            <w:shd w:val="clear" w:color="auto" w:fill="EBECEF"/>
          </w:tcPr>
          <w:p>
            <w:pPr>
              <w:spacing w:after="0"/>
              <w:rPr>
                <w:sz w:val="11"/>
                <w:szCs w:val="11"/>
                <w:color w:val="auto"/>
              </w:rPr>
            </w:pPr>
          </w:p>
        </w:tc>
        <w:tc>
          <w:tcPr>
            <w:tcW w:w="5700" w:type="dxa"/>
            <w:vAlign w:val="bottom"/>
            <w:vMerge w:val="restart"/>
            <w:shd w:val="clear" w:color="auto" w:fill="EBECEF"/>
          </w:tcPr>
          <w:p>
            <w:pPr>
              <w:ind w:left="360"/>
              <w:spacing w:after="0"/>
              <w:rPr>
                <w:sz w:val="20"/>
                <w:szCs w:val="20"/>
                <w:color w:val="auto"/>
              </w:rPr>
            </w:pPr>
            <w:r>
              <w:rPr>
                <w:rFonts w:ascii="Arial" w:cs="Arial" w:eastAsia="Arial" w:hAnsi="Arial"/>
                <w:sz w:val="18"/>
                <w:szCs w:val="18"/>
                <w:b w:val="1"/>
                <w:bCs w:val="1"/>
                <w:color w:val="355675"/>
              </w:rPr>
              <w:t xml:space="preserve">● </w:t>
            </w:r>
            <w:r>
              <w:rPr>
                <w:rFonts w:ascii="Arial" w:cs="Arial" w:eastAsia="Arial" w:hAnsi="Arial"/>
                <w:sz w:val="18"/>
                <w:szCs w:val="18"/>
                <w:color w:val="000000"/>
              </w:rPr>
              <w:t>APS continued successful operation of Palo Verde Generating</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5540" w:type="dxa"/>
            <w:vAlign w:val="bottom"/>
            <w:shd w:val="clear" w:color="auto" w:fill="EBECEF"/>
          </w:tcPr>
          <w:p>
            <w:pPr>
              <w:spacing w:after="0"/>
              <w:rPr>
                <w:sz w:val="10"/>
                <w:szCs w:val="10"/>
                <w:color w:val="auto"/>
              </w:rPr>
            </w:pPr>
          </w:p>
        </w:tc>
        <w:tc>
          <w:tcPr>
            <w:tcW w:w="5700" w:type="dxa"/>
            <w:vAlign w:val="bottom"/>
            <w:vMerge w:val="continue"/>
            <w:shd w:val="clear" w:color="auto" w:fill="EBECEF"/>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2"/>
        </w:trPr>
        <w:tc>
          <w:tcPr>
            <w:tcW w:w="5540" w:type="dxa"/>
            <w:vAlign w:val="bottom"/>
            <w:shd w:val="clear" w:color="auto" w:fill="EBECEF"/>
          </w:tcPr>
          <w:p>
            <w:pPr>
              <w:spacing w:after="0"/>
              <w:rPr>
                <w:sz w:val="17"/>
                <w:szCs w:val="17"/>
                <w:color w:val="auto"/>
              </w:rPr>
            </w:pPr>
          </w:p>
        </w:tc>
        <w:tc>
          <w:tcPr>
            <w:tcW w:w="5700" w:type="dxa"/>
            <w:vAlign w:val="bottom"/>
            <w:shd w:val="clear" w:color="auto" w:fill="EBECEF"/>
          </w:tcPr>
          <w:p>
            <w:pPr>
              <w:ind w:left="580"/>
              <w:spacing w:after="0" w:line="202" w:lineRule="exact"/>
              <w:rPr>
                <w:sz w:val="20"/>
                <w:szCs w:val="20"/>
                <w:color w:val="auto"/>
              </w:rPr>
            </w:pPr>
            <w:r>
              <w:rPr>
                <w:rFonts w:ascii="Arial" w:cs="Arial" w:eastAsia="Arial" w:hAnsi="Arial"/>
                <w:sz w:val="18"/>
                <w:szCs w:val="18"/>
                <w:color w:val="auto"/>
              </w:rPr>
              <w:t>Station, a nuclear energy facility that is the largest clean-air</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9"/>
        </w:trPr>
        <w:tc>
          <w:tcPr>
            <w:tcW w:w="5540" w:type="dxa"/>
            <w:vAlign w:val="bottom"/>
            <w:shd w:val="clear" w:color="auto" w:fill="EBECEF"/>
          </w:tcPr>
          <w:p>
            <w:pPr>
              <w:spacing w:after="0"/>
              <w:rPr>
                <w:sz w:val="20"/>
                <w:szCs w:val="20"/>
                <w:color w:val="auto"/>
              </w:rPr>
            </w:pPr>
          </w:p>
        </w:tc>
        <w:tc>
          <w:tcPr>
            <w:tcW w:w="5700" w:type="dxa"/>
            <w:vAlign w:val="bottom"/>
            <w:shd w:val="clear" w:color="auto" w:fill="EBECEF"/>
          </w:tcPr>
          <w:p>
            <w:pPr>
              <w:ind w:left="580"/>
              <w:spacing w:after="0"/>
              <w:rPr>
                <w:sz w:val="20"/>
                <w:szCs w:val="20"/>
                <w:color w:val="auto"/>
              </w:rPr>
            </w:pPr>
            <w:r>
              <w:rPr>
                <w:rFonts w:ascii="Arial" w:cs="Arial" w:eastAsia="Arial" w:hAnsi="Arial"/>
                <w:sz w:val="18"/>
                <w:szCs w:val="18"/>
                <w:color w:val="auto"/>
              </w:rPr>
              <w:t>generator in the United States</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4"/>
        </w:trPr>
        <w:tc>
          <w:tcPr>
            <w:tcW w:w="5540" w:type="dxa"/>
            <w:vAlign w:val="bottom"/>
            <w:shd w:val="clear" w:color="auto" w:fill="EBECEF"/>
          </w:tcPr>
          <w:p>
            <w:pPr>
              <w:spacing w:after="0"/>
              <w:rPr>
                <w:sz w:val="5"/>
                <w:szCs w:val="5"/>
                <w:color w:val="auto"/>
              </w:rPr>
            </w:pPr>
          </w:p>
        </w:tc>
        <w:tc>
          <w:tcPr>
            <w:tcW w:w="5700" w:type="dxa"/>
            <w:vAlign w:val="bottom"/>
            <w:shd w:val="clear" w:color="auto" w:fill="EBECEF"/>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2"/>
        </w:trPr>
        <w:tc>
          <w:tcPr>
            <w:tcW w:w="5540" w:type="dxa"/>
            <w:vAlign w:val="bottom"/>
          </w:tcPr>
          <w:p>
            <w:pPr>
              <w:spacing w:after="0"/>
              <w:rPr>
                <w:sz w:val="20"/>
                <w:szCs w:val="20"/>
                <w:color w:val="auto"/>
              </w:rPr>
            </w:pPr>
            <w:r>
              <w:rPr>
                <w:rFonts w:ascii="Arial" w:cs="Arial" w:eastAsia="Arial" w:hAnsi="Arial"/>
                <w:sz w:val="14"/>
                <w:szCs w:val="14"/>
                <w:b w:val="1"/>
                <w:bCs w:val="1"/>
                <w:color w:val="355675"/>
              </w:rPr>
              <w:t>58</w:t>
            </w:r>
          </w:p>
        </w:tc>
        <w:tc>
          <w:tcPr>
            <w:tcW w:w="5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3"/>
        </w:trPr>
        <w:tc>
          <w:tcPr>
            <w:tcW w:w="5540" w:type="dxa"/>
            <w:vAlign w:val="bottom"/>
            <w:tcBorders>
              <w:bottom w:val="single" w:sz="8" w:color="808080"/>
            </w:tcBorders>
          </w:tcPr>
          <w:p>
            <w:pPr>
              <w:spacing w:after="0"/>
              <w:rPr>
                <w:sz w:val="8"/>
                <w:szCs w:val="8"/>
                <w:color w:val="auto"/>
              </w:rPr>
            </w:pPr>
          </w:p>
        </w:tc>
        <w:tc>
          <w:tcPr>
            <w:tcW w:w="5700" w:type="dxa"/>
            <w:vAlign w:val="bottom"/>
            <w:tcBorders>
              <w:bottom w:val="single" w:sz="8" w:color="808080"/>
            </w:tcBorders>
          </w:tcPr>
          <w:p>
            <w:pPr>
              <w:spacing w:after="0"/>
              <w:rPr>
                <w:sz w:val="8"/>
                <w:szCs w:val="8"/>
                <w:color w:val="auto"/>
              </w:rPr>
            </w:pPr>
          </w:p>
        </w:tc>
        <w:tc>
          <w:tcPr>
            <w:tcW w:w="20" w:type="dxa"/>
            <w:vAlign w:val="bottom"/>
            <w:tcBorders>
              <w:bottom w:val="single" w:sz="8" w:color="808080"/>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-318770</wp:posOffset>
            </wp:positionV>
            <wp:extent cx="1191260" cy="23177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67" w:name="page68"/>
    <w:bookmarkEnd w:id="6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6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Our Philosophy and Objectives</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color w:val="auto"/>
        </w:rPr>
        <w:t>Our executive compensation philosophy incorporates the following core principles and objectives:</w:t>
      </w:r>
    </w:p>
    <w:p>
      <w:pPr>
        <w:sectPr>
          <w:pgSz w:w="11900" w:h="16838" w:orient="portrait"/>
          <w:cols w:equalWidth="0" w:num="1">
            <w:col w:w="11260"/>
          </w:cols>
          <w:pgMar w:left="320" w:top="125" w:right="319" w:bottom="1440" w:gutter="0" w:footer="0" w:header="0"/>
        </w:sectPr>
      </w:pPr>
    </w:p>
    <w:p>
      <w:pPr>
        <w:spacing w:after="0" w:line="212" w:lineRule="exact"/>
        <w:rPr>
          <w:sz w:val="20"/>
          <w:szCs w:val="20"/>
          <w:color w:val="auto"/>
        </w:rPr>
      </w:pPr>
    </w:p>
    <w:p>
      <w:pPr>
        <w:spacing w:after="0"/>
        <w:rPr>
          <w:sz w:val="20"/>
          <w:szCs w:val="20"/>
          <w:color w:val="auto"/>
        </w:rPr>
      </w:pPr>
      <w:r>
        <w:rPr>
          <w:rFonts w:ascii="Arial" w:cs="Arial" w:eastAsia="Arial" w:hAnsi="Arial"/>
          <w:sz w:val="17"/>
          <w:szCs w:val="17"/>
          <w:b w:val="1"/>
          <w:bCs w:val="1"/>
          <w:color w:val="355675"/>
        </w:rPr>
        <w:t>ALIGNMENT WITH SHAREHOLDER INTERESTS</w:t>
      </w:r>
    </w:p>
    <w:p>
      <w:pPr>
        <w:spacing w:after="0" w:line="20" w:lineRule="exact"/>
        <w:rPr>
          <w:sz w:val="20"/>
          <w:szCs w:val="20"/>
          <w:color w:val="auto"/>
        </w:rPr>
      </w:pPr>
      <w:r>
        <w:rPr>
          <w:sz w:val="20"/>
          <w:szCs w:val="20"/>
          <w:color w:val="auto"/>
        </w:rPr>
        <w:br w:type="column"/>
      </w:r>
    </w:p>
    <w:p>
      <w:pPr>
        <w:spacing w:after="0" w:line="192" w:lineRule="exact"/>
        <w:rPr>
          <w:sz w:val="20"/>
          <w:szCs w:val="20"/>
          <w:color w:val="auto"/>
        </w:rPr>
      </w:pPr>
    </w:p>
    <w:p>
      <w:pPr>
        <w:spacing w:after="0"/>
        <w:rPr>
          <w:sz w:val="20"/>
          <w:szCs w:val="20"/>
          <w:color w:val="auto"/>
        </w:rPr>
      </w:pPr>
      <w:r>
        <w:rPr>
          <w:rFonts w:ascii="Arial" w:cs="Arial" w:eastAsia="Arial" w:hAnsi="Arial"/>
          <w:sz w:val="17"/>
          <w:szCs w:val="17"/>
          <w:b w:val="1"/>
          <w:bCs w:val="1"/>
          <w:color w:val="355675"/>
        </w:rPr>
        <w:t>KEY MANAGEMENT RETENTION</w:t>
      </w:r>
    </w:p>
    <w:p>
      <w:pPr>
        <w:spacing w:after="0" w:line="200" w:lineRule="exact"/>
        <w:rPr>
          <w:sz w:val="20"/>
          <w:szCs w:val="20"/>
          <w:color w:val="auto"/>
        </w:rPr>
      </w:pPr>
    </w:p>
    <w:p>
      <w:pPr>
        <w:sectPr>
          <w:pgSz w:w="11900" w:h="16838" w:orient="portrait"/>
          <w:cols w:equalWidth="0" w:num="2">
            <w:col w:w="5860" w:space="720"/>
            <w:col w:w="4680"/>
          </w:cols>
          <w:pgMar w:left="320" w:top="125" w:right="319" w:bottom="1440" w:gutter="0" w:footer="0" w:header="0"/>
          <w:type w:val="continuous"/>
        </w:sectPr>
      </w:pP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We structure our annual cash and long-term equity incentive compensation to</w:t>
      </w:r>
    </w:p>
    <w:p>
      <w:pPr>
        <w:spacing w:after="0" w:line="20" w:lineRule="exact"/>
        <w:rPr>
          <w:sz w:val="20"/>
          <w:szCs w:val="20"/>
          <w:color w:val="auto"/>
        </w:rPr>
      </w:pPr>
      <w:r>
        <w:rPr>
          <w:sz w:val="20"/>
          <w:szCs w:val="20"/>
          <w:color w:val="auto"/>
        </w:rPr>
        <w:br w:type="column"/>
      </w:r>
    </w:p>
    <w:p>
      <w:pPr>
        <w:spacing w:after="0" w:line="3" w:lineRule="exact"/>
        <w:rPr>
          <w:sz w:val="20"/>
          <w:szCs w:val="20"/>
          <w:color w:val="auto"/>
        </w:rPr>
      </w:pPr>
    </w:p>
    <w:p>
      <w:pPr>
        <w:jc w:val="center"/>
        <w:ind w:right="420"/>
        <w:spacing w:after="0"/>
        <w:rPr>
          <w:sz w:val="20"/>
          <w:szCs w:val="20"/>
          <w:color w:val="auto"/>
        </w:rPr>
      </w:pPr>
      <w:r>
        <w:rPr>
          <w:rFonts w:ascii="Arial" w:cs="Arial" w:eastAsia="Arial" w:hAnsi="Arial"/>
          <w:sz w:val="17"/>
          <w:szCs w:val="17"/>
          <w:color w:val="auto"/>
        </w:rPr>
        <w:t>We structure our program to provide compensation at</w:t>
      </w:r>
    </w:p>
    <w:p>
      <w:pPr>
        <w:spacing w:after="0" w:line="43" w:lineRule="exact"/>
        <w:rPr>
          <w:sz w:val="20"/>
          <w:szCs w:val="20"/>
          <w:color w:val="auto"/>
        </w:rPr>
      </w:pPr>
    </w:p>
    <w:p>
      <w:pPr>
        <w:sectPr>
          <w:pgSz w:w="11900" w:h="16838" w:orient="portrait"/>
          <w:cols w:equalWidth="0" w:num="2">
            <w:col w:w="6180" w:space="400"/>
            <w:col w:w="46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color w:val="auto"/>
        </w:rPr>
        <w:t xml:space="preserve">put </w:t>
      </w:r>
      <w:r>
        <w:rPr>
          <w:rFonts w:ascii="Arial" w:cs="Arial" w:eastAsia="Arial" w:hAnsi="Arial"/>
          <w:sz w:val="18"/>
          <w:szCs w:val="18"/>
          <w:b w:val="1"/>
          <w:bCs w:val="1"/>
          <w:color w:val="auto"/>
        </w:rPr>
        <w:t>pay at risk</w:t>
      </w:r>
      <w:r>
        <w:rPr>
          <w:rFonts w:ascii="Arial" w:cs="Arial" w:eastAsia="Arial" w:hAnsi="Arial"/>
          <w:sz w:val="18"/>
          <w:szCs w:val="18"/>
          <w:color w:val="auto"/>
        </w:rPr>
        <w:t xml:space="preserve"> and reward business performance.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levels necessary to attract, engage and retain an</w:t>
      </w:r>
    </w:p>
    <w:p>
      <w:pPr>
        <w:spacing w:after="0" w:line="28" w:lineRule="exact"/>
        <w:rPr>
          <w:sz w:val="20"/>
          <w:szCs w:val="20"/>
          <w:color w:val="auto"/>
        </w:rPr>
      </w:pPr>
    </w:p>
    <w:p>
      <w:pPr>
        <w:sectPr>
          <w:pgSz w:w="11900" w:h="16838" w:orient="portrait"/>
          <w:cols w:equalWidth="0" w:num="2">
            <w:col w:w="5860" w:space="720"/>
            <w:col w:w="4680"/>
          </w:cols>
          <w:pgMar w:left="320" w:top="125" w:right="319" w:bottom="1440" w:gutter="0" w:footer="0" w:header="0"/>
          <w:type w:val="continuous"/>
        </w:sectPr>
      </w:pPr>
    </w:p>
    <w:p>
      <w:pPr>
        <w:ind w:left="6580"/>
        <w:spacing w:after="0"/>
        <w:rPr>
          <w:sz w:val="20"/>
          <w:szCs w:val="20"/>
          <w:color w:val="auto"/>
        </w:rPr>
      </w:pPr>
      <w:r>
        <w:rPr>
          <w:rFonts w:ascii="Arial" w:cs="Arial" w:eastAsia="Arial" w:hAnsi="Arial"/>
          <w:sz w:val="17"/>
          <w:szCs w:val="17"/>
          <w:color w:val="auto"/>
        </w:rPr>
        <w:t>experienced management team.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161925</wp:posOffset>
            </wp:positionV>
            <wp:extent cx="7127875" cy="326136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127875" cy="326136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p>
      <w:pPr>
        <w:spacing w:after="0" w:line="200" w:lineRule="exact"/>
        <w:rPr>
          <w:sz w:val="20"/>
          <w:szCs w:val="20"/>
          <w:color w:val="auto"/>
        </w:rPr>
      </w:pPr>
    </w:p>
    <w:p>
      <w:pPr>
        <w:spacing w:after="0" w:line="220" w:lineRule="exact"/>
        <w:rPr>
          <w:sz w:val="20"/>
          <w:szCs w:val="20"/>
          <w:color w:val="auto"/>
        </w:rPr>
      </w:pPr>
    </w:p>
    <w:p>
      <w:pPr>
        <w:ind w:left="220"/>
        <w:spacing w:after="0"/>
        <w:rPr>
          <w:sz w:val="20"/>
          <w:szCs w:val="20"/>
          <w:color w:val="auto"/>
        </w:rPr>
      </w:pPr>
      <w:r>
        <w:rPr>
          <w:rFonts w:ascii="Arial" w:cs="Arial" w:eastAsia="Arial" w:hAnsi="Arial"/>
          <w:sz w:val="29"/>
          <w:szCs w:val="29"/>
          <w:b w:val="1"/>
          <w:bCs w:val="1"/>
          <w:color w:val="008C9F"/>
        </w:rPr>
        <w:t>Pay at Risk</w:t>
      </w:r>
    </w:p>
    <w:p>
      <w:pPr>
        <w:spacing w:after="0" w:line="208" w:lineRule="exact"/>
        <w:rPr>
          <w:sz w:val="20"/>
          <w:szCs w:val="20"/>
          <w:color w:val="auto"/>
        </w:rPr>
      </w:pPr>
    </w:p>
    <w:p>
      <w:pPr>
        <w:ind w:left="220" w:right="360"/>
        <w:spacing w:after="0" w:line="271" w:lineRule="auto"/>
        <w:rPr>
          <w:sz w:val="20"/>
          <w:szCs w:val="20"/>
          <w:color w:val="auto"/>
        </w:rPr>
      </w:pPr>
      <w:r>
        <w:rPr>
          <w:rFonts w:ascii="Arial" w:cs="Arial" w:eastAsia="Arial" w:hAnsi="Arial"/>
          <w:sz w:val="18"/>
          <w:szCs w:val="18"/>
          <w:color w:val="auto"/>
        </w:rPr>
        <w:t>The Company believes that a significant portion of each NEO’s total compensation opportunity should reflect both upside potential and downside risk. We place a strong emphasis on performance-based, shareholder-aligned incentive compensation.</w:t>
      </w:r>
    </w:p>
    <w:p>
      <w:pPr>
        <w:spacing w:after="0" w:line="113" w:lineRule="exact"/>
        <w:rPr>
          <w:sz w:val="20"/>
          <w:szCs w:val="20"/>
          <w:color w:val="auto"/>
        </w:rPr>
      </w:pPr>
    </w:p>
    <w:p>
      <w:pPr>
        <w:ind w:left="220"/>
        <w:spacing w:after="0"/>
        <w:rPr>
          <w:sz w:val="20"/>
          <w:szCs w:val="20"/>
          <w:color w:val="auto"/>
        </w:rPr>
      </w:pPr>
      <w:r>
        <w:rPr>
          <w:rFonts w:ascii="Arial" w:cs="Arial" w:eastAsia="Arial" w:hAnsi="Arial"/>
          <w:sz w:val="18"/>
          <w:szCs w:val="18"/>
          <w:b w:val="1"/>
          <w:bCs w:val="1"/>
          <w:color w:val="939598"/>
        </w:rPr>
        <w:t>CEO AND OTHER NEOs’ TOTAL COMPENSATION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59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68" w:name="page69"/>
    <w:bookmarkEnd w:id="6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87"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Executive Compensation Enhancements</w:t>
      </w:r>
    </w:p>
    <w:p>
      <w:pPr>
        <w:spacing w:after="0" w:line="224"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We are committed to actively engaging with our shareholders and to make changes to our compensation program to ensure that it represents our strong commitment to our pay-for-performance philosophy. Over the past several years, we have undertaken the following enhancements:</w:t>
      </w:r>
    </w:p>
    <w:p>
      <w:pPr>
        <w:spacing w:after="0" w:line="155" w:lineRule="exact"/>
        <w:rPr>
          <w:sz w:val="20"/>
          <w:szCs w:val="20"/>
          <w:color w:val="auto"/>
        </w:rPr>
      </w:pPr>
    </w:p>
    <w:p>
      <w:pPr>
        <w:ind w:left="260" w:hanging="252"/>
        <w:spacing w:after="0"/>
        <w:tabs>
          <w:tab w:leader="none" w:pos="260" w:val="left"/>
        </w:tabs>
        <w:numPr>
          <w:ilvl w:val="0"/>
          <w:numId w:val="57"/>
        </w:numPr>
        <w:rPr>
          <w:rFonts w:ascii="Arial" w:cs="Arial" w:eastAsia="Arial" w:hAnsi="Arial"/>
          <w:sz w:val="18"/>
          <w:szCs w:val="18"/>
          <w:b w:val="1"/>
          <w:bCs w:val="1"/>
          <w:color w:val="355675"/>
        </w:rPr>
      </w:pPr>
      <w:r>
        <w:rPr>
          <w:rFonts w:ascii="Arial" w:cs="Arial" w:eastAsia="Arial" w:hAnsi="Arial"/>
          <w:sz w:val="18"/>
          <w:szCs w:val="18"/>
          <w:color w:val="auto"/>
        </w:rPr>
        <w:t>Enhanced annual cash incentive plan with enterprise shared metrics focused on our strategic priorities and cultural transformation</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57"/>
        </w:numPr>
        <w:rPr>
          <w:rFonts w:ascii="Arial" w:cs="Arial" w:eastAsia="Arial" w:hAnsi="Arial"/>
          <w:sz w:val="18"/>
          <w:szCs w:val="18"/>
          <w:b w:val="1"/>
          <w:bCs w:val="1"/>
          <w:color w:val="355675"/>
        </w:rPr>
      </w:pPr>
      <w:r>
        <w:rPr>
          <w:rFonts w:ascii="Arial" w:cs="Arial" w:eastAsia="Arial" w:hAnsi="Arial"/>
          <w:sz w:val="18"/>
          <w:szCs w:val="18"/>
          <w:color w:val="auto"/>
        </w:rPr>
        <w:t>Ensure performance-based plan goals are set with appropriate levels of rigor</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57"/>
        </w:numPr>
        <w:rPr>
          <w:rFonts w:ascii="Arial" w:cs="Arial" w:eastAsia="Arial" w:hAnsi="Arial"/>
          <w:sz w:val="18"/>
          <w:szCs w:val="18"/>
          <w:b w:val="1"/>
          <w:bCs w:val="1"/>
          <w:color w:val="355675"/>
        </w:rPr>
      </w:pPr>
      <w:r>
        <w:rPr>
          <w:rFonts w:ascii="Arial" w:cs="Arial" w:eastAsia="Arial" w:hAnsi="Arial"/>
          <w:sz w:val="18"/>
          <w:szCs w:val="18"/>
          <w:color w:val="auto"/>
        </w:rPr>
        <w:t>Increased percentage of at-risk compensation</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57"/>
        </w:numPr>
        <w:rPr>
          <w:rFonts w:ascii="Arial" w:cs="Arial" w:eastAsia="Arial" w:hAnsi="Arial"/>
          <w:sz w:val="18"/>
          <w:szCs w:val="18"/>
          <w:b w:val="1"/>
          <w:bCs w:val="1"/>
          <w:color w:val="355675"/>
        </w:rPr>
      </w:pPr>
      <w:r>
        <w:rPr>
          <w:rFonts w:ascii="Arial" w:cs="Arial" w:eastAsia="Arial" w:hAnsi="Arial"/>
          <w:sz w:val="18"/>
          <w:szCs w:val="18"/>
          <w:color w:val="auto"/>
        </w:rPr>
        <w:t>Aligned 2021 Performance Share relative operational metrics to long-term initiatives</w:t>
      </w:r>
    </w:p>
    <w:p>
      <w:pPr>
        <w:spacing w:after="0" w:line="171" w:lineRule="exact"/>
        <w:rPr>
          <w:rFonts w:ascii="Arial" w:cs="Arial" w:eastAsia="Arial" w:hAnsi="Arial"/>
          <w:sz w:val="18"/>
          <w:szCs w:val="18"/>
          <w:b w:val="1"/>
          <w:bCs w:val="1"/>
          <w:color w:val="355675"/>
        </w:rPr>
      </w:pPr>
    </w:p>
    <w:p>
      <w:pPr>
        <w:ind w:left="460" w:hanging="263"/>
        <w:spacing w:after="0"/>
        <w:tabs>
          <w:tab w:leader="none" w:pos="460" w:val="left"/>
        </w:tabs>
        <w:numPr>
          <w:ilvl w:val="1"/>
          <w:numId w:val="57"/>
        </w:numPr>
        <w:rPr>
          <w:rFonts w:ascii="Arial" w:cs="Arial" w:eastAsia="Arial" w:hAnsi="Arial"/>
          <w:sz w:val="18"/>
          <w:szCs w:val="18"/>
          <w:b w:val="1"/>
          <w:bCs w:val="1"/>
          <w:color w:val="355675"/>
        </w:rPr>
      </w:pPr>
      <w:r>
        <w:rPr>
          <w:rFonts w:ascii="Arial" w:cs="Arial" w:eastAsia="Arial" w:hAnsi="Arial"/>
          <w:sz w:val="18"/>
          <w:szCs w:val="18"/>
          <w:color w:val="auto"/>
        </w:rPr>
        <w:t>Added J.D. Power Residential Customer Satisfaction</w:t>
      </w:r>
    </w:p>
    <w:p>
      <w:pPr>
        <w:spacing w:after="0" w:line="171" w:lineRule="exact"/>
        <w:rPr>
          <w:rFonts w:ascii="Arial" w:cs="Arial" w:eastAsia="Arial" w:hAnsi="Arial"/>
          <w:sz w:val="18"/>
          <w:szCs w:val="18"/>
          <w:b w:val="1"/>
          <w:bCs w:val="1"/>
          <w:color w:val="355675"/>
        </w:rPr>
      </w:pPr>
    </w:p>
    <w:p>
      <w:pPr>
        <w:ind w:left="460" w:hanging="263"/>
        <w:spacing w:after="0"/>
        <w:tabs>
          <w:tab w:leader="none" w:pos="460" w:val="left"/>
        </w:tabs>
        <w:numPr>
          <w:ilvl w:val="1"/>
          <w:numId w:val="57"/>
        </w:numPr>
        <w:rPr>
          <w:rFonts w:ascii="Arial" w:cs="Arial" w:eastAsia="Arial" w:hAnsi="Arial"/>
          <w:sz w:val="18"/>
          <w:szCs w:val="18"/>
          <w:b w:val="1"/>
          <w:bCs w:val="1"/>
          <w:color w:val="355675"/>
        </w:rPr>
      </w:pPr>
      <w:r>
        <w:rPr>
          <w:rFonts w:ascii="Arial" w:cs="Arial" w:eastAsia="Arial" w:hAnsi="Arial"/>
          <w:sz w:val="18"/>
          <w:szCs w:val="18"/>
          <w:color w:val="auto"/>
        </w:rPr>
        <w:t>Removed relative Coal Capacity Factor</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57"/>
        </w:numPr>
        <w:rPr>
          <w:rFonts w:ascii="Arial" w:cs="Arial" w:eastAsia="Arial" w:hAnsi="Arial"/>
          <w:sz w:val="18"/>
          <w:szCs w:val="18"/>
          <w:b w:val="1"/>
          <w:bCs w:val="1"/>
          <w:color w:val="355675"/>
        </w:rPr>
      </w:pPr>
      <w:r>
        <w:rPr>
          <w:rFonts w:ascii="Arial" w:cs="Arial" w:eastAsia="Arial" w:hAnsi="Arial"/>
          <w:sz w:val="18"/>
          <w:szCs w:val="18"/>
          <w:color w:val="auto"/>
        </w:rPr>
        <w:t>Looking ahead - 2022 equity grant changes made to enhance alignment to shareholder value and our Clean Energy Commitment</w:t>
      </w:r>
    </w:p>
    <w:p>
      <w:pPr>
        <w:spacing w:after="0" w:line="171" w:lineRule="exact"/>
        <w:rPr>
          <w:rFonts w:ascii="Arial" w:cs="Arial" w:eastAsia="Arial" w:hAnsi="Arial"/>
          <w:sz w:val="18"/>
          <w:szCs w:val="18"/>
          <w:b w:val="1"/>
          <w:bCs w:val="1"/>
          <w:color w:val="355675"/>
        </w:rPr>
      </w:pPr>
    </w:p>
    <w:p>
      <w:pPr>
        <w:ind w:left="460" w:hanging="263"/>
        <w:spacing w:after="0"/>
        <w:tabs>
          <w:tab w:leader="none" w:pos="460" w:val="left"/>
        </w:tabs>
        <w:numPr>
          <w:ilvl w:val="1"/>
          <w:numId w:val="57"/>
        </w:numPr>
        <w:rPr>
          <w:rFonts w:ascii="Arial" w:cs="Arial" w:eastAsia="Arial" w:hAnsi="Arial"/>
          <w:sz w:val="18"/>
          <w:szCs w:val="18"/>
          <w:b w:val="1"/>
          <w:bCs w:val="1"/>
          <w:color w:val="355675"/>
        </w:rPr>
      </w:pPr>
      <w:r>
        <w:rPr>
          <w:rFonts w:ascii="Arial" w:cs="Arial" w:eastAsia="Arial" w:hAnsi="Arial"/>
          <w:sz w:val="18"/>
          <w:szCs w:val="18"/>
          <w:color w:val="auto"/>
        </w:rPr>
        <w:t>Earnings Per Share (“EPS”) performance and clean megawatts installed metrics added to 2022 Performance Share metrics</w:t>
      </w:r>
    </w:p>
    <w:p>
      <w:pPr>
        <w:spacing w:after="0" w:line="171" w:lineRule="exact"/>
        <w:rPr>
          <w:rFonts w:ascii="Arial" w:cs="Arial" w:eastAsia="Arial" w:hAnsi="Arial"/>
          <w:sz w:val="18"/>
          <w:szCs w:val="18"/>
          <w:b w:val="1"/>
          <w:bCs w:val="1"/>
          <w:color w:val="355675"/>
        </w:rPr>
      </w:pPr>
    </w:p>
    <w:p>
      <w:pPr>
        <w:ind w:left="460" w:hanging="263"/>
        <w:spacing w:after="0"/>
        <w:tabs>
          <w:tab w:leader="none" w:pos="460" w:val="left"/>
        </w:tabs>
        <w:numPr>
          <w:ilvl w:val="1"/>
          <w:numId w:val="57"/>
        </w:numPr>
        <w:rPr>
          <w:rFonts w:ascii="Arial" w:cs="Arial" w:eastAsia="Arial" w:hAnsi="Arial"/>
          <w:sz w:val="18"/>
          <w:szCs w:val="18"/>
          <w:b w:val="1"/>
          <w:bCs w:val="1"/>
          <w:color w:val="355675"/>
        </w:rPr>
      </w:pPr>
      <w:r>
        <w:rPr>
          <w:rFonts w:ascii="Arial" w:cs="Arial" w:eastAsia="Arial" w:hAnsi="Arial"/>
          <w:sz w:val="18"/>
          <w:szCs w:val="18"/>
          <w:color w:val="auto"/>
        </w:rPr>
        <w:t>Modified Restricted Stock Units awards to only be paid in stock</w:t>
      </w:r>
    </w:p>
    <w:p>
      <w:pPr>
        <w:spacing w:after="0" w:line="156"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Key 2021 Performance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399415</wp:posOffset>
            </wp:positionH>
            <wp:positionV relativeFrom="paragraph">
              <wp:posOffset>144145</wp:posOffset>
            </wp:positionV>
            <wp:extent cx="6343650" cy="24174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6343650" cy="24174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Compensation Outcomes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color w:val="auto"/>
        </w:rPr>
        <w:t>The table below illustrates the total direct compensation (in millions) for each of our NEOs in 2021:</w:t>
      </w:r>
    </w:p>
    <w:p>
      <w:pPr>
        <w:spacing w:after="0" w:line="397" w:lineRule="exact"/>
        <w:rPr>
          <w:sz w:val="20"/>
          <w:szCs w:val="20"/>
          <w:color w:val="auto"/>
        </w:rPr>
      </w:pPr>
    </w:p>
    <w:p>
      <w:pPr>
        <w:ind w:left="6880"/>
        <w:spacing w:after="0"/>
        <w:tabs>
          <w:tab w:leader="none" w:pos="7740" w:val="left"/>
          <w:tab w:leader="none" w:pos="8820" w:val="left"/>
          <w:tab w:leader="none" w:pos="9740" w:val="left"/>
          <w:tab w:leader="none" w:pos="10560" w:val="left"/>
        </w:tabs>
        <w:rPr>
          <w:sz w:val="20"/>
          <w:szCs w:val="20"/>
          <w:color w:val="auto"/>
        </w:rPr>
      </w:pPr>
      <w:r>
        <w:rPr>
          <w:rFonts w:ascii="Arial" w:cs="Arial" w:eastAsia="Arial" w:hAnsi="Arial"/>
          <w:sz w:val="14"/>
          <w:szCs w:val="14"/>
          <w:b w:val="1"/>
          <w:bCs w:val="1"/>
          <w:color w:val="355675"/>
        </w:rPr>
        <w:t>Jeffrey B.</w:t>
        <w:tab/>
        <w:t>Theodore N.</w:t>
        <w:tab/>
        <w:t>James R.</w:t>
      </w:r>
      <w:r>
        <w:rPr>
          <w:sz w:val="20"/>
          <w:szCs w:val="20"/>
          <w:color w:val="auto"/>
        </w:rPr>
        <w:tab/>
      </w:r>
      <w:r>
        <w:rPr>
          <w:rFonts w:ascii="Arial" w:cs="Arial" w:eastAsia="Arial" w:hAnsi="Arial"/>
          <w:sz w:val="14"/>
          <w:szCs w:val="14"/>
          <w:b w:val="1"/>
          <w:bCs w:val="1"/>
          <w:color w:val="355675"/>
        </w:rPr>
        <w:t>Maria L.</w:t>
      </w:r>
      <w:r>
        <w:rPr>
          <w:sz w:val="20"/>
          <w:szCs w:val="20"/>
          <w:color w:val="auto"/>
        </w:rPr>
        <w:tab/>
      </w:r>
      <w:r>
        <w:rPr>
          <w:rFonts w:ascii="Arial" w:cs="Arial" w:eastAsia="Arial" w:hAnsi="Arial"/>
          <w:sz w:val="14"/>
          <w:szCs w:val="14"/>
          <w:b w:val="1"/>
          <w:bCs w:val="1"/>
          <w:color w:val="355675"/>
        </w:rPr>
        <w:t>Robert E.</w:t>
      </w:r>
    </w:p>
    <w:p>
      <w:pPr>
        <w:spacing w:after="0" w:line="15" w:lineRule="exact"/>
        <w:rPr>
          <w:sz w:val="20"/>
          <w:szCs w:val="20"/>
          <w:color w:val="auto"/>
        </w:rPr>
      </w:pPr>
    </w:p>
    <w:p>
      <w:pPr>
        <w:ind w:left="6940"/>
        <w:spacing w:after="0"/>
        <w:tabs>
          <w:tab w:leader="none" w:pos="7920" w:val="left"/>
          <w:tab w:leader="none" w:pos="8860" w:val="left"/>
          <w:tab w:leader="none" w:pos="9820" w:val="left"/>
          <w:tab w:leader="none" w:pos="10680" w:val="left"/>
        </w:tabs>
        <w:rPr>
          <w:sz w:val="20"/>
          <w:szCs w:val="20"/>
          <w:color w:val="auto"/>
        </w:rPr>
      </w:pPr>
      <w:r>
        <w:rPr>
          <w:rFonts w:ascii="Arial" w:cs="Arial" w:eastAsia="Arial" w:hAnsi="Arial"/>
          <w:sz w:val="14"/>
          <w:szCs w:val="14"/>
          <w:b w:val="1"/>
          <w:bCs w:val="1"/>
          <w:color w:val="355675"/>
        </w:rPr>
        <w:t>Guldner</w:t>
      </w:r>
      <w:r>
        <w:rPr>
          <w:sz w:val="20"/>
          <w:szCs w:val="20"/>
          <w:color w:val="auto"/>
        </w:rPr>
        <w:tab/>
      </w:r>
      <w:r>
        <w:rPr>
          <w:rFonts w:ascii="Arial" w:cs="Arial" w:eastAsia="Arial" w:hAnsi="Arial"/>
          <w:sz w:val="14"/>
          <w:szCs w:val="14"/>
          <w:b w:val="1"/>
          <w:bCs w:val="1"/>
          <w:color w:val="355675"/>
        </w:rPr>
        <w:t>Geisler</w:t>
      </w:r>
      <w:r>
        <w:rPr>
          <w:sz w:val="20"/>
          <w:szCs w:val="20"/>
          <w:color w:val="auto"/>
        </w:rPr>
        <w:tab/>
      </w:r>
      <w:r>
        <w:rPr>
          <w:rFonts w:ascii="Arial" w:cs="Arial" w:eastAsia="Arial" w:hAnsi="Arial"/>
          <w:sz w:val="14"/>
          <w:szCs w:val="14"/>
          <w:b w:val="1"/>
          <w:bCs w:val="1"/>
          <w:color w:val="355675"/>
        </w:rPr>
        <w:t>Hatfield</w:t>
      </w:r>
      <w:r>
        <w:rPr>
          <w:sz w:val="20"/>
          <w:szCs w:val="20"/>
          <w:color w:val="auto"/>
        </w:rPr>
        <w:tab/>
      </w:r>
      <w:r>
        <w:rPr>
          <w:rFonts w:ascii="Arial" w:cs="Arial" w:eastAsia="Arial" w:hAnsi="Arial"/>
          <w:sz w:val="14"/>
          <w:szCs w:val="14"/>
          <w:b w:val="1"/>
          <w:bCs w:val="1"/>
          <w:color w:val="355675"/>
        </w:rPr>
        <w:t>Lacal</w:t>
      </w:r>
      <w:r>
        <w:rPr>
          <w:sz w:val="20"/>
          <w:szCs w:val="20"/>
          <w:color w:val="auto"/>
        </w:rPr>
        <w:tab/>
      </w:r>
      <w:r>
        <w:rPr>
          <w:rFonts w:ascii="Arial" w:cs="Arial" w:eastAsia="Arial" w:hAnsi="Arial"/>
          <w:sz w:val="14"/>
          <w:szCs w:val="14"/>
          <w:b w:val="1"/>
          <w:bCs w:val="1"/>
          <w:color w:val="355675"/>
        </w:rPr>
        <w:t>Smith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57785</wp:posOffset>
            </wp:positionV>
            <wp:extent cx="7132320" cy="62611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132320" cy="626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tbl>
      <w:tblPr>
        <w:tblLayout w:type="fixed"/>
        <w:tblInd w:w="220" w:type="dxa"/>
        <w:tblCellMar>
          <w:top w:w="0" w:type="dxa"/>
          <w:left w:w="0" w:type="dxa"/>
          <w:bottom w:w="0" w:type="dxa"/>
          <w:right w:w="0" w:type="dxa"/>
        </w:tblCellMar>
      </w:tblPr>
      <w:tr>
        <w:trPr>
          <w:trHeight w:val="203"/>
        </w:trPr>
        <w:tc>
          <w:tcPr>
            <w:tcW w:w="448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939598"/>
              </w:rPr>
              <w:t>Base Salary</w:t>
            </w:r>
          </w:p>
        </w:tc>
        <w:tc>
          <w:tcPr>
            <w:tcW w:w="3000" w:type="dxa"/>
            <w:vAlign w:val="bottom"/>
            <w:tcBorders>
              <w:bottom w:val="single" w:sz="8" w:color="939598"/>
            </w:tcBorders>
          </w:tcPr>
          <w:p>
            <w:pPr>
              <w:jc w:val="right"/>
              <w:ind w:right="239"/>
              <w:spacing w:after="0"/>
              <w:rPr>
                <w:sz w:val="20"/>
                <w:szCs w:val="20"/>
                <w:color w:val="auto"/>
              </w:rPr>
            </w:pPr>
            <w:r>
              <w:rPr>
                <w:rFonts w:ascii="Arial" w:cs="Arial" w:eastAsia="Arial" w:hAnsi="Arial"/>
                <w:sz w:val="16"/>
                <w:szCs w:val="16"/>
                <w:color w:val="auto"/>
              </w:rPr>
              <w:t>$1.1</w:t>
            </w:r>
          </w:p>
        </w:tc>
        <w:tc>
          <w:tcPr>
            <w:tcW w:w="960" w:type="dxa"/>
            <w:vAlign w:val="bottom"/>
            <w:tcBorders>
              <w:bottom w:val="single" w:sz="8" w:color="939598"/>
            </w:tcBorders>
          </w:tcPr>
          <w:p>
            <w:pPr>
              <w:jc w:val="right"/>
              <w:ind w:right="239"/>
              <w:spacing w:after="0"/>
              <w:rPr>
                <w:sz w:val="20"/>
                <w:szCs w:val="20"/>
                <w:color w:val="auto"/>
              </w:rPr>
            </w:pPr>
            <w:r>
              <w:rPr>
                <w:rFonts w:ascii="Arial" w:cs="Arial" w:eastAsia="Arial" w:hAnsi="Arial"/>
                <w:sz w:val="16"/>
                <w:szCs w:val="16"/>
                <w:color w:val="auto"/>
              </w:rPr>
              <w:t>$0.5</w:t>
            </w:r>
          </w:p>
        </w:tc>
        <w:tc>
          <w:tcPr>
            <w:tcW w:w="920" w:type="dxa"/>
            <w:vAlign w:val="bottom"/>
            <w:tcBorders>
              <w:bottom w:val="single" w:sz="8" w:color="939598"/>
            </w:tcBorders>
          </w:tcPr>
          <w:p>
            <w:pPr>
              <w:jc w:val="right"/>
              <w:ind w:right="199"/>
              <w:spacing w:after="0"/>
              <w:rPr>
                <w:sz w:val="20"/>
                <w:szCs w:val="20"/>
                <w:color w:val="auto"/>
              </w:rPr>
            </w:pPr>
            <w:r>
              <w:rPr>
                <w:rFonts w:ascii="Arial" w:cs="Arial" w:eastAsia="Arial" w:hAnsi="Arial"/>
                <w:sz w:val="16"/>
                <w:szCs w:val="16"/>
                <w:color w:val="auto"/>
              </w:rPr>
              <w:t>$0.7</w:t>
            </w:r>
          </w:p>
        </w:tc>
        <w:tc>
          <w:tcPr>
            <w:tcW w:w="880" w:type="dxa"/>
            <w:vAlign w:val="bottom"/>
            <w:tcBorders>
              <w:bottom w:val="single" w:sz="8" w:color="939598"/>
            </w:tcBorders>
          </w:tcPr>
          <w:p>
            <w:pPr>
              <w:jc w:val="right"/>
              <w:ind w:right="199"/>
              <w:spacing w:after="0"/>
              <w:rPr>
                <w:sz w:val="20"/>
                <w:szCs w:val="20"/>
                <w:color w:val="auto"/>
              </w:rPr>
            </w:pPr>
            <w:r>
              <w:rPr>
                <w:rFonts w:ascii="Arial" w:cs="Arial" w:eastAsia="Arial" w:hAnsi="Arial"/>
                <w:sz w:val="16"/>
                <w:szCs w:val="16"/>
                <w:color w:val="auto"/>
              </w:rPr>
              <w:t>$0.6</w:t>
            </w:r>
          </w:p>
        </w:tc>
        <w:tc>
          <w:tcPr>
            <w:tcW w:w="780" w:type="dxa"/>
            <w:vAlign w:val="bottom"/>
            <w:tcBorders>
              <w:bottom w:val="single" w:sz="8" w:color="939598"/>
            </w:tcBorders>
          </w:tcPr>
          <w:p>
            <w:pPr>
              <w:jc w:val="right"/>
              <w:ind w:right="99"/>
              <w:spacing w:after="0"/>
              <w:rPr>
                <w:sz w:val="20"/>
                <w:szCs w:val="20"/>
                <w:color w:val="auto"/>
              </w:rPr>
            </w:pPr>
            <w:r>
              <w:rPr>
                <w:rFonts w:ascii="Arial" w:cs="Arial" w:eastAsia="Arial" w:hAnsi="Arial"/>
                <w:sz w:val="16"/>
                <w:szCs w:val="16"/>
                <w:color w:val="auto"/>
              </w:rPr>
              <w:t>$0.6</w:t>
            </w:r>
          </w:p>
        </w:tc>
      </w:tr>
      <w:tr>
        <w:trPr>
          <w:trHeight w:val="223"/>
        </w:trPr>
        <w:tc>
          <w:tcPr>
            <w:tcW w:w="448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008C9F"/>
              </w:rPr>
              <w:t>Annual Cash Incentive</w:t>
            </w:r>
          </w:p>
        </w:tc>
        <w:tc>
          <w:tcPr>
            <w:tcW w:w="3000" w:type="dxa"/>
            <w:vAlign w:val="bottom"/>
            <w:tcBorders>
              <w:bottom w:val="single" w:sz="8" w:color="939598"/>
            </w:tcBorders>
          </w:tcPr>
          <w:p>
            <w:pPr>
              <w:jc w:val="right"/>
              <w:ind w:right="239"/>
              <w:spacing w:after="0"/>
              <w:rPr>
                <w:sz w:val="20"/>
                <w:szCs w:val="20"/>
                <w:color w:val="auto"/>
              </w:rPr>
            </w:pPr>
            <w:r>
              <w:rPr>
                <w:rFonts w:ascii="Arial" w:cs="Arial" w:eastAsia="Arial" w:hAnsi="Arial"/>
                <w:sz w:val="16"/>
                <w:szCs w:val="16"/>
                <w:color w:val="auto"/>
              </w:rPr>
              <w:t>$1.8</w:t>
            </w:r>
          </w:p>
        </w:tc>
        <w:tc>
          <w:tcPr>
            <w:tcW w:w="960" w:type="dxa"/>
            <w:vAlign w:val="bottom"/>
            <w:tcBorders>
              <w:bottom w:val="single" w:sz="8" w:color="939598"/>
            </w:tcBorders>
          </w:tcPr>
          <w:p>
            <w:pPr>
              <w:jc w:val="right"/>
              <w:ind w:right="239"/>
              <w:spacing w:after="0"/>
              <w:rPr>
                <w:sz w:val="20"/>
                <w:szCs w:val="20"/>
                <w:color w:val="auto"/>
              </w:rPr>
            </w:pPr>
            <w:r>
              <w:rPr>
                <w:rFonts w:ascii="Arial" w:cs="Arial" w:eastAsia="Arial" w:hAnsi="Arial"/>
                <w:sz w:val="16"/>
                <w:szCs w:val="16"/>
                <w:color w:val="auto"/>
              </w:rPr>
              <w:t>$0.4</w:t>
            </w:r>
          </w:p>
        </w:tc>
        <w:tc>
          <w:tcPr>
            <w:tcW w:w="920" w:type="dxa"/>
            <w:vAlign w:val="bottom"/>
            <w:tcBorders>
              <w:bottom w:val="single" w:sz="8" w:color="939598"/>
            </w:tcBorders>
          </w:tcPr>
          <w:p>
            <w:pPr>
              <w:jc w:val="right"/>
              <w:ind w:right="199"/>
              <w:spacing w:after="0"/>
              <w:rPr>
                <w:sz w:val="20"/>
                <w:szCs w:val="20"/>
                <w:color w:val="auto"/>
              </w:rPr>
            </w:pPr>
            <w:r>
              <w:rPr>
                <w:rFonts w:ascii="Arial" w:cs="Arial" w:eastAsia="Arial" w:hAnsi="Arial"/>
                <w:sz w:val="16"/>
                <w:szCs w:val="16"/>
                <w:color w:val="auto"/>
              </w:rPr>
              <w:t>$0.7</w:t>
            </w:r>
          </w:p>
        </w:tc>
        <w:tc>
          <w:tcPr>
            <w:tcW w:w="880" w:type="dxa"/>
            <w:vAlign w:val="bottom"/>
            <w:tcBorders>
              <w:bottom w:val="single" w:sz="8" w:color="939598"/>
            </w:tcBorders>
          </w:tcPr>
          <w:p>
            <w:pPr>
              <w:jc w:val="right"/>
              <w:ind w:right="199"/>
              <w:spacing w:after="0"/>
              <w:rPr>
                <w:sz w:val="20"/>
                <w:szCs w:val="20"/>
                <w:color w:val="auto"/>
              </w:rPr>
            </w:pPr>
            <w:r>
              <w:rPr>
                <w:rFonts w:ascii="Arial" w:cs="Arial" w:eastAsia="Arial" w:hAnsi="Arial"/>
                <w:sz w:val="16"/>
                <w:szCs w:val="16"/>
                <w:color w:val="auto"/>
              </w:rPr>
              <w:t>$0.8</w:t>
            </w:r>
          </w:p>
        </w:tc>
        <w:tc>
          <w:tcPr>
            <w:tcW w:w="780" w:type="dxa"/>
            <w:vAlign w:val="bottom"/>
            <w:tcBorders>
              <w:bottom w:val="single" w:sz="8" w:color="939598"/>
            </w:tcBorders>
          </w:tcPr>
          <w:p>
            <w:pPr>
              <w:jc w:val="right"/>
              <w:ind w:right="99"/>
              <w:spacing w:after="0"/>
              <w:rPr>
                <w:sz w:val="20"/>
                <w:szCs w:val="20"/>
                <w:color w:val="auto"/>
              </w:rPr>
            </w:pPr>
            <w:r>
              <w:rPr>
                <w:rFonts w:ascii="Arial" w:cs="Arial" w:eastAsia="Arial" w:hAnsi="Arial"/>
                <w:sz w:val="16"/>
                <w:szCs w:val="16"/>
                <w:color w:val="auto"/>
              </w:rPr>
              <w:t>$0.6</w:t>
            </w:r>
          </w:p>
        </w:tc>
      </w:tr>
      <w:tr>
        <w:trPr>
          <w:trHeight w:val="223"/>
        </w:trPr>
        <w:tc>
          <w:tcPr>
            <w:tcW w:w="448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Long-Term Incentive</w:t>
            </w:r>
          </w:p>
        </w:tc>
        <w:tc>
          <w:tcPr>
            <w:tcW w:w="3000" w:type="dxa"/>
            <w:vAlign w:val="bottom"/>
            <w:tcBorders>
              <w:bottom w:val="single" w:sz="8" w:color="939598"/>
            </w:tcBorders>
          </w:tcPr>
          <w:p>
            <w:pPr>
              <w:jc w:val="right"/>
              <w:ind w:right="239"/>
              <w:spacing w:after="0"/>
              <w:rPr>
                <w:sz w:val="20"/>
                <w:szCs w:val="20"/>
                <w:color w:val="auto"/>
              </w:rPr>
            </w:pPr>
            <w:r>
              <w:rPr>
                <w:rFonts w:ascii="Arial" w:cs="Arial" w:eastAsia="Arial" w:hAnsi="Arial"/>
                <w:sz w:val="16"/>
                <w:szCs w:val="16"/>
                <w:color w:val="auto"/>
              </w:rPr>
              <w:t>$4.1</w:t>
            </w:r>
          </w:p>
        </w:tc>
        <w:tc>
          <w:tcPr>
            <w:tcW w:w="960" w:type="dxa"/>
            <w:vAlign w:val="bottom"/>
            <w:tcBorders>
              <w:bottom w:val="single" w:sz="8" w:color="939598"/>
            </w:tcBorders>
          </w:tcPr>
          <w:p>
            <w:pPr>
              <w:jc w:val="right"/>
              <w:ind w:right="239"/>
              <w:spacing w:after="0"/>
              <w:rPr>
                <w:sz w:val="20"/>
                <w:szCs w:val="20"/>
                <w:color w:val="auto"/>
              </w:rPr>
            </w:pPr>
            <w:r>
              <w:rPr>
                <w:rFonts w:ascii="Arial" w:cs="Arial" w:eastAsia="Arial" w:hAnsi="Arial"/>
                <w:sz w:val="16"/>
                <w:szCs w:val="16"/>
                <w:color w:val="auto"/>
              </w:rPr>
              <w:t>$1.1</w:t>
            </w:r>
          </w:p>
        </w:tc>
        <w:tc>
          <w:tcPr>
            <w:tcW w:w="920" w:type="dxa"/>
            <w:vAlign w:val="bottom"/>
            <w:tcBorders>
              <w:bottom w:val="single" w:sz="8" w:color="939598"/>
            </w:tcBorders>
          </w:tcPr>
          <w:p>
            <w:pPr>
              <w:jc w:val="right"/>
              <w:ind w:right="199"/>
              <w:spacing w:after="0"/>
              <w:rPr>
                <w:sz w:val="20"/>
                <w:szCs w:val="20"/>
                <w:color w:val="auto"/>
              </w:rPr>
            </w:pPr>
            <w:r>
              <w:rPr>
                <w:rFonts w:ascii="Arial" w:cs="Arial" w:eastAsia="Arial" w:hAnsi="Arial"/>
                <w:sz w:val="16"/>
                <w:szCs w:val="16"/>
                <w:color w:val="auto"/>
              </w:rPr>
              <w:t>$1.3</w:t>
            </w:r>
          </w:p>
        </w:tc>
        <w:tc>
          <w:tcPr>
            <w:tcW w:w="880" w:type="dxa"/>
            <w:vAlign w:val="bottom"/>
            <w:tcBorders>
              <w:bottom w:val="single" w:sz="8" w:color="939598"/>
            </w:tcBorders>
          </w:tcPr>
          <w:p>
            <w:pPr>
              <w:jc w:val="right"/>
              <w:ind w:right="199"/>
              <w:spacing w:after="0"/>
              <w:rPr>
                <w:sz w:val="20"/>
                <w:szCs w:val="20"/>
                <w:color w:val="auto"/>
              </w:rPr>
            </w:pPr>
            <w:r>
              <w:rPr>
                <w:rFonts w:ascii="Arial" w:cs="Arial" w:eastAsia="Arial" w:hAnsi="Arial"/>
                <w:sz w:val="16"/>
                <w:szCs w:val="16"/>
                <w:color w:val="auto"/>
              </w:rPr>
              <w:t>$0.8</w:t>
            </w:r>
          </w:p>
        </w:tc>
        <w:tc>
          <w:tcPr>
            <w:tcW w:w="780" w:type="dxa"/>
            <w:vAlign w:val="bottom"/>
            <w:tcBorders>
              <w:bottom w:val="single" w:sz="8" w:color="939598"/>
            </w:tcBorders>
          </w:tcPr>
          <w:p>
            <w:pPr>
              <w:jc w:val="right"/>
              <w:ind w:right="99"/>
              <w:spacing w:after="0"/>
              <w:rPr>
                <w:sz w:val="20"/>
                <w:szCs w:val="20"/>
                <w:color w:val="auto"/>
              </w:rPr>
            </w:pPr>
            <w:r>
              <w:rPr>
                <w:rFonts w:ascii="Arial" w:cs="Arial" w:eastAsia="Arial" w:hAnsi="Arial"/>
                <w:sz w:val="16"/>
                <w:szCs w:val="16"/>
                <w:color w:val="auto"/>
              </w:rPr>
              <w:t>$0.8</w:t>
            </w:r>
          </w:p>
        </w:tc>
      </w:tr>
      <w:tr>
        <w:trPr>
          <w:trHeight w:val="257"/>
        </w:trPr>
        <w:tc>
          <w:tcPr>
            <w:tcW w:w="4480" w:type="dxa"/>
            <w:vAlign w:val="bottom"/>
            <w:tcBorders>
              <w:bottom w:val="single" w:sz="8" w:color="355675"/>
            </w:tcBorders>
          </w:tcPr>
          <w:p>
            <w:pPr>
              <w:ind w:left="60"/>
              <w:spacing w:after="0"/>
              <w:rPr>
                <w:sz w:val="20"/>
                <w:szCs w:val="20"/>
                <w:color w:val="auto"/>
              </w:rPr>
            </w:pPr>
            <w:r>
              <w:rPr>
                <w:rFonts w:ascii="Arial" w:cs="Arial" w:eastAsia="Arial" w:hAnsi="Arial"/>
                <w:sz w:val="16"/>
                <w:szCs w:val="16"/>
                <w:b w:val="1"/>
                <w:bCs w:val="1"/>
                <w:color w:val="auto"/>
              </w:rPr>
              <w:t>Total Direct Compensation</w:t>
            </w:r>
          </w:p>
        </w:tc>
        <w:tc>
          <w:tcPr>
            <w:tcW w:w="3000" w:type="dxa"/>
            <w:vAlign w:val="bottom"/>
            <w:tcBorders>
              <w:bottom w:val="single" w:sz="8" w:color="355675"/>
            </w:tcBorders>
          </w:tcPr>
          <w:p>
            <w:pPr>
              <w:jc w:val="right"/>
              <w:ind w:right="239"/>
              <w:spacing w:after="0"/>
              <w:rPr>
                <w:sz w:val="20"/>
                <w:szCs w:val="20"/>
                <w:color w:val="auto"/>
              </w:rPr>
            </w:pPr>
            <w:r>
              <w:rPr>
                <w:rFonts w:ascii="Arial" w:cs="Arial" w:eastAsia="Arial" w:hAnsi="Arial"/>
                <w:sz w:val="16"/>
                <w:szCs w:val="16"/>
                <w:color w:val="auto"/>
              </w:rPr>
              <w:t>$7.0</w:t>
            </w:r>
          </w:p>
        </w:tc>
        <w:tc>
          <w:tcPr>
            <w:tcW w:w="960" w:type="dxa"/>
            <w:vAlign w:val="bottom"/>
            <w:tcBorders>
              <w:bottom w:val="single" w:sz="8" w:color="355675"/>
            </w:tcBorders>
          </w:tcPr>
          <w:p>
            <w:pPr>
              <w:jc w:val="right"/>
              <w:ind w:right="239"/>
              <w:spacing w:after="0"/>
              <w:rPr>
                <w:sz w:val="20"/>
                <w:szCs w:val="20"/>
                <w:color w:val="auto"/>
              </w:rPr>
            </w:pPr>
            <w:r>
              <w:rPr>
                <w:rFonts w:ascii="Arial" w:cs="Arial" w:eastAsia="Arial" w:hAnsi="Arial"/>
                <w:sz w:val="16"/>
                <w:szCs w:val="16"/>
                <w:color w:val="auto"/>
              </w:rPr>
              <w:t>$2.0</w:t>
            </w:r>
          </w:p>
        </w:tc>
        <w:tc>
          <w:tcPr>
            <w:tcW w:w="920" w:type="dxa"/>
            <w:vAlign w:val="bottom"/>
            <w:tcBorders>
              <w:bottom w:val="single" w:sz="8" w:color="355675"/>
            </w:tcBorders>
          </w:tcPr>
          <w:p>
            <w:pPr>
              <w:jc w:val="right"/>
              <w:ind w:right="199"/>
              <w:spacing w:after="0"/>
              <w:rPr>
                <w:sz w:val="20"/>
                <w:szCs w:val="20"/>
                <w:color w:val="auto"/>
              </w:rPr>
            </w:pPr>
            <w:r>
              <w:rPr>
                <w:rFonts w:ascii="Arial" w:cs="Arial" w:eastAsia="Arial" w:hAnsi="Arial"/>
                <w:sz w:val="16"/>
                <w:szCs w:val="16"/>
                <w:color w:val="auto"/>
              </w:rPr>
              <w:t>$2.7</w:t>
            </w:r>
          </w:p>
        </w:tc>
        <w:tc>
          <w:tcPr>
            <w:tcW w:w="880" w:type="dxa"/>
            <w:vAlign w:val="bottom"/>
            <w:tcBorders>
              <w:bottom w:val="single" w:sz="8" w:color="355675"/>
            </w:tcBorders>
          </w:tcPr>
          <w:p>
            <w:pPr>
              <w:jc w:val="right"/>
              <w:ind w:right="199"/>
              <w:spacing w:after="0"/>
              <w:rPr>
                <w:sz w:val="20"/>
                <w:szCs w:val="20"/>
                <w:color w:val="auto"/>
              </w:rPr>
            </w:pPr>
            <w:r>
              <w:rPr>
                <w:rFonts w:ascii="Arial" w:cs="Arial" w:eastAsia="Arial" w:hAnsi="Arial"/>
                <w:sz w:val="16"/>
                <w:szCs w:val="16"/>
                <w:color w:val="auto"/>
              </w:rPr>
              <w:t>$2.2</w:t>
            </w:r>
          </w:p>
        </w:tc>
        <w:tc>
          <w:tcPr>
            <w:tcW w:w="780" w:type="dxa"/>
            <w:vAlign w:val="bottom"/>
            <w:tcBorders>
              <w:bottom w:val="single" w:sz="8" w:color="355675"/>
            </w:tcBorders>
          </w:tcPr>
          <w:p>
            <w:pPr>
              <w:jc w:val="right"/>
              <w:ind w:right="99"/>
              <w:spacing w:after="0"/>
              <w:rPr>
                <w:sz w:val="20"/>
                <w:szCs w:val="20"/>
                <w:color w:val="auto"/>
              </w:rPr>
            </w:pPr>
            <w:r>
              <w:rPr>
                <w:rFonts w:ascii="Arial" w:cs="Arial" w:eastAsia="Arial" w:hAnsi="Arial"/>
                <w:sz w:val="16"/>
                <w:szCs w:val="16"/>
                <w:color w:val="auto"/>
              </w:rPr>
              <w:t>$2.0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-496570</wp:posOffset>
            </wp:positionV>
            <wp:extent cx="68580" cy="30861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68580" cy="308610"/>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128270</wp:posOffset>
            </wp:positionV>
            <wp:extent cx="1191260" cy="2317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7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69" w:name="page70"/>
    <w:bookmarkEnd w:id="6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56"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2021 Compensation Plan</w:t>
      </w:r>
    </w:p>
    <w:p>
      <w:pPr>
        <w:spacing w:after="0" w:line="208" w:lineRule="exact"/>
        <w:rPr>
          <w:sz w:val="20"/>
          <w:szCs w:val="20"/>
          <w:color w:val="auto"/>
        </w:rPr>
      </w:pPr>
    </w:p>
    <w:p>
      <w:pPr>
        <w:spacing w:after="0"/>
        <w:rPr>
          <w:sz w:val="20"/>
          <w:szCs w:val="20"/>
          <w:color w:val="auto"/>
        </w:rPr>
      </w:pPr>
      <w:r>
        <w:rPr>
          <w:rFonts w:ascii="Arial" w:cs="Arial" w:eastAsia="Arial" w:hAnsi="Arial"/>
          <w:sz w:val="18"/>
          <w:szCs w:val="18"/>
          <w:color w:val="auto"/>
        </w:rPr>
        <w:t>For 2021, the Company’s core executive compensation program for our NEOs consisted of the following key components:</w:t>
      </w:r>
    </w:p>
    <w:p>
      <w:pPr>
        <w:sectPr>
          <w:pgSz w:w="11900" w:h="16838" w:orient="portrait"/>
          <w:cols w:equalWidth="0" w:num="1">
            <w:col w:w="11260"/>
          </w:cols>
          <w:pgMar w:left="320" w:top="125" w:right="319" w:bottom="1440" w:gutter="0" w:footer="0" w:header="0"/>
        </w:sectPr>
      </w:pPr>
    </w:p>
    <w:p>
      <w:pPr>
        <w:spacing w:after="0" w:line="289" w:lineRule="exact"/>
        <w:rPr>
          <w:sz w:val="20"/>
          <w:szCs w:val="20"/>
          <w:color w:val="auto"/>
        </w:rPr>
      </w:pPr>
    </w:p>
    <w:p>
      <w:pPr>
        <w:jc w:val="center"/>
        <w:ind w:left="640"/>
        <w:spacing w:after="0"/>
        <w:rPr>
          <w:sz w:val="20"/>
          <w:szCs w:val="20"/>
          <w:color w:val="auto"/>
        </w:rPr>
      </w:pPr>
      <w:r>
        <w:rPr>
          <w:rFonts w:ascii="Arial" w:cs="Arial" w:eastAsia="Arial" w:hAnsi="Arial"/>
          <w:sz w:val="14"/>
          <w:szCs w:val="14"/>
          <w:b w:val="1"/>
          <w:bCs w:val="1"/>
          <w:color w:val="355675"/>
        </w:rPr>
        <w:t>Pay Element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1251585" cy="40322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1251585" cy="403225"/>
                    </a:xfrm>
                    <a:prstGeom prst="rect">
                      <a:avLst/>
                    </a:prstGeom>
                    <a:noFill/>
                  </pic:spPr>
                </pic:pic>
              </a:graphicData>
            </a:graphic>
          </wp:anchor>
        </w:drawing>
      </w:r>
    </w:p>
    <w:p>
      <w:pPr>
        <w:spacing w:after="0" w:line="228" w:lineRule="exact"/>
        <w:rPr>
          <w:sz w:val="20"/>
          <w:szCs w:val="20"/>
          <w:color w:val="auto"/>
        </w:rPr>
      </w:pPr>
    </w:p>
    <w:p>
      <w:pPr>
        <w:ind w:left="640"/>
        <w:spacing w:after="0"/>
        <w:rPr>
          <w:sz w:val="20"/>
          <w:szCs w:val="20"/>
          <w:color w:val="auto"/>
        </w:rPr>
      </w:pPr>
      <w:r>
        <w:rPr>
          <w:rFonts w:ascii="Arial" w:cs="Arial" w:eastAsia="Arial" w:hAnsi="Arial"/>
          <w:sz w:val="18"/>
          <w:szCs w:val="18"/>
          <w:b w:val="1"/>
          <w:bCs w:val="1"/>
          <w:color w:val="939598"/>
        </w:rPr>
        <w:t>Cash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137795</wp:posOffset>
            </wp:positionV>
            <wp:extent cx="1251585" cy="102870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251585" cy="10287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69" w:lineRule="exact"/>
        <w:rPr>
          <w:sz w:val="20"/>
          <w:szCs w:val="20"/>
          <w:color w:val="auto"/>
        </w:rPr>
      </w:pPr>
    </w:p>
    <w:p>
      <w:pPr>
        <w:spacing w:after="0"/>
        <w:tabs>
          <w:tab w:leader="none" w:pos="1960" w:val="left"/>
          <w:tab w:leader="none" w:pos="3940" w:val="left"/>
        </w:tabs>
        <w:rPr>
          <w:sz w:val="20"/>
          <w:szCs w:val="20"/>
          <w:color w:val="auto"/>
        </w:rPr>
      </w:pPr>
      <w:r>
        <w:rPr>
          <w:rFonts w:ascii="Arial" w:cs="Arial" w:eastAsia="Arial" w:hAnsi="Arial"/>
          <w:sz w:val="14"/>
          <w:szCs w:val="14"/>
          <w:b w:val="1"/>
          <w:bCs w:val="1"/>
          <w:color w:val="355675"/>
        </w:rPr>
        <w:t>Measurement Period</w:t>
      </w:r>
      <w:r>
        <w:rPr>
          <w:sz w:val="20"/>
          <w:szCs w:val="20"/>
          <w:color w:val="auto"/>
        </w:rPr>
        <w:tab/>
      </w:r>
      <w:r>
        <w:rPr>
          <w:rFonts w:ascii="Arial" w:cs="Arial" w:eastAsia="Arial" w:hAnsi="Arial"/>
          <w:sz w:val="14"/>
          <w:szCs w:val="14"/>
          <w:b w:val="1"/>
          <w:bCs w:val="1"/>
          <w:color w:val="355675"/>
        </w:rPr>
        <w:t>Performance Link</w:t>
      </w:r>
      <w:r>
        <w:rPr>
          <w:sz w:val="20"/>
          <w:szCs w:val="20"/>
          <w:color w:val="auto"/>
        </w:rPr>
        <w:tab/>
      </w:r>
      <w:r>
        <w:rPr>
          <w:rFonts w:ascii="Arial" w:cs="Arial" w:eastAsia="Arial" w:hAnsi="Arial"/>
          <w:sz w:val="14"/>
          <w:szCs w:val="14"/>
          <w:b w:val="1"/>
          <w:bCs w:val="1"/>
          <w:color w:val="355675"/>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5760720" cy="171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5760720" cy="17145"/>
                    </a:xfrm>
                    <a:prstGeom prst="rect">
                      <a:avLst/>
                    </a:prstGeom>
                    <a:noFill/>
                  </pic:spPr>
                </pic:pic>
              </a:graphicData>
            </a:graphic>
          </wp:anchor>
        </w:drawing>
      </w:r>
    </w:p>
    <w:p>
      <w:pPr>
        <w:spacing w:after="0" w:line="120" w:lineRule="exact"/>
        <w:rPr>
          <w:sz w:val="20"/>
          <w:szCs w:val="20"/>
          <w:color w:val="auto"/>
        </w:rPr>
      </w:pPr>
    </w:p>
    <w:p>
      <w:pPr>
        <w:ind w:right="100"/>
        <w:spacing w:after="0" w:line="271" w:lineRule="auto"/>
        <w:rPr>
          <w:sz w:val="20"/>
          <w:szCs w:val="20"/>
          <w:color w:val="auto"/>
        </w:rPr>
      </w:pPr>
      <w:r>
        <w:rPr>
          <w:rFonts w:ascii="Arial" w:cs="Arial" w:eastAsia="Arial" w:hAnsi="Arial"/>
          <w:sz w:val="18"/>
          <w:szCs w:val="18"/>
          <w:color w:val="auto"/>
        </w:rPr>
        <w:t>Salary is based on experience, performance and responsibilities and is benchmarked to a peer group and market survey data to align with competitive levels.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40640</wp:posOffset>
            </wp:positionV>
            <wp:extent cx="5760720" cy="825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5760720" cy="8255"/>
                    </a:xfrm>
                    <a:prstGeom prst="rect">
                      <a:avLst/>
                    </a:prstGeom>
                    <a:noFill/>
                  </pic:spPr>
                </pic:pic>
              </a:graphicData>
            </a:graphic>
          </wp:anchor>
        </w:drawing>
      </w:r>
    </w:p>
    <w:p>
      <w:pPr>
        <w:spacing w:after="0" w:line="127" w:lineRule="exact"/>
        <w:rPr>
          <w:sz w:val="20"/>
          <w:szCs w:val="20"/>
          <w:color w:val="auto"/>
        </w:rPr>
      </w:pPr>
    </w:p>
    <w:p>
      <w:pPr>
        <w:sectPr>
          <w:pgSz w:w="11900" w:h="16838" w:orient="portrait"/>
          <w:cols w:equalWidth="0" w:num="2">
            <w:col w:w="1500" w:space="660"/>
            <w:col w:w="9100"/>
          </w:cols>
          <w:pgMar w:left="320" w:top="125"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640"/>
        <w:spacing w:after="0"/>
        <w:rPr>
          <w:sz w:val="20"/>
          <w:szCs w:val="20"/>
          <w:color w:val="auto"/>
        </w:rPr>
      </w:pPr>
      <w:r>
        <w:rPr>
          <w:rFonts w:ascii="Arial" w:cs="Arial" w:eastAsia="Arial" w:hAnsi="Arial"/>
          <w:sz w:val="18"/>
          <w:szCs w:val="18"/>
          <w:b w:val="1"/>
          <w:bCs w:val="1"/>
          <w:color w:val="008C9F"/>
        </w:rPr>
        <w:t>Cash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454660</wp:posOffset>
            </wp:positionV>
            <wp:extent cx="1251585" cy="125158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1251585" cy="1251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640"/>
        <w:spacing w:after="0" w:line="259" w:lineRule="auto"/>
        <w:rPr>
          <w:sz w:val="20"/>
          <w:szCs w:val="20"/>
          <w:color w:val="auto"/>
        </w:rPr>
      </w:pPr>
      <w:r>
        <w:rPr>
          <w:rFonts w:ascii="Arial" w:cs="Arial" w:eastAsia="Arial" w:hAnsi="Arial"/>
          <w:sz w:val="17"/>
          <w:szCs w:val="17"/>
          <w:b w:val="1"/>
          <w:bCs w:val="1"/>
          <w:color w:val="355675"/>
        </w:rPr>
        <w:t>Performance Shares</w:t>
      </w:r>
    </w:p>
    <w:p>
      <w:pPr>
        <w:spacing w:after="0" w:line="1" w:lineRule="exact"/>
        <w:rPr>
          <w:sz w:val="20"/>
          <w:szCs w:val="20"/>
          <w:color w:val="auto"/>
        </w:rPr>
      </w:pPr>
    </w:p>
    <w:p>
      <w:pPr>
        <w:ind w:left="640"/>
        <w:spacing w:after="0"/>
        <w:rPr>
          <w:sz w:val="20"/>
          <w:szCs w:val="20"/>
          <w:color w:val="auto"/>
        </w:rPr>
      </w:pPr>
      <w:r>
        <w:rPr>
          <w:rFonts w:ascii="Arial" w:cs="Arial" w:eastAsia="Arial" w:hAnsi="Arial"/>
          <w:sz w:val="18"/>
          <w:szCs w:val="18"/>
          <w:color w:val="auto"/>
        </w:rPr>
        <w:t>70%</w:t>
      </w:r>
      <w:r>
        <w:rPr>
          <w:rFonts w:ascii="Arial" w:cs="Arial" w:eastAsia="Arial" w:hAnsi="Arial"/>
          <w:sz w:val="29"/>
          <w:szCs w:val="29"/>
          <w:color w:val="auto"/>
          <w:vertAlign w:val="superscript"/>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407670</wp:posOffset>
            </wp:positionH>
            <wp:positionV relativeFrom="paragraph">
              <wp:posOffset>123190</wp:posOffset>
            </wp:positionV>
            <wp:extent cx="848360"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84836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0"/>
        </w:trPr>
        <w:tc>
          <w:tcPr>
            <w:tcW w:w="17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780" w:type="dxa"/>
            <w:vAlign w:val="bottom"/>
          </w:tcPr>
          <w:p>
            <w:pPr>
              <w:spacing w:after="0"/>
              <w:rPr>
                <w:sz w:val="20"/>
                <w:szCs w:val="20"/>
                <w:color w:val="auto"/>
              </w:rPr>
            </w:pPr>
            <w:r>
              <w:rPr>
                <w:rFonts w:ascii="Arial" w:cs="Arial" w:eastAsia="Arial" w:hAnsi="Arial"/>
                <w:sz w:val="18"/>
                <w:szCs w:val="18"/>
                <w:b w:val="1"/>
                <w:bCs w:val="1"/>
                <w:color w:val="008C9F"/>
              </w:rPr>
              <w:t>Earnings</w:t>
            </w:r>
          </w:p>
        </w:tc>
        <w:tc>
          <w:tcPr>
            <w:tcW w:w="0" w:type="dxa"/>
            <w:vAlign w:val="bottom"/>
          </w:tcPr>
          <w:p>
            <w:pPr>
              <w:spacing w:after="0"/>
              <w:rPr>
                <w:sz w:val="1"/>
                <w:szCs w:val="1"/>
                <w:color w:val="auto"/>
              </w:rPr>
            </w:pPr>
          </w:p>
        </w:tc>
      </w:tr>
      <w:tr>
        <w:trPr>
          <w:trHeight w:val="252"/>
        </w:trPr>
        <w:tc>
          <w:tcPr>
            <w:tcW w:w="17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780" w:type="dxa"/>
            <w:vAlign w:val="bottom"/>
          </w:tcPr>
          <w:p>
            <w:pPr>
              <w:spacing w:after="0" w:line="252" w:lineRule="exact"/>
              <w:rPr>
                <w:sz w:val="20"/>
                <w:szCs w:val="20"/>
                <w:color w:val="auto"/>
              </w:rPr>
            </w:pPr>
            <w:r>
              <w:rPr>
                <w:rFonts w:ascii="Arial" w:cs="Arial" w:eastAsia="Arial" w:hAnsi="Arial"/>
                <w:sz w:val="18"/>
                <w:szCs w:val="18"/>
                <w:color w:val="auto"/>
              </w:rPr>
              <w:t>CEO</w:t>
            </w:r>
            <w:r>
              <w:rPr>
                <w:rFonts w:ascii="Arial" w:cs="Arial" w:eastAsia="Arial" w:hAnsi="Arial"/>
                <w:sz w:val="29"/>
                <w:szCs w:val="29"/>
                <w:color w:val="auto"/>
                <w:vertAlign w:val="superscript"/>
              </w:rPr>
              <w:t>(1)</w:t>
            </w:r>
            <w:r>
              <w:rPr>
                <w:rFonts w:ascii="Arial" w:cs="Arial" w:eastAsia="Arial" w:hAnsi="Arial"/>
                <w:sz w:val="18"/>
                <w:szCs w:val="18"/>
                <w:color w:val="auto"/>
              </w:rPr>
              <w:t>: 50.0%</w:t>
            </w:r>
          </w:p>
        </w:tc>
        <w:tc>
          <w:tcPr>
            <w:tcW w:w="0" w:type="dxa"/>
            <w:vAlign w:val="bottom"/>
          </w:tcPr>
          <w:p>
            <w:pPr>
              <w:spacing w:after="0"/>
              <w:rPr>
                <w:sz w:val="1"/>
                <w:szCs w:val="1"/>
                <w:color w:val="auto"/>
              </w:rPr>
            </w:pPr>
          </w:p>
        </w:tc>
      </w:tr>
      <w:tr>
        <w:trPr>
          <w:trHeight w:val="239"/>
        </w:trPr>
        <w:tc>
          <w:tcPr>
            <w:tcW w:w="1980" w:type="dxa"/>
            <w:vAlign w:val="bottom"/>
            <w:gridSpan w:val="2"/>
            <w:vMerge w:val="restart"/>
          </w:tcPr>
          <w:p>
            <w:pPr>
              <w:spacing w:after="0"/>
              <w:rPr>
                <w:sz w:val="20"/>
                <w:szCs w:val="20"/>
                <w:color w:val="auto"/>
              </w:rPr>
            </w:pPr>
            <w:r>
              <w:rPr>
                <w:rFonts w:ascii="Arial" w:cs="Arial" w:eastAsia="Arial" w:hAnsi="Arial"/>
                <w:sz w:val="18"/>
                <w:szCs w:val="18"/>
                <w:b w:val="1"/>
                <w:bCs w:val="1"/>
                <w:color w:val="008C9F"/>
              </w:rPr>
              <w:t>1 year</w:t>
            </w:r>
          </w:p>
        </w:tc>
        <w:tc>
          <w:tcPr>
            <w:tcW w:w="1780" w:type="dxa"/>
            <w:vAlign w:val="bottom"/>
          </w:tcPr>
          <w:p>
            <w:pPr>
              <w:spacing w:after="0"/>
              <w:rPr>
                <w:sz w:val="20"/>
                <w:szCs w:val="20"/>
                <w:color w:val="auto"/>
              </w:rPr>
            </w:pPr>
            <w:r>
              <w:rPr>
                <w:rFonts w:ascii="Arial" w:cs="Arial" w:eastAsia="Arial" w:hAnsi="Arial"/>
                <w:sz w:val="18"/>
                <w:szCs w:val="18"/>
                <w:color w:val="auto"/>
              </w:rPr>
              <w:t>Other NEOs: 50.0%</w:t>
            </w:r>
          </w:p>
        </w:tc>
        <w:tc>
          <w:tcPr>
            <w:tcW w:w="0" w:type="dxa"/>
            <w:vAlign w:val="bottom"/>
          </w:tcPr>
          <w:p>
            <w:pPr>
              <w:spacing w:after="0"/>
              <w:rPr>
                <w:sz w:val="1"/>
                <w:szCs w:val="1"/>
                <w:color w:val="auto"/>
              </w:rPr>
            </w:pPr>
          </w:p>
        </w:tc>
      </w:tr>
      <w:tr>
        <w:trPr>
          <w:trHeight w:val="50"/>
        </w:trPr>
        <w:tc>
          <w:tcPr>
            <w:tcW w:w="1980" w:type="dxa"/>
            <w:vAlign w:val="bottom"/>
            <w:gridSpan w:val="2"/>
            <w:vMerge w:val="continue"/>
          </w:tcPr>
          <w:p>
            <w:pPr>
              <w:spacing w:after="0"/>
              <w:rPr>
                <w:sz w:val="4"/>
                <w:szCs w:val="4"/>
                <w:color w:val="auto"/>
              </w:rPr>
            </w:pPr>
          </w:p>
        </w:tc>
        <w:tc>
          <w:tcPr>
            <w:tcW w:w="1780" w:type="dxa"/>
            <w:vAlign w:val="bottom"/>
            <w:tcBorders>
              <w:bottom w:val="single" w:sz="8" w:color="939598"/>
            </w:tcBorders>
          </w:tcPr>
          <w:p>
            <w:pPr>
              <w:spacing w:after="0"/>
              <w:rPr>
                <w:sz w:val="4"/>
                <w:szCs w:val="4"/>
                <w:color w:val="auto"/>
              </w:rPr>
            </w:pPr>
          </w:p>
        </w:tc>
        <w:tc>
          <w:tcPr>
            <w:tcW w:w="0" w:type="dxa"/>
            <w:vAlign w:val="bottom"/>
          </w:tcPr>
          <w:p>
            <w:pPr>
              <w:spacing w:after="0"/>
              <w:rPr>
                <w:sz w:val="1"/>
                <w:szCs w:val="1"/>
                <w:color w:val="auto"/>
              </w:rPr>
            </w:pPr>
          </w:p>
        </w:tc>
      </w:tr>
      <w:tr>
        <w:trPr>
          <w:trHeight w:val="100"/>
        </w:trPr>
        <w:tc>
          <w:tcPr>
            <w:tcW w:w="1980" w:type="dxa"/>
            <w:vAlign w:val="bottom"/>
            <w:gridSpan w:val="2"/>
            <w:vMerge w:val="continue"/>
          </w:tcPr>
          <w:p>
            <w:pPr>
              <w:spacing w:after="0"/>
              <w:rPr>
                <w:sz w:val="8"/>
                <w:szCs w:val="8"/>
                <w:color w:val="auto"/>
              </w:rPr>
            </w:pPr>
          </w:p>
        </w:tc>
        <w:tc>
          <w:tcPr>
            <w:tcW w:w="1780" w:type="dxa"/>
            <w:vAlign w:val="bottom"/>
            <w:vMerge w:val="restart"/>
          </w:tcPr>
          <w:p>
            <w:pPr>
              <w:spacing w:after="0"/>
              <w:rPr>
                <w:sz w:val="20"/>
                <w:szCs w:val="20"/>
                <w:color w:val="auto"/>
              </w:rPr>
            </w:pPr>
            <w:r>
              <w:rPr>
                <w:rFonts w:ascii="Arial" w:cs="Arial" w:eastAsia="Arial" w:hAnsi="Arial"/>
                <w:sz w:val="18"/>
                <w:szCs w:val="18"/>
                <w:b w:val="1"/>
                <w:bCs w:val="1"/>
                <w:color w:val="008C9F"/>
              </w:rPr>
              <w:t>Business Unit</w:t>
            </w:r>
          </w:p>
        </w:tc>
        <w:tc>
          <w:tcPr>
            <w:tcW w:w="0" w:type="dxa"/>
            <w:vAlign w:val="bottom"/>
          </w:tcPr>
          <w:p>
            <w:pPr>
              <w:spacing w:after="0"/>
              <w:rPr>
                <w:sz w:val="1"/>
                <w:szCs w:val="1"/>
                <w:color w:val="auto"/>
              </w:rPr>
            </w:pPr>
          </w:p>
        </w:tc>
      </w:tr>
      <w:tr>
        <w:trPr>
          <w:trHeight w:val="149"/>
        </w:trPr>
        <w:tc>
          <w:tcPr>
            <w:tcW w:w="1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7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39"/>
        </w:trPr>
        <w:tc>
          <w:tcPr>
            <w:tcW w:w="17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780" w:type="dxa"/>
            <w:vAlign w:val="bottom"/>
          </w:tcPr>
          <w:p>
            <w:pPr>
              <w:spacing w:after="0" w:line="239" w:lineRule="exact"/>
              <w:rPr>
                <w:sz w:val="20"/>
                <w:szCs w:val="20"/>
                <w:color w:val="auto"/>
              </w:rPr>
            </w:pPr>
            <w:r>
              <w:rPr>
                <w:rFonts w:ascii="Arial" w:cs="Arial" w:eastAsia="Arial" w:hAnsi="Arial"/>
                <w:sz w:val="17"/>
                <w:szCs w:val="17"/>
                <w:b w:val="1"/>
                <w:bCs w:val="1"/>
                <w:color w:val="008C9F"/>
              </w:rPr>
              <w:t>Performance</w:t>
            </w:r>
            <w:r>
              <w:rPr>
                <w:rFonts w:ascii="Arial" w:cs="Arial" w:eastAsia="Arial" w:hAnsi="Arial"/>
                <w:sz w:val="27"/>
                <w:szCs w:val="27"/>
                <w:b w:val="1"/>
                <w:bCs w:val="1"/>
                <w:color w:val="008C9F"/>
                <w:vertAlign w:val="superscript"/>
              </w:rPr>
              <w:t>(2)</w:t>
            </w:r>
          </w:p>
        </w:tc>
        <w:tc>
          <w:tcPr>
            <w:tcW w:w="0" w:type="dxa"/>
            <w:vAlign w:val="bottom"/>
          </w:tcPr>
          <w:p>
            <w:pPr>
              <w:spacing w:after="0"/>
              <w:rPr>
                <w:sz w:val="1"/>
                <w:szCs w:val="1"/>
                <w:color w:val="auto"/>
              </w:rPr>
            </w:pPr>
          </w:p>
        </w:tc>
      </w:tr>
      <w:tr>
        <w:trPr>
          <w:trHeight w:val="239"/>
        </w:trPr>
        <w:tc>
          <w:tcPr>
            <w:tcW w:w="17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780" w:type="dxa"/>
            <w:vAlign w:val="bottom"/>
          </w:tcPr>
          <w:p>
            <w:pPr>
              <w:spacing w:after="0"/>
              <w:rPr>
                <w:sz w:val="20"/>
                <w:szCs w:val="20"/>
                <w:color w:val="auto"/>
              </w:rPr>
            </w:pPr>
            <w:r>
              <w:rPr>
                <w:rFonts w:ascii="Arial" w:cs="Arial" w:eastAsia="Arial" w:hAnsi="Arial"/>
                <w:sz w:val="18"/>
                <w:szCs w:val="18"/>
                <w:color w:val="auto"/>
              </w:rPr>
              <w:t>50.0%</w:t>
            </w:r>
          </w:p>
        </w:tc>
        <w:tc>
          <w:tcPr>
            <w:tcW w:w="0" w:type="dxa"/>
            <w:vAlign w:val="bottom"/>
          </w:tcPr>
          <w:p>
            <w:pPr>
              <w:spacing w:after="0"/>
              <w:rPr>
                <w:sz w:val="1"/>
                <w:szCs w:val="1"/>
                <w:color w:val="auto"/>
              </w:rPr>
            </w:pPr>
          </w:p>
        </w:tc>
      </w:tr>
      <w:tr>
        <w:trPr>
          <w:trHeight w:val="50"/>
        </w:trPr>
        <w:tc>
          <w:tcPr>
            <w:tcW w:w="1780" w:type="dxa"/>
            <w:vAlign w:val="bottom"/>
            <w:tcBorders>
              <w:bottom w:val="single" w:sz="8" w:color="939598"/>
            </w:tcBorders>
          </w:tcPr>
          <w:p>
            <w:pPr>
              <w:spacing w:after="0"/>
              <w:rPr>
                <w:sz w:val="4"/>
                <w:szCs w:val="4"/>
                <w:color w:val="auto"/>
              </w:rPr>
            </w:pPr>
          </w:p>
        </w:tc>
        <w:tc>
          <w:tcPr>
            <w:tcW w:w="200" w:type="dxa"/>
            <w:vAlign w:val="bottom"/>
          </w:tcPr>
          <w:p>
            <w:pPr>
              <w:spacing w:after="0"/>
              <w:rPr>
                <w:sz w:val="4"/>
                <w:szCs w:val="4"/>
                <w:color w:val="auto"/>
              </w:rPr>
            </w:pPr>
          </w:p>
        </w:tc>
        <w:tc>
          <w:tcPr>
            <w:tcW w:w="1780" w:type="dxa"/>
            <w:vAlign w:val="bottom"/>
            <w:tcBorders>
              <w:bottom w:val="single" w:sz="8" w:color="939598"/>
            </w:tcBorders>
          </w:tcPr>
          <w:p>
            <w:pPr>
              <w:spacing w:after="0"/>
              <w:rPr>
                <w:sz w:val="4"/>
                <w:szCs w:val="4"/>
                <w:color w:val="auto"/>
              </w:rPr>
            </w:pPr>
          </w:p>
        </w:tc>
        <w:tc>
          <w:tcPr>
            <w:tcW w:w="0" w:type="dxa"/>
            <w:vAlign w:val="bottom"/>
          </w:tcPr>
          <w:p>
            <w:pPr>
              <w:spacing w:after="0"/>
              <w:rPr>
                <w:sz w:val="1"/>
                <w:szCs w:val="1"/>
                <w:color w:val="auto"/>
              </w:rPr>
            </w:pPr>
          </w:p>
        </w:tc>
      </w:tr>
      <w:tr>
        <w:trPr>
          <w:trHeight w:val="204"/>
        </w:trPr>
        <w:tc>
          <w:tcPr>
            <w:tcW w:w="1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780" w:type="dxa"/>
            <w:vAlign w:val="bottom"/>
          </w:tcPr>
          <w:p>
            <w:pPr>
              <w:spacing w:after="0" w:line="204" w:lineRule="exact"/>
              <w:rPr>
                <w:sz w:val="20"/>
                <w:szCs w:val="20"/>
                <w:color w:val="auto"/>
              </w:rPr>
            </w:pPr>
            <w:r>
              <w:rPr>
                <w:rFonts w:ascii="Arial" w:cs="Arial" w:eastAsia="Arial" w:hAnsi="Arial"/>
                <w:sz w:val="18"/>
                <w:szCs w:val="18"/>
                <w:b w:val="1"/>
                <w:bCs w:val="1"/>
                <w:color w:val="355675"/>
              </w:rPr>
              <w:t>Relative TSR</w:t>
            </w:r>
          </w:p>
        </w:tc>
        <w:tc>
          <w:tcPr>
            <w:tcW w:w="0" w:type="dxa"/>
            <w:vAlign w:val="bottom"/>
          </w:tcPr>
          <w:p>
            <w:pPr>
              <w:spacing w:after="0"/>
              <w:rPr>
                <w:sz w:val="1"/>
                <w:szCs w:val="1"/>
                <w:color w:val="auto"/>
              </w:rPr>
            </w:pPr>
          </w:p>
        </w:tc>
      </w:tr>
      <w:tr>
        <w:trPr>
          <w:trHeight w:val="242"/>
        </w:trPr>
        <w:tc>
          <w:tcPr>
            <w:tcW w:w="17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780" w:type="dxa"/>
            <w:vAlign w:val="bottom"/>
            <w:tcBorders>
              <w:bottom w:val="single" w:sz="8" w:color="939598"/>
            </w:tcBorders>
          </w:tcPr>
          <w:p>
            <w:pPr>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15"/>
        </w:trPr>
        <w:tc>
          <w:tcPr>
            <w:tcW w:w="1980" w:type="dxa"/>
            <w:vAlign w:val="bottom"/>
            <w:gridSpan w:val="2"/>
          </w:tcPr>
          <w:p>
            <w:pPr>
              <w:spacing w:after="0"/>
              <w:rPr>
                <w:sz w:val="20"/>
                <w:szCs w:val="20"/>
                <w:color w:val="auto"/>
              </w:rPr>
            </w:pPr>
            <w:r>
              <w:rPr>
                <w:rFonts w:ascii="Arial" w:cs="Arial" w:eastAsia="Arial" w:hAnsi="Arial"/>
                <w:sz w:val="18"/>
                <w:szCs w:val="18"/>
                <w:b w:val="1"/>
                <w:bCs w:val="1"/>
                <w:color w:val="355675"/>
              </w:rPr>
              <w:t>3 years</w:t>
            </w:r>
          </w:p>
        </w:tc>
        <w:tc>
          <w:tcPr>
            <w:tcW w:w="1780" w:type="dxa"/>
            <w:vAlign w:val="bottom"/>
          </w:tcPr>
          <w:p>
            <w:pPr>
              <w:spacing w:after="0"/>
              <w:rPr>
                <w:sz w:val="20"/>
                <w:szCs w:val="20"/>
                <w:color w:val="auto"/>
              </w:rPr>
            </w:pPr>
            <w:r>
              <w:rPr>
                <w:rFonts w:ascii="Arial" w:cs="Arial" w:eastAsia="Arial" w:hAnsi="Arial"/>
                <w:sz w:val="18"/>
                <w:szCs w:val="18"/>
                <w:b w:val="1"/>
                <w:bCs w:val="1"/>
                <w:color w:val="355675"/>
              </w:rPr>
              <w:t>Relative Operational</w:t>
            </w:r>
          </w:p>
        </w:tc>
        <w:tc>
          <w:tcPr>
            <w:tcW w:w="0" w:type="dxa"/>
            <w:vAlign w:val="bottom"/>
          </w:tcPr>
          <w:p>
            <w:pPr>
              <w:spacing w:after="0"/>
              <w:rPr>
                <w:sz w:val="1"/>
                <w:szCs w:val="1"/>
                <w:color w:val="auto"/>
              </w:rPr>
            </w:pPr>
          </w:p>
        </w:tc>
      </w:tr>
      <w:tr>
        <w:trPr>
          <w:trHeight w:val="239"/>
        </w:trPr>
        <w:tc>
          <w:tcPr>
            <w:tcW w:w="17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780" w:type="dxa"/>
            <w:vAlign w:val="bottom"/>
          </w:tcPr>
          <w:p>
            <w:pPr>
              <w:spacing w:after="0" w:line="239" w:lineRule="exact"/>
              <w:rPr>
                <w:sz w:val="20"/>
                <w:szCs w:val="20"/>
                <w:color w:val="auto"/>
              </w:rPr>
            </w:pPr>
            <w:r>
              <w:rPr>
                <w:rFonts w:ascii="Arial" w:cs="Arial" w:eastAsia="Arial" w:hAnsi="Arial"/>
                <w:sz w:val="17"/>
                <w:szCs w:val="17"/>
                <w:b w:val="1"/>
                <w:bCs w:val="1"/>
                <w:color w:val="355675"/>
              </w:rPr>
              <w:t>Performance</w:t>
            </w:r>
            <w:r>
              <w:rPr>
                <w:rFonts w:ascii="Arial" w:cs="Arial" w:eastAsia="Arial" w:hAnsi="Arial"/>
                <w:sz w:val="27"/>
                <w:szCs w:val="27"/>
                <w:b w:val="1"/>
                <w:bCs w:val="1"/>
                <w:color w:val="355675"/>
                <w:vertAlign w:val="superscript"/>
              </w:rPr>
              <w:t>(4)</w:t>
            </w:r>
          </w:p>
        </w:tc>
        <w:tc>
          <w:tcPr>
            <w:tcW w:w="0" w:type="dxa"/>
            <w:vAlign w:val="bottom"/>
          </w:tcPr>
          <w:p>
            <w:pPr>
              <w:spacing w:after="0"/>
              <w:rPr>
                <w:sz w:val="1"/>
                <w:szCs w:val="1"/>
                <w:color w:val="auto"/>
              </w:rPr>
            </w:pPr>
          </w:p>
        </w:tc>
      </w:tr>
      <w:tr>
        <w:trPr>
          <w:trHeight w:val="239"/>
        </w:trPr>
        <w:tc>
          <w:tcPr>
            <w:tcW w:w="17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780" w:type="dxa"/>
            <w:vAlign w:val="bottom"/>
          </w:tcPr>
          <w:p>
            <w:pPr>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22860</wp:posOffset>
            </wp:positionV>
            <wp:extent cx="2383155"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238315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ind w:right="140"/>
        <w:spacing w:after="0" w:line="318" w:lineRule="auto"/>
        <w:rPr>
          <w:sz w:val="20"/>
          <w:szCs w:val="20"/>
          <w:color w:val="auto"/>
        </w:rPr>
      </w:pPr>
      <w:r>
        <w:rPr>
          <w:rFonts w:ascii="Arial" w:cs="Arial" w:eastAsia="Arial" w:hAnsi="Arial"/>
          <w:sz w:val="17"/>
          <w:szCs w:val="17"/>
          <w:color w:val="auto"/>
        </w:rPr>
        <w:t>Universal measure of business financial performance; encourages achievement of bottom-line earnings growth goals.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77470</wp:posOffset>
            </wp:positionV>
            <wp:extent cx="3257550" cy="825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3257550" cy="8255"/>
                    </a:xfrm>
                    <a:prstGeom prst="rect">
                      <a:avLst/>
                    </a:prstGeom>
                    <a:noFill/>
                  </pic:spPr>
                </pic:pic>
              </a:graphicData>
            </a:graphic>
          </wp:anchor>
        </w:drawing>
      </w:r>
    </w:p>
    <w:p>
      <w:pPr>
        <w:spacing w:after="0" w:line="164"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color w:val="auto"/>
        </w:rPr>
        <w:t>Pre-established operational business unit performance goals that include safety, customer experience and operational quality and efficiency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26035</wp:posOffset>
            </wp:positionV>
            <wp:extent cx="3257550" cy="825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3257550" cy="8255"/>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280"/>
        <w:spacing w:after="0" w:line="301" w:lineRule="auto"/>
        <w:rPr>
          <w:sz w:val="20"/>
          <w:szCs w:val="20"/>
          <w:color w:val="auto"/>
        </w:rPr>
      </w:pPr>
      <w:r>
        <w:rPr>
          <w:rFonts w:ascii="Arial" w:cs="Arial" w:eastAsia="Arial" w:hAnsi="Arial"/>
          <w:sz w:val="17"/>
          <w:szCs w:val="17"/>
          <w:color w:val="auto"/>
        </w:rPr>
        <w:t>Relative measures incentivize sustained shareholder value creation and strong performance on operational benchmarks.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215265</wp:posOffset>
            </wp:positionV>
            <wp:extent cx="3257550"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3257550" cy="8890"/>
                    </a:xfrm>
                    <a:prstGeom prst="rect">
                      <a:avLst/>
                    </a:prstGeom>
                    <a:noFill/>
                  </pic:spPr>
                </pic:pic>
              </a:graphicData>
            </a:graphic>
          </wp:anchor>
        </w:drawing>
      </w:r>
    </w:p>
    <w:p>
      <w:pPr>
        <w:spacing w:after="0" w:line="374" w:lineRule="exact"/>
        <w:rPr>
          <w:sz w:val="20"/>
          <w:szCs w:val="20"/>
          <w:color w:val="auto"/>
        </w:rPr>
      </w:pPr>
    </w:p>
    <w:p>
      <w:pPr>
        <w:sectPr>
          <w:pgSz w:w="11900" w:h="16838" w:orient="portrait"/>
          <w:cols w:equalWidth="0" w:num="3">
            <w:col w:w="1740" w:space="420"/>
            <w:col w:w="3760" w:space="200"/>
            <w:col w:w="5140"/>
          </w:cols>
          <w:pgMar w:left="320" w:top="125" w:right="319" w:bottom="1440" w:gutter="0" w:footer="0" w:header="0"/>
          <w:type w:val="continuous"/>
        </w:sectPr>
      </w:pPr>
    </w:p>
    <w:p>
      <w:pPr>
        <w:ind w:left="640"/>
        <w:spacing w:after="0" w:line="253" w:lineRule="auto"/>
        <w:rPr>
          <w:sz w:val="20"/>
          <w:szCs w:val="20"/>
          <w:color w:val="auto"/>
        </w:rPr>
      </w:pPr>
      <w:r>
        <w:rPr>
          <w:rFonts w:ascii="Arial" w:cs="Arial" w:eastAsia="Arial" w:hAnsi="Arial"/>
          <w:sz w:val="18"/>
          <w:szCs w:val="18"/>
          <w:b w:val="1"/>
          <w:bCs w:val="1"/>
          <w:color w:val="355675"/>
        </w:rPr>
        <w:t>Restricted Stock Units</w:t>
      </w:r>
    </w:p>
    <w:p>
      <w:pPr>
        <w:ind w:left="640"/>
        <w:spacing w:after="0"/>
        <w:rPr>
          <w:sz w:val="20"/>
          <w:szCs w:val="20"/>
          <w:color w:val="auto"/>
        </w:rPr>
      </w:pPr>
      <w:r>
        <w:rPr>
          <w:rFonts w:ascii="Arial" w:cs="Arial" w:eastAsia="Arial" w:hAnsi="Arial"/>
          <w:sz w:val="18"/>
          <w:szCs w:val="18"/>
          <w:color w:val="auto"/>
        </w:rPr>
        <w:t>30%</w:t>
      </w:r>
      <w:r>
        <w:rPr>
          <w:rFonts w:ascii="Arial" w:cs="Arial" w:eastAsia="Arial" w:hAnsi="Arial"/>
          <w:sz w:val="29"/>
          <w:szCs w:val="29"/>
          <w:color w:val="auto"/>
          <w:vertAlign w:val="superscript"/>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-30480</wp:posOffset>
            </wp:positionV>
            <wp:extent cx="334010" cy="53975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334010" cy="5397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6"/>
        </w:trPr>
        <w:tc>
          <w:tcPr>
            <w:tcW w:w="1660" w:type="dxa"/>
            <w:vAlign w:val="bottom"/>
          </w:tcPr>
          <w:p>
            <w:pPr>
              <w:spacing w:after="0"/>
              <w:rPr>
                <w:sz w:val="20"/>
                <w:szCs w:val="20"/>
                <w:color w:val="auto"/>
              </w:rPr>
            </w:pPr>
            <w:r>
              <w:rPr>
                <w:rFonts w:ascii="Arial" w:cs="Arial" w:eastAsia="Arial" w:hAnsi="Arial"/>
                <w:sz w:val="18"/>
                <w:szCs w:val="18"/>
                <w:color w:val="auto"/>
              </w:rPr>
              <w:t>Vest ratably over</w:t>
            </w:r>
          </w:p>
        </w:tc>
        <w:tc>
          <w:tcPr>
            <w:tcW w:w="1800" w:type="dxa"/>
            <w:vAlign w:val="bottom"/>
            <w:vMerge w:val="restart"/>
          </w:tcPr>
          <w:p>
            <w:pPr>
              <w:ind w:left="320"/>
              <w:spacing w:after="0"/>
              <w:rPr>
                <w:sz w:val="20"/>
                <w:szCs w:val="20"/>
                <w:color w:val="auto"/>
              </w:rPr>
            </w:pPr>
            <w:r>
              <w:rPr>
                <w:rFonts w:ascii="Arial" w:cs="Arial" w:eastAsia="Arial" w:hAnsi="Arial"/>
                <w:sz w:val="18"/>
                <w:szCs w:val="18"/>
                <w:b w:val="1"/>
                <w:bCs w:val="1"/>
                <w:color w:val="355675"/>
              </w:rPr>
              <w:t>Stock Price</w:t>
            </w:r>
          </w:p>
        </w:tc>
        <w:tc>
          <w:tcPr>
            <w:tcW w:w="5120" w:type="dxa"/>
            <w:vAlign w:val="bottom"/>
          </w:tcPr>
          <w:p>
            <w:pPr>
              <w:ind w:left="500"/>
              <w:spacing w:after="0"/>
              <w:rPr>
                <w:sz w:val="20"/>
                <w:szCs w:val="20"/>
                <w:color w:val="auto"/>
              </w:rPr>
            </w:pPr>
            <w:r>
              <w:rPr>
                <w:rFonts w:ascii="Arial" w:cs="Arial" w:eastAsia="Arial" w:hAnsi="Arial"/>
                <w:sz w:val="18"/>
                <w:szCs w:val="18"/>
                <w:color w:val="auto"/>
              </w:rPr>
              <w:t>Encourages retention; value dependent upon share price</w:t>
            </w:r>
          </w:p>
        </w:tc>
        <w:tc>
          <w:tcPr>
            <w:tcW w:w="0" w:type="dxa"/>
            <w:vAlign w:val="bottom"/>
          </w:tcPr>
          <w:p>
            <w:pPr>
              <w:spacing w:after="0"/>
              <w:rPr>
                <w:sz w:val="1"/>
                <w:szCs w:val="1"/>
                <w:color w:val="auto"/>
              </w:rPr>
            </w:pPr>
          </w:p>
        </w:tc>
      </w:tr>
      <w:tr>
        <w:trPr>
          <w:trHeight w:val="139"/>
        </w:trPr>
        <w:tc>
          <w:tcPr>
            <w:tcW w:w="1660" w:type="dxa"/>
            <w:vAlign w:val="bottom"/>
            <w:vMerge w:val="restart"/>
          </w:tcPr>
          <w:p>
            <w:pPr>
              <w:spacing w:after="0"/>
              <w:rPr>
                <w:sz w:val="20"/>
                <w:szCs w:val="20"/>
                <w:color w:val="auto"/>
              </w:rPr>
            </w:pPr>
            <w:r>
              <w:rPr>
                <w:rFonts w:ascii="Arial" w:cs="Arial" w:eastAsia="Arial" w:hAnsi="Arial"/>
                <w:sz w:val="18"/>
                <w:szCs w:val="18"/>
                <w:b w:val="1"/>
                <w:bCs w:val="1"/>
                <w:color w:val="355675"/>
              </w:rPr>
              <w:t>4 years</w:t>
            </w:r>
          </w:p>
        </w:tc>
        <w:tc>
          <w:tcPr>
            <w:tcW w:w="1800" w:type="dxa"/>
            <w:vAlign w:val="bottom"/>
            <w:vMerge w:val="continue"/>
          </w:tcPr>
          <w:p>
            <w:pPr>
              <w:spacing w:after="0"/>
              <w:rPr>
                <w:sz w:val="12"/>
                <w:szCs w:val="12"/>
                <w:color w:val="auto"/>
              </w:rPr>
            </w:pPr>
          </w:p>
        </w:tc>
        <w:tc>
          <w:tcPr>
            <w:tcW w:w="5120" w:type="dxa"/>
            <w:vAlign w:val="bottom"/>
            <w:vMerge w:val="restart"/>
          </w:tcPr>
          <w:p>
            <w:pPr>
              <w:ind w:left="500"/>
              <w:spacing w:after="0"/>
              <w:rPr>
                <w:sz w:val="20"/>
                <w:szCs w:val="20"/>
                <w:color w:val="auto"/>
              </w:rPr>
            </w:pPr>
            <w:r>
              <w:rPr>
                <w:rFonts w:ascii="Arial" w:cs="Arial" w:eastAsia="Arial" w:hAnsi="Arial"/>
                <w:sz w:val="18"/>
                <w:szCs w:val="18"/>
                <w:color w:val="auto"/>
                <w:w w:val="99"/>
              </w:rPr>
              <w:t>appreciation and four-year vesting to encourage retention.</w:t>
            </w:r>
          </w:p>
        </w:tc>
        <w:tc>
          <w:tcPr>
            <w:tcW w:w="0" w:type="dxa"/>
            <w:vAlign w:val="bottom"/>
          </w:tcPr>
          <w:p>
            <w:pPr>
              <w:spacing w:after="0"/>
              <w:rPr>
                <w:sz w:val="1"/>
                <w:szCs w:val="1"/>
                <w:color w:val="auto"/>
              </w:rPr>
            </w:pPr>
          </w:p>
        </w:tc>
      </w:tr>
      <w:tr>
        <w:trPr>
          <w:trHeight w:val="108"/>
        </w:trPr>
        <w:tc>
          <w:tcPr>
            <w:tcW w:w="1660" w:type="dxa"/>
            <w:vAlign w:val="bottom"/>
            <w:vMerge w:val="continue"/>
          </w:tcPr>
          <w:p>
            <w:pPr>
              <w:spacing w:after="0"/>
              <w:rPr>
                <w:sz w:val="9"/>
                <w:szCs w:val="9"/>
                <w:color w:val="auto"/>
              </w:rPr>
            </w:pPr>
          </w:p>
        </w:tc>
        <w:tc>
          <w:tcPr>
            <w:tcW w:w="1800" w:type="dxa"/>
            <w:vAlign w:val="bottom"/>
          </w:tcPr>
          <w:p>
            <w:pPr>
              <w:spacing w:after="0"/>
              <w:rPr>
                <w:sz w:val="9"/>
                <w:szCs w:val="9"/>
                <w:color w:val="auto"/>
              </w:rPr>
            </w:pPr>
          </w:p>
        </w:tc>
        <w:tc>
          <w:tcPr>
            <w:tcW w:w="51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-963295</wp:posOffset>
            </wp:positionH>
            <wp:positionV relativeFrom="paragraph">
              <wp:posOffset>86995</wp:posOffset>
            </wp:positionV>
            <wp:extent cx="6729095" cy="825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6729095" cy="8255"/>
                    </a:xfrm>
                    <a:prstGeom prst="rect">
                      <a:avLst/>
                    </a:prstGeom>
                    <a:noFill/>
                  </pic:spPr>
                </pic:pic>
              </a:graphicData>
            </a:graphic>
          </wp:anchor>
        </w:drawing>
      </w:r>
    </w:p>
    <w:p>
      <w:pPr>
        <w:spacing w:after="0" w:line="333" w:lineRule="exact"/>
        <w:rPr>
          <w:sz w:val="20"/>
          <w:szCs w:val="20"/>
          <w:color w:val="auto"/>
        </w:rPr>
      </w:pPr>
    </w:p>
    <w:p>
      <w:pPr>
        <w:sectPr>
          <w:pgSz w:w="11900" w:h="16838" w:orient="portrait"/>
          <w:cols w:equalWidth="0" w:num="2">
            <w:col w:w="1640" w:space="520"/>
            <w:col w:w="9100"/>
          </w:cols>
          <w:pgMar w:left="320" w:top="125" w:right="319" w:bottom="1440" w:gutter="0" w:footer="0" w:header="0"/>
          <w:type w:val="continuous"/>
        </w:sectPr>
      </w:pPr>
    </w:p>
    <w:p>
      <w:pPr>
        <w:ind w:left="640" w:right="120"/>
        <w:spacing w:after="0" w:line="271" w:lineRule="auto"/>
        <w:rPr>
          <w:sz w:val="20"/>
          <w:szCs w:val="20"/>
          <w:color w:val="auto"/>
        </w:rPr>
      </w:pPr>
      <w:r>
        <w:rPr>
          <w:rFonts w:ascii="Arial" w:cs="Arial" w:eastAsia="Arial" w:hAnsi="Arial"/>
          <w:sz w:val="18"/>
          <w:szCs w:val="18"/>
          <w:color w:val="auto"/>
        </w:rPr>
        <w:t>We provide benefits, including pension and deferred compensation programs, change of control agreements and limited perquisites, that are designed to attract and retain our executive talent.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407670</wp:posOffset>
            </wp:positionH>
            <wp:positionV relativeFrom="paragraph">
              <wp:posOffset>109220</wp:posOffset>
            </wp:positionV>
            <wp:extent cx="6729095" cy="171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6729095" cy="17145"/>
                    </a:xfrm>
                    <a:prstGeom prst="rect">
                      <a:avLst/>
                    </a:prstGeom>
                    <a:noFill/>
                  </pic:spPr>
                </pic:pic>
              </a:graphicData>
            </a:graphic>
          </wp:anchor>
        </w:drawing>
      </w:r>
    </w:p>
    <w:p>
      <w:pPr>
        <w:spacing w:after="0" w:line="319" w:lineRule="exact"/>
        <w:rPr>
          <w:sz w:val="20"/>
          <w:szCs w:val="20"/>
          <w:color w:val="auto"/>
        </w:rPr>
      </w:pPr>
    </w:p>
    <w:p>
      <w:pPr>
        <w:ind w:left="300" w:right="80" w:hanging="292"/>
        <w:spacing w:after="0" w:line="193" w:lineRule="auto"/>
        <w:tabs>
          <w:tab w:leader="none" w:pos="300" w:val="left"/>
        </w:tabs>
        <w:numPr>
          <w:ilvl w:val="0"/>
          <w:numId w:val="58"/>
        </w:numPr>
        <w:rPr>
          <w:rFonts w:ascii="Arial" w:cs="Arial" w:eastAsia="Arial" w:hAnsi="Arial"/>
          <w:sz w:val="24"/>
          <w:szCs w:val="24"/>
          <w:color w:val="auto"/>
          <w:vertAlign w:val="superscript"/>
        </w:rPr>
      </w:pPr>
      <w:r>
        <w:rPr>
          <w:rFonts w:ascii="Arial" w:cs="Arial" w:eastAsia="Arial" w:hAnsi="Arial"/>
          <w:sz w:val="14"/>
          <w:szCs w:val="14"/>
          <w:color w:val="auto"/>
        </w:rPr>
        <w:t>Mr. Guldner participated in the APS 2021 Annual Incentive Award Plan (the “APS Plan”). However, under the APS Plan, Mr. Guldner’s incentive opportunity tied to earnings was based on PNW earnings and not APS earnings. For additional details regarding Mr. Guldner’s incentive award for 2021, please refer to pages 69-70.</w:t>
      </w:r>
    </w:p>
    <w:p>
      <w:pPr>
        <w:spacing w:after="0" w:line="26" w:lineRule="exact"/>
        <w:rPr>
          <w:rFonts w:ascii="Arial" w:cs="Arial" w:eastAsia="Arial" w:hAnsi="Arial"/>
          <w:sz w:val="24"/>
          <w:szCs w:val="24"/>
          <w:color w:val="auto"/>
          <w:vertAlign w:val="superscript"/>
        </w:rPr>
      </w:pPr>
    </w:p>
    <w:p>
      <w:pPr>
        <w:jc w:val="both"/>
        <w:ind w:left="300" w:right="40" w:hanging="292"/>
        <w:spacing w:after="0" w:line="206" w:lineRule="auto"/>
        <w:tabs>
          <w:tab w:leader="none" w:pos="300" w:val="left"/>
        </w:tabs>
        <w:numPr>
          <w:ilvl w:val="0"/>
          <w:numId w:val="58"/>
        </w:numPr>
        <w:rPr>
          <w:rFonts w:ascii="Arial" w:cs="Arial" w:eastAsia="Arial" w:hAnsi="Arial"/>
          <w:sz w:val="24"/>
          <w:szCs w:val="24"/>
          <w:color w:val="auto"/>
          <w:vertAlign w:val="superscript"/>
        </w:rPr>
      </w:pPr>
      <w:r>
        <w:rPr>
          <w:rFonts w:ascii="Arial" w:cs="Arial" w:eastAsia="Arial" w:hAnsi="Arial"/>
          <w:sz w:val="14"/>
          <w:szCs w:val="14"/>
          <w:color w:val="auto"/>
        </w:rPr>
        <w:t>Based on the following business units, as applicable: Corporate Resources (Information Technology), Corporate Resources (Resource Management), Corporate Resources (excluding Resource Management and Information Technology), Customer Experience, Generation (non-nuclear), Transmission and Distribution, and PVGS. For additional details regarding our goal-setting process and the specific business unit goals for 2021, please refer to pages 70-73.</w:t>
      </w:r>
    </w:p>
    <w:p>
      <w:pPr>
        <w:spacing w:after="0" w:line="26" w:lineRule="exact"/>
        <w:rPr>
          <w:rFonts w:ascii="Arial" w:cs="Arial" w:eastAsia="Arial" w:hAnsi="Arial"/>
          <w:sz w:val="24"/>
          <w:szCs w:val="24"/>
          <w:color w:val="auto"/>
          <w:vertAlign w:val="superscript"/>
        </w:rPr>
      </w:pPr>
    </w:p>
    <w:p>
      <w:pPr>
        <w:ind w:left="300" w:right="160" w:hanging="292"/>
        <w:spacing w:after="0" w:line="193" w:lineRule="auto"/>
        <w:tabs>
          <w:tab w:leader="none" w:pos="300" w:val="left"/>
        </w:tabs>
        <w:numPr>
          <w:ilvl w:val="0"/>
          <w:numId w:val="58"/>
        </w:numPr>
        <w:rPr>
          <w:rFonts w:ascii="Arial" w:cs="Arial" w:eastAsia="Arial" w:hAnsi="Arial"/>
          <w:sz w:val="24"/>
          <w:szCs w:val="24"/>
          <w:color w:val="auto"/>
          <w:vertAlign w:val="superscript"/>
        </w:rPr>
      </w:pPr>
      <w:r>
        <w:rPr>
          <w:rFonts w:ascii="Arial" w:cs="Arial" w:eastAsia="Arial" w:hAnsi="Arial"/>
          <w:sz w:val="14"/>
          <w:szCs w:val="14"/>
          <w:color w:val="auto"/>
        </w:rPr>
        <w:t>For our 2021 annual long-term equity awards, Mr. Guldner, Mr. Hatfield and Ms. Lacal were granted 70% performance shares and 30% Restricted Stock Units; Mr. Geisler and Mr. Smith were granted 60% performance shares and 40% Restricted Stock Units.</w:t>
      </w:r>
    </w:p>
    <w:p>
      <w:pPr>
        <w:spacing w:after="0" w:line="26" w:lineRule="exact"/>
        <w:rPr>
          <w:rFonts w:ascii="Arial" w:cs="Arial" w:eastAsia="Arial" w:hAnsi="Arial"/>
          <w:sz w:val="24"/>
          <w:szCs w:val="24"/>
          <w:color w:val="auto"/>
          <w:vertAlign w:val="superscript"/>
        </w:rPr>
      </w:pPr>
    </w:p>
    <w:p>
      <w:pPr>
        <w:ind w:left="300" w:right="180" w:hanging="292"/>
        <w:spacing w:after="0" w:line="213" w:lineRule="auto"/>
        <w:tabs>
          <w:tab w:leader="none" w:pos="300" w:val="left"/>
        </w:tabs>
        <w:numPr>
          <w:ilvl w:val="0"/>
          <w:numId w:val="58"/>
        </w:numPr>
        <w:rPr>
          <w:rFonts w:ascii="Arial" w:cs="Arial" w:eastAsia="Arial" w:hAnsi="Arial"/>
          <w:sz w:val="24"/>
          <w:szCs w:val="24"/>
          <w:color w:val="auto"/>
          <w:vertAlign w:val="superscript"/>
        </w:rPr>
      </w:pPr>
      <w:r>
        <w:rPr>
          <w:rFonts w:ascii="Arial" w:cs="Arial" w:eastAsia="Arial" w:hAnsi="Arial"/>
          <w:sz w:val="14"/>
          <w:szCs w:val="14"/>
          <w:color w:val="auto"/>
        </w:rPr>
        <w:t>Based on the following benchmarks: Customer reliability, customer-to-employee improvement ratio, Occupational Safety and Health Administration (“OSHA”) all incident injury rate, nuclear capacity factor, and J.D. Power Customer Satisfaction Rating, all of which are based on comparisons to companies selected by independent, objective data providers. For additional details regarding our goal-setting process and the specific relative long-term operational goals for 2021 performance share awards, please refer to pages 74-75.</w:t>
      </w:r>
    </w:p>
    <w:p>
      <w:pPr>
        <w:spacing w:after="0" w:line="125"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Key 2021 Compensation Decisions</w:t>
      </w:r>
    </w:p>
    <w:p>
      <w:pPr>
        <w:spacing w:after="0" w:line="208" w:lineRule="exact"/>
        <w:rPr>
          <w:sz w:val="20"/>
          <w:szCs w:val="20"/>
          <w:color w:val="auto"/>
        </w:rPr>
      </w:pPr>
    </w:p>
    <w:p>
      <w:pPr>
        <w:ind w:right="40"/>
        <w:spacing w:after="0" w:line="271" w:lineRule="auto"/>
        <w:rPr>
          <w:sz w:val="20"/>
          <w:szCs w:val="20"/>
          <w:color w:val="auto"/>
        </w:rPr>
      </w:pPr>
      <w:r>
        <w:rPr>
          <w:rFonts w:ascii="Arial" w:cs="Arial" w:eastAsia="Arial" w:hAnsi="Arial"/>
          <w:sz w:val="18"/>
          <w:szCs w:val="18"/>
          <w:color w:val="auto"/>
        </w:rPr>
        <w:t>For fiscal year 2021, the Human Resources Committee (for purposes of the CD&amp;A, the “Committee”), or the Board acting on the Committee’s recommendation, approved the following compensation for our NEOs:</w:t>
      </w:r>
    </w:p>
    <w:p>
      <w:pPr>
        <w:spacing w:after="0" w:line="98"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Base Salary Adjustments</w:t>
      </w:r>
    </w:p>
    <w:p>
      <w:pPr>
        <w:spacing w:after="0" w:line="195" w:lineRule="exact"/>
        <w:rPr>
          <w:sz w:val="20"/>
          <w:szCs w:val="20"/>
          <w:color w:val="auto"/>
        </w:rPr>
      </w:pPr>
    </w:p>
    <w:p>
      <w:pPr>
        <w:ind w:right="40"/>
        <w:spacing w:after="0" w:line="247" w:lineRule="auto"/>
        <w:rPr>
          <w:sz w:val="20"/>
          <w:szCs w:val="20"/>
          <w:color w:val="auto"/>
        </w:rPr>
      </w:pPr>
      <w:r>
        <w:rPr>
          <w:rFonts w:ascii="Arial" w:cs="Arial" w:eastAsia="Arial" w:hAnsi="Arial"/>
          <w:sz w:val="18"/>
          <w:szCs w:val="18"/>
          <w:color w:val="auto"/>
        </w:rPr>
        <w:t>For fiscal year 2021, the Committee did not increase Mr. Guldner’s salary and the Board, acting on the Committee’s recommendation, did not increase Messrs. Hatfield’s or Smith’s salary, recognizing that their base salaries were well positioned versus the market median for their roles. The Board, acting on the Committee’s recommendation, increased Mr. Geisler’s and Ms. Lacal’s base salary 12.5% and 3.4%, respectively.</w:t>
      </w:r>
    </w:p>
    <w:p>
      <w:pPr>
        <w:spacing w:after="0" w:line="157"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61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70" w:name="page71"/>
    <w:bookmarkEnd w:id="7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Annual Incentive Award</w:t>
      </w:r>
    </w:p>
    <w:p>
      <w:pPr>
        <w:spacing w:after="0" w:line="195" w:lineRule="exact"/>
        <w:rPr>
          <w:sz w:val="20"/>
          <w:szCs w:val="20"/>
          <w:color w:val="auto"/>
        </w:rPr>
      </w:pPr>
    </w:p>
    <w:p>
      <w:pPr>
        <w:spacing w:after="0" w:line="271" w:lineRule="auto"/>
        <w:rPr>
          <w:sz w:val="20"/>
          <w:szCs w:val="20"/>
          <w:color w:val="auto"/>
        </w:rPr>
      </w:pPr>
      <w:r>
        <w:rPr>
          <w:rFonts w:ascii="Arial" w:cs="Arial" w:eastAsia="Arial" w:hAnsi="Arial"/>
          <w:sz w:val="18"/>
          <w:szCs w:val="18"/>
          <w:color w:val="auto"/>
        </w:rPr>
        <w:t>The Board oversees the Company’s business strategy. The Company maintains a rigorous performance goal-setting process wherein targets are set based on our strategies and goals that address our long-term issues during our annual business planning process.</w:t>
      </w:r>
    </w:p>
    <w:p>
      <w:pPr>
        <w:spacing w:after="0" w:line="127" w:lineRule="exact"/>
        <w:rPr>
          <w:sz w:val="20"/>
          <w:szCs w:val="20"/>
          <w:color w:val="auto"/>
        </w:rPr>
      </w:pPr>
    </w:p>
    <w:p>
      <w:pPr>
        <w:ind w:left="460" w:right="120" w:hanging="250"/>
        <w:spacing w:after="0" w:line="271" w:lineRule="auto"/>
        <w:tabs>
          <w:tab w:leader="none" w:pos="460" w:val="left"/>
        </w:tabs>
        <w:numPr>
          <w:ilvl w:val="0"/>
          <w:numId w:val="59"/>
        </w:numPr>
        <w:rPr>
          <w:rFonts w:ascii="Arial" w:cs="Arial" w:eastAsia="Arial" w:hAnsi="Arial"/>
          <w:sz w:val="18"/>
          <w:szCs w:val="18"/>
          <w:color w:val="355675"/>
        </w:rPr>
      </w:pPr>
      <w:r>
        <w:rPr>
          <w:rFonts w:ascii="Arial" w:cs="Arial" w:eastAsia="Arial" w:hAnsi="Arial"/>
          <w:sz w:val="18"/>
          <w:szCs w:val="18"/>
          <w:color w:val="auto"/>
        </w:rPr>
        <w:t>The Committee annually reviews the earnings goal and business unit metrics to ensure alignment with the financial plan and business strategy, with target performance set at levels that are intended to be challenging without incentivizing inappropriate risk taking.</w:t>
      </w:r>
    </w:p>
    <w:p>
      <w:pPr>
        <w:spacing w:after="0" w:line="113" w:lineRule="exact"/>
        <w:rPr>
          <w:rFonts w:ascii="Arial" w:cs="Arial" w:eastAsia="Arial" w:hAnsi="Arial"/>
          <w:sz w:val="18"/>
          <w:szCs w:val="18"/>
          <w:color w:val="355675"/>
        </w:rPr>
      </w:pPr>
    </w:p>
    <w:p>
      <w:pPr>
        <w:ind w:left="460" w:right="20" w:hanging="250"/>
        <w:spacing w:after="0" w:line="271" w:lineRule="auto"/>
        <w:tabs>
          <w:tab w:leader="none" w:pos="460" w:val="left"/>
        </w:tabs>
        <w:numPr>
          <w:ilvl w:val="0"/>
          <w:numId w:val="59"/>
        </w:numPr>
        <w:rPr>
          <w:rFonts w:ascii="Arial" w:cs="Arial" w:eastAsia="Arial" w:hAnsi="Arial"/>
          <w:sz w:val="18"/>
          <w:szCs w:val="18"/>
          <w:color w:val="355675"/>
        </w:rPr>
      </w:pPr>
      <w:r>
        <w:rPr>
          <w:rFonts w:ascii="Arial" w:cs="Arial" w:eastAsia="Arial" w:hAnsi="Arial"/>
          <w:sz w:val="18"/>
          <w:szCs w:val="18"/>
          <w:color w:val="auto"/>
        </w:rPr>
        <w:t>The Company’s goal setting process is a multi-step process guided by our long-term objectives and strategic priorities, using a blend of business considerations, industry benchmark data, and opportunities to improve performance to ensure the appropriate level of rigor.</w:t>
      </w:r>
    </w:p>
    <w:p>
      <w:pPr>
        <w:spacing w:after="0" w:line="113" w:lineRule="exact"/>
        <w:rPr>
          <w:sz w:val="20"/>
          <w:szCs w:val="20"/>
          <w:color w:val="auto"/>
        </w:rPr>
      </w:pPr>
    </w:p>
    <w:p>
      <w:pPr>
        <w:ind w:right="360"/>
        <w:spacing w:after="0" w:line="271" w:lineRule="auto"/>
        <w:rPr>
          <w:sz w:val="20"/>
          <w:szCs w:val="20"/>
          <w:color w:val="auto"/>
        </w:rPr>
      </w:pPr>
      <w:r>
        <w:rPr>
          <w:rFonts w:ascii="Arial" w:cs="Arial" w:eastAsia="Arial" w:hAnsi="Arial"/>
          <w:sz w:val="18"/>
          <w:szCs w:val="18"/>
          <w:color w:val="auto"/>
        </w:rPr>
        <w:t>The 2021 annual incentive earnings and business unit components were set with these practices and philosophy as further described on pages 69-73 of this Proxy Statement.</w:t>
      </w:r>
    </w:p>
    <w:p>
      <w:pPr>
        <w:spacing w:after="0" w:line="138"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Long-Term Incentive Awards</w:t>
      </w:r>
    </w:p>
    <w:p>
      <w:pPr>
        <w:spacing w:after="0" w:line="195" w:lineRule="exact"/>
        <w:rPr>
          <w:sz w:val="20"/>
          <w:szCs w:val="20"/>
          <w:color w:val="auto"/>
        </w:rPr>
      </w:pPr>
    </w:p>
    <w:p>
      <w:pPr>
        <w:jc w:val="both"/>
        <w:ind w:right="280"/>
        <w:spacing w:after="0" w:line="247" w:lineRule="auto"/>
        <w:rPr>
          <w:sz w:val="20"/>
          <w:szCs w:val="20"/>
          <w:color w:val="auto"/>
        </w:rPr>
      </w:pPr>
      <w:r>
        <w:rPr>
          <w:rFonts w:ascii="Arial" w:cs="Arial" w:eastAsia="Arial" w:hAnsi="Arial"/>
          <w:sz w:val="18"/>
          <w:szCs w:val="18"/>
          <w:color w:val="auto"/>
        </w:rPr>
        <w:t>Our long-term equity incentive compensation is intended to align the interests of executives and our shareholders and increase long-term shareholder value, while also offering an award opportunity that helps attract and retain qualified, experienced executives. The 2021 long-term annual incentive grants awarded to our NEOs were granted consistent with our executive compensation practices and philosophy as described on page 73 of this Proxy Statement.</w:t>
      </w:r>
    </w:p>
    <w:p>
      <w:pPr>
        <w:spacing w:after="0" w:line="159"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Compensation Governance</w:t>
      </w:r>
    </w:p>
    <w:p>
      <w:pPr>
        <w:spacing w:after="0" w:line="208" w:lineRule="exact"/>
        <w:rPr>
          <w:sz w:val="20"/>
          <w:szCs w:val="20"/>
          <w:color w:val="auto"/>
        </w:rPr>
      </w:pPr>
    </w:p>
    <w:p>
      <w:pPr>
        <w:ind w:right="100"/>
        <w:spacing w:after="0" w:line="271" w:lineRule="auto"/>
        <w:rPr>
          <w:sz w:val="20"/>
          <w:szCs w:val="20"/>
          <w:color w:val="auto"/>
        </w:rPr>
      </w:pPr>
      <w:r>
        <w:rPr>
          <w:rFonts w:ascii="Arial" w:cs="Arial" w:eastAsia="Arial" w:hAnsi="Arial"/>
          <w:sz w:val="18"/>
          <w:szCs w:val="18"/>
          <w:color w:val="auto"/>
        </w:rPr>
        <w:t>Our executive compensation program is overseen by the Committee. Through ongoing shareholder engagement and regular assessment of our compensation governance practices, we seek to continue to improve our compensation governance:</w:t>
      </w:r>
    </w:p>
    <w:p>
      <w:pPr>
        <w:spacing w:after="0" w:line="138"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Compensation Practices and Highlights</w:t>
      </w:r>
    </w:p>
    <w:p>
      <w:pPr>
        <w:spacing w:after="0" w:line="195" w:lineRule="exact"/>
        <w:rPr>
          <w:sz w:val="20"/>
          <w:szCs w:val="20"/>
          <w:color w:val="auto"/>
        </w:rPr>
      </w:pPr>
    </w:p>
    <w:p>
      <w:pPr>
        <w:ind w:left="260" w:hanging="252"/>
        <w:spacing w:after="0"/>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Shareholder feedback informs compensation program design</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color w:val="auto"/>
        </w:rPr>
        <w:t xml:space="preserve">Short-term and long-term </w:t>
      </w:r>
      <w:r>
        <w:rPr>
          <w:rFonts w:ascii="Arial" w:cs="Arial" w:eastAsia="Arial" w:hAnsi="Arial"/>
          <w:sz w:val="18"/>
          <w:szCs w:val="18"/>
          <w:b w:val="1"/>
          <w:bCs w:val="1"/>
          <w:color w:val="auto"/>
        </w:rPr>
        <w:t>goals connect to the long-term objectives, our financial plan and strategic goals</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color w:val="auto"/>
        </w:rPr>
        <w:t xml:space="preserve">Substantial proportion of target compensation </w:t>
      </w:r>
      <w:r>
        <w:rPr>
          <w:rFonts w:ascii="Arial" w:cs="Arial" w:eastAsia="Arial" w:hAnsi="Arial"/>
          <w:sz w:val="18"/>
          <w:szCs w:val="18"/>
          <w:b w:val="1"/>
          <w:bCs w:val="1"/>
          <w:color w:val="auto"/>
        </w:rPr>
        <w:t>is at risk</w:t>
      </w:r>
      <w:r>
        <w:rPr>
          <w:rFonts w:ascii="Arial" w:cs="Arial" w:eastAsia="Arial" w:hAnsi="Arial"/>
          <w:sz w:val="18"/>
          <w:szCs w:val="18"/>
          <w:color w:val="auto"/>
        </w:rPr>
        <w:t xml:space="preserve"> (83% for the CEO and 70% for other NEOs)</w:t>
      </w:r>
    </w:p>
    <w:p>
      <w:pPr>
        <w:spacing w:after="0" w:line="171" w:lineRule="exact"/>
        <w:rPr>
          <w:rFonts w:ascii="Arial" w:cs="Arial" w:eastAsia="Arial" w:hAnsi="Arial"/>
          <w:sz w:val="18"/>
          <w:szCs w:val="18"/>
          <w:color w:val="355675"/>
        </w:rPr>
      </w:pPr>
    </w:p>
    <w:p>
      <w:pPr>
        <w:ind w:left="260" w:right="660" w:hanging="252"/>
        <w:spacing w:after="0" w:line="271" w:lineRule="auto"/>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 xml:space="preserve">2021 Performance Shares removed coal capacity, added J.D. Power Customer Satisfaction Rating, </w:t>
      </w:r>
      <w:r>
        <w:rPr>
          <w:rFonts w:ascii="Arial" w:cs="Arial" w:eastAsia="Arial" w:hAnsi="Arial"/>
          <w:sz w:val="18"/>
          <w:szCs w:val="18"/>
          <w:color w:val="auto"/>
        </w:rPr>
        <w:t>and maintained relative</w:t>
      </w:r>
      <w:r>
        <w:rPr>
          <w:rFonts w:ascii="Arial" w:cs="Arial" w:eastAsia="Arial" w:hAnsi="Arial"/>
          <w:sz w:val="18"/>
          <w:szCs w:val="18"/>
          <w:b w:val="1"/>
          <w:bCs w:val="1"/>
          <w:color w:val="auto"/>
        </w:rPr>
        <w:t xml:space="preserve"> </w:t>
      </w:r>
      <w:r>
        <w:rPr>
          <w:rFonts w:ascii="Arial" w:cs="Arial" w:eastAsia="Arial" w:hAnsi="Arial"/>
          <w:sz w:val="18"/>
          <w:szCs w:val="18"/>
          <w:color w:val="auto"/>
        </w:rPr>
        <w:t>performance</w:t>
      </w:r>
    </w:p>
    <w:p>
      <w:pPr>
        <w:spacing w:after="0" w:line="113" w:lineRule="exact"/>
        <w:rPr>
          <w:rFonts w:ascii="Arial" w:cs="Arial" w:eastAsia="Arial" w:hAnsi="Arial"/>
          <w:sz w:val="18"/>
          <w:szCs w:val="18"/>
          <w:color w:val="355675"/>
        </w:rPr>
      </w:pPr>
    </w:p>
    <w:p>
      <w:pPr>
        <w:ind w:left="260" w:right="120" w:hanging="252"/>
        <w:spacing w:after="0" w:line="271" w:lineRule="auto"/>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 xml:space="preserve">Shareholder value alignment through performance share relative TSR performance – no payout received for </w:t>
      </w:r>
      <w:r>
        <w:rPr>
          <w:rFonts w:ascii="Arial" w:cs="Arial" w:eastAsia="Arial" w:hAnsi="Arial"/>
          <w:sz w:val="18"/>
          <w:szCs w:val="18"/>
          <w:color w:val="auto"/>
        </w:rPr>
        <w:t>performance period</w:t>
      </w:r>
      <w:r>
        <w:rPr>
          <w:rFonts w:ascii="Arial" w:cs="Arial" w:eastAsia="Arial" w:hAnsi="Arial"/>
          <w:sz w:val="18"/>
          <w:szCs w:val="18"/>
          <w:b w:val="1"/>
          <w:bCs w:val="1"/>
          <w:color w:val="auto"/>
        </w:rPr>
        <w:t xml:space="preserve"> </w:t>
      </w:r>
      <w:r>
        <w:rPr>
          <w:rFonts w:ascii="Arial" w:cs="Arial" w:eastAsia="Arial" w:hAnsi="Arial"/>
          <w:sz w:val="18"/>
          <w:szCs w:val="18"/>
          <w:color w:val="auto"/>
        </w:rPr>
        <w:t>beginning January 1, 2019 and ending December 31, 2021</w:t>
      </w:r>
    </w:p>
    <w:p>
      <w:pPr>
        <w:spacing w:after="0" w:line="113" w:lineRule="exact"/>
        <w:rPr>
          <w:rFonts w:ascii="Arial" w:cs="Arial" w:eastAsia="Arial" w:hAnsi="Arial"/>
          <w:sz w:val="18"/>
          <w:szCs w:val="18"/>
          <w:color w:val="355675"/>
        </w:rPr>
      </w:pPr>
    </w:p>
    <w:p>
      <w:pPr>
        <w:ind w:left="260" w:right="420" w:hanging="252"/>
        <w:spacing w:after="0" w:line="271" w:lineRule="auto"/>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color w:val="auto"/>
        </w:rPr>
        <w:t xml:space="preserve">Shareholder and Clean Energy Commitment alignment – </w:t>
      </w:r>
      <w:r>
        <w:rPr>
          <w:rFonts w:ascii="Arial" w:cs="Arial" w:eastAsia="Arial" w:hAnsi="Arial"/>
          <w:sz w:val="18"/>
          <w:szCs w:val="18"/>
          <w:b w:val="1"/>
          <w:bCs w:val="1"/>
          <w:color w:val="auto"/>
        </w:rPr>
        <w:t>EPS performance and clean megawatt installed metrics added</w:t>
      </w:r>
      <w:r>
        <w:rPr>
          <w:rFonts w:ascii="Arial" w:cs="Arial" w:eastAsia="Arial" w:hAnsi="Arial"/>
          <w:sz w:val="18"/>
          <w:szCs w:val="18"/>
          <w:color w:val="auto"/>
        </w:rPr>
        <w:t xml:space="preserve"> to 2022 Performance Share grants and operational metrics removed</w:t>
      </w:r>
    </w:p>
    <w:p>
      <w:pPr>
        <w:spacing w:after="0" w:line="113" w:lineRule="exact"/>
        <w:rPr>
          <w:rFonts w:ascii="Arial" w:cs="Arial" w:eastAsia="Arial" w:hAnsi="Arial"/>
          <w:sz w:val="18"/>
          <w:szCs w:val="18"/>
          <w:color w:val="355675"/>
        </w:rPr>
      </w:pPr>
    </w:p>
    <w:p>
      <w:pPr>
        <w:ind w:left="260" w:hanging="252"/>
        <w:spacing w:after="0"/>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 xml:space="preserve">No excise tax gross-up provisions </w:t>
      </w:r>
      <w:r>
        <w:rPr>
          <w:rFonts w:ascii="Arial" w:cs="Arial" w:eastAsia="Arial" w:hAnsi="Arial"/>
          <w:sz w:val="18"/>
          <w:szCs w:val="18"/>
          <w:color w:val="auto"/>
        </w:rPr>
        <w:t>in new or materially amended Change of Control Agreements (defined below) with our NEOs</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Anti-hedging policy for all Directors, officers and all employees and anti-pledging policy for all Directors and officers</w:t>
      </w:r>
    </w:p>
    <w:p>
      <w:pPr>
        <w:spacing w:after="0" w:line="171" w:lineRule="exact"/>
        <w:rPr>
          <w:rFonts w:ascii="Arial" w:cs="Arial" w:eastAsia="Arial" w:hAnsi="Arial"/>
          <w:sz w:val="18"/>
          <w:szCs w:val="18"/>
          <w:color w:val="355675"/>
        </w:rPr>
      </w:pPr>
    </w:p>
    <w:p>
      <w:pPr>
        <w:ind w:left="260" w:right="640" w:hanging="252"/>
        <w:spacing w:after="0" w:line="271" w:lineRule="auto"/>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 xml:space="preserve">Stock ownership guidelines </w:t>
      </w:r>
      <w:r>
        <w:rPr>
          <w:rFonts w:ascii="Arial" w:cs="Arial" w:eastAsia="Arial" w:hAnsi="Arial"/>
          <w:sz w:val="18"/>
          <w:szCs w:val="18"/>
          <w:color w:val="auto"/>
        </w:rPr>
        <w:t>for all NEOs, other officers and non-employee directors (all NEOs, other officers and non-employee</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are in compliance with guidelines)</w:t>
      </w:r>
    </w:p>
    <w:p>
      <w:pPr>
        <w:spacing w:after="0" w:line="113" w:lineRule="exact"/>
        <w:rPr>
          <w:rFonts w:ascii="Arial" w:cs="Arial" w:eastAsia="Arial" w:hAnsi="Arial"/>
          <w:sz w:val="18"/>
          <w:szCs w:val="18"/>
          <w:color w:val="355675"/>
        </w:rPr>
      </w:pPr>
    </w:p>
    <w:p>
      <w:pPr>
        <w:ind w:left="260" w:hanging="252"/>
        <w:spacing w:after="0"/>
        <w:tabs>
          <w:tab w:leader="none" w:pos="260" w:val="left"/>
        </w:tabs>
        <w:numPr>
          <w:ilvl w:val="0"/>
          <w:numId w:val="60"/>
        </w:numPr>
        <w:rPr>
          <w:rFonts w:ascii="Arial" w:cs="Arial" w:eastAsia="Arial" w:hAnsi="Arial"/>
          <w:sz w:val="18"/>
          <w:szCs w:val="18"/>
          <w:color w:val="355675"/>
        </w:rPr>
      </w:pPr>
      <w:r>
        <w:rPr>
          <w:rFonts w:ascii="Arial" w:cs="Arial" w:eastAsia="Arial" w:hAnsi="Arial"/>
          <w:sz w:val="18"/>
          <w:szCs w:val="18"/>
          <w:b w:val="1"/>
          <w:bCs w:val="1"/>
          <w:color w:val="auto"/>
        </w:rPr>
        <w:t xml:space="preserve">Clawback policy </w:t>
      </w:r>
      <w:r>
        <w:rPr>
          <w:rFonts w:ascii="Arial" w:cs="Arial" w:eastAsia="Arial" w:hAnsi="Arial"/>
          <w:sz w:val="18"/>
          <w:szCs w:val="18"/>
          <w:color w:val="auto"/>
        </w:rPr>
        <w:t>for our current or former executive officers covering short- and long-term incentive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137795</wp:posOffset>
            </wp:positionV>
            <wp:extent cx="1191260" cy="23177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20"/>
          </w:cols>
          <w:pgMar w:left="320" w:top="125" w:right="359" w:bottom="1440" w:gutter="0" w:footer="0" w:header="0"/>
        </w:sectPr>
      </w:pPr>
    </w:p>
    <w:bookmarkStart w:id="71" w:name="page72"/>
    <w:bookmarkEnd w:id="7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Our Philosophy and Objectives</w:t>
      </w:r>
    </w:p>
    <w:p>
      <w:pPr>
        <w:spacing w:after="0" w:line="197" w:lineRule="exact"/>
        <w:rPr>
          <w:sz w:val="20"/>
          <w:szCs w:val="20"/>
          <w:color w:val="auto"/>
        </w:rPr>
      </w:pPr>
    </w:p>
    <w:p>
      <w:pPr>
        <w:ind w:right="480"/>
        <w:spacing w:after="0" w:line="271" w:lineRule="auto"/>
        <w:rPr>
          <w:sz w:val="20"/>
          <w:szCs w:val="20"/>
          <w:color w:val="auto"/>
        </w:rPr>
      </w:pPr>
      <w:r>
        <w:rPr>
          <w:rFonts w:ascii="Arial" w:cs="Arial" w:eastAsia="Arial" w:hAnsi="Arial"/>
          <w:sz w:val="18"/>
          <w:szCs w:val="18"/>
          <w:color w:val="auto"/>
        </w:rPr>
        <w:t>Our compensation program is designed to be transparent with a clear emphasis on putting pay at risk and retaining key executives. Our executive compensation philosophy incorporates the following core principles and objectives:</w:t>
      </w:r>
    </w:p>
    <w:p>
      <w:pPr>
        <w:spacing w:after="0" w:line="127" w:lineRule="exact"/>
        <w:rPr>
          <w:sz w:val="20"/>
          <w:szCs w:val="20"/>
          <w:color w:val="auto"/>
        </w:rPr>
      </w:pPr>
    </w:p>
    <w:p>
      <w:pPr>
        <w:ind w:left="260" w:right="180" w:hanging="252"/>
        <w:spacing w:after="0" w:line="247" w:lineRule="auto"/>
        <w:tabs>
          <w:tab w:leader="none" w:pos="260" w:val="left"/>
        </w:tabs>
        <w:numPr>
          <w:ilvl w:val="0"/>
          <w:numId w:val="61"/>
        </w:numPr>
        <w:rPr>
          <w:rFonts w:ascii="Arial" w:cs="Arial" w:eastAsia="Arial" w:hAnsi="Arial"/>
          <w:sz w:val="18"/>
          <w:szCs w:val="18"/>
          <w:color w:val="355675"/>
        </w:rPr>
      </w:pPr>
      <w:r>
        <w:rPr>
          <w:rFonts w:ascii="Arial" w:cs="Arial" w:eastAsia="Arial" w:hAnsi="Arial"/>
          <w:sz w:val="18"/>
          <w:szCs w:val="18"/>
          <w:b w:val="1"/>
          <w:bCs w:val="1"/>
          <w:color w:val="auto"/>
        </w:rPr>
        <w:t xml:space="preserve">Alignment with Shareholder Interests. </w:t>
      </w:r>
      <w:r>
        <w:rPr>
          <w:rFonts w:ascii="Arial" w:cs="Arial" w:eastAsia="Arial" w:hAnsi="Arial"/>
          <w:sz w:val="18"/>
          <w:szCs w:val="18"/>
          <w:color w:val="auto"/>
        </w:rPr>
        <w:t>We structure our annual cash and long-term equity incentive compensation to put pay at risk</w:t>
      </w:r>
      <w:r>
        <w:rPr>
          <w:rFonts w:ascii="Arial" w:cs="Arial" w:eastAsia="Arial" w:hAnsi="Arial"/>
          <w:sz w:val="18"/>
          <w:szCs w:val="18"/>
          <w:b w:val="1"/>
          <w:bCs w:val="1"/>
          <w:color w:val="auto"/>
        </w:rPr>
        <w:t xml:space="preserve"> </w:t>
      </w:r>
      <w:r>
        <w:rPr>
          <w:rFonts w:ascii="Arial" w:cs="Arial" w:eastAsia="Arial" w:hAnsi="Arial"/>
          <w:sz w:val="18"/>
          <w:szCs w:val="18"/>
          <w:color w:val="auto"/>
        </w:rPr>
        <w:t>and reward business performance. Payouts under these plans are tied predominantly to the Company’s total return to shareholders, earnings, and the achievement of measurable and sustainable business and individual goals, so that executives’ interests are tied to the success of the Company and are aligned with those of our shareholders.</w:t>
      </w:r>
    </w:p>
    <w:p>
      <w:pPr>
        <w:spacing w:after="0" w:line="133" w:lineRule="exact"/>
        <w:rPr>
          <w:rFonts w:ascii="Arial" w:cs="Arial" w:eastAsia="Arial" w:hAnsi="Arial"/>
          <w:sz w:val="18"/>
          <w:szCs w:val="18"/>
          <w:color w:val="355675"/>
        </w:rPr>
      </w:pPr>
    </w:p>
    <w:p>
      <w:pPr>
        <w:ind w:left="260" w:right="340" w:hanging="252"/>
        <w:spacing w:after="0" w:line="247" w:lineRule="auto"/>
        <w:tabs>
          <w:tab w:leader="none" w:pos="260" w:val="left"/>
        </w:tabs>
        <w:numPr>
          <w:ilvl w:val="0"/>
          <w:numId w:val="61"/>
        </w:numPr>
        <w:rPr>
          <w:rFonts w:ascii="Arial" w:cs="Arial" w:eastAsia="Arial" w:hAnsi="Arial"/>
          <w:sz w:val="18"/>
          <w:szCs w:val="18"/>
          <w:color w:val="355675"/>
        </w:rPr>
      </w:pPr>
      <w:r>
        <w:rPr>
          <w:rFonts w:ascii="Arial" w:cs="Arial" w:eastAsia="Arial" w:hAnsi="Arial"/>
          <w:sz w:val="18"/>
          <w:szCs w:val="18"/>
          <w:b w:val="1"/>
          <w:bCs w:val="1"/>
          <w:color w:val="auto"/>
        </w:rPr>
        <w:t xml:space="preserve">Key Management Retention. </w:t>
      </w:r>
      <w:r>
        <w:rPr>
          <w:rFonts w:ascii="Arial" w:cs="Arial" w:eastAsia="Arial" w:hAnsi="Arial"/>
          <w:sz w:val="18"/>
          <w:szCs w:val="18"/>
          <w:color w:val="auto"/>
        </w:rPr>
        <w:t>We structure our program to provide compensation at levels necessary to attract, engage and retain an</w:t>
      </w:r>
      <w:r>
        <w:rPr>
          <w:rFonts w:ascii="Arial" w:cs="Arial" w:eastAsia="Arial" w:hAnsi="Arial"/>
          <w:sz w:val="18"/>
          <w:szCs w:val="18"/>
          <w:b w:val="1"/>
          <w:bCs w:val="1"/>
          <w:color w:val="auto"/>
        </w:rPr>
        <w:t xml:space="preserve"> </w:t>
      </w:r>
      <w:r>
        <w:rPr>
          <w:rFonts w:ascii="Arial" w:cs="Arial" w:eastAsia="Arial" w:hAnsi="Arial"/>
          <w:sz w:val="18"/>
          <w:szCs w:val="18"/>
          <w:color w:val="auto"/>
        </w:rPr>
        <w:t>experienced management team who have the skill sets and industry experience to succeed in our complex operating and regulatory environment, including operating the Palo Verde Generating Station, and who can provide consistently strong operating and financial results.</w:t>
      </w:r>
    </w:p>
    <w:p>
      <w:pPr>
        <w:spacing w:after="0" w:line="163"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Setting Executive Compensation</w:t>
      </w:r>
    </w:p>
    <w:p>
      <w:pPr>
        <w:spacing w:after="0" w:line="182"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The Human Resources Committee</w:t>
      </w:r>
    </w:p>
    <w:p>
      <w:pPr>
        <w:spacing w:after="0" w:line="195" w:lineRule="exact"/>
        <w:rPr>
          <w:sz w:val="20"/>
          <w:szCs w:val="20"/>
          <w:color w:val="auto"/>
        </w:rPr>
      </w:pPr>
    </w:p>
    <w:p>
      <w:pPr>
        <w:ind w:right="80"/>
        <w:spacing w:after="0"/>
        <w:rPr>
          <w:sz w:val="20"/>
          <w:szCs w:val="20"/>
          <w:color w:val="auto"/>
        </w:rPr>
      </w:pPr>
      <w:r>
        <w:rPr>
          <w:rFonts w:ascii="Arial" w:cs="Arial" w:eastAsia="Arial" w:hAnsi="Arial"/>
          <w:sz w:val="18"/>
          <w:szCs w:val="18"/>
          <w:color w:val="auto"/>
        </w:rPr>
        <w:t>The Committee monitors executive officer compensation throughout the year and undertakes a thorough analysis of our executive officer compensation each fall. This review includes consideration of competitive positions relative to specified labor markets, the mix of compensation components, performance requirements, the portion of pay at risk and tied to performance, and individual performance evaluations. From December through February, the Committee considers and approves executive officer compensation, including salary and cash and non-cash incentives. The Committee makes all compensation decisions relating to our CEO’s compensation, makes awards under the 2021 Long-Term Incentive Plan (the “2021 LTIP”) and previously made awards under the 2012 Plan, and determines the awards under the 2021 Incentive Plans (defined below). The Committee recommends other executive officer compensation decisions, which are approved by the Board for Pinnacle West officers and the Board of Directors of APS for APS officers.</w:t>
      </w:r>
    </w:p>
    <w:p>
      <w:pPr>
        <w:spacing w:after="0" w:line="138"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Role of Executive Officers in Determining Executive Compensation</w:t>
      </w:r>
    </w:p>
    <w:p>
      <w:pPr>
        <w:spacing w:after="0" w:line="195" w:lineRule="exact"/>
        <w:rPr>
          <w:sz w:val="20"/>
          <w:szCs w:val="20"/>
          <w:color w:val="auto"/>
        </w:rPr>
      </w:pPr>
    </w:p>
    <w:p>
      <w:pPr>
        <w:ind w:right="180"/>
        <w:spacing w:after="0"/>
        <w:rPr>
          <w:sz w:val="20"/>
          <w:szCs w:val="20"/>
          <w:color w:val="auto"/>
        </w:rPr>
      </w:pPr>
      <w:r>
        <w:rPr>
          <w:rFonts w:ascii="Arial" w:cs="Arial" w:eastAsia="Arial" w:hAnsi="Arial"/>
          <w:sz w:val="18"/>
          <w:szCs w:val="18"/>
          <w:color w:val="auto"/>
        </w:rPr>
        <w:t>Management works with the Committee in establishing the agenda for Committee meetings and in preparing meeting information. Management conducts evaluations and provides information on the performance of the executive officers for the Committee’s consideration and provides such other information as the Committee may request. Management also assists the Committee in recommending: salary levels; annual incentive plan structure and design, including earnings and business unit performance targets or other goals; long-term incentive plan structure and design, including award levels; and the type, structure, and amount of other awards. The executive officers are available to the Committee’s compensation consultant to provide information as requested by the consultant. At the request of the Chair of the Committee, the CEO or other officers may attend and participate in portions of the Committee’s meetings.</w:t>
      </w:r>
    </w:p>
    <w:p>
      <w:pPr>
        <w:spacing w:after="0" w:line="129"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Role of Compensation Consultants</w:t>
      </w:r>
    </w:p>
    <w:p>
      <w:pPr>
        <w:spacing w:after="0" w:line="208" w:lineRule="exact"/>
        <w:rPr>
          <w:sz w:val="20"/>
          <w:szCs w:val="20"/>
          <w:color w:val="auto"/>
        </w:rPr>
      </w:pPr>
    </w:p>
    <w:p>
      <w:pPr>
        <w:ind w:right="160"/>
        <w:spacing w:after="0"/>
        <w:rPr>
          <w:sz w:val="20"/>
          <w:szCs w:val="20"/>
          <w:color w:val="auto"/>
        </w:rPr>
      </w:pPr>
      <w:r>
        <w:rPr>
          <w:rFonts w:ascii="Arial" w:cs="Arial" w:eastAsia="Arial" w:hAnsi="Arial"/>
          <w:sz w:val="18"/>
          <w:szCs w:val="18"/>
          <w:color w:val="auto"/>
        </w:rPr>
        <w:t>The Committee’s charter gives the Committee the sole authority to retain and terminate any consulting firm used by the Committee in evaluating non-employee director and officer compensation. The Committee engaged Frederic W. Cook &amp; Co. to assist the Committee in its evaluation of 2021 compensation for our executive officers (the “Consultant”). The Consultant does not provide any other services to the Company or its affiliates. The Committee has assessed the independence of the Consultant and has concluded that the Consultant is an independent consultant to the Committee as determined under the NYSE rules. The Committee instructed the Consultant to prepare a competitive analysis of the compensation of the executive officers of the Company and of APS, and to make recommendations for changes to the existing compensation program, if warranted.</w:t>
      </w:r>
    </w:p>
    <w:p>
      <w:pPr>
        <w:spacing w:after="0" w:line="129"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Pay Comparisons</w:t>
      </w:r>
    </w:p>
    <w:p>
      <w:pPr>
        <w:spacing w:after="0" w:line="195" w:lineRule="exact"/>
        <w:rPr>
          <w:sz w:val="20"/>
          <w:szCs w:val="20"/>
          <w:color w:val="auto"/>
        </w:rPr>
      </w:pPr>
    </w:p>
    <w:p>
      <w:pPr>
        <w:ind w:right="60"/>
        <w:spacing w:after="0" w:line="244" w:lineRule="auto"/>
        <w:rPr>
          <w:sz w:val="20"/>
          <w:szCs w:val="20"/>
          <w:color w:val="auto"/>
        </w:rPr>
      </w:pPr>
      <w:r>
        <w:rPr>
          <w:rFonts w:ascii="Arial" w:cs="Arial" w:eastAsia="Arial" w:hAnsi="Arial"/>
          <w:sz w:val="18"/>
          <w:szCs w:val="18"/>
          <w:color w:val="auto"/>
        </w:rPr>
        <w:t>In evaluating compensation for the NEOs, the Committee takes into account the analysis provided by the Consultant and its recommendations regarding the competitiveness and structure of compensation. The Committee considers the competitive market data presented by the Consultant as an important reference point to assure the Committee of the reasonableness of compensation levels and programs provided to executive management; however, actual compensation levels also take into account the individual executives and their responsibilities, skills, expertise, value added, as well as the competitive marketplace for executive talent.</w:t>
      </w:r>
    </w:p>
    <w:p>
      <w:pPr>
        <w:spacing w:after="0" w:line="15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63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72" w:name="page73"/>
    <w:bookmarkEnd w:id="7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56"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Consultant’s Report</w:t>
      </w:r>
    </w:p>
    <w:p>
      <w:pPr>
        <w:spacing w:after="0" w:line="208" w:lineRule="exact"/>
        <w:rPr>
          <w:sz w:val="20"/>
          <w:szCs w:val="20"/>
          <w:color w:val="auto"/>
        </w:rPr>
      </w:pPr>
    </w:p>
    <w:p>
      <w:pPr>
        <w:ind w:right="320"/>
        <w:spacing w:after="0" w:line="253" w:lineRule="auto"/>
        <w:rPr>
          <w:sz w:val="20"/>
          <w:szCs w:val="20"/>
          <w:color w:val="auto"/>
        </w:rPr>
      </w:pPr>
      <w:r>
        <w:rPr>
          <w:rFonts w:ascii="Arial" w:cs="Arial" w:eastAsia="Arial" w:hAnsi="Arial"/>
          <w:sz w:val="18"/>
          <w:szCs w:val="18"/>
          <w:color w:val="auto"/>
        </w:rPr>
        <w:t>The Consultant reviewed our executive compensation practices and considered the extent to which these practices support our executive compensation objectives and philosophy. As part of this study, the Consultant performed competitive pay comparisons for our executive officers based on three data sets:</w:t>
      </w:r>
    </w:p>
    <w:p>
      <w:pPr>
        <w:spacing w:after="0" w:line="147" w:lineRule="exact"/>
        <w:rPr>
          <w:sz w:val="20"/>
          <w:szCs w:val="20"/>
          <w:color w:val="auto"/>
        </w:rPr>
      </w:pPr>
    </w:p>
    <w:tbl>
      <w:tblPr>
        <w:tblLayout w:type="fixed"/>
        <w:tblInd w:w="0" w:type="dxa"/>
        <w:tblCellMar>
          <w:top w:w="0" w:type="dxa"/>
          <w:left w:w="0" w:type="dxa"/>
          <w:bottom w:w="0" w:type="dxa"/>
          <w:right w:w="0" w:type="dxa"/>
        </w:tblCellMar>
      </w:tblPr>
      <w:tr>
        <w:trPr>
          <w:trHeight w:val="267"/>
        </w:trPr>
        <w:tc>
          <w:tcPr>
            <w:tcW w:w="3500" w:type="dxa"/>
            <w:vAlign w:val="bottom"/>
            <w:shd w:val="clear" w:color="auto" w:fill="F4F4F4"/>
          </w:tcPr>
          <w:p>
            <w:pPr>
              <w:ind w:left="100"/>
              <w:spacing w:after="0"/>
              <w:rPr>
                <w:sz w:val="20"/>
                <w:szCs w:val="20"/>
                <w:color w:val="auto"/>
              </w:rPr>
            </w:pPr>
            <w:r>
              <w:rPr>
                <w:rFonts w:ascii="Arial" w:cs="Arial" w:eastAsia="Arial" w:hAnsi="Arial"/>
                <w:sz w:val="20"/>
                <w:szCs w:val="20"/>
                <w:b w:val="1"/>
                <w:bCs w:val="1"/>
                <w:color w:val="355675"/>
              </w:rPr>
              <w:t>PEER GROUP</w:t>
            </w:r>
          </w:p>
        </w:tc>
        <w:tc>
          <w:tcPr>
            <w:tcW w:w="3840" w:type="dxa"/>
            <w:vAlign w:val="bottom"/>
            <w:shd w:val="clear" w:color="auto" w:fill="F4F4F4"/>
          </w:tcPr>
          <w:p>
            <w:pPr>
              <w:ind w:left="440"/>
              <w:spacing w:after="0"/>
              <w:rPr>
                <w:sz w:val="20"/>
                <w:szCs w:val="20"/>
                <w:color w:val="auto"/>
              </w:rPr>
            </w:pPr>
            <w:r>
              <w:rPr>
                <w:rFonts w:ascii="Arial" w:cs="Arial" w:eastAsia="Arial" w:hAnsi="Arial"/>
                <w:sz w:val="20"/>
                <w:szCs w:val="20"/>
                <w:b w:val="1"/>
                <w:bCs w:val="1"/>
                <w:color w:val="355675"/>
              </w:rPr>
              <w:t>GENERAL INDUSTRY DATA</w:t>
            </w:r>
          </w:p>
        </w:tc>
        <w:tc>
          <w:tcPr>
            <w:tcW w:w="3900" w:type="dxa"/>
            <w:vAlign w:val="bottom"/>
            <w:shd w:val="clear" w:color="auto" w:fill="F4F4F4"/>
          </w:tcPr>
          <w:p>
            <w:pPr>
              <w:ind w:left="340"/>
              <w:spacing w:after="0"/>
              <w:rPr>
                <w:sz w:val="20"/>
                <w:szCs w:val="20"/>
                <w:color w:val="auto"/>
              </w:rPr>
            </w:pPr>
            <w:r>
              <w:rPr>
                <w:rFonts w:ascii="Arial" w:cs="Arial" w:eastAsia="Arial" w:hAnsi="Arial"/>
                <w:sz w:val="20"/>
                <w:szCs w:val="20"/>
                <w:b w:val="1"/>
                <w:bCs w:val="1"/>
                <w:color w:val="355675"/>
              </w:rPr>
              <w:t>INDUSTRY-SPECIFIC</w:t>
            </w:r>
          </w:p>
        </w:tc>
      </w:tr>
      <w:tr>
        <w:trPr>
          <w:trHeight w:val="268"/>
        </w:trPr>
        <w:tc>
          <w:tcPr>
            <w:tcW w:w="3500" w:type="dxa"/>
            <w:vAlign w:val="bottom"/>
            <w:shd w:val="clear" w:color="auto" w:fill="F4F4F4"/>
          </w:tcPr>
          <w:p>
            <w:pPr>
              <w:ind w:left="100"/>
              <w:spacing w:after="0" w:line="268" w:lineRule="exact"/>
              <w:rPr>
                <w:sz w:val="20"/>
                <w:szCs w:val="20"/>
                <w:color w:val="auto"/>
              </w:rPr>
            </w:pPr>
            <w:r>
              <w:rPr>
                <w:rFonts w:ascii="Arial" w:cs="Arial" w:eastAsia="Arial" w:hAnsi="Arial"/>
                <w:sz w:val="19"/>
                <w:szCs w:val="19"/>
                <w:b w:val="1"/>
                <w:bCs w:val="1"/>
                <w:color w:val="355675"/>
              </w:rPr>
              <w:t>(33%)</w:t>
            </w:r>
            <w:r>
              <w:rPr>
                <w:rFonts w:ascii="Arial" w:cs="Arial" w:eastAsia="Arial" w:hAnsi="Arial"/>
                <w:sz w:val="31"/>
                <w:szCs w:val="31"/>
                <w:b w:val="1"/>
                <w:bCs w:val="1"/>
                <w:color w:val="355675"/>
                <w:vertAlign w:val="superscript"/>
              </w:rPr>
              <w:t>(1)</w:t>
            </w:r>
          </w:p>
        </w:tc>
        <w:tc>
          <w:tcPr>
            <w:tcW w:w="3840" w:type="dxa"/>
            <w:vAlign w:val="bottom"/>
            <w:shd w:val="clear" w:color="auto" w:fill="F4F4F4"/>
          </w:tcPr>
          <w:p>
            <w:pPr>
              <w:ind w:left="440"/>
              <w:spacing w:after="0" w:line="268" w:lineRule="exact"/>
              <w:rPr>
                <w:sz w:val="20"/>
                <w:szCs w:val="20"/>
                <w:color w:val="auto"/>
              </w:rPr>
            </w:pPr>
            <w:r>
              <w:rPr>
                <w:rFonts w:ascii="Arial" w:cs="Arial" w:eastAsia="Arial" w:hAnsi="Arial"/>
                <w:sz w:val="19"/>
                <w:szCs w:val="19"/>
                <w:b w:val="1"/>
                <w:bCs w:val="1"/>
                <w:color w:val="355675"/>
              </w:rPr>
              <w:t>(33%)</w:t>
            </w:r>
            <w:r>
              <w:rPr>
                <w:rFonts w:ascii="Arial" w:cs="Arial" w:eastAsia="Arial" w:hAnsi="Arial"/>
                <w:sz w:val="31"/>
                <w:szCs w:val="31"/>
                <w:b w:val="1"/>
                <w:bCs w:val="1"/>
                <w:color w:val="355675"/>
                <w:vertAlign w:val="superscript"/>
              </w:rPr>
              <w:t>(1)</w:t>
            </w:r>
          </w:p>
        </w:tc>
        <w:tc>
          <w:tcPr>
            <w:tcW w:w="3900" w:type="dxa"/>
            <w:vAlign w:val="bottom"/>
            <w:shd w:val="clear" w:color="auto" w:fill="F4F4F4"/>
          </w:tcPr>
          <w:p>
            <w:pPr>
              <w:ind w:left="340"/>
              <w:spacing w:after="0" w:line="268" w:lineRule="exact"/>
              <w:rPr>
                <w:sz w:val="20"/>
                <w:szCs w:val="20"/>
                <w:color w:val="auto"/>
              </w:rPr>
            </w:pPr>
            <w:r>
              <w:rPr>
                <w:rFonts w:ascii="Arial" w:cs="Arial" w:eastAsia="Arial" w:hAnsi="Arial"/>
                <w:sz w:val="19"/>
                <w:szCs w:val="19"/>
                <w:b w:val="1"/>
                <w:bCs w:val="1"/>
                <w:color w:val="355675"/>
              </w:rPr>
              <w:t>DATA (33%)</w:t>
            </w:r>
            <w:r>
              <w:rPr>
                <w:rFonts w:ascii="Arial" w:cs="Arial" w:eastAsia="Arial" w:hAnsi="Arial"/>
                <w:sz w:val="31"/>
                <w:szCs w:val="31"/>
                <w:b w:val="1"/>
                <w:bCs w:val="1"/>
                <w:color w:val="355675"/>
                <w:vertAlign w:val="superscript"/>
              </w:rPr>
              <w:t>(1)</w:t>
            </w:r>
          </w:p>
        </w:tc>
      </w:tr>
      <w:tr>
        <w:trPr>
          <w:trHeight w:val="203"/>
        </w:trPr>
        <w:tc>
          <w:tcPr>
            <w:tcW w:w="3500" w:type="dxa"/>
            <w:vAlign w:val="bottom"/>
            <w:shd w:val="clear" w:color="auto" w:fill="F4F4F4"/>
          </w:tcPr>
          <w:p>
            <w:pPr>
              <w:spacing w:after="0"/>
              <w:rPr>
                <w:sz w:val="17"/>
                <w:szCs w:val="17"/>
                <w:color w:val="auto"/>
              </w:rPr>
            </w:pPr>
          </w:p>
        </w:tc>
        <w:tc>
          <w:tcPr>
            <w:tcW w:w="3840" w:type="dxa"/>
            <w:vAlign w:val="bottom"/>
            <w:shd w:val="clear" w:color="auto" w:fill="F4F4F4"/>
          </w:tcPr>
          <w:p>
            <w:pPr>
              <w:ind w:left="440"/>
              <w:spacing w:after="0" w:line="202" w:lineRule="exact"/>
              <w:rPr>
                <w:sz w:val="20"/>
                <w:szCs w:val="20"/>
                <w:color w:val="auto"/>
              </w:rPr>
            </w:pPr>
            <w:r>
              <w:rPr>
                <w:rFonts w:ascii="Arial" w:cs="Arial" w:eastAsia="Arial" w:hAnsi="Arial"/>
                <w:sz w:val="18"/>
                <w:szCs w:val="18"/>
                <w:color w:val="auto"/>
              </w:rPr>
              <w:t>Based on surveys published by Aon</w:t>
            </w:r>
          </w:p>
        </w:tc>
        <w:tc>
          <w:tcPr>
            <w:tcW w:w="3900" w:type="dxa"/>
            <w:vAlign w:val="bottom"/>
            <w:shd w:val="clear" w:color="auto" w:fill="F4F4F4"/>
          </w:tcPr>
          <w:p>
            <w:pPr>
              <w:ind w:left="340"/>
              <w:spacing w:after="0" w:line="202" w:lineRule="exact"/>
              <w:rPr>
                <w:sz w:val="20"/>
                <w:szCs w:val="20"/>
                <w:color w:val="auto"/>
              </w:rPr>
            </w:pPr>
            <w:r>
              <w:rPr>
                <w:rFonts w:ascii="Arial" w:cs="Arial" w:eastAsia="Arial" w:hAnsi="Arial"/>
                <w:sz w:val="18"/>
                <w:szCs w:val="18"/>
                <w:color w:val="auto"/>
              </w:rPr>
              <w:t>From the Towers Watson Energy Services</w:t>
            </w:r>
          </w:p>
        </w:tc>
      </w:tr>
      <w:tr>
        <w:trPr>
          <w:trHeight w:val="203"/>
        </w:trPr>
        <w:tc>
          <w:tcPr>
            <w:tcW w:w="3500" w:type="dxa"/>
            <w:vAlign w:val="bottom"/>
            <w:shd w:val="clear" w:color="auto" w:fill="F4F4F4"/>
          </w:tcPr>
          <w:p>
            <w:pPr>
              <w:ind w:left="100"/>
              <w:spacing w:after="0" w:line="202" w:lineRule="exact"/>
              <w:rPr>
                <w:sz w:val="20"/>
                <w:szCs w:val="20"/>
                <w:color w:val="auto"/>
              </w:rPr>
            </w:pPr>
            <w:r>
              <w:rPr>
                <w:rFonts w:ascii="Arial" w:cs="Arial" w:eastAsia="Arial" w:hAnsi="Arial"/>
                <w:sz w:val="18"/>
                <w:szCs w:val="18"/>
                <w:color w:val="auto"/>
              </w:rPr>
              <w:t>2019/2020 compensation information as</w:t>
            </w:r>
          </w:p>
        </w:tc>
        <w:tc>
          <w:tcPr>
            <w:tcW w:w="3840" w:type="dxa"/>
            <w:vAlign w:val="bottom"/>
            <w:shd w:val="clear" w:color="auto" w:fill="F4F4F4"/>
          </w:tcPr>
          <w:p>
            <w:pPr>
              <w:ind w:left="440"/>
              <w:spacing w:after="0" w:line="202" w:lineRule="exact"/>
              <w:rPr>
                <w:sz w:val="20"/>
                <w:szCs w:val="20"/>
                <w:color w:val="auto"/>
              </w:rPr>
            </w:pPr>
            <w:r>
              <w:rPr>
                <w:rFonts w:ascii="Arial" w:cs="Arial" w:eastAsia="Arial" w:hAnsi="Arial"/>
                <w:sz w:val="18"/>
                <w:szCs w:val="18"/>
                <w:color w:val="auto"/>
              </w:rPr>
              <w:t>Hewitt (reflecting an interpolation between</w:t>
            </w:r>
          </w:p>
        </w:tc>
        <w:tc>
          <w:tcPr>
            <w:tcW w:w="3900" w:type="dxa"/>
            <w:vAlign w:val="bottom"/>
            <w:shd w:val="clear" w:color="auto" w:fill="F4F4F4"/>
          </w:tcPr>
          <w:p>
            <w:pPr>
              <w:ind w:left="340"/>
              <w:spacing w:after="0" w:line="202" w:lineRule="exact"/>
              <w:rPr>
                <w:sz w:val="20"/>
                <w:szCs w:val="20"/>
                <w:color w:val="auto"/>
              </w:rPr>
            </w:pPr>
            <w:r>
              <w:rPr>
                <w:rFonts w:ascii="Arial" w:cs="Arial" w:eastAsia="Arial" w:hAnsi="Arial"/>
                <w:sz w:val="18"/>
                <w:szCs w:val="18"/>
                <w:color w:val="auto"/>
              </w:rPr>
              <w:t>Industry Survey (reflecting an interpolation</w:t>
            </w:r>
          </w:p>
        </w:tc>
      </w:tr>
      <w:tr>
        <w:trPr>
          <w:trHeight w:val="181"/>
        </w:trPr>
        <w:tc>
          <w:tcPr>
            <w:tcW w:w="3500" w:type="dxa"/>
            <w:vAlign w:val="bottom"/>
            <w:shd w:val="clear" w:color="auto" w:fill="F4F4F4"/>
          </w:tcPr>
          <w:p>
            <w:pPr>
              <w:ind w:left="100"/>
              <w:spacing w:after="0" w:line="181" w:lineRule="exact"/>
              <w:rPr>
                <w:sz w:val="20"/>
                <w:szCs w:val="20"/>
                <w:color w:val="auto"/>
              </w:rPr>
            </w:pPr>
            <w:r>
              <w:rPr>
                <w:rFonts w:ascii="Arial" w:cs="Arial" w:eastAsia="Arial" w:hAnsi="Arial"/>
                <w:sz w:val="18"/>
                <w:szCs w:val="18"/>
                <w:color w:val="auto"/>
              </w:rPr>
              <w:t>disclosed in 2020 SEC filings for the peer</w:t>
            </w:r>
          </w:p>
        </w:tc>
        <w:tc>
          <w:tcPr>
            <w:tcW w:w="3840" w:type="dxa"/>
            <w:vAlign w:val="bottom"/>
            <w:shd w:val="clear" w:color="auto" w:fill="F4F4F4"/>
          </w:tcPr>
          <w:p>
            <w:pPr>
              <w:ind w:left="440"/>
              <w:spacing w:after="0" w:line="181" w:lineRule="exact"/>
              <w:rPr>
                <w:sz w:val="20"/>
                <w:szCs w:val="20"/>
                <w:color w:val="auto"/>
              </w:rPr>
            </w:pPr>
            <w:r>
              <w:rPr>
                <w:rFonts w:ascii="Arial" w:cs="Arial" w:eastAsia="Arial" w:hAnsi="Arial"/>
                <w:sz w:val="18"/>
                <w:szCs w:val="18"/>
                <w:color w:val="auto"/>
              </w:rPr>
              <w:t>data for companies in the $2.5B-$5B</w:t>
            </w:r>
          </w:p>
        </w:tc>
        <w:tc>
          <w:tcPr>
            <w:tcW w:w="3900" w:type="dxa"/>
            <w:vAlign w:val="bottom"/>
            <w:shd w:val="clear" w:color="auto" w:fill="F4F4F4"/>
          </w:tcPr>
          <w:p>
            <w:pPr>
              <w:ind w:left="340"/>
              <w:spacing w:after="0" w:line="181" w:lineRule="exact"/>
              <w:rPr>
                <w:sz w:val="20"/>
                <w:szCs w:val="20"/>
                <w:color w:val="auto"/>
              </w:rPr>
            </w:pPr>
            <w:r>
              <w:rPr>
                <w:rFonts w:ascii="Arial" w:cs="Arial" w:eastAsia="Arial" w:hAnsi="Arial"/>
                <w:sz w:val="18"/>
                <w:szCs w:val="18"/>
                <w:color w:val="auto"/>
              </w:rPr>
              <w:t>between companies in the $3B-$6B</w:t>
            </w:r>
          </w:p>
        </w:tc>
      </w:tr>
      <w:tr>
        <w:trPr>
          <w:trHeight w:val="224"/>
        </w:trPr>
        <w:tc>
          <w:tcPr>
            <w:tcW w:w="3500" w:type="dxa"/>
            <w:vAlign w:val="bottom"/>
            <w:shd w:val="clear" w:color="auto" w:fill="F4F4F4"/>
          </w:tcPr>
          <w:p>
            <w:pPr>
              <w:ind w:left="100"/>
              <w:spacing w:after="0"/>
              <w:rPr>
                <w:sz w:val="20"/>
                <w:szCs w:val="20"/>
                <w:color w:val="auto"/>
              </w:rPr>
            </w:pPr>
            <w:r>
              <w:rPr>
                <w:rFonts w:ascii="Arial" w:cs="Arial" w:eastAsia="Arial" w:hAnsi="Arial"/>
                <w:sz w:val="18"/>
                <w:szCs w:val="18"/>
                <w:color w:val="auto"/>
              </w:rPr>
              <w:t>group (as described below)</w:t>
            </w:r>
          </w:p>
        </w:tc>
        <w:tc>
          <w:tcPr>
            <w:tcW w:w="3840" w:type="dxa"/>
            <w:vAlign w:val="bottom"/>
            <w:shd w:val="clear" w:color="auto" w:fill="F4F4F4"/>
          </w:tcPr>
          <w:p>
            <w:pPr>
              <w:ind w:left="120"/>
              <w:spacing w:after="0" w:line="224" w:lineRule="exact"/>
              <w:rPr>
                <w:sz w:val="20"/>
                <w:szCs w:val="20"/>
                <w:color w:val="auto"/>
              </w:rPr>
            </w:pPr>
            <w:r>
              <w:rPr>
                <w:rFonts w:ascii="Arial" w:cs="Arial" w:eastAsia="Arial" w:hAnsi="Arial"/>
                <w:sz w:val="25"/>
                <w:szCs w:val="25"/>
                <w:b w:val="1"/>
                <w:bCs w:val="1"/>
                <w:color w:val="auto"/>
                <w:vertAlign w:val="superscript"/>
              </w:rPr>
              <w:t>+</w:t>
            </w:r>
            <w:r>
              <w:rPr>
                <w:rFonts w:ascii="Arial" w:cs="Arial" w:eastAsia="Arial" w:hAnsi="Arial"/>
                <w:sz w:val="13"/>
                <w:szCs w:val="13"/>
                <w:color w:val="auto"/>
              </w:rPr>
              <w:t xml:space="preserve"> revenue and $5B-$10B revenue brackets)</w:t>
            </w:r>
          </w:p>
        </w:tc>
        <w:tc>
          <w:tcPr>
            <w:tcW w:w="3900" w:type="dxa"/>
            <w:vAlign w:val="bottom"/>
            <w:shd w:val="clear" w:color="auto" w:fill="F4F4F4"/>
          </w:tcPr>
          <w:p>
            <w:pPr>
              <w:ind w:left="40"/>
              <w:spacing w:after="0" w:line="224" w:lineRule="exact"/>
              <w:rPr>
                <w:sz w:val="20"/>
                <w:szCs w:val="20"/>
                <w:color w:val="auto"/>
              </w:rPr>
            </w:pPr>
            <w:r>
              <w:rPr>
                <w:rFonts w:ascii="Arial" w:cs="Arial" w:eastAsia="Arial" w:hAnsi="Arial"/>
                <w:sz w:val="25"/>
                <w:szCs w:val="25"/>
                <w:b w:val="1"/>
                <w:bCs w:val="1"/>
                <w:color w:val="auto"/>
                <w:vertAlign w:val="superscript"/>
              </w:rPr>
              <w:t>+</w:t>
            </w:r>
            <w:r>
              <w:rPr>
                <w:rFonts w:ascii="Arial" w:cs="Arial" w:eastAsia="Arial" w:hAnsi="Arial"/>
                <w:sz w:val="13"/>
                <w:szCs w:val="13"/>
                <w:color w:val="auto"/>
              </w:rPr>
              <w:t xml:space="preserve"> revenue bracket and companies with</w:t>
            </w:r>
          </w:p>
        </w:tc>
      </w:tr>
      <w:tr>
        <w:trPr>
          <w:trHeight w:val="203"/>
        </w:trPr>
        <w:tc>
          <w:tcPr>
            <w:tcW w:w="3500" w:type="dxa"/>
            <w:vAlign w:val="bottom"/>
            <w:shd w:val="clear" w:color="auto" w:fill="F4F4F4"/>
          </w:tcPr>
          <w:p>
            <w:pPr>
              <w:spacing w:after="0"/>
              <w:rPr>
                <w:sz w:val="17"/>
                <w:szCs w:val="17"/>
                <w:color w:val="auto"/>
              </w:rPr>
            </w:pPr>
          </w:p>
        </w:tc>
        <w:tc>
          <w:tcPr>
            <w:tcW w:w="3840" w:type="dxa"/>
            <w:vAlign w:val="bottom"/>
            <w:shd w:val="clear" w:color="auto" w:fill="F4F4F4"/>
          </w:tcPr>
          <w:p>
            <w:pPr>
              <w:ind w:left="440"/>
              <w:spacing w:after="0" w:line="202" w:lineRule="exact"/>
              <w:rPr>
                <w:sz w:val="20"/>
                <w:szCs w:val="20"/>
                <w:color w:val="auto"/>
              </w:rPr>
            </w:pPr>
            <w:r>
              <w:rPr>
                <w:rFonts w:ascii="Arial" w:cs="Arial" w:eastAsia="Arial" w:hAnsi="Arial"/>
                <w:sz w:val="18"/>
                <w:szCs w:val="18"/>
                <w:color w:val="auto"/>
              </w:rPr>
              <w:t>and Willis Towers Watson PLC (“Towers</w:t>
            </w:r>
          </w:p>
        </w:tc>
        <w:tc>
          <w:tcPr>
            <w:tcW w:w="3900" w:type="dxa"/>
            <w:vAlign w:val="bottom"/>
            <w:shd w:val="clear" w:color="auto" w:fill="F4F4F4"/>
          </w:tcPr>
          <w:p>
            <w:pPr>
              <w:ind w:left="340"/>
              <w:spacing w:after="0" w:line="202" w:lineRule="exact"/>
              <w:rPr>
                <w:sz w:val="20"/>
                <w:szCs w:val="20"/>
                <w:color w:val="auto"/>
              </w:rPr>
            </w:pPr>
            <w:r>
              <w:rPr>
                <w:rFonts w:ascii="Arial" w:cs="Arial" w:eastAsia="Arial" w:hAnsi="Arial"/>
                <w:sz w:val="18"/>
                <w:szCs w:val="18"/>
                <w:color w:val="auto"/>
              </w:rPr>
              <w:t>revenues greater than $6B)</w:t>
            </w:r>
          </w:p>
        </w:tc>
      </w:tr>
      <w:tr>
        <w:trPr>
          <w:trHeight w:val="203"/>
        </w:trPr>
        <w:tc>
          <w:tcPr>
            <w:tcW w:w="3500" w:type="dxa"/>
            <w:vAlign w:val="bottom"/>
            <w:shd w:val="clear" w:color="auto" w:fill="F4F4F4"/>
          </w:tcPr>
          <w:p>
            <w:pPr>
              <w:spacing w:after="0"/>
              <w:rPr>
                <w:sz w:val="17"/>
                <w:szCs w:val="17"/>
                <w:color w:val="auto"/>
              </w:rPr>
            </w:pPr>
          </w:p>
        </w:tc>
        <w:tc>
          <w:tcPr>
            <w:tcW w:w="3840" w:type="dxa"/>
            <w:vAlign w:val="bottom"/>
            <w:shd w:val="clear" w:color="auto" w:fill="F4F4F4"/>
          </w:tcPr>
          <w:p>
            <w:pPr>
              <w:ind w:left="440"/>
              <w:spacing w:after="0" w:line="202" w:lineRule="exact"/>
              <w:rPr>
                <w:sz w:val="20"/>
                <w:szCs w:val="20"/>
                <w:color w:val="auto"/>
              </w:rPr>
            </w:pPr>
            <w:r>
              <w:rPr>
                <w:rFonts w:ascii="Arial" w:cs="Arial" w:eastAsia="Arial" w:hAnsi="Arial"/>
                <w:sz w:val="18"/>
                <w:szCs w:val="18"/>
                <w:color w:val="auto"/>
              </w:rPr>
              <w:t>Watson”) (interpolating between data for</w:t>
            </w:r>
          </w:p>
        </w:tc>
        <w:tc>
          <w:tcPr>
            <w:tcW w:w="3900" w:type="dxa"/>
            <w:vAlign w:val="bottom"/>
            <w:shd w:val="clear" w:color="auto" w:fill="F4F4F4"/>
          </w:tcPr>
          <w:p>
            <w:pPr>
              <w:spacing w:after="0"/>
              <w:rPr>
                <w:sz w:val="17"/>
                <w:szCs w:val="17"/>
                <w:color w:val="auto"/>
              </w:rPr>
            </w:pPr>
          </w:p>
        </w:tc>
      </w:tr>
      <w:tr>
        <w:trPr>
          <w:trHeight w:val="203"/>
        </w:trPr>
        <w:tc>
          <w:tcPr>
            <w:tcW w:w="3500" w:type="dxa"/>
            <w:vAlign w:val="bottom"/>
            <w:shd w:val="clear" w:color="auto" w:fill="F4F4F4"/>
          </w:tcPr>
          <w:p>
            <w:pPr>
              <w:spacing w:after="0"/>
              <w:rPr>
                <w:sz w:val="17"/>
                <w:szCs w:val="17"/>
                <w:color w:val="auto"/>
              </w:rPr>
            </w:pPr>
          </w:p>
        </w:tc>
        <w:tc>
          <w:tcPr>
            <w:tcW w:w="3840" w:type="dxa"/>
            <w:vAlign w:val="bottom"/>
            <w:shd w:val="clear" w:color="auto" w:fill="F4F4F4"/>
          </w:tcPr>
          <w:p>
            <w:pPr>
              <w:ind w:left="440"/>
              <w:spacing w:after="0" w:line="202" w:lineRule="exact"/>
              <w:rPr>
                <w:sz w:val="20"/>
                <w:szCs w:val="20"/>
                <w:color w:val="auto"/>
              </w:rPr>
            </w:pPr>
            <w:r>
              <w:rPr>
                <w:rFonts w:ascii="Arial" w:cs="Arial" w:eastAsia="Arial" w:hAnsi="Arial"/>
                <w:sz w:val="18"/>
                <w:szCs w:val="18"/>
                <w:color w:val="auto"/>
              </w:rPr>
              <w:t>companies in the $3B-$6B revenue and</w:t>
            </w:r>
          </w:p>
        </w:tc>
        <w:tc>
          <w:tcPr>
            <w:tcW w:w="3900" w:type="dxa"/>
            <w:vAlign w:val="bottom"/>
            <w:shd w:val="clear" w:color="auto" w:fill="F4F4F4"/>
          </w:tcPr>
          <w:p>
            <w:pPr>
              <w:spacing w:after="0"/>
              <w:rPr>
                <w:sz w:val="17"/>
                <w:szCs w:val="17"/>
                <w:color w:val="auto"/>
              </w:rPr>
            </w:pPr>
          </w:p>
        </w:tc>
      </w:tr>
      <w:tr>
        <w:trPr>
          <w:trHeight w:val="239"/>
        </w:trPr>
        <w:tc>
          <w:tcPr>
            <w:tcW w:w="3500" w:type="dxa"/>
            <w:vAlign w:val="bottom"/>
            <w:shd w:val="clear" w:color="auto" w:fill="F4F4F4"/>
          </w:tcPr>
          <w:p>
            <w:pPr>
              <w:spacing w:after="0"/>
              <w:rPr>
                <w:sz w:val="20"/>
                <w:szCs w:val="20"/>
                <w:color w:val="auto"/>
              </w:rPr>
            </w:pPr>
          </w:p>
        </w:tc>
        <w:tc>
          <w:tcPr>
            <w:tcW w:w="3840" w:type="dxa"/>
            <w:vAlign w:val="bottom"/>
            <w:shd w:val="clear" w:color="auto" w:fill="F4F4F4"/>
          </w:tcPr>
          <w:p>
            <w:pPr>
              <w:ind w:left="440"/>
              <w:spacing w:after="0"/>
              <w:rPr>
                <w:sz w:val="20"/>
                <w:szCs w:val="20"/>
                <w:color w:val="auto"/>
              </w:rPr>
            </w:pPr>
            <w:r>
              <w:rPr>
                <w:rFonts w:ascii="Arial" w:cs="Arial" w:eastAsia="Arial" w:hAnsi="Arial"/>
                <w:sz w:val="18"/>
                <w:szCs w:val="18"/>
                <w:color w:val="auto"/>
              </w:rPr>
              <w:t>$6B-$10B revenue brackets)</w:t>
            </w:r>
          </w:p>
        </w:tc>
        <w:tc>
          <w:tcPr>
            <w:tcW w:w="3900" w:type="dxa"/>
            <w:vAlign w:val="bottom"/>
            <w:shd w:val="clear" w:color="auto" w:fill="F4F4F4"/>
          </w:tcPr>
          <w:p>
            <w:pPr>
              <w:spacing w:after="0"/>
              <w:rPr>
                <w:sz w:val="20"/>
                <w:szCs w:val="20"/>
                <w:color w:val="auto"/>
              </w:rPr>
            </w:pPr>
          </w:p>
        </w:tc>
      </w:tr>
      <w:tr>
        <w:trPr>
          <w:trHeight w:val="50"/>
        </w:trPr>
        <w:tc>
          <w:tcPr>
            <w:tcW w:w="3500" w:type="dxa"/>
            <w:vAlign w:val="bottom"/>
            <w:shd w:val="clear" w:color="auto" w:fill="F4F4F4"/>
          </w:tcPr>
          <w:p>
            <w:pPr>
              <w:spacing w:after="0"/>
              <w:rPr>
                <w:sz w:val="4"/>
                <w:szCs w:val="4"/>
                <w:color w:val="auto"/>
              </w:rPr>
            </w:pPr>
          </w:p>
        </w:tc>
        <w:tc>
          <w:tcPr>
            <w:tcW w:w="3840" w:type="dxa"/>
            <w:vAlign w:val="bottom"/>
            <w:shd w:val="clear" w:color="auto" w:fill="F4F4F4"/>
          </w:tcPr>
          <w:p>
            <w:pPr>
              <w:spacing w:after="0"/>
              <w:rPr>
                <w:sz w:val="4"/>
                <w:szCs w:val="4"/>
                <w:color w:val="auto"/>
              </w:rPr>
            </w:pPr>
          </w:p>
        </w:tc>
        <w:tc>
          <w:tcPr>
            <w:tcW w:w="3900" w:type="dxa"/>
            <w:vAlign w:val="bottom"/>
            <w:shd w:val="clear" w:color="auto" w:fill="F4F4F4"/>
          </w:tcPr>
          <w:p>
            <w:pPr>
              <w:spacing w:after="0"/>
              <w:rPr>
                <w:sz w:val="4"/>
                <w:szCs w:val="4"/>
                <w:color w:val="auto"/>
              </w:rPr>
            </w:pPr>
          </w:p>
        </w:tc>
      </w:tr>
    </w:tbl>
    <w:p>
      <w:pPr>
        <w:ind w:left="240" w:hanging="232"/>
        <w:spacing w:after="0" w:line="216" w:lineRule="auto"/>
        <w:tabs>
          <w:tab w:leader="none" w:pos="240" w:val="left"/>
        </w:tabs>
        <w:numPr>
          <w:ilvl w:val="0"/>
          <w:numId w:val="62"/>
        </w:numPr>
        <w:rPr>
          <w:rFonts w:ascii="Arial" w:cs="Arial" w:eastAsia="Arial" w:hAnsi="Arial"/>
          <w:sz w:val="24"/>
          <w:szCs w:val="24"/>
          <w:color w:val="auto"/>
          <w:vertAlign w:val="superscript"/>
        </w:rPr>
      </w:pPr>
      <w:r>
        <w:rPr>
          <w:rFonts w:ascii="Arial" w:cs="Arial" w:eastAsia="Arial" w:hAnsi="Arial"/>
          <w:sz w:val="14"/>
          <w:szCs w:val="14"/>
          <w:color w:val="auto"/>
        </w:rPr>
        <w:t>Reflects weightings used for Messrs. Guldner, Geisler, Hatfield and Smith. Weighting for Ms. Lacal is discussed below.</w:t>
      </w:r>
    </w:p>
    <w:p>
      <w:pPr>
        <w:spacing w:after="0" w:line="138" w:lineRule="exact"/>
        <w:rPr>
          <w:sz w:val="20"/>
          <w:szCs w:val="20"/>
          <w:color w:val="auto"/>
        </w:rPr>
      </w:pPr>
    </w:p>
    <w:p>
      <w:pPr>
        <w:ind w:right="40"/>
        <w:spacing w:after="0" w:line="244" w:lineRule="auto"/>
        <w:rPr>
          <w:sz w:val="20"/>
          <w:szCs w:val="20"/>
          <w:color w:val="auto"/>
        </w:rPr>
      </w:pPr>
      <w:r>
        <w:rPr>
          <w:rFonts w:ascii="Arial" w:cs="Arial" w:eastAsia="Arial" w:hAnsi="Arial"/>
          <w:sz w:val="18"/>
          <w:szCs w:val="18"/>
          <w:color w:val="auto"/>
        </w:rPr>
        <w:t>From these sources, the Consultant developed a consensus in which the competitive industry comparison for Messrs. Guldner, Geisler, Hatfield and Smith reflect a weighting of one-third peer group proxy statement data, one-third Energy Services Industry Survey, and one-third general industry surveys. Ms. Lacal did not have a general industry survey match, so the competitive industry comparisons reflect an average of the peer group proxy statement data and Energy Services Industry Survey data for her position. Compensation levels were updated to 2021 based on projected executive level market movement from major salary planning surveys selected by the Consultant.</w:t>
      </w:r>
    </w:p>
    <w:p>
      <w:pPr>
        <w:spacing w:after="0" w:line="161"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Executive Compensation</w:t>
      </w:r>
    </w:p>
    <w:p>
      <w:pPr>
        <w:spacing w:after="0" w:line="208" w:lineRule="exact"/>
        <w:rPr>
          <w:sz w:val="20"/>
          <w:szCs w:val="20"/>
          <w:color w:val="auto"/>
        </w:rPr>
      </w:pPr>
    </w:p>
    <w:p>
      <w:pPr>
        <w:ind w:right="140"/>
        <w:spacing w:after="0" w:line="253" w:lineRule="auto"/>
        <w:rPr>
          <w:sz w:val="20"/>
          <w:szCs w:val="20"/>
          <w:color w:val="auto"/>
        </w:rPr>
      </w:pPr>
      <w:r>
        <w:rPr>
          <w:rFonts w:ascii="Arial" w:cs="Arial" w:eastAsia="Arial" w:hAnsi="Arial"/>
          <w:sz w:val="18"/>
          <w:szCs w:val="18"/>
          <w:color w:val="auto"/>
        </w:rPr>
        <w:t>In providing information to the Committee with respect to setting 2021 compensation, the Consultant reviewed the total compensation levels of the executive officers and presented its analysis in October 2020. At that time, the Consultant also reviewed the individual elements of compensation, including the design of annual incentives and long-term incentives.</w:t>
      </w:r>
    </w:p>
    <w:p>
      <w:pPr>
        <w:spacing w:after="0" w:line="128" w:lineRule="exact"/>
        <w:rPr>
          <w:sz w:val="20"/>
          <w:szCs w:val="20"/>
          <w:color w:val="auto"/>
        </w:rPr>
      </w:pPr>
    </w:p>
    <w:p>
      <w:pPr>
        <w:ind w:right="420"/>
        <w:spacing w:after="0" w:line="253" w:lineRule="auto"/>
        <w:rPr>
          <w:sz w:val="20"/>
          <w:szCs w:val="20"/>
          <w:color w:val="auto"/>
        </w:rPr>
      </w:pPr>
      <w:r>
        <w:rPr>
          <w:rFonts w:ascii="Arial" w:cs="Arial" w:eastAsia="Arial" w:hAnsi="Arial"/>
          <w:sz w:val="18"/>
          <w:szCs w:val="18"/>
          <w:color w:val="auto"/>
        </w:rPr>
        <w:t>In its analysis, the Consultant provided competitive findings for base salary, annual incentive, long-term equity incentives and target total direct compensation for the NEOs relative to the 25th, 50th and 75th percentile. The conclusions of the reports as to competitive pay comparisons of the NEOs for these compensation elements are as follows:</w:t>
      </w:r>
    </w:p>
    <w:p>
      <w:pPr>
        <w:spacing w:after="0" w:line="138"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2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380" w:type="dxa"/>
            <w:vAlign w:val="bottom"/>
            <w:gridSpan w:val="2"/>
          </w:tcPr>
          <w:p>
            <w:pPr>
              <w:spacing w:after="0"/>
              <w:rPr>
                <w:sz w:val="20"/>
                <w:szCs w:val="20"/>
                <w:color w:val="auto"/>
              </w:rPr>
            </w:pPr>
            <w:r>
              <w:rPr>
                <w:rFonts w:ascii="Arial" w:cs="Arial" w:eastAsia="Arial" w:hAnsi="Arial"/>
                <w:sz w:val="14"/>
                <w:szCs w:val="14"/>
                <w:b w:val="1"/>
                <w:bCs w:val="1"/>
                <w:color w:val="355675"/>
              </w:rPr>
              <w:t>Target Annual Cash</w:t>
            </w:r>
          </w:p>
        </w:tc>
        <w:tc>
          <w:tcPr>
            <w:tcW w:w="2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355675"/>
              </w:rPr>
              <w:t>Target Total</w:t>
            </w:r>
          </w:p>
        </w:tc>
      </w:tr>
      <w:tr>
        <w:trPr>
          <w:trHeight w:val="219"/>
        </w:trPr>
        <w:tc>
          <w:tcPr>
            <w:tcW w:w="226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Name</w:t>
            </w:r>
          </w:p>
        </w:tc>
        <w:tc>
          <w:tcPr>
            <w:tcW w:w="120" w:type="dxa"/>
            <w:vAlign w:val="bottom"/>
          </w:tcPr>
          <w:p>
            <w:pPr>
              <w:spacing w:after="0"/>
              <w:rPr>
                <w:sz w:val="19"/>
                <w:szCs w:val="19"/>
                <w:color w:val="auto"/>
              </w:rPr>
            </w:pPr>
          </w:p>
        </w:tc>
        <w:tc>
          <w:tcPr>
            <w:tcW w:w="3280" w:type="dxa"/>
            <w:vAlign w:val="bottom"/>
            <w:tcBorders>
              <w:bottom w:val="single" w:sz="8" w:color="355675"/>
            </w:tcBorders>
          </w:tcPr>
          <w:p>
            <w:pPr>
              <w:spacing w:after="0"/>
              <w:rPr>
                <w:sz w:val="20"/>
                <w:szCs w:val="20"/>
                <w:color w:val="auto"/>
              </w:rPr>
            </w:pPr>
            <w:r>
              <w:rPr>
                <w:rFonts w:ascii="Arial" w:cs="Arial" w:eastAsia="Arial" w:hAnsi="Arial"/>
                <w:sz w:val="14"/>
                <w:szCs w:val="14"/>
                <w:b w:val="1"/>
                <w:bCs w:val="1"/>
                <w:color w:val="355675"/>
              </w:rPr>
              <w:t>(Salary + Target Annual Incentives)</w:t>
            </w:r>
          </w:p>
        </w:tc>
        <w:tc>
          <w:tcPr>
            <w:tcW w:w="100" w:type="dxa"/>
            <w:vAlign w:val="bottom"/>
          </w:tcPr>
          <w:p>
            <w:pPr>
              <w:spacing w:after="0"/>
              <w:rPr>
                <w:sz w:val="19"/>
                <w:szCs w:val="19"/>
                <w:color w:val="auto"/>
              </w:rPr>
            </w:pPr>
          </w:p>
        </w:tc>
        <w:tc>
          <w:tcPr>
            <w:tcW w:w="2680" w:type="dxa"/>
            <w:vAlign w:val="bottom"/>
            <w:tcBorders>
              <w:bottom w:val="single" w:sz="8" w:color="355675"/>
            </w:tcBorders>
          </w:tcPr>
          <w:p>
            <w:pPr>
              <w:spacing w:after="0"/>
              <w:rPr>
                <w:sz w:val="20"/>
                <w:szCs w:val="20"/>
                <w:color w:val="auto"/>
              </w:rPr>
            </w:pPr>
            <w:r>
              <w:rPr>
                <w:rFonts w:ascii="Arial" w:cs="Arial" w:eastAsia="Arial" w:hAnsi="Arial"/>
                <w:sz w:val="14"/>
                <w:szCs w:val="14"/>
                <w:b w:val="1"/>
                <w:bCs w:val="1"/>
                <w:color w:val="355675"/>
              </w:rPr>
              <w:t>Long-Term Incentives</w:t>
            </w:r>
          </w:p>
        </w:tc>
        <w:tc>
          <w:tcPr>
            <w:tcW w:w="120" w:type="dxa"/>
            <w:vAlign w:val="bottom"/>
          </w:tcPr>
          <w:p>
            <w:pPr>
              <w:spacing w:after="0"/>
              <w:rPr>
                <w:sz w:val="19"/>
                <w:szCs w:val="19"/>
                <w:color w:val="auto"/>
              </w:rPr>
            </w:pPr>
          </w:p>
        </w:tc>
        <w:tc>
          <w:tcPr>
            <w:tcW w:w="2680" w:type="dxa"/>
            <w:vAlign w:val="bottom"/>
            <w:tcBorders>
              <w:bottom w:val="single" w:sz="8" w:color="355675"/>
            </w:tcBorders>
          </w:tcPr>
          <w:p>
            <w:pPr>
              <w:spacing w:after="0"/>
              <w:rPr>
                <w:sz w:val="20"/>
                <w:szCs w:val="20"/>
                <w:color w:val="auto"/>
              </w:rPr>
            </w:pPr>
            <w:r>
              <w:rPr>
                <w:rFonts w:ascii="Arial" w:cs="Arial" w:eastAsia="Arial" w:hAnsi="Arial"/>
                <w:sz w:val="14"/>
                <w:szCs w:val="14"/>
                <w:b w:val="1"/>
                <w:bCs w:val="1"/>
                <w:color w:val="355675"/>
              </w:rPr>
              <w:t>Direct Compensation</w:t>
            </w:r>
          </w:p>
        </w:tc>
      </w:tr>
      <w:tr>
        <w:trPr>
          <w:trHeight w:val="284"/>
        </w:trPr>
        <w:tc>
          <w:tcPr>
            <w:tcW w:w="226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Guldner</w:t>
            </w:r>
          </w:p>
        </w:tc>
        <w:tc>
          <w:tcPr>
            <w:tcW w:w="120" w:type="dxa"/>
            <w:vAlign w:val="bottom"/>
          </w:tcPr>
          <w:p>
            <w:pPr>
              <w:spacing w:after="0"/>
              <w:rPr>
                <w:sz w:val="24"/>
                <w:szCs w:val="24"/>
                <w:color w:val="auto"/>
              </w:rPr>
            </w:pPr>
          </w:p>
        </w:tc>
        <w:tc>
          <w:tcPr>
            <w:tcW w:w="3280" w:type="dxa"/>
            <w:vAlign w:val="bottom"/>
            <w:tcBorders>
              <w:bottom w:val="single" w:sz="8" w:color="939598"/>
            </w:tcBorders>
          </w:tcPr>
          <w:p>
            <w:pPr>
              <w:spacing w:after="0" w:line="283" w:lineRule="exact"/>
              <w:rPr>
                <w:sz w:val="20"/>
                <w:szCs w:val="20"/>
                <w:color w:val="auto"/>
              </w:rPr>
            </w:pPr>
            <w:r>
              <w:rPr>
                <w:rFonts w:ascii="Arial" w:cs="Arial" w:eastAsia="Arial" w:hAnsi="Arial"/>
                <w:sz w:val="16"/>
                <w:szCs w:val="16"/>
                <w:color w:val="auto"/>
              </w:rPr>
              <w:t>50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00" w:type="dxa"/>
            <w:vAlign w:val="bottom"/>
          </w:tcPr>
          <w:p>
            <w:pPr>
              <w:spacing w:after="0"/>
              <w:rPr>
                <w:sz w:val="24"/>
                <w:szCs w:val="24"/>
                <w:color w:val="auto"/>
              </w:rPr>
            </w:pPr>
          </w:p>
        </w:tc>
        <w:tc>
          <w:tcPr>
            <w:tcW w:w="2680" w:type="dxa"/>
            <w:vAlign w:val="bottom"/>
            <w:tcBorders>
              <w:bottom w:val="single" w:sz="8" w:color="939598"/>
            </w:tcBorders>
          </w:tcPr>
          <w:p>
            <w:pPr>
              <w:spacing w:after="0" w:line="283" w:lineRule="exact"/>
              <w:rPr>
                <w:sz w:val="20"/>
                <w:szCs w:val="20"/>
                <w:color w:val="auto"/>
              </w:rPr>
            </w:pPr>
            <w:r>
              <w:rPr>
                <w:rFonts w:ascii="Arial" w:cs="Arial" w:eastAsia="Arial" w:hAnsi="Arial"/>
                <w:sz w:val="16"/>
                <w:szCs w:val="16"/>
                <w:color w:val="auto"/>
              </w:rPr>
              <w:t>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20" w:type="dxa"/>
            <w:vAlign w:val="bottom"/>
          </w:tcPr>
          <w:p>
            <w:pPr>
              <w:spacing w:after="0"/>
              <w:rPr>
                <w:sz w:val="24"/>
                <w:szCs w:val="24"/>
                <w:color w:val="auto"/>
              </w:rPr>
            </w:pPr>
          </w:p>
        </w:tc>
        <w:tc>
          <w:tcPr>
            <w:tcW w:w="2680" w:type="dxa"/>
            <w:vAlign w:val="bottom"/>
            <w:tcBorders>
              <w:bottom w:val="single" w:sz="8" w:color="939598"/>
            </w:tcBorders>
          </w:tcPr>
          <w:p>
            <w:pPr>
              <w:spacing w:after="0" w:line="283" w:lineRule="exact"/>
              <w:rPr>
                <w:sz w:val="20"/>
                <w:szCs w:val="20"/>
                <w:color w:val="auto"/>
              </w:rPr>
            </w:pPr>
            <w:r>
              <w:rPr>
                <w:rFonts w:ascii="Arial" w:cs="Arial" w:eastAsia="Arial" w:hAnsi="Arial"/>
                <w:sz w:val="16"/>
                <w:szCs w:val="16"/>
                <w:color w:val="auto"/>
              </w:rPr>
              <w:t>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r>
      <w:tr>
        <w:trPr>
          <w:trHeight w:val="277"/>
        </w:trPr>
        <w:tc>
          <w:tcPr>
            <w:tcW w:w="226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Geisler</w:t>
            </w:r>
          </w:p>
        </w:tc>
        <w:tc>
          <w:tcPr>
            <w:tcW w:w="120" w:type="dxa"/>
            <w:vAlign w:val="bottom"/>
          </w:tcPr>
          <w:p>
            <w:pPr>
              <w:spacing w:after="0"/>
              <w:rPr>
                <w:sz w:val="24"/>
                <w:szCs w:val="24"/>
                <w:color w:val="auto"/>
              </w:rPr>
            </w:pPr>
          </w:p>
        </w:tc>
        <w:tc>
          <w:tcPr>
            <w:tcW w:w="32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&lt; 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00" w:type="dxa"/>
            <w:vAlign w:val="bottom"/>
          </w:tcPr>
          <w:p>
            <w:pPr>
              <w:spacing w:after="0"/>
              <w:rPr>
                <w:sz w:val="24"/>
                <w:szCs w:val="24"/>
                <w:color w:val="auto"/>
              </w:rPr>
            </w:pPr>
          </w:p>
        </w:tc>
        <w:tc>
          <w:tcPr>
            <w:tcW w:w="26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&lt; 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20" w:type="dxa"/>
            <w:vAlign w:val="bottom"/>
          </w:tcPr>
          <w:p>
            <w:pPr>
              <w:spacing w:after="0"/>
              <w:rPr>
                <w:sz w:val="24"/>
                <w:szCs w:val="24"/>
                <w:color w:val="auto"/>
              </w:rPr>
            </w:pPr>
          </w:p>
        </w:tc>
        <w:tc>
          <w:tcPr>
            <w:tcW w:w="26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&lt; 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r>
      <w:tr>
        <w:trPr>
          <w:trHeight w:val="277"/>
        </w:trPr>
        <w:tc>
          <w:tcPr>
            <w:tcW w:w="226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Hatfield</w:t>
            </w:r>
          </w:p>
        </w:tc>
        <w:tc>
          <w:tcPr>
            <w:tcW w:w="120" w:type="dxa"/>
            <w:vAlign w:val="bottom"/>
          </w:tcPr>
          <w:p>
            <w:pPr>
              <w:spacing w:after="0"/>
              <w:rPr>
                <w:sz w:val="24"/>
                <w:szCs w:val="24"/>
                <w:color w:val="auto"/>
              </w:rPr>
            </w:pPr>
          </w:p>
        </w:tc>
        <w:tc>
          <w:tcPr>
            <w:tcW w:w="32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&gt;75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00" w:type="dxa"/>
            <w:vAlign w:val="bottom"/>
          </w:tcPr>
          <w:p>
            <w:pPr>
              <w:spacing w:after="0"/>
              <w:rPr>
                <w:sz w:val="24"/>
                <w:szCs w:val="24"/>
                <w:color w:val="auto"/>
              </w:rPr>
            </w:pPr>
          </w:p>
        </w:tc>
        <w:tc>
          <w:tcPr>
            <w:tcW w:w="26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75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20" w:type="dxa"/>
            <w:vAlign w:val="bottom"/>
          </w:tcPr>
          <w:p>
            <w:pPr>
              <w:spacing w:after="0"/>
              <w:rPr>
                <w:sz w:val="24"/>
                <w:szCs w:val="24"/>
                <w:color w:val="auto"/>
              </w:rPr>
            </w:pPr>
          </w:p>
        </w:tc>
        <w:tc>
          <w:tcPr>
            <w:tcW w:w="26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75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r>
      <w:tr>
        <w:trPr>
          <w:trHeight w:val="277"/>
        </w:trPr>
        <w:tc>
          <w:tcPr>
            <w:tcW w:w="226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Ms. Lacal</w:t>
            </w:r>
          </w:p>
        </w:tc>
        <w:tc>
          <w:tcPr>
            <w:tcW w:w="120" w:type="dxa"/>
            <w:vAlign w:val="bottom"/>
          </w:tcPr>
          <w:p>
            <w:pPr>
              <w:spacing w:after="0"/>
              <w:rPr>
                <w:sz w:val="24"/>
                <w:szCs w:val="24"/>
                <w:color w:val="auto"/>
              </w:rPr>
            </w:pPr>
          </w:p>
        </w:tc>
        <w:tc>
          <w:tcPr>
            <w:tcW w:w="32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50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00" w:type="dxa"/>
            <w:vAlign w:val="bottom"/>
          </w:tcPr>
          <w:p>
            <w:pPr>
              <w:spacing w:after="0"/>
              <w:rPr>
                <w:sz w:val="24"/>
                <w:szCs w:val="24"/>
                <w:color w:val="auto"/>
              </w:rPr>
            </w:pPr>
          </w:p>
        </w:tc>
        <w:tc>
          <w:tcPr>
            <w:tcW w:w="26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20" w:type="dxa"/>
            <w:vAlign w:val="bottom"/>
          </w:tcPr>
          <w:p>
            <w:pPr>
              <w:spacing w:after="0"/>
              <w:rPr>
                <w:sz w:val="24"/>
                <w:szCs w:val="24"/>
                <w:color w:val="auto"/>
              </w:rPr>
            </w:pPr>
          </w:p>
        </w:tc>
        <w:tc>
          <w:tcPr>
            <w:tcW w:w="2680" w:type="dxa"/>
            <w:vAlign w:val="bottom"/>
            <w:tcBorders>
              <w:bottom w:val="single" w:sz="8" w:color="939598"/>
            </w:tcBorders>
          </w:tcPr>
          <w:p>
            <w:pPr>
              <w:spacing w:after="0" w:line="277" w:lineRule="exact"/>
              <w:rPr>
                <w:sz w:val="20"/>
                <w:szCs w:val="20"/>
                <w:color w:val="auto"/>
              </w:rPr>
            </w:pPr>
            <w:r>
              <w:rPr>
                <w:rFonts w:ascii="Arial" w:cs="Arial" w:eastAsia="Arial" w:hAnsi="Arial"/>
                <w:sz w:val="16"/>
                <w:szCs w:val="16"/>
                <w:color w:val="auto"/>
              </w:rPr>
              <w:t>50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r>
      <w:tr>
        <w:trPr>
          <w:trHeight w:val="298"/>
        </w:trPr>
        <w:tc>
          <w:tcPr>
            <w:tcW w:w="2260" w:type="dxa"/>
            <w:vAlign w:val="bottom"/>
            <w:tcBorders>
              <w:bottom w:val="single" w:sz="8" w:color="355675"/>
            </w:tcBorders>
          </w:tcPr>
          <w:p>
            <w:pPr>
              <w:ind w:left="60"/>
              <w:spacing w:after="0" w:line="277" w:lineRule="exact"/>
              <w:rPr>
                <w:sz w:val="20"/>
                <w:szCs w:val="20"/>
                <w:color w:val="auto"/>
              </w:rPr>
            </w:pPr>
            <w:r>
              <w:rPr>
                <w:rFonts w:ascii="Arial" w:cs="Arial" w:eastAsia="Arial" w:hAnsi="Arial"/>
                <w:sz w:val="16"/>
                <w:szCs w:val="16"/>
                <w:b w:val="1"/>
                <w:bCs w:val="1"/>
                <w:color w:val="355675"/>
              </w:rPr>
              <w:t>Mr. Smith</w:t>
            </w:r>
            <w:r>
              <w:rPr>
                <w:rFonts w:ascii="Arial" w:cs="Arial" w:eastAsia="Arial" w:hAnsi="Arial"/>
                <w:sz w:val="26"/>
                <w:szCs w:val="26"/>
                <w:b w:val="1"/>
                <w:bCs w:val="1"/>
                <w:color w:val="355675"/>
                <w:vertAlign w:val="superscript"/>
              </w:rPr>
              <w:t>(1)</w:t>
            </w:r>
          </w:p>
        </w:tc>
        <w:tc>
          <w:tcPr>
            <w:tcW w:w="120" w:type="dxa"/>
            <w:vAlign w:val="bottom"/>
          </w:tcPr>
          <w:p>
            <w:pPr>
              <w:spacing w:after="0"/>
              <w:rPr>
                <w:sz w:val="24"/>
                <w:szCs w:val="24"/>
                <w:color w:val="auto"/>
              </w:rPr>
            </w:pPr>
          </w:p>
        </w:tc>
        <w:tc>
          <w:tcPr>
            <w:tcW w:w="3280" w:type="dxa"/>
            <w:vAlign w:val="bottom"/>
            <w:tcBorders>
              <w:bottom w:val="single" w:sz="8" w:color="355675"/>
            </w:tcBorders>
          </w:tcPr>
          <w:p>
            <w:pPr>
              <w:spacing w:after="0" w:line="277" w:lineRule="exact"/>
              <w:rPr>
                <w:sz w:val="20"/>
                <w:szCs w:val="20"/>
                <w:color w:val="auto"/>
              </w:rPr>
            </w:pPr>
            <w:r>
              <w:rPr>
                <w:rFonts w:ascii="Arial" w:cs="Arial" w:eastAsia="Arial" w:hAnsi="Arial"/>
                <w:sz w:val="16"/>
                <w:szCs w:val="16"/>
                <w:color w:val="auto"/>
              </w:rPr>
              <w:t>75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c>
          <w:tcPr>
            <w:tcW w:w="100" w:type="dxa"/>
            <w:vAlign w:val="bottom"/>
          </w:tcPr>
          <w:p>
            <w:pPr>
              <w:spacing w:after="0"/>
              <w:rPr>
                <w:sz w:val="24"/>
                <w:szCs w:val="24"/>
                <w:color w:val="auto"/>
              </w:rPr>
            </w:pPr>
          </w:p>
        </w:tc>
        <w:tc>
          <w:tcPr>
            <w:tcW w:w="2680" w:type="dxa"/>
            <w:vAlign w:val="bottom"/>
            <w:tcBorders>
              <w:bottom w:val="single" w:sz="8" w:color="355675"/>
            </w:tcBorders>
          </w:tcPr>
          <w:p>
            <w:pPr>
              <w:spacing w:after="0" w:line="277" w:lineRule="exact"/>
              <w:rPr>
                <w:sz w:val="20"/>
                <w:szCs w:val="20"/>
                <w:color w:val="auto"/>
              </w:rPr>
            </w:pPr>
            <w:r>
              <w:rPr>
                <w:rFonts w:ascii="Arial" w:cs="Arial" w:eastAsia="Arial" w:hAnsi="Arial"/>
                <w:sz w:val="16"/>
                <w:szCs w:val="16"/>
                <w:color w:val="auto"/>
              </w:rPr>
              <w:t>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- 50th percentile</w:t>
            </w:r>
          </w:p>
        </w:tc>
        <w:tc>
          <w:tcPr>
            <w:tcW w:w="120" w:type="dxa"/>
            <w:vAlign w:val="bottom"/>
          </w:tcPr>
          <w:p>
            <w:pPr>
              <w:spacing w:after="0"/>
              <w:rPr>
                <w:sz w:val="24"/>
                <w:szCs w:val="24"/>
                <w:color w:val="auto"/>
              </w:rPr>
            </w:pPr>
          </w:p>
        </w:tc>
        <w:tc>
          <w:tcPr>
            <w:tcW w:w="2680" w:type="dxa"/>
            <w:vAlign w:val="bottom"/>
            <w:tcBorders>
              <w:bottom w:val="single" w:sz="8" w:color="355675"/>
            </w:tcBorders>
          </w:tcPr>
          <w:p>
            <w:pPr>
              <w:spacing w:after="0" w:line="277" w:lineRule="exact"/>
              <w:rPr>
                <w:sz w:val="20"/>
                <w:szCs w:val="20"/>
                <w:color w:val="auto"/>
              </w:rPr>
            </w:pPr>
            <w:r>
              <w:rPr>
                <w:rFonts w:ascii="Arial" w:cs="Arial" w:eastAsia="Arial" w:hAnsi="Arial"/>
                <w:sz w:val="16"/>
                <w:szCs w:val="16"/>
                <w:color w:val="auto"/>
              </w:rPr>
              <w:t>50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tc>
      </w:tr>
    </w:tbl>
    <w:p>
      <w:pPr>
        <w:spacing w:after="0" w:line="153" w:lineRule="exact"/>
        <w:rPr>
          <w:sz w:val="20"/>
          <w:szCs w:val="20"/>
          <w:color w:val="auto"/>
        </w:rPr>
      </w:pPr>
    </w:p>
    <w:p>
      <w:pPr>
        <w:ind w:left="240" w:right="360" w:hanging="232"/>
        <w:spacing w:after="0" w:line="193" w:lineRule="auto"/>
        <w:tabs>
          <w:tab w:leader="none" w:pos="240" w:val="left"/>
        </w:tabs>
        <w:numPr>
          <w:ilvl w:val="0"/>
          <w:numId w:val="63"/>
        </w:numPr>
        <w:rPr>
          <w:rFonts w:ascii="Arial" w:cs="Arial" w:eastAsia="Arial" w:hAnsi="Arial"/>
          <w:sz w:val="24"/>
          <w:szCs w:val="24"/>
          <w:color w:val="auto"/>
          <w:vertAlign w:val="superscript"/>
        </w:rPr>
      </w:pPr>
      <w:r>
        <w:rPr>
          <w:rFonts w:ascii="Arial" w:cs="Arial" w:eastAsia="Arial" w:hAnsi="Arial"/>
          <w:sz w:val="14"/>
          <w:szCs w:val="14"/>
          <w:color w:val="auto"/>
        </w:rPr>
        <w:t>This information reflects Mr. Smith’s prior position as Senior Vice President and General Counsel of PNW and APS and does not reflect his promotion to Executive Vice President, General Counsel and Chief Development Officer in June of 2021.</w:t>
      </w:r>
    </w:p>
    <w:p>
      <w:pPr>
        <w:spacing w:after="0" w:line="137"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Application of the Committee’s Judgment</w:t>
      </w:r>
    </w:p>
    <w:p>
      <w:pPr>
        <w:spacing w:after="0" w:line="195" w:lineRule="exact"/>
        <w:rPr>
          <w:sz w:val="20"/>
          <w:szCs w:val="20"/>
          <w:color w:val="auto"/>
        </w:rPr>
      </w:pPr>
    </w:p>
    <w:p>
      <w:pPr>
        <w:ind w:right="40"/>
        <w:spacing w:after="0" w:line="244" w:lineRule="auto"/>
        <w:rPr>
          <w:sz w:val="20"/>
          <w:szCs w:val="20"/>
          <w:color w:val="auto"/>
        </w:rPr>
      </w:pPr>
      <w:r>
        <w:rPr>
          <w:rFonts w:ascii="Arial" w:cs="Arial" w:eastAsia="Arial" w:hAnsi="Arial"/>
          <w:sz w:val="18"/>
          <w:szCs w:val="18"/>
          <w:color w:val="auto"/>
        </w:rPr>
        <w:t>The analysis in the Consultant’s report and its recommendations regarding the competitiveness and structure of compensation are factors that the Committee takes into account in its evaluation of compensation for the NEOs. The Committee considers the competitive market data presented by the Consultant as an important reference point to assure the Committee of the reasonableness of compensation levels and programs provided to executive management; however, actual compensation levels also take into account the individual executives and their responsibilities, skills, expertise, value added, as well as the competitive marketplace for executive talent.</w:t>
      </w:r>
    </w:p>
    <w:p>
      <w:pPr>
        <w:spacing w:after="0" w:line="136" w:lineRule="exact"/>
        <w:rPr>
          <w:sz w:val="20"/>
          <w:szCs w:val="20"/>
          <w:color w:val="auto"/>
        </w:rPr>
      </w:pPr>
    </w:p>
    <w:p>
      <w:pPr>
        <w:ind w:right="40"/>
        <w:spacing w:after="0" w:line="271" w:lineRule="auto"/>
        <w:rPr>
          <w:sz w:val="20"/>
          <w:szCs w:val="20"/>
          <w:color w:val="auto"/>
        </w:rPr>
      </w:pPr>
      <w:r>
        <w:rPr>
          <w:rFonts w:ascii="Arial" w:cs="Arial" w:eastAsia="Arial" w:hAnsi="Arial"/>
          <w:sz w:val="18"/>
          <w:szCs w:val="18"/>
          <w:color w:val="auto"/>
        </w:rPr>
        <w:t>Company, business unit, and individual officer performance, as well as compensation competitiveness, are the primary factors in determining the level of total direct compensation for the NEOs. While the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92075</wp:posOffset>
            </wp:positionV>
            <wp:extent cx="1191260" cy="23177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19"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73" w:name="page74"/>
    <w:bookmarkEnd w:id="7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9100"/>
        <w:spacing w:after="0"/>
        <w:rPr>
          <w:sz w:val="20"/>
          <w:szCs w:val="20"/>
          <w:color w:val="auto"/>
        </w:rPr>
      </w:pPr>
      <w:r>
        <w:rPr>
          <w:rFonts w:ascii="Arial" w:cs="Arial" w:eastAsia="Arial" w:hAnsi="Arial"/>
          <w:sz w:val="17"/>
          <w:szCs w:val="17"/>
          <w:b w:val="1"/>
          <w:bCs w:val="1"/>
          <w:color w:val="355675"/>
        </w:rPr>
        <w:t>Executive Compensation</w:t>
      </w:r>
    </w:p>
    <w:p>
      <w:pPr>
        <w:spacing w:after="0" w:line="183" w:lineRule="exact"/>
        <w:rPr>
          <w:sz w:val="20"/>
          <w:szCs w:val="20"/>
          <w:color w:val="auto"/>
        </w:rPr>
      </w:pPr>
    </w:p>
    <w:p>
      <w:pPr>
        <w:ind w:right="180"/>
        <w:spacing w:after="0" w:line="244" w:lineRule="auto"/>
        <w:rPr>
          <w:sz w:val="20"/>
          <w:szCs w:val="20"/>
          <w:color w:val="auto"/>
        </w:rPr>
      </w:pPr>
      <w:r>
        <w:rPr>
          <w:rFonts w:ascii="Arial" w:cs="Arial" w:eastAsia="Arial" w:hAnsi="Arial"/>
          <w:sz w:val="18"/>
          <w:szCs w:val="18"/>
          <w:color w:val="auto"/>
        </w:rPr>
        <w:t>considers internal pay equity in making compensation decisions, we do not have a policy requiring any set levels of internal pay differentiation. Finally, the Committee evaluates other factors that it considers relevant, such as the financial condition of the Company and APS. The Company does not have a pre-established policy or target for allocation between cash and non-cash compensation or between short-term and long-term incentive compensation, although the Committee does allocate long-term awards between the two forms of equity grants.</w:t>
      </w:r>
    </w:p>
    <w:p>
      <w:pPr>
        <w:spacing w:after="0" w:line="161"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Determining the Peer Group</w:t>
      </w:r>
    </w:p>
    <w:p>
      <w:pPr>
        <w:spacing w:after="0" w:line="208"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The Peer Group (defined below) used as one input in our pay comparison process is reviewed annually for its continued appropriateness. The Committee takes into consideration the scope and complexity of the Company’s management responsibility and liability needs, including the following factors:</w:t>
      </w:r>
    </w:p>
    <w:p>
      <w:pPr>
        <w:spacing w:after="0" w:line="128" w:lineRule="exact"/>
        <w:rPr>
          <w:sz w:val="20"/>
          <w:szCs w:val="20"/>
          <w:color w:val="auto"/>
        </w:rPr>
      </w:pPr>
    </w:p>
    <w:p>
      <w:pPr>
        <w:ind w:left="260" w:right="100" w:hanging="252"/>
        <w:spacing w:after="0" w:line="253" w:lineRule="auto"/>
        <w:tabs>
          <w:tab w:leader="none" w:pos="260" w:val="left"/>
        </w:tabs>
        <w:numPr>
          <w:ilvl w:val="0"/>
          <w:numId w:val="64"/>
        </w:numPr>
        <w:rPr>
          <w:rFonts w:ascii="Arial" w:cs="Arial" w:eastAsia="Arial" w:hAnsi="Arial"/>
          <w:sz w:val="18"/>
          <w:szCs w:val="18"/>
          <w:color w:val="355675"/>
        </w:rPr>
      </w:pPr>
      <w:r>
        <w:rPr>
          <w:rFonts w:ascii="Arial" w:cs="Arial" w:eastAsia="Arial" w:hAnsi="Arial"/>
          <w:sz w:val="18"/>
          <w:szCs w:val="18"/>
          <w:color w:val="auto"/>
        </w:rPr>
        <w:t>Pinnacle West’s operating subsidiary APS operates the Palo Verde Generating Station, the largest nuclear power plant in the U.S., which has a $1 billion annual budget, employs one-third of APS employees, and is subject to comprehensive and complex nuclear and environmental regulation;</w:t>
      </w:r>
    </w:p>
    <w:p>
      <w:pPr>
        <w:spacing w:after="0" w:line="128" w:lineRule="exact"/>
        <w:rPr>
          <w:rFonts w:ascii="Arial" w:cs="Arial" w:eastAsia="Arial" w:hAnsi="Arial"/>
          <w:sz w:val="18"/>
          <w:szCs w:val="18"/>
          <w:color w:val="355675"/>
        </w:rPr>
      </w:pPr>
    </w:p>
    <w:p>
      <w:pPr>
        <w:ind w:left="260" w:right="60" w:hanging="252"/>
        <w:spacing w:after="0" w:line="271" w:lineRule="auto"/>
        <w:tabs>
          <w:tab w:leader="none" w:pos="260" w:val="left"/>
        </w:tabs>
        <w:numPr>
          <w:ilvl w:val="0"/>
          <w:numId w:val="64"/>
        </w:numPr>
        <w:rPr>
          <w:rFonts w:ascii="Arial" w:cs="Arial" w:eastAsia="Arial" w:hAnsi="Arial"/>
          <w:sz w:val="18"/>
          <w:szCs w:val="18"/>
          <w:color w:val="355675"/>
        </w:rPr>
      </w:pPr>
      <w:r>
        <w:rPr>
          <w:rFonts w:ascii="Arial" w:cs="Arial" w:eastAsia="Arial" w:hAnsi="Arial"/>
          <w:sz w:val="18"/>
          <w:szCs w:val="18"/>
          <w:color w:val="auto"/>
        </w:rPr>
        <w:t>The management scope of the Palo Verde Generating Station operations necessitates that the Company seeks talent from larger utilities, including those with significant nuclear operations and similar regulatory and business challenges; and</w:t>
      </w:r>
    </w:p>
    <w:p>
      <w:pPr>
        <w:spacing w:after="0" w:line="113" w:lineRule="exact"/>
        <w:rPr>
          <w:rFonts w:ascii="Arial" w:cs="Arial" w:eastAsia="Arial" w:hAnsi="Arial"/>
          <w:sz w:val="18"/>
          <w:szCs w:val="18"/>
          <w:color w:val="355675"/>
        </w:rPr>
      </w:pPr>
    </w:p>
    <w:p>
      <w:pPr>
        <w:ind w:left="260" w:right="20" w:hanging="252"/>
        <w:spacing w:after="0" w:line="253" w:lineRule="auto"/>
        <w:tabs>
          <w:tab w:leader="none" w:pos="260" w:val="left"/>
        </w:tabs>
        <w:numPr>
          <w:ilvl w:val="0"/>
          <w:numId w:val="64"/>
        </w:numPr>
        <w:rPr>
          <w:rFonts w:ascii="Arial" w:cs="Arial" w:eastAsia="Arial" w:hAnsi="Arial"/>
          <w:sz w:val="18"/>
          <w:szCs w:val="18"/>
          <w:color w:val="355675"/>
        </w:rPr>
      </w:pPr>
      <w:r>
        <w:rPr>
          <w:rFonts w:ascii="Arial" w:cs="Arial" w:eastAsia="Arial" w:hAnsi="Arial"/>
          <w:sz w:val="18"/>
          <w:szCs w:val="18"/>
          <w:color w:val="auto"/>
        </w:rPr>
        <w:t>APS has full operational control and legal responsibility for Palo Verde Generating Station, Four Corners Generating Station and Cholla Power Plant. This is an important factor because APS does not have 100% ownership of these stations and, therefore, our full operational responsibility is not accounted for in standard measures of Pinnacle West’s or APS’s size.</w:t>
      </w:r>
    </w:p>
    <w:p>
      <w:pPr>
        <w:spacing w:after="0" w:line="128" w:lineRule="exact"/>
        <w:rPr>
          <w:sz w:val="20"/>
          <w:szCs w:val="20"/>
          <w:color w:val="auto"/>
        </w:rPr>
      </w:pPr>
    </w:p>
    <w:p>
      <w:pPr>
        <w:ind w:right="120"/>
        <w:spacing w:after="0" w:line="242" w:lineRule="auto"/>
        <w:rPr>
          <w:sz w:val="20"/>
          <w:szCs w:val="20"/>
          <w:color w:val="auto"/>
        </w:rPr>
      </w:pPr>
      <w:r>
        <w:rPr>
          <w:rFonts w:ascii="Arial" w:cs="Arial" w:eastAsia="Arial" w:hAnsi="Arial"/>
          <w:sz w:val="18"/>
          <w:szCs w:val="18"/>
          <w:color w:val="auto"/>
        </w:rPr>
        <w:t>Given these factors, we make certain adjustments to our size measure to account for our operational responsibilities to allow for more appropriate comparability of Pinnacle West to potential peer companies. In determining the composition of the Peer Group, we adjust our revenues to reflect our control and responsibility for Palo Verde Generating Station, Four Corners Generating Station and Cholla Power Plant. The amount used for APS revenues is adjusted to take into account the revenues that are attributable to co-owned assets over which APS maintains full operational control and legal compliance responsibility. This adjustment resulted in an amount of $5.1 billion compared to its reported twelve months ended June 30, 2020 revenues of $3.5 billion.</w:t>
      </w:r>
    </w:p>
    <w:p>
      <w:pPr>
        <w:spacing w:after="0" w:line="152" w:lineRule="exact"/>
        <w:rPr>
          <w:sz w:val="20"/>
          <w:szCs w:val="20"/>
          <w:color w:val="auto"/>
        </w:rPr>
      </w:pPr>
    </w:p>
    <w:p>
      <w:pPr>
        <w:ind w:right="600"/>
        <w:spacing w:after="0" w:line="271" w:lineRule="auto"/>
        <w:rPr>
          <w:sz w:val="20"/>
          <w:szCs w:val="20"/>
          <w:color w:val="auto"/>
        </w:rPr>
      </w:pPr>
      <w:r>
        <w:rPr>
          <w:rFonts w:ascii="Arial" w:cs="Arial" w:eastAsia="Arial" w:hAnsi="Arial"/>
          <w:sz w:val="18"/>
          <w:szCs w:val="18"/>
          <w:color w:val="auto"/>
        </w:rPr>
        <w:t>Within the range of potential peers based on adjusted revenues, the Peer Group below is then determined based on additional factors including:</w:t>
      </w:r>
    </w:p>
    <w:p>
      <w:pPr>
        <w:spacing w:after="0" w:line="113" w:lineRule="exact"/>
        <w:rPr>
          <w:sz w:val="20"/>
          <w:szCs w:val="20"/>
          <w:color w:val="auto"/>
        </w:rPr>
      </w:pPr>
    </w:p>
    <w:p>
      <w:pPr>
        <w:ind w:left="260" w:hanging="252"/>
        <w:spacing w:after="0"/>
        <w:tabs>
          <w:tab w:leader="none" w:pos="260" w:val="left"/>
        </w:tabs>
        <w:numPr>
          <w:ilvl w:val="0"/>
          <w:numId w:val="65"/>
        </w:numPr>
        <w:rPr>
          <w:rFonts w:ascii="Arial" w:cs="Arial" w:eastAsia="Arial" w:hAnsi="Arial"/>
          <w:sz w:val="18"/>
          <w:szCs w:val="18"/>
          <w:color w:val="355675"/>
        </w:rPr>
      </w:pPr>
      <w:r>
        <w:rPr>
          <w:rFonts w:ascii="Arial" w:cs="Arial" w:eastAsia="Arial" w:hAnsi="Arial"/>
          <w:sz w:val="18"/>
          <w:szCs w:val="18"/>
          <w:color w:val="auto"/>
        </w:rPr>
        <w:t>Scope of management complexity</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5"/>
        </w:numPr>
        <w:rPr>
          <w:rFonts w:ascii="Arial" w:cs="Arial" w:eastAsia="Arial" w:hAnsi="Arial"/>
          <w:sz w:val="18"/>
          <w:szCs w:val="18"/>
          <w:color w:val="355675"/>
        </w:rPr>
      </w:pPr>
      <w:r>
        <w:rPr>
          <w:rFonts w:ascii="Arial" w:cs="Arial" w:eastAsia="Arial" w:hAnsi="Arial"/>
          <w:sz w:val="18"/>
          <w:szCs w:val="18"/>
          <w:color w:val="auto"/>
        </w:rPr>
        <w:t>Nuclear operations</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5"/>
        </w:numPr>
        <w:rPr>
          <w:rFonts w:ascii="Arial" w:cs="Arial" w:eastAsia="Arial" w:hAnsi="Arial"/>
          <w:sz w:val="18"/>
          <w:szCs w:val="18"/>
          <w:color w:val="355675"/>
        </w:rPr>
      </w:pPr>
      <w:r>
        <w:rPr>
          <w:rFonts w:ascii="Arial" w:cs="Arial" w:eastAsia="Arial" w:hAnsi="Arial"/>
          <w:sz w:val="18"/>
          <w:szCs w:val="18"/>
          <w:color w:val="auto"/>
        </w:rPr>
        <w:t>Top industry talent (related to management complexity)</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5"/>
        </w:numPr>
        <w:rPr>
          <w:rFonts w:ascii="Arial" w:cs="Arial" w:eastAsia="Arial" w:hAnsi="Arial"/>
          <w:sz w:val="18"/>
          <w:szCs w:val="18"/>
          <w:color w:val="355675"/>
        </w:rPr>
      </w:pPr>
      <w:r>
        <w:rPr>
          <w:rFonts w:ascii="Arial" w:cs="Arial" w:eastAsia="Arial" w:hAnsi="Arial"/>
          <w:sz w:val="18"/>
          <w:szCs w:val="18"/>
          <w:color w:val="auto"/>
        </w:rPr>
        <w:t>Regulated vs. non-regulated operations</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5"/>
        </w:numPr>
        <w:rPr>
          <w:rFonts w:ascii="Arial" w:cs="Arial" w:eastAsia="Arial" w:hAnsi="Arial"/>
          <w:sz w:val="18"/>
          <w:szCs w:val="18"/>
          <w:color w:val="355675"/>
        </w:rPr>
      </w:pPr>
      <w:r>
        <w:rPr>
          <w:rFonts w:ascii="Arial" w:cs="Arial" w:eastAsia="Arial" w:hAnsi="Arial"/>
          <w:sz w:val="18"/>
          <w:szCs w:val="18"/>
          <w:color w:val="auto"/>
        </w:rPr>
        <w:t>Complexities of a challenging regulatory environment</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65"/>
        </w:numPr>
        <w:rPr>
          <w:rFonts w:ascii="Arial" w:cs="Arial" w:eastAsia="Arial" w:hAnsi="Arial"/>
          <w:sz w:val="18"/>
          <w:szCs w:val="18"/>
          <w:color w:val="355675"/>
        </w:rPr>
      </w:pPr>
      <w:r>
        <w:rPr>
          <w:rFonts w:ascii="Arial" w:cs="Arial" w:eastAsia="Arial" w:hAnsi="Arial"/>
          <w:sz w:val="18"/>
          <w:szCs w:val="18"/>
          <w:color w:val="auto"/>
        </w:rPr>
        <w:t>CEO/senior management leadership</w:t>
      </w:r>
    </w:p>
    <w:p>
      <w:pPr>
        <w:spacing w:after="0" w:line="171" w:lineRule="exact"/>
        <w:rPr>
          <w:sz w:val="20"/>
          <w:szCs w:val="20"/>
          <w:color w:val="auto"/>
        </w:rPr>
      </w:pPr>
    </w:p>
    <w:p>
      <w:pPr>
        <w:ind w:right="200"/>
        <w:spacing w:after="0" w:line="241" w:lineRule="auto"/>
        <w:rPr>
          <w:sz w:val="20"/>
          <w:szCs w:val="20"/>
          <w:color w:val="auto"/>
        </w:rPr>
      </w:pPr>
      <w:r>
        <w:rPr>
          <w:rFonts w:ascii="Arial" w:cs="Arial" w:eastAsia="Arial" w:hAnsi="Arial"/>
          <w:sz w:val="18"/>
          <w:szCs w:val="18"/>
          <w:color w:val="auto"/>
        </w:rPr>
        <w:t>As a result of such review, the Committee approved the use of the same peer group that was used in setting 2020 executive compensation except, to better align revenue size, the Committee replaced Consolidated Edison, Inc. with Avangrid, Inc. and PNM Resources, Inc. The Peer Group is broadly similar to the Company in scope and complexity of operations (taking into account nuclear operations, regulatory</w:t>
      </w:r>
    </w:p>
    <w:p>
      <w:pPr>
        <w:spacing w:after="0" w:line="2" w:lineRule="exact"/>
        <w:rPr>
          <w:sz w:val="20"/>
          <w:szCs w:val="20"/>
          <w:color w:val="auto"/>
        </w:rPr>
      </w:pPr>
    </w:p>
    <w:p>
      <w:pPr>
        <w:ind w:right="620"/>
        <w:spacing w:after="0" w:line="205" w:lineRule="auto"/>
        <w:rPr>
          <w:sz w:val="20"/>
          <w:szCs w:val="20"/>
          <w:color w:val="auto"/>
        </w:rPr>
      </w:pPr>
      <w:r>
        <w:rPr>
          <w:rFonts w:ascii="Arial" w:cs="Arial" w:eastAsia="Arial" w:hAnsi="Arial"/>
          <w:sz w:val="18"/>
          <w:szCs w:val="18"/>
          <w:color w:val="auto"/>
        </w:rPr>
        <w:t>profile, and other quantitative and qualitative considerations) and positions the Company between the 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 and median with respect to revenues (adjusted as explained above).</w:t>
      </w:r>
    </w:p>
    <w:p>
      <w:pPr>
        <w:spacing w:after="0" w:line="155" w:lineRule="exact"/>
        <w:rPr>
          <w:sz w:val="20"/>
          <w:szCs w:val="20"/>
          <w:color w:val="auto"/>
        </w:rPr>
      </w:pPr>
    </w:p>
    <w:p>
      <w:pPr>
        <w:jc w:val="both"/>
        <w:ind w:right="440"/>
        <w:spacing w:after="0" w:line="253" w:lineRule="auto"/>
        <w:rPr>
          <w:sz w:val="20"/>
          <w:szCs w:val="20"/>
          <w:color w:val="auto"/>
        </w:rPr>
      </w:pPr>
      <w:r>
        <w:rPr>
          <w:rFonts w:ascii="Arial" w:cs="Arial" w:eastAsia="Arial" w:hAnsi="Arial"/>
          <w:sz w:val="18"/>
          <w:szCs w:val="18"/>
          <w:color w:val="auto"/>
        </w:rPr>
        <w:t>As outlined previously, peer proxy data is only one third of the compensation information that is referenced for our NEOs (except for Ms. Lacal, where peer proxy statement data is weighted at 50%). For setting 2021 compensation, the Peer Group consisted of the following predominantly rate-regulated utilities (the “Peer Group”):</w:t>
      </w:r>
    </w:p>
    <w:p>
      <w:pPr>
        <w:spacing w:after="0" w:line="128" w:lineRule="exact"/>
        <w:rPr>
          <w:sz w:val="20"/>
          <w:szCs w:val="20"/>
          <w:color w:val="auto"/>
        </w:rPr>
      </w:pPr>
    </w:p>
    <w:p>
      <w:pPr>
        <w:spacing w:after="0"/>
        <w:rPr>
          <w:sz w:val="20"/>
          <w:szCs w:val="20"/>
          <w:color w:val="auto"/>
        </w:rPr>
      </w:pPr>
      <w:r>
        <w:rPr>
          <w:rFonts w:ascii="Arial" w:cs="Arial" w:eastAsia="Arial" w:hAnsi="Arial"/>
          <w:sz w:val="18"/>
          <w:szCs w:val="18"/>
          <w:b w:val="1"/>
          <w:bCs w:val="1"/>
          <w:color w:val="808080"/>
        </w:rPr>
        <w:t>PEER GROUP</w:t>
      </w:r>
    </w:p>
    <w:p>
      <w:pPr>
        <w:spacing w:after="0" w:line="34" w:lineRule="exact"/>
        <w:rPr>
          <w:sz w:val="20"/>
          <w:szCs w:val="20"/>
          <w:color w:val="auto"/>
        </w:rPr>
      </w:pPr>
    </w:p>
    <w:tbl>
      <w:tblPr>
        <w:tblLayout w:type="fixed"/>
        <w:tblInd w:w="0" w:type="dxa"/>
        <w:tblCellMar>
          <w:top w:w="0" w:type="dxa"/>
          <w:left w:w="0" w:type="dxa"/>
          <w:bottom w:w="0" w:type="dxa"/>
          <w:right w:w="0" w:type="dxa"/>
        </w:tblCellMar>
      </w:tblPr>
      <w:tr>
        <w:trPr>
          <w:trHeight w:val="245"/>
        </w:trPr>
        <w:tc>
          <w:tcPr>
            <w:tcW w:w="3080" w:type="dxa"/>
            <w:vAlign w:val="bottom"/>
            <w:shd w:val="clear" w:color="auto" w:fill="F4F4F4"/>
          </w:tcPr>
          <w:p>
            <w:pPr>
              <w:ind w:left="100"/>
              <w:spacing w:after="0"/>
              <w:rPr>
                <w:sz w:val="20"/>
                <w:szCs w:val="20"/>
                <w:color w:val="auto"/>
              </w:rPr>
            </w:pPr>
            <w:r>
              <w:rPr>
                <w:rFonts w:ascii="Arial" w:cs="Arial" w:eastAsia="Arial" w:hAnsi="Arial"/>
                <w:sz w:val="18"/>
                <w:szCs w:val="18"/>
                <w:color w:val="auto"/>
              </w:rPr>
              <w:t>Alliant Energy Corporation</w:t>
            </w:r>
          </w:p>
        </w:tc>
        <w:tc>
          <w:tcPr>
            <w:tcW w:w="4140" w:type="dxa"/>
            <w:vAlign w:val="bottom"/>
            <w:shd w:val="clear" w:color="auto" w:fill="F4F4F4"/>
          </w:tcPr>
          <w:p>
            <w:pPr>
              <w:ind w:left="880"/>
              <w:spacing w:after="0"/>
              <w:rPr>
                <w:sz w:val="20"/>
                <w:szCs w:val="20"/>
                <w:color w:val="auto"/>
              </w:rPr>
            </w:pPr>
            <w:r>
              <w:rPr>
                <w:rFonts w:ascii="Arial" w:cs="Arial" w:eastAsia="Arial" w:hAnsi="Arial"/>
                <w:sz w:val="18"/>
                <w:szCs w:val="18"/>
                <w:color w:val="auto"/>
              </w:rPr>
              <w:t>Evergy, Inc.</w:t>
            </w:r>
          </w:p>
        </w:tc>
        <w:tc>
          <w:tcPr>
            <w:tcW w:w="4020" w:type="dxa"/>
            <w:vAlign w:val="bottom"/>
            <w:shd w:val="clear" w:color="auto" w:fill="F4F4F4"/>
          </w:tcPr>
          <w:p>
            <w:pPr>
              <w:ind w:left="660"/>
              <w:spacing w:after="0"/>
              <w:rPr>
                <w:sz w:val="20"/>
                <w:szCs w:val="20"/>
                <w:color w:val="auto"/>
              </w:rPr>
            </w:pPr>
            <w:r>
              <w:rPr>
                <w:rFonts w:ascii="Arial" w:cs="Arial" w:eastAsia="Arial" w:hAnsi="Arial"/>
                <w:sz w:val="18"/>
                <w:szCs w:val="18"/>
                <w:color w:val="auto"/>
              </w:rPr>
              <w:t>PNM Resources, Inc.</w:t>
            </w:r>
          </w:p>
        </w:tc>
      </w:tr>
      <w:tr>
        <w:trPr>
          <w:trHeight w:val="203"/>
        </w:trPr>
        <w:tc>
          <w:tcPr>
            <w:tcW w:w="3080" w:type="dxa"/>
            <w:vAlign w:val="bottom"/>
            <w:shd w:val="clear" w:color="auto" w:fill="F4F4F4"/>
          </w:tcPr>
          <w:p>
            <w:pPr>
              <w:ind w:left="100"/>
              <w:spacing w:after="0" w:line="202" w:lineRule="exact"/>
              <w:rPr>
                <w:sz w:val="20"/>
                <w:szCs w:val="20"/>
                <w:color w:val="auto"/>
              </w:rPr>
            </w:pPr>
            <w:r>
              <w:rPr>
                <w:rFonts w:ascii="Arial" w:cs="Arial" w:eastAsia="Arial" w:hAnsi="Arial"/>
                <w:sz w:val="18"/>
                <w:szCs w:val="18"/>
                <w:color w:val="auto"/>
              </w:rPr>
              <w:t>Ameren Corporation</w:t>
            </w:r>
          </w:p>
        </w:tc>
        <w:tc>
          <w:tcPr>
            <w:tcW w:w="4140" w:type="dxa"/>
            <w:vAlign w:val="bottom"/>
            <w:shd w:val="clear" w:color="auto" w:fill="F4F4F4"/>
          </w:tcPr>
          <w:p>
            <w:pPr>
              <w:ind w:left="880"/>
              <w:spacing w:after="0" w:line="202" w:lineRule="exact"/>
              <w:rPr>
                <w:sz w:val="20"/>
                <w:szCs w:val="20"/>
                <w:color w:val="auto"/>
              </w:rPr>
            </w:pPr>
            <w:r>
              <w:rPr>
                <w:rFonts w:ascii="Arial" w:cs="Arial" w:eastAsia="Arial" w:hAnsi="Arial"/>
                <w:sz w:val="18"/>
                <w:szCs w:val="18"/>
                <w:color w:val="auto"/>
              </w:rPr>
              <w:t>Eversource Energy</w:t>
            </w:r>
          </w:p>
        </w:tc>
        <w:tc>
          <w:tcPr>
            <w:tcW w:w="4020" w:type="dxa"/>
            <w:vAlign w:val="bottom"/>
            <w:shd w:val="clear" w:color="auto" w:fill="F4F4F4"/>
          </w:tcPr>
          <w:p>
            <w:pPr>
              <w:ind w:left="660"/>
              <w:spacing w:after="0" w:line="202" w:lineRule="exact"/>
              <w:rPr>
                <w:sz w:val="20"/>
                <w:szCs w:val="20"/>
                <w:color w:val="auto"/>
              </w:rPr>
            </w:pPr>
            <w:r>
              <w:rPr>
                <w:rFonts w:ascii="Arial" w:cs="Arial" w:eastAsia="Arial" w:hAnsi="Arial"/>
                <w:sz w:val="18"/>
                <w:szCs w:val="18"/>
                <w:color w:val="auto"/>
              </w:rPr>
              <w:t>The Southern Company</w:t>
            </w:r>
          </w:p>
        </w:tc>
      </w:tr>
      <w:tr>
        <w:trPr>
          <w:trHeight w:val="203"/>
        </w:trPr>
        <w:tc>
          <w:tcPr>
            <w:tcW w:w="3080" w:type="dxa"/>
            <w:vAlign w:val="bottom"/>
            <w:shd w:val="clear" w:color="auto" w:fill="F4F4F4"/>
          </w:tcPr>
          <w:p>
            <w:pPr>
              <w:ind w:left="100"/>
              <w:spacing w:after="0" w:line="202" w:lineRule="exact"/>
              <w:rPr>
                <w:sz w:val="20"/>
                <w:szCs w:val="20"/>
                <w:color w:val="auto"/>
              </w:rPr>
            </w:pPr>
            <w:r>
              <w:rPr>
                <w:rFonts w:ascii="Arial" w:cs="Arial" w:eastAsia="Arial" w:hAnsi="Arial"/>
                <w:sz w:val="18"/>
                <w:szCs w:val="18"/>
                <w:color w:val="auto"/>
              </w:rPr>
              <w:t>Avangrid, Inc.</w:t>
            </w:r>
          </w:p>
        </w:tc>
        <w:tc>
          <w:tcPr>
            <w:tcW w:w="4140" w:type="dxa"/>
            <w:vAlign w:val="bottom"/>
            <w:shd w:val="clear" w:color="auto" w:fill="F4F4F4"/>
          </w:tcPr>
          <w:p>
            <w:pPr>
              <w:ind w:left="880"/>
              <w:spacing w:after="0" w:line="202" w:lineRule="exact"/>
              <w:rPr>
                <w:sz w:val="20"/>
                <w:szCs w:val="20"/>
                <w:color w:val="auto"/>
              </w:rPr>
            </w:pPr>
            <w:r>
              <w:rPr>
                <w:rFonts w:ascii="Arial" w:cs="Arial" w:eastAsia="Arial" w:hAnsi="Arial"/>
                <w:sz w:val="18"/>
                <w:szCs w:val="18"/>
                <w:color w:val="auto"/>
              </w:rPr>
              <w:t>Hawaiian Electric Industries, Inc.</w:t>
            </w:r>
          </w:p>
        </w:tc>
        <w:tc>
          <w:tcPr>
            <w:tcW w:w="4020" w:type="dxa"/>
            <w:vAlign w:val="bottom"/>
            <w:shd w:val="clear" w:color="auto" w:fill="F4F4F4"/>
          </w:tcPr>
          <w:p>
            <w:pPr>
              <w:ind w:left="660"/>
              <w:spacing w:after="0" w:line="202" w:lineRule="exact"/>
              <w:rPr>
                <w:sz w:val="20"/>
                <w:szCs w:val="20"/>
                <w:color w:val="auto"/>
              </w:rPr>
            </w:pPr>
            <w:r>
              <w:rPr>
                <w:rFonts w:ascii="Arial" w:cs="Arial" w:eastAsia="Arial" w:hAnsi="Arial"/>
                <w:sz w:val="18"/>
                <w:szCs w:val="18"/>
                <w:color w:val="auto"/>
              </w:rPr>
              <w:t>WEC Energy Group, Inc.</w:t>
            </w:r>
          </w:p>
        </w:tc>
      </w:tr>
      <w:tr>
        <w:trPr>
          <w:trHeight w:val="203"/>
        </w:trPr>
        <w:tc>
          <w:tcPr>
            <w:tcW w:w="3080" w:type="dxa"/>
            <w:vAlign w:val="bottom"/>
            <w:shd w:val="clear" w:color="auto" w:fill="F4F4F4"/>
          </w:tcPr>
          <w:p>
            <w:pPr>
              <w:ind w:left="100"/>
              <w:spacing w:after="0" w:line="202" w:lineRule="exact"/>
              <w:rPr>
                <w:sz w:val="20"/>
                <w:szCs w:val="20"/>
                <w:color w:val="auto"/>
              </w:rPr>
            </w:pPr>
            <w:r>
              <w:rPr>
                <w:rFonts w:ascii="Arial" w:cs="Arial" w:eastAsia="Arial" w:hAnsi="Arial"/>
                <w:sz w:val="18"/>
                <w:szCs w:val="18"/>
                <w:color w:val="auto"/>
              </w:rPr>
              <w:t>CMS Energy</w:t>
            </w:r>
          </w:p>
        </w:tc>
        <w:tc>
          <w:tcPr>
            <w:tcW w:w="4140" w:type="dxa"/>
            <w:vAlign w:val="bottom"/>
            <w:shd w:val="clear" w:color="auto" w:fill="F4F4F4"/>
          </w:tcPr>
          <w:p>
            <w:pPr>
              <w:ind w:left="880"/>
              <w:spacing w:after="0" w:line="202" w:lineRule="exact"/>
              <w:rPr>
                <w:sz w:val="20"/>
                <w:szCs w:val="20"/>
                <w:color w:val="auto"/>
              </w:rPr>
            </w:pPr>
            <w:r>
              <w:rPr>
                <w:rFonts w:ascii="Arial" w:cs="Arial" w:eastAsia="Arial" w:hAnsi="Arial"/>
                <w:sz w:val="18"/>
                <w:szCs w:val="18"/>
                <w:color w:val="auto"/>
              </w:rPr>
              <w:t>NiSource Inc.</w:t>
            </w:r>
          </w:p>
        </w:tc>
        <w:tc>
          <w:tcPr>
            <w:tcW w:w="4020" w:type="dxa"/>
            <w:vAlign w:val="bottom"/>
            <w:shd w:val="clear" w:color="auto" w:fill="F4F4F4"/>
          </w:tcPr>
          <w:p>
            <w:pPr>
              <w:ind w:left="660"/>
              <w:spacing w:after="0" w:line="202" w:lineRule="exact"/>
              <w:rPr>
                <w:sz w:val="20"/>
                <w:szCs w:val="20"/>
                <w:color w:val="auto"/>
              </w:rPr>
            </w:pPr>
            <w:r>
              <w:rPr>
                <w:rFonts w:ascii="Arial" w:cs="Arial" w:eastAsia="Arial" w:hAnsi="Arial"/>
                <w:sz w:val="18"/>
                <w:szCs w:val="18"/>
                <w:color w:val="auto"/>
              </w:rPr>
              <w:t>Xcel Energy, Inc.</w:t>
            </w:r>
          </w:p>
        </w:tc>
      </w:tr>
      <w:tr>
        <w:trPr>
          <w:trHeight w:val="202"/>
        </w:trPr>
        <w:tc>
          <w:tcPr>
            <w:tcW w:w="3080" w:type="dxa"/>
            <w:vAlign w:val="bottom"/>
            <w:shd w:val="clear" w:color="auto" w:fill="F4F4F4"/>
          </w:tcPr>
          <w:p>
            <w:pPr>
              <w:ind w:left="100"/>
              <w:spacing w:after="0" w:line="202" w:lineRule="exact"/>
              <w:rPr>
                <w:sz w:val="20"/>
                <w:szCs w:val="20"/>
                <w:color w:val="auto"/>
              </w:rPr>
            </w:pPr>
            <w:r>
              <w:rPr>
                <w:rFonts w:ascii="Arial" w:cs="Arial" w:eastAsia="Arial" w:hAnsi="Arial"/>
                <w:sz w:val="18"/>
                <w:szCs w:val="18"/>
                <w:color w:val="auto"/>
              </w:rPr>
              <w:t>DTE Energy Company</w:t>
            </w:r>
          </w:p>
        </w:tc>
        <w:tc>
          <w:tcPr>
            <w:tcW w:w="4140" w:type="dxa"/>
            <w:vAlign w:val="bottom"/>
            <w:shd w:val="clear" w:color="auto" w:fill="F4F4F4"/>
          </w:tcPr>
          <w:p>
            <w:pPr>
              <w:ind w:left="880"/>
              <w:spacing w:after="0" w:line="202" w:lineRule="exact"/>
              <w:rPr>
                <w:sz w:val="20"/>
                <w:szCs w:val="20"/>
                <w:color w:val="auto"/>
              </w:rPr>
            </w:pPr>
            <w:r>
              <w:rPr>
                <w:rFonts w:ascii="Arial" w:cs="Arial" w:eastAsia="Arial" w:hAnsi="Arial"/>
                <w:sz w:val="18"/>
                <w:szCs w:val="18"/>
                <w:color w:val="auto"/>
              </w:rPr>
              <w:t>OGE Energy Corp.</w:t>
            </w:r>
          </w:p>
        </w:tc>
        <w:tc>
          <w:tcPr>
            <w:tcW w:w="4020" w:type="dxa"/>
            <w:vAlign w:val="bottom"/>
            <w:shd w:val="clear" w:color="auto" w:fill="F4F4F4"/>
          </w:tcPr>
          <w:p>
            <w:pPr>
              <w:spacing w:after="0"/>
              <w:rPr>
                <w:sz w:val="17"/>
                <w:szCs w:val="17"/>
                <w:color w:val="auto"/>
              </w:rPr>
            </w:pPr>
          </w:p>
        </w:tc>
      </w:tr>
      <w:tr>
        <w:trPr>
          <w:trHeight w:val="239"/>
        </w:trPr>
        <w:tc>
          <w:tcPr>
            <w:tcW w:w="3080" w:type="dxa"/>
            <w:vAlign w:val="bottom"/>
            <w:shd w:val="clear" w:color="auto" w:fill="F4F4F4"/>
          </w:tcPr>
          <w:p>
            <w:pPr>
              <w:ind w:left="100"/>
              <w:spacing w:after="0"/>
              <w:rPr>
                <w:sz w:val="20"/>
                <w:szCs w:val="20"/>
                <w:color w:val="auto"/>
              </w:rPr>
            </w:pPr>
            <w:r>
              <w:rPr>
                <w:rFonts w:ascii="Arial" w:cs="Arial" w:eastAsia="Arial" w:hAnsi="Arial"/>
                <w:sz w:val="18"/>
                <w:szCs w:val="18"/>
                <w:color w:val="auto"/>
              </w:rPr>
              <w:t>Edison International</w:t>
            </w:r>
          </w:p>
        </w:tc>
        <w:tc>
          <w:tcPr>
            <w:tcW w:w="4140" w:type="dxa"/>
            <w:vAlign w:val="bottom"/>
            <w:shd w:val="clear" w:color="auto" w:fill="F4F4F4"/>
          </w:tcPr>
          <w:p>
            <w:pPr>
              <w:ind w:left="880"/>
              <w:spacing w:after="0"/>
              <w:rPr>
                <w:sz w:val="20"/>
                <w:szCs w:val="20"/>
                <w:color w:val="auto"/>
              </w:rPr>
            </w:pPr>
            <w:r>
              <w:rPr>
                <w:rFonts w:ascii="Arial" w:cs="Arial" w:eastAsia="Arial" w:hAnsi="Arial"/>
                <w:sz w:val="18"/>
                <w:szCs w:val="18"/>
                <w:color w:val="auto"/>
              </w:rPr>
              <w:t>PPL Corporation</w:t>
            </w:r>
          </w:p>
        </w:tc>
        <w:tc>
          <w:tcPr>
            <w:tcW w:w="4020" w:type="dxa"/>
            <w:vAlign w:val="bottom"/>
            <w:shd w:val="clear" w:color="auto" w:fill="F4F4F4"/>
          </w:tcPr>
          <w:p>
            <w:pPr>
              <w:spacing w:after="0"/>
              <w:rPr>
                <w:sz w:val="20"/>
                <w:szCs w:val="20"/>
                <w:color w:val="auto"/>
              </w:rPr>
            </w:pPr>
          </w:p>
        </w:tc>
      </w:tr>
      <w:tr>
        <w:trPr>
          <w:trHeight w:val="64"/>
        </w:trPr>
        <w:tc>
          <w:tcPr>
            <w:tcW w:w="3080" w:type="dxa"/>
            <w:vAlign w:val="bottom"/>
            <w:shd w:val="clear" w:color="auto" w:fill="F4F4F4"/>
          </w:tcPr>
          <w:p>
            <w:pPr>
              <w:spacing w:after="0"/>
              <w:rPr>
                <w:sz w:val="5"/>
                <w:szCs w:val="5"/>
                <w:color w:val="auto"/>
              </w:rPr>
            </w:pPr>
          </w:p>
        </w:tc>
        <w:tc>
          <w:tcPr>
            <w:tcW w:w="4140" w:type="dxa"/>
            <w:vAlign w:val="bottom"/>
            <w:shd w:val="clear" w:color="auto" w:fill="F4F4F4"/>
          </w:tcPr>
          <w:p>
            <w:pPr>
              <w:spacing w:after="0"/>
              <w:rPr>
                <w:sz w:val="5"/>
                <w:szCs w:val="5"/>
                <w:color w:val="auto"/>
              </w:rPr>
            </w:pPr>
          </w:p>
        </w:tc>
        <w:tc>
          <w:tcPr>
            <w:tcW w:w="4020" w:type="dxa"/>
            <w:vAlign w:val="bottom"/>
            <w:shd w:val="clear" w:color="auto" w:fill="F4F4F4"/>
          </w:tcPr>
          <w:p>
            <w:pPr>
              <w:spacing w:after="0"/>
              <w:rPr>
                <w:sz w:val="5"/>
                <w:szCs w:val="5"/>
                <w:color w:val="auto"/>
              </w:rPr>
            </w:pPr>
          </w:p>
        </w:tc>
      </w:tr>
    </w:tbl>
    <w:p>
      <w:pPr>
        <w:spacing w:after="0" w:line="193" w:lineRule="exact"/>
        <w:rPr>
          <w:sz w:val="20"/>
          <w:szCs w:val="20"/>
          <w:color w:val="auto"/>
        </w:rPr>
      </w:pPr>
    </w:p>
    <w:p>
      <w:pPr>
        <w:sectPr>
          <w:pgSz w:w="11900" w:h="16838" w:orient="portrait"/>
          <w:cols w:equalWidth="0" w:num="1">
            <w:col w:w="11240"/>
          </w:cols>
          <w:pgMar w:left="320" w:top="125" w:right="339" w:bottom="1440" w:gutter="0" w:footer="0" w:header="0"/>
        </w:sectPr>
      </w:pPr>
    </w:p>
    <w:p>
      <w:pPr>
        <w:ind w:left="9380"/>
        <w:spacing w:after="0"/>
        <w:tabs>
          <w:tab w:leader="none" w:pos="1106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74" w:name="page75"/>
    <w:bookmarkEnd w:id="7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Risk Management and Assessment</w:t>
      </w:r>
    </w:p>
    <w:p>
      <w:pPr>
        <w:spacing w:after="0" w:line="195"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The Committee reviewed a compensation risk assessment conducted independently by the Consultant. The assessment focused on the design and application of the Company’s executive compensation programs and whether such programs encourage excessive risk taking by executive officers. In addition, management advised the Committee that management has reviewed the overall compensation programs for the Company’s employees and has concluded that the programs are balanced and do not encourage imprudent risk-taking. Management advised the Committee that non-executive employee compensation programs generally consist of the compensation components contained in the executive compensation programs. Based on the outcome of the Consultant assessment and the information from management, the Committee believes that the Company’s compensation programs (i) do not motivate our executive officers or our non-executive employees to take excessive risks, (ii) are well designed to encourage behaviors aligned with the long-term interests of stockholders, and (iii) are not reasonably likely to have a material adverse effect on the Company.</w:t>
      </w:r>
    </w:p>
    <w:p>
      <w:pPr>
        <w:spacing w:after="0" w:line="145"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Executive Compensation Components</w:t>
      </w:r>
    </w:p>
    <w:p>
      <w:pPr>
        <w:spacing w:after="0" w:line="222"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Base Salary</w:t>
      </w:r>
    </w:p>
    <w:p>
      <w:pPr>
        <w:spacing w:after="0" w:line="195" w:lineRule="exact"/>
        <w:rPr>
          <w:sz w:val="20"/>
          <w:szCs w:val="20"/>
          <w:color w:val="auto"/>
        </w:rPr>
      </w:pPr>
    </w:p>
    <w:p>
      <w:pPr>
        <w:ind w:right="180"/>
        <w:spacing w:after="0" w:line="242" w:lineRule="auto"/>
        <w:rPr>
          <w:sz w:val="20"/>
          <w:szCs w:val="20"/>
          <w:color w:val="auto"/>
        </w:rPr>
      </w:pPr>
      <w:r>
        <w:rPr>
          <w:rFonts w:ascii="Arial" w:cs="Arial" w:eastAsia="Arial" w:hAnsi="Arial"/>
          <w:sz w:val="18"/>
          <w:szCs w:val="18"/>
          <w:color w:val="auto"/>
        </w:rPr>
        <w:t>Base salaries are set at competitive levels to attract and retain qualified, experienced executives. Salary levels are based on experience, performance and responsibilities, and benchmarked to the Peer Group and market survey data to align with competitive levels. The Committee reviews competitive salary information and individual salaries for executive officers on an annual basis. In considering individual salaries, the Committee reviews the scope of job responsibilities, individual contributions, business performance, retention concerns, and current compensation compared to market practices. In setting base salaries, the Committee also considers that base salary is used as the basis for calculating annual incentive awards.</w:t>
      </w:r>
    </w:p>
    <w:p>
      <w:pPr>
        <w:spacing w:after="0" w:line="138" w:lineRule="exact"/>
        <w:rPr>
          <w:sz w:val="20"/>
          <w:szCs w:val="20"/>
          <w:color w:val="auto"/>
        </w:rPr>
      </w:pPr>
    </w:p>
    <w:p>
      <w:pPr>
        <w:spacing w:after="0"/>
        <w:rPr>
          <w:sz w:val="20"/>
          <w:szCs w:val="20"/>
          <w:color w:val="auto"/>
        </w:rPr>
      </w:pPr>
      <w:r>
        <w:rPr>
          <w:rFonts w:ascii="Arial" w:cs="Arial" w:eastAsia="Arial" w:hAnsi="Arial"/>
          <w:sz w:val="18"/>
          <w:szCs w:val="18"/>
          <w:color w:val="auto"/>
        </w:rPr>
        <w:t>In December 2020, the Committee, based on the considerations set forth above, set the base salaries for fiscal year 2021 at the following:</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76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780" w:type="dxa"/>
            <w:vAlign w:val="bottom"/>
            <w:gridSpan w:val="2"/>
          </w:tcPr>
          <w:p>
            <w:pPr>
              <w:ind w:left="500"/>
              <w:spacing w:after="0"/>
              <w:rPr>
                <w:sz w:val="20"/>
                <w:szCs w:val="20"/>
                <w:color w:val="auto"/>
              </w:rPr>
            </w:pPr>
            <w:r>
              <w:rPr>
                <w:rFonts w:ascii="Arial" w:cs="Arial" w:eastAsia="Arial" w:hAnsi="Arial"/>
                <w:sz w:val="14"/>
                <w:szCs w:val="14"/>
                <w:b w:val="1"/>
                <w:bCs w:val="1"/>
                <w:color w:val="355675"/>
              </w:rPr>
              <w:t>2020 Base Salary</w:t>
            </w:r>
          </w:p>
        </w:tc>
        <w:tc>
          <w:tcPr>
            <w:tcW w:w="1680" w:type="dxa"/>
            <w:vAlign w:val="bottom"/>
          </w:tcPr>
          <w:p>
            <w:pPr>
              <w:jc w:val="right"/>
              <w:spacing w:after="0"/>
              <w:rPr>
                <w:sz w:val="20"/>
                <w:szCs w:val="20"/>
                <w:color w:val="auto"/>
              </w:rPr>
            </w:pPr>
            <w:r>
              <w:rPr>
                <w:rFonts w:ascii="Arial" w:cs="Arial" w:eastAsia="Arial" w:hAnsi="Arial"/>
                <w:sz w:val="14"/>
                <w:szCs w:val="14"/>
                <w:b w:val="1"/>
                <w:bCs w:val="1"/>
                <w:color w:val="355675"/>
              </w:rPr>
              <w:t>2021 Base Salary</w:t>
            </w:r>
          </w:p>
        </w:tc>
      </w:tr>
      <w:tr>
        <w:trPr>
          <w:trHeight w:val="219"/>
        </w:trPr>
        <w:tc>
          <w:tcPr>
            <w:tcW w:w="76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Name</w:t>
            </w:r>
          </w:p>
        </w:tc>
        <w:tc>
          <w:tcPr>
            <w:tcW w:w="140" w:type="dxa"/>
            <w:vAlign w:val="bottom"/>
          </w:tcPr>
          <w:p>
            <w:pPr>
              <w:spacing w:after="0"/>
              <w:rPr>
                <w:sz w:val="19"/>
                <w:szCs w:val="19"/>
                <w:color w:val="auto"/>
              </w:rPr>
            </w:pPr>
          </w:p>
        </w:tc>
        <w:tc>
          <w:tcPr>
            <w:tcW w:w="16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c>
          <w:tcPr>
            <w:tcW w:w="100" w:type="dxa"/>
            <w:vAlign w:val="bottom"/>
          </w:tcPr>
          <w:p>
            <w:pPr>
              <w:spacing w:after="0"/>
              <w:rPr>
                <w:sz w:val="19"/>
                <w:szCs w:val="19"/>
                <w:color w:val="auto"/>
              </w:rPr>
            </w:pPr>
          </w:p>
        </w:tc>
        <w:tc>
          <w:tcPr>
            <w:tcW w:w="16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39"/>
        </w:trPr>
        <w:tc>
          <w:tcPr>
            <w:tcW w:w="76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Guldner</w:t>
            </w:r>
          </w:p>
        </w:tc>
        <w:tc>
          <w:tcPr>
            <w:tcW w:w="14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1,100,000</w:t>
            </w:r>
          </w:p>
        </w:tc>
        <w:tc>
          <w:tcPr>
            <w:tcW w:w="10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1,100,000</w:t>
            </w:r>
          </w:p>
        </w:tc>
      </w:tr>
      <w:tr>
        <w:trPr>
          <w:trHeight w:val="237"/>
        </w:trPr>
        <w:tc>
          <w:tcPr>
            <w:tcW w:w="76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Geisler</w:t>
            </w:r>
          </w:p>
        </w:tc>
        <w:tc>
          <w:tcPr>
            <w:tcW w:w="14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400,000</w:t>
            </w:r>
          </w:p>
        </w:tc>
        <w:tc>
          <w:tcPr>
            <w:tcW w:w="10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450,000</w:t>
            </w:r>
          </w:p>
        </w:tc>
      </w:tr>
      <w:tr>
        <w:trPr>
          <w:trHeight w:val="236"/>
        </w:trPr>
        <w:tc>
          <w:tcPr>
            <w:tcW w:w="76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Hatfield</w:t>
            </w:r>
          </w:p>
        </w:tc>
        <w:tc>
          <w:tcPr>
            <w:tcW w:w="14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700,000</w:t>
            </w:r>
          </w:p>
        </w:tc>
        <w:tc>
          <w:tcPr>
            <w:tcW w:w="10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700,000</w:t>
            </w:r>
          </w:p>
        </w:tc>
      </w:tr>
      <w:tr>
        <w:trPr>
          <w:trHeight w:val="237"/>
        </w:trPr>
        <w:tc>
          <w:tcPr>
            <w:tcW w:w="76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Ms. Lacal</w:t>
            </w:r>
          </w:p>
        </w:tc>
        <w:tc>
          <w:tcPr>
            <w:tcW w:w="14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580,000</w:t>
            </w:r>
          </w:p>
        </w:tc>
        <w:tc>
          <w:tcPr>
            <w:tcW w:w="100" w:type="dxa"/>
            <w:vAlign w:val="bottom"/>
          </w:tcPr>
          <w:p>
            <w:pPr>
              <w:spacing w:after="0"/>
              <w:rPr>
                <w:sz w:val="20"/>
                <w:szCs w:val="20"/>
                <w:color w:val="auto"/>
              </w:rPr>
            </w:pPr>
          </w:p>
        </w:tc>
        <w:tc>
          <w:tcPr>
            <w:tcW w:w="1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600,000</w:t>
            </w:r>
          </w:p>
        </w:tc>
      </w:tr>
      <w:tr>
        <w:trPr>
          <w:trHeight w:val="261"/>
        </w:trPr>
        <w:tc>
          <w:tcPr>
            <w:tcW w:w="7640" w:type="dxa"/>
            <w:vAlign w:val="bottom"/>
            <w:tcBorders>
              <w:bottom w:val="single" w:sz="8" w:color="355675"/>
            </w:tcBorders>
          </w:tcPr>
          <w:p>
            <w:pPr>
              <w:ind w:left="60"/>
              <w:spacing w:after="0"/>
              <w:rPr>
                <w:sz w:val="20"/>
                <w:szCs w:val="20"/>
                <w:color w:val="auto"/>
              </w:rPr>
            </w:pPr>
            <w:r>
              <w:rPr>
                <w:rFonts w:ascii="Arial" w:cs="Arial" w:eastAsia="Arial" w:hAnsi="Arial"/>
                <w:sz w:val="16"/>
                <w:szCs w:val="16"/>
                <w:b w:val="1"/>
                <w:bCs w:val="1"/>
                <w:color w:val="355675"/>
              </w:rPr>
              <w:t>Mr. Smith</w:t>
            </w:r>
          </w:p>
        </w:tc>
        <w:tc>
          <w:tcPr>
            <w:tcW w:w="140" w:type="dxa"/>
            <w:vAlign w:val="bottom"/>
          </w:tcPr>
          <w:p>
            <w:pPr>
              <w:spacing w:after="0"/>
              <w:rPr>
                <w:sz w:val="22"/>
                <w:szCs w:val="22"/>
                <w:color w:val="auto"/>
              </w:rPr>
            </w:pPr>
          </w:p>
        </w:tc>
        <w:tc>
          <w:tcPr>
            <w:tcW w:w="168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610,000</w:t>
            </w:r>
          </w:p>
        </w:tc>
        <w:tc>
          <w:tcPr>
            <w:tcW w:w="100" w:type="dxa"/>
            <w:vAlign w:val="bottom"/>
          </w:tcPr>
          <w:p>
            <w:pPr>
              <w:spacing w:after="0"/>
              <w:rPr>
                <w:sz w:val="22"/>
                <w:szCs w:val="22"/>
                <w:color w:val="auto"/>
              </w:rPr>
            </w:pPr>
          </w:p>
        </w:tc>
        <w:tc>
          <w:tcPr>
            <w:tcW w:w="168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610,000</w:t>
            </w:r>
          </w:p>
        </w:tc>
      </w:tr>
    </w:tbl>
    <w:p>
      <w:pPr>
        <w:spacing w:after="0" w:line="141"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Annual Cash Incentives</w:t>
      </w:r>
    </w:p>
    <w:p>
      <w:pPr>
        <w:spacing w:after="0" w:line="195" w:lineRule="exact"/>
        <w:rPr>
          <w:sz w:val="20"/>
          <w:szCs w:val="20"/>
          <w:color w:val="auto"/>
        </w:rPr>
      </w:pPr>
    </w:p>
    <w:p>
      <w:pPr>
        <w:ind w:right="220"/>
        <w:spacing w:after="0" w:line="253" w:lineRule="auto"/>
        <w:rPr>
          <w:sz w:val="20"/>
          <w:szCs w:val="20"/>
          <w:color w:val="auto"/>
        </w:rPr>
      </w:pPr>
      <w:r>
        <w:rPr>
          <w:rFonts w:ascii="Arial" w:cs="Arial" w:eastAsia="Arial" w:hAnsi="Arial"/>
          <w:sz w:val="18"/>
          <w:szCs w:val="18"/>
          <w:color w:val="auto"/>
        </w:rPr>
        <w:t>Our annual cash incentives are strongly performance-based and designed to both reward achievement of pre-determined annual performance objectives that are critical to our business operations and to attract and retain qualified, experienced executives. Performance for NEOs is measured based on relevant and objective earnings and business unit metrics.</w:t>
      </w:r>
    </w:p>
    <w:p>
      <w:pPr>
        <w:spacing w:after="0" w:line="142" w:lineRule="exact"/>
        <w:rPr>
          <w:sz w:val="20"/>
          <w:szCs w:val="20"/>
          <w:color w:val="auto"/>
        </w:rPr>
      </w:pPr>
    </w:p>
    <w:p>
      <w:pPr>
        <w:ind w:left="260" w:right="120" w:hanging="252"/>
        <w:spacing w:after="0" w:line="247" w:lineRule="auto"/>
        <w:tabs>
          <w:tab w:leader="none" w:pos="260" w:val="left"/>
        </w:tabs>
        <w:numPr>
          <w:ilvl w:val="0"/>
          <w:numId w:val="66"/>
        </w:numPr>
        <w:rPr>
          <w:rFonts w:ascii="Arial" w:cs="Arial" w:eastAsia="Arial" w:hAnsi="Arial"/>
          <w:sz w:val="18"/>
          <w:szCs w:val="18"/>
          <w:color w:val="355675"/>
        </w:rPr>
      </w:pPr>
      <w:r>
        <w:rPr>
          <w:rFonts w:ascii="Arial" w:cs="Arial" w:eastAsia="Arial" w:hAnsi="Arial"/>
          <w:sz w:val="18"/>
          <w:szCs w:val="18"/>
          <w:b w:val="1"/>
          <w:bCs w:val="1"/>
          <w:color w:val="auto"/>
        </w:rPr>
        <w:t xml:space="preserve">CEO. </w:t>
      </w:r>
      <w:r>
        <w:rPr>
          <w:rFonts w:ascii="Arial" w:cs="Arial" w:eastAsia="Arial" w:hAnsi="Arial"/>
          <w:sz w:val="18"/>
          <w:szCs w:val="18"/>
          <w:color w:val="auto"/>
        </w:rPr>
        <w:t>Mr. Guldner participates in the APS Incentive Plan, but the award opportunities are based 50% on the achievement of 2021</w:t>
      </w:r>
      <w:r>
        <w:rPr>
          <w:rFonts w:ascii="Arial" w:cs="Arial" w:eastAsia="Arial" w:hAnsi="Arial"/>
          <w:sz w:val="18"/>
          <w:szCs w:val="18"/>
          <w:b w:val="1"/>
          <w:bCs w:val="1"/>
          <w:color w:val="auto"/>
        </w:rPr>
        <w:t xml:space="preserve"> </w:t>
      </w:r>
      <w:r>
        <w:rPr>
          <w:rFonts w:ascii="Arial" w:cs="Arial" w:eastAsia="Arial" w:hAnsi="Arial"/>
          <w:sz w:val="18"/>
          <w:szCs w:val="18"/>
          <w:color w:val="auto"/>
        </w:rPr>
        <w:t>Pinnacle West earnings levels and 50% on the achievement of performance goals established for business units of APS in the functional areas of customer experience, transmission and distribution, generation (non-nuclear), corporate resources and the Palo Verde Generating Station.</w:t>
      </w:r>
    </w:p>
    <w:p>
      <w:pPr>
        <w:spacing w:after="0" w:line="133" w:lineRule="exact"/>
        <w:rPr>
          <w:rFonts w:ascii="Arial" w:cs="Arial" w:eastAsia="Arial" w:hAnsi="Arial"/>
          <w:sz w:val="18"/>
          <w:szCs w:val="18"/>
          <w:color w:val="355675"/>
        </w:rPr>
      </w:pPr>
    </w:p>
    <w:p>
      <w:pPr>
        <w:ind w:left="260" w:right="440" w:hanging="252"/>
        <w:spacing w:after="0" w:line="271" w:lineRule="auto"/>
        <w:tabs>
          <w:tab w:leader="none" w:pos="260" w:val="left"/>
        </w:tabs>
        <w:numPr>
          <w:ilvl w:val="0"/>
          <w:numId w:val="66"/>
        </w:numPr>
        <w:rPr>
          <w:rFonts w:ascii="Arial" w:cs="Arial" w:eastAsia="Arial" w:hAnsi="Arial"/>
          <w:sz w:val="18"/>
          <w:szCs w:val="18"/>
          <w:color w:val="355675"/>
        </w:rPr>
      </w:pPr>
      <w:r>
        <w:rPr>
          <w:rFonts w:ascii="Arial" w:cs="Arial" w:eastAsia="Arial" w:hAnsi="Arial"/>
          <w:sz w:val="18"/>
          <w:szCs w:val="18"/>
          <w:b w:val="1"/>
          <w:bCs w:val="1"/>
          <w:color w:val="auto"/>
        </w:rPr>
        <w:t xml:space="preserve">Other NEOs. </w:t>
      </w:r>
      <w:r>
        <w:rPr>
          <w:rFonts w:ascii="Arial" w:cs="Arial" w:eastAsia="Arial" w:hAnsi="Arial"/>
          <w:sz w:val="18"/>
          <w:szCs w:val="18"/>
          <w:color w:val="auto"/>
        </w:rPr>
        <w:t>Messrs. Geisler, Hatfield, and Smith participated in the APS Incentive Plan and Ms. Lacal participated in the APS 2021</w:t>
      </w:r>
      <w:r>
        <w:rPr>
          <w:rFonts w:ascii="Arial" w:cs="Arial" w:eastAsia="Arial" w:hAnsi="Arial"/>
          <w:sz w:val="18"/>
          <w:szCs w:val="18"/>
          <w:b w:val="1"/>
          <w:bCs w:val="1"/>
          <w:color w:val="auto"/>
        </w:rPr>
        <w:t xml:space="preserve"> </w:t>
      </w:r>
      <w:r>
        <w:rPr>
          <w:rFonts w:ascii="Arial" w:cs="Arial" w:eastAsia="Arial" w:hAnsi="Arial"/>
          <w:sz w:val="18"/>
          <w:szCs w:val="18"/>
          <w:color w:val="auto"/>
        </w:rPr>
        <w:t>Annual Incentive Award Plan for Palo Verde Employees (the “Palo Verde Incentive Plan”).</w:t>
      </w:r>
    </w:p>
    <w:p>
      <w:pPr>
        <w:spacing w:after="0" w:line="113" w:lineRule="exact"/>
        <w:rPr>
          <w:sz w:val="20"/>
          <w:szCs w:val="20"/>
          <w:color w:val="auto"/>
        </w:rPr>
      </w:pPr>
    </w:p>
    <w:p>
      <w:pPr>
        <w:jc w:val="both"/>
        <w:ind w:right="80"/>
        <w:spacing w:after="0" w:line="253" w:lineRule="auto"/>
        <w:rPr>
          <w:sz w:val="20"/>
          <w:szCs w:val="20"/>
          <w:color w:val="auto"/>
        </w:rPr>
      </w:pPr>
      <w:r>
        <w:rPr>
          <w:rFonts w:ascii="Arial" w:cs="Arial" w:eastAsia="Arial" w:hAnsi="Arial"/>
          <w:sz w:val="18"/>
          <w:szCs w:val="18"/>
          <w:color w:val="auto"/>
        </w:rPr>
        <w:t>The APS Incentive Plan and the Palo Verde Incentive Plan are collectively referred to as the “2021 Incentive Plans”. In December 2020, the Committee approved the CEO portion of the APS Annual Incentive Plan and the Board, on the recommendation of the Committee, approved the 2021 Incentive Plans for all other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93345</wp:posOffset>
            </wp:positionV>
            <wp:extent cx="1191260" cy="23114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21"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75" w:name="page76"/>
    <w:bookmarkEnd w:id="7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Annual Incentive Plan Component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24130</wp:posOffset>
            </wp:positionV>
            <wp:extent cx="6429375" cy="368617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6429375" cy="3686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760" w:hanging="199"/>
        <w:spacing w:after="0"/>
        <w:tabs>
          <w:tab w:leader="none" w:pos="760" w:val="left"/>
        </w:tabs>
        <w:numPr>
          <w:ilvl w:val="0"/>
          <w:numId w:val="67"/>
        </w:numPr>
        <w:rPr>
          <w:rFonts w:ascii="Arial" w:cs="Arial" w:eastAsia="Arial" w:hAnsi="Arial"/>
          <w:sz w:val="24"/>
          <w:szCs w:val="24"/>
          <w:color w:val="auto"/>
          <w:vertAlign w:val="superscript"/>
        </w:rPr>
      </w:pPr>
      <w:r>
        <w:rPr>
          <w:rFonts w:ascii="Arial" w:cs="Arial" w:eastAsia="Arial" w:hAnsi="Arial"/>
          <w:sz w:val="14"/>
          <w:szCs w:val="14"/>
          <w:color w:val="auto"/>
        </w:rPr>
        <w:t>Weightings are shown as a percentage of total incentive opportunity.</w:t>
      </w:r>
    </w:p>
    <w:p>
      <w:pPr>
        <w:spacing w:after="0" w:line="192" w:lineRule="exact"/>
        <w:rPr>
          <w:sz w:val="20"/>
          <w:szCs w:val="20"/>
          <w:color w:val="auto"/>
        </w:rPr>
      </w:pPr>
    </w:p>
    <w:p>
      <w:pPr>
        <w:jc w:val="both"/>
        <w:ind w:right="120"/>
        <w:spacing w:after="0" w:line="253" w:lineRule="auto"/>
        <w:rPr>
          <w:sz w:val="20"/>
          <w:szCs w:val="20"/>
          <w:color w:val="auto"/>
        </w:rPr>
      </w:pPr>
      <w:r>
        <w:rPr>
          <w:rFonts w:ascii="Arial" w:cs="Arial" w:eastAsia="Arial" w:hAnsi="Arial"/>
          <w:sz w:val="18"/>
          <w:szCs w:val="18"/>
          <w:color w:val="auto"/>
        </w:rPr>
        <w:t>Individual awards under our annual cash incentive plans are based on the achievement of relevant and objective earnings and business unit goals, which tie payouts directly to core measures of business performance and key operational business unit results and ultimately serve to enhance shareholder value.</w:t>
      </w:r>
    </w:p>
    <w:p>
      <w:pPr>
        <w:spacing w:after="0" w:line="154"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Incentive Plan Opportunities</w:t>
      </w: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9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Threshold</w:t>
            </w:r>
          </w:p>
        </w:tc>
        <w:tc>
          <w:tcPr>
            <w:tcW w:w="14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Target</w:t>
            </w:r>
          </w:p>
        </w:tc>
        <w:tc>
          <w:tcPr>
            <w:tcW w:w="14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Maximum</w:t>
            </w:r>
          </w:p>
        </w:tc>
        <w:tc>
          <w:tcPr>
            <w:tcW w:w="14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2021 Actual</w:t>
            </w:r>
          </w:p>
        </w:tc>
        <w:tc>
          <w:tcPr>
            <w:tcW w:w="1340" w:type="dxa"/>
            <w:vAlign w:val="bottom"/>
          </w:tcPr>
          <w:p>
            <w:pPr>
              <w:jc w:val="right"/>
              <w:spacing w:after="0"/>
              <w:rPr>
                <w:sz w:val="20"/>
                <w:szCs w:val="20"/>
                <w:color w:val="auto"/>
              </w:rPr>
            </w:pPr>
            <w:r>
              <w:rPr>
                <w:rFonts w:ascii="Arial" w:cs="Arial" w:eastAsia="Arial" w:hAnsi="Arial"/>
                <w:sz w:val="14"/>
                <w:szCs w:val="14"/>
                <w:b w:val="1"/>
                <w:bCs w:val="1"/>
                <w:color w:val="355675"/>
              </w:rPr>
              <w:t>2021 Actual</w:t>
            </w:r>
          </w:p>
        </w:tc>
      </w:tr>
      <w:tr>
        <w:trPr>
          <w:trHeight w:val="192"/>
        </w:trPr>
        <w:tc>
          <w:tcPr>
            <w:tcW w:w="4080" w:type="dxa"/>
            <w:vAlign w:val="bottom"/>
            <w:gridSpan w:val="2"/>
          </w:tcPr>
          <w:p>
            <w:pPr>
              <w:ind w:left="60"/>
              <w:spacing w:after="0"/>
              <w:rPr>
                <w:sz w:val="20"/>
                <w:szCs w:val="20"/>
                <w:color w:val="auto"/>
              </w:rPr>
            </w:pPr>
            <w:r>
              <w:rPr>
                <w:rFonts w:ascii="Arial" w:cs="Arial" w:eastAsia="Arial" w:hAnsi="Arial"/>
                <w:sz w:val="14"/>
                <w:szCs w:val="14"/>
                <w:b w:val="1"/>
                <w:bCs w:val="1"/>
                <w:color w:val="355675"/>
              </w:rPr>
              <w:t>NEO</w:t>
            </w:r>
          </w:p>
        </w:tc>
        <w:tc>
          <w:tcPr>
            <w:tcW w:w="14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 of Salary)</w:t>
            </w:r>
          </w:p>
        </w:tc>
        <w:tc>
          <w:tcPr>
            <w:tcW w:w="14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 of Salary)</w:t>
            </w:r>
          </w:p>
        </w:tc>
        <w:tc>
          <w:tcPr>
            <w:tcW w:w="14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 of Salary)</w:t>
            </w:r>
          </w:p>
        </w:tc>
        <w:tc>
          <w:tcPr>
            <w:tcW w:w="14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 of Salary)</w:t>
            </w:r>
          </w:p>
        </w:tc>
        <w:tc>
          <w:tcPr>
            <w:tcW w:w="134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189"/>
        </w:trPr>
        <w:tc>
          <w:tcPr>
            <w:tcW w:w="394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Guldner</w:t>
            </w:r>
          </w:p>
        </w:tc>
        <w:tc>
          <w:tcPr>
            <w:tcW w:w="140" w:type="dxa"/>
            <w:vAlign w:val="bottom"/>
          </w:tcPr>
          <w:p>
            <w:pPr>
              <w:spacing w:after="0"/>
              <w:rPr>
                <w:sz w:val="16"/>
                <w:szCs w:val="16"/>
                <w:color w:val="auto"/>
              </w:rPr>
            </w:pPr>
          </w:p>
        </w:tc>
        <w:tc>
          <w:tcPr>
            <w:tcW w:w="134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27.50</w:t>
            </w:r>
          </w:p>
        </w:tc>
        <w:tc>
          <w:tcPr>
            <w:tcW w:w="120" w:type="dxa"/>
            <w:vAlign w:val="bottom"/>
          </w:tcPr>
          <w:p>
            <w:pPr>
              <w:spacing w:after="0"/>
              <w:rPr>
                <w:sz w:val="16"/>
                <w:szCs w:val="16"/>
                <w:color w:val="auto"/>
              </w:rPr>
            </w:pPr>
          </w:p>
        </w:tc>
        <w:tc>
          <w:tcPr>
            <w:tcW w:w="136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110</w:t>
            </w:r>
          </w:p>
        </w:tc>
        <w:tc>
          <w:tcPr>
            <w:tcW w:w="120" w:type="dxa"/>
            <w:vAlign w:val="bottom"/>
          </w:tcPr>
          <w:p>
            <w:pPr>
              <w:spacing w:after="0"/>
              <w:rPr>
                <w:sz w:val="16"/>
                <w:szCs w:val="16"/>
                <w:color w:val="auto"/>
              </w:rPr>
            </w:pPr>
          </w:p>
        </w:tc>
        <w:tc>
          <w:tcPr>
            <w:tcW w:w="134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220</w:t>
            </w:r>
          </w:p>
        </w:tc>
        <w:tc>
          <w:tcPr>
            <w:tcW w:w="100" w:type="dxa"/>
            <w:vAlign w:val="bottom"/>
          </w:tcPr>
          <w:p>
            <w:pPr>
              <w:spacing w:after="0"/>
              <w:rPr>
                <w:sz w:val="16"/>
                <w:szCs w:val="16"/>
                <w:color w:val="auto"/>
              </w:rPr>
            </w:pPr>
          </w:p>
        </w:tc>
        <w:tc>
          <w:tcPr>
            <w:tcW w:w="134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162.7</w:t>
            </w:r>
          </w:p>
        </w:tc>
        <w:tc>
          <w:tcPr>
            <w:tcW w:w="100" w:type="dxa"/>
            <w:vAlign w:val="bottom"/>
          </w:tcPr>
          <w:p>
            <w:pPr>
              <w:spacing w:after="0"/>
              <w:rPr>
                <w:sz w:val="16"/>
                <w:szCs w:val="16"/>
                <w:color w:val="auto"/>
              </w:rPr>
            </w:pPr>
          </w:p>
        </w:tc>
        <w:tc>
          <w:tcPr>
            <w:tcW w:w="134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1,790,074</w:t>
            </w:r>
          </w:p>
        </w:tc>
      </w:tr>
      <w:tr>
        <w:trPr>
          <w:trHeight w:val="183"/>
        </w:trPr>
        <w:tc>
          <w:tcPr>
            <w:tcW w:w="3940" w:type="dxa"/>
            <w:vAlign w:val="bottom"/>
            <w:tcBorders>
              <w:bottom w:val="single" w:sz="8" w:color="939598"/>
            </w:tcBorders>
          </w:tcPr>
          <w:p>
            <w:pPr>
              <w:ind w:left="60"/>
              <w:spacing w:after="0" w:line="183" w:lineRule="exact"/>
              <w:rPr>
                <w:sz w:val="20"/>
                <w:szCs w:val="20"/>
                <w:color w:val="auto"/>
              </w:rPr>
            </w:pPr>
            <w:r>
              <w:rPr>
                <w:rFonts w:ascii="Arial" w:cs="Arial" w:eastAsia="Arial" w:hAnsi="Arial"/>
                <w:sz w:val="16"/>
                <w:szCs w:val="16"/>
                <w:b w:val="1"/>
                <w:bCs w:val="1"/>
                <w:color w:val="355675"/>
              </w:rPr>
              <w:t>Mr. Geisler</w:t>
            </w:r>
          </w:p>
        </w:tc>
        <w:tc>
          <w:tcPr>
            <w:tcW w:w="14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17.50</w:t>
            </w:r>
          </w:p>
        </w:tc>
        <w:tc>
          <w:tcPr>
            <w:tcW w:w="120" w:type="dxa"/>
            <w:vAlign w:val="bottom"/>
          </w:tcPr>
          <w:p>
            <w:pPr>
              <w:spacing w:after="0"/>
              <w:rPr>
                <w:sz w:val="15"/>
                <w:szCs w:val="15"/>
                <w:color w:val="auto"/>
              </w:rPr>
            </w:pPr>
          </w:p>
        </w:tc>
        <w:tc>
          <w:tcPr>
            <w:tcW w:w="136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70</w:t>
            </w:r>
          </w:p>
        </w:tc>
        <w:tc>
          <w:tcPr>
            <w:tcW w:w="12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140</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99.5</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447,757</w:t>
            </w:r>
          </w:p>
        </w:tc>
      </w:tr>
      <w:tr>
        <w:trPr>
          <w:trHeight w:val="183"/>
        </w:trPr>
        <w:tc>
          <w:tcPr>
            <w:tcW w:w="3940" w:type="dxa"/>
            <w:vAlign w:val="bottom"/>
            <w:tcBorders>
              <w:bottom w:val="single" w:sz="8" w:color="939598"/>
            </w:tcBorders>
          </w:tcPr>
          <w:p>
            <w:pPr>
              <w:ind w:left="60"/>
              <w:spacing w:after="0" w:line="183" w:lineRule="exact"/>
              <w:rPr>
                <w:sz w:val="20"/>
                <w:szCs w:val="20"/>
                <w:color w:val="auto"/>
              </w:rPr>
            </w:pPr>
            <w:r>
              <w:rPr>
                <w:rFonts w:ascii="Arial" w:cs="Arial" w:eastAsia="Arial" w:hAnsi="Arial"/>
                <w:sz w:val="16"/>
                <w:szCs w:val="16"/>
                <w:b w:val="1"/>
                <w:bCs w:val="1"/>
                <w:color w:val="355675"/>
              </w:rPr>
              <w:t>Mr. Hatfield</w:t>
            </w:r>
          </w:p>
        </w:tc>
        <w:tc>
          <w:tcPr>
            <w:tcW w:w="14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18.75</w:t>
            </w:r>
          </w:p>
        </w:tc>
        <w:tc>
          <w:tcPr>
            <w:tcW w:w="120" w:type="dxa"/>
            <w:vAlign w:val="bottom"/>
          </w:tcPr>
          <w:p>
            <w:pPr>
              <w:spacing w:after="0"/>
              <w:rPr>
                <w:sz w:val="15"/>
                <w:szCs w:val="15"/>
                <w:color w:val="auto"/>
              </w:rPr>
            </w:pPr>
          </w:p>
        </w:tc>
        <w:tc>
          <w:tcPr>
            <w:tcW w:w="136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75</w:t>
            </w:r>
          </w:p>
        </w:tc>
        <w:tc>
          <w:tcPr>
            <w:tcW w:w="12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150</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106.0</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741,701</w:t>
            </w:r>
          </w:p>
        </w:tc>
      </w:tr>
      <w:tr>
        <w:trPr>
          <w:trHeight w:val="183"/>
        </w:trPr>
        <w:tc>
          <w:tcPr>
            <w:tcW w:w="3940" w:type="dxa"/>
            <w:vAlign w:val="bottom"/>
            <w:tcBorders>
              <w:bottom w:val="single" w:sz="8" w:color="939598"/>
            </w:tcBorders>
          </w:tcPr>
          <w:p>
            <w:pPr>
              <w:ind w:left="60"/>
              <w:spacing w:after="0" w:line="183" w:lineRule="exact"/>
              <w:rPr>
                <w:sz w:val="20"/>
                <w:szCs w:val="20"/>
                <w:color w:val="auto"/>
              </w:rPr>
            </w:pPr>
            <w:r>
              <w:rPr>
                <w:rFonts w:ascii="Arial" w:cs="Arial" w:eastAsia="Arial" w:hAnsi="Arial"/>
                <w:sz w:val="16"/>
                <w:szCs w:val="16"/>
                <w:b w:val="1"/>
                <w:bCs w:val="1"/>
                <w:color w:val="355675"/>
              </w:rPr>
              <w:t>Ms. Lacal</w:t>
            </w:r>
          </w:p>
        </w:tc>
        <w:tc>
          <w:tcPr>
            <w:tcW w:w="14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18.75</w:t>
            </w:r>
          </w:p>
        </w:tc>
        <w:tc>
          <w:tcPr>
            <w:tcW w:w="120" w:type="dxa"/>
            <w:vAlign w:val="bottom"/>
          </w:tcPr>
          <w:p>
            <w:pPr>
              <w:spacing w:after="0"/>
              <w:rPr>
                <w:sz w:val="15"/>
                <w:szCs w:val="15"/>
                <w:color w:val="auto"/>
              </w:rPr>
            </w:pPr>
          </w:p>
        </w:tc>
        <w:tc>
          <w:tcPr>
            <w:tcW w:w="136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75</w:t>
            </w:r>
          </w:p>
        </w:tc>
        <w:tc>
          <w:tcPr>
            <w:tcW w:w="12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150</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132.8</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796,545</w:t>
            </w:r>
          </w:p>
        </w:tc>
      </w:tr>
      <w:tr>
        <w:trPr>
          <w:trHeight w:val="223"/>
        </w:trPr>
        <w:tc>
          <w:tcPr>
            <w:tcW w:w="3940" w:type="dxa"/>
            <w:vAlign w:val="bottom"/>
          </w:tcPr>
          <w:p>
            <w:pPr>
              <w:ind w:left="60"/>
              <w:spacing w:after="0" w:line="223" w:lineRule="exact"/>
              <w:rPr>
                <w:sz w:val="20"/>
                <w:szCs w:val="20"/>
                <w:color w:val="auto"/>
              </w:rPr>
            </w:pPr>
            <w:r>
              <w:rPr>
                <w:rFonts w:ascii="Arial" w:cs="Arial" w:eastAsia="Arial" w:hAnsi="Arial"/>
                <w:sz w:val="16"/>
                <w:szCs w:val="16"/>
                <w:b w:val="1"/>
                <w:bCs w:val="1"/>
                <w:color w:val="355675"/>
              </w:rPr>
              <w:t>Mr. Smith</w:t>
            </w:r>
            <w:r>
              <w:rPr>
                <w:rFonts w:ascii="Arial" w:cs="Arial" w:eastAsia="Arial" w:hAnsi="Arial"/>
                <w:sz w:val="25"/>
                <w:szCs w:val="25"/>
                <w:b w:val="1"/>
                <w:bCs w:val="1"/>
                <w:color w:val="355675"/>
                <w:vertAlign w:val="superscript"/>
              </w:rPr>
              <w:t>(1)</w:t>
            </w:r>
          </w:p>
        </w:tc>
        <w:tc>
          <w:tcPr>
            <w:tcW w:w="140" w:type="dxa"/>
            <w:vAlign w:val="bottom"/>
          </w:tcPr>
          <w:p>
            <w:pPr>
              <w:spacing w:after="0"/>
              <w:rPr>
                <w:sz w:val="19"/>
                <w:szCs w:val="19"/>
                <w:color w:val="auto"/>
              </w:rPr>
            </w:pPr>
          </w:p>
        </w:tc>
        <w:tc>
          <w:tcPr>
            <w:tcW w:w="1460" w:type="dxa"/>
            <w:vAlign w:val="bottom"/>
            <w:gridSpan w:val="2"/>
          </w:tcPr>
          <w:p>
            <w:pPr>
              <w:jc w:val="right"/>
              <w:ind w:right="120"/>
              <w:spacing w:after="0"/>
              <w:rPr>
                <w:sz w:val="20"/>
                <w:szCs w:val="20"/>
                <w:color w:val="auto"/>
              </w:rPr>
            </w:pPr>
            <w:r>
              <w:rPr>
                <w:rFonts w:ascii="Arial" w:cs="Arial" w:eastAsia="Arial" w:hAnsi="Arial"/>
                <w:sz w:val="16"/>
                <w:szCs w:val="16"/>
                <w:color w:val="auto"/>
              </w:rPr>
              <w:t>18.75</w:t>
            </w:r>
          </w:p>
        </w:tc>
        <w:tc>
          <w:tcPr>
            <w:tcW w:w="1480" w:type="dxa"/>
            <w:vAlign w:val="bottom"/>
            <w:gridSpan w:val="2"/>
          </w:tcPr>
          <w:p>
            <w:pPr>
              <w:jc w:val="right"/>
              <w:ind w:right="120"/>
              <w:spacing w:after="0"/>
              <w:rPr>
                <w:sz w:val="20"/>
                <w:szCs w:val="20"/>
                <w:color w:val="auto"/>
              </w:rPr>
            </w:pPr>
            <w:r>
              <w:rPr>
                <w:rFonts w:ascii="Arial" w:cs="Arial" w:eastAsia="Arial" w:hAnsi="Arial"/>
                <w:sz w:val="16"/>
                <w:szCs w:val="16"/>
                <w:color w:val="auto"/>
              </w:rPr>
              <w:t>75</w:t>
            </w:r>
          </w:p>
        </w:tc>
        <w:tc>
          <w:tcPr>
            <w:tcW w:w="1440" w:type="dxa"/>
            <w:vAlign w:val="bottom"/>
            <w:gridSpan w:val="2"/>
          </w:tcPr>
          <w:p>
            <w:pPr>
              <w:jc w:val="right"/>
              <w:ind w:right="100"/>
              <w:spacing w:after="0"/>
              <w:rPr>
                <w:sz w:val="20"/>
                <w:szCs w:val="20"/>
                <w:color w:val="auto"/>
              </w:rPr>
            </w:pPr>
            <w:r>
              <w:rPr>
                <w:rFonts w:ascii="Arial" w:cs="Arial" w:eastAsia="Arial" w:hAnsi="Arial"/>
                <w:sz w:val="16"/>
                <w:szCs w:val="16"/>
                <w:color w:val="auto"/>
              </w:rPr>
              <w:t>150</w:t>
            </w:r>
          </w:p>
        </w:tc>
        <w:tc>
          <w:tcPr>
            <w:tcW w:w="1440" w:type="dxa"/>
            <w:vAlign w:val="bottom"/>
            <w:gridSpan w:val="2"/>
          </w:tcPr>
          <w:p>
            <w:pPr>
              <w:jc w:val="right"/>
              <w:ind w:right="100"/>
              <w:spacing w:after="0"/>
              <w:rPr>
                <w:sz w:val="20"/>
                <w:szCs w:val="20"/>
                <w:color w:val="auto"/>
              </w:rPr>
            </w:pPr>
            <w:r>
              <w:rPr>
                <w:rFonts w:ascii="Arial" w:cs="Arial" w:eastAsia="Arial" w:hAnsi="Arial"/>
                <w:sz w:val="16"/>
                <w:szCs w:val="16"/>
                <w:color w:val="auto"/>
              </w:rPr>
              <w:t>106.0</w:t>
            </w:r>
          </w:p>
        </w:tc>
        <w:tc>
          <w:tcPr>
            <w:tcW w:w="1340" w:type="dxa"/>
            <w:vAlign w:val="bottom"/>
          </w:tcPr>
          <w:p>
            <w:pPr>
              <w:jc w:val="right"/>
              <w:spacing w:after="0"/>
              <w:rPr>
                <w:sz w:val="20"/>
                <w:szCs w:val="20"/>
                <w:color w:val="auto"/>
              </w:rPr>
            </w:pPr>
            <w:r>
              <w:rPr>
                <w:rFonts w:ascii="Arial" w:cs="Arial" w:eastAsia="Arial" w:hAnsi="Arial"/>
                <w:sz w:val="16"/>
                <w:szCs w:val="16"/>
                <w:color w:val="auto"/>
              </w:rPr>
              <w:t>646,333</w:t>
            </w:r>
          </w:p>
        </w:tc>
      </w:tr>
      <w:tr>
        <w:trPr>
          <w:trHeight w:val="40"/>
        </w:trPr>
        <w:tc>
          <w:tcPr>
            <w:tcW w:w="3940" w:type="dxa"/>
            <w:vAlign w:val="bottom"/>
            <w:shd w:val="clear" w:color="auto" w:fill="355675"/>
          </w:tcPr>
          <w:p>
            <w:pPr>
              <w:spacing w:after="0"/>
              <w:rPr>
                <w:sz w:val="3"/>
                <w:szCs w:val="3"/>
                <w:color w:val="auto"/>
              </w:rPr>
            </w:pPr>
          </w:p>
        </w:tc>
        <w:tc>
          <w:tcPr>
            <w:tcW w:w="140" w:type="dxa"/>
            <w:vAlign w:val="bottom"/>
          </w:tcPr>
          <w:p>
            <w:pPr>
              <w:spacing w:after="0"/>
              <w:rPr>
                <w:sz w:val="3"/>
                <w:szCs w:val="3"/>
                <w:color w:val="auto"/>
              </w:rPr>
            </w:pPr>
          </w:p>
        </w:tc>
        <w:tc>
          <w:tcPr>
            <w:tcW w:w="1340" w:type="dxa"/>
            <w:vAlign w:val="bottom"/>
            <w:shd w:val="clear" w:color="auto" w:fill="355675"/>
          </w:tcPr>
          <w:p>
            <w:pPr>
              <w:spacing w:after="0"/>
              <w:rPr>
                <w:sz w:val="3"/>
                <w:szCs w:val="3"/>
                <w:color w:val="auto"/>
              </w:rPr>
            </w:pPr>
          </w:p>
        </w:tc>
        <w:tc>
          <w:tcPr>
            <w:tcW w:w="120" w:type="dxa"/>
            <w:vAlign w:val="bottom"/>
          </w:tcPr>
          <w:p>
            <w:pPr>
              <w:spacing w:after="0"/>
              <w:rPr>
                <w:sz w:val="3"/>
                <w:szCs w:val="3"/>
                <w:color w:val="auto"/>
              </w:rPr>
            </w:pPr>
          </w:p>
        </w:tc>
        <w:tc>
          <w:tcPr>
            <w:tcW w:w="1360" w:type="dxa"/>
            <w:vAlign w:val="bottom"/>
            <w:shd w:val="clear" w:color="auto" w:fill="355675"/>
          </w:tcPr>
          <w:p>
            <w:pPr>
              <w:spacing w:after="0"/>
              <w:rPr>
                <w:sz w:val="3"/>
                <w:szCs w:val="3"/>
                <w:color w:val="auto"/>
              </w:rPr>
            </w:pPr>
          </w:p>
        </w:tc>
        <w:tc>
          <w:tcPr>
            <w:tcW w:w="120" w:type="dxa"/>
            <w:vAlign w:val="bottom"/>
          </w:tcPr>
          <w:p>
            <w:pPr>
              <w:spacing w:after="0"/>
              <w:rPr>
                <w:sz w:val="3"/>
                <w:szCs w:val="3"/>
                <w:color w:val="auto"/>
              </w:rPr>
            </w:pPr>
          </w:p>
        </w:tc>
        <w:tc>
          <w:tcPr>
            <w:tcW w:w="1340" w:type="dxa"/>
            <w:vAlign w:val="bottom"/>
            <w:shd w:val="clear" w:color="auto" w:fill="355675"/>
          </w:tcPr>
          <w:p>
            <w:pPr>
              <w:spacing w:after="0"/>
              <w:rPr>
                <w:sz w:val="3"/>
                <w:szCs w:val="3"/>
                <w:color w:val="auto"/>
              </w:rPr>
            </w:pPr>
          </w:p>
        </w:tc>
        <w:tc>
          <w:tcPr>
            <w:tcW w:w="100" w:type="dxa"/>
            <w:vAlign w:val="bottom"/>
          </w:tcPr>
          <w:p>
            <w:pPr>
              <w:spacing w:after="0"/>
              <w:rPr>
                <w:sz w:val="3"/>
                <w:szCs w:val="3"/>
                <w:color w:val="auto"/>
              </w:rPr>
            </w:pPr>
          </w:p>
        </w:tc>
        <w:tc>
          <w:tcPr>
            <w:tcW w:w="1340" w:type="dxa"/>
            <w:vAlign w:val="bottom"/>
            <w:shd w:val="clear" w:color="auto" w:fill="355675"/>
          </w:tcPr>
          <w:p>
            <w:pPr>
              <w:spacing w:after="0"/>
              <w:rPr>
                <w:sz w:val="3"/>
                <w:szCs w:val="3"/>
                <w:color w:val="auto"/>
              </w:rPr>
            </w:pPr>
          </w:p>
        </w:tc>
        <w:tc>
          <w:tcPr>
            <w:tcW w:w="100" w:type="dxa"/>
            <w:vAlign w:val="bottom"/>
          </w:tcPr>
          <w:p>
            <w:pPr>
              <w:spacing w:after="0"/>
              <w:rPr>
                <w:sz w:val="3"/>
                <w:szCs w:val="3"/>
                <w:color w:val="auto"/>
              </w:rPr>
            </w:pPr>
          </w:p>
        </w:tc>
        <w:tc>
          <w:tcPr>
            <w:tcW w:w="1340" w:type="dxa"/>
            <w:vAlign w:val="bottom"/>
            <w:shd w:val="clear" w:color="auto" w:fill="355675"/>
          </w:tcPr>
          <w:p>
            <w:pPr>
              <w:spacing w:after="0"/>
              <w:rPr>
                <w:sz w:val="3"/>
                <w:szCs w:val="3"/>
                <w:color w:val="auto"/>
              </w:rPr>
            </w:pPr>
          </w:p>
        </w:tc>
      </w:tr>
    </w:tbl>
    <w:p>
      <w:pPr>
        <w:spacing w:after="0" w:line="193" w:lineRule="exact"/>
        <w:rPr>
          <w:sz w:val="20"/>
          <w:szCs w:val="20"/>
          <w:color w:val="auto"/>
        </w:rPr>
      </w:pPr>
    </w:p>
    <w:p>
      <w:pPr>
        <w:ind w:left="240" w:right="40" w:hanging="232"/>
        <w:spacing w:after="0" w:line="193" w:lineRule="auto"/>
        <w:tabs>
          <w:tab w:leader="none" w:pos="240" w:val="left"/>
        </w:tabs>
        <w:numPr>
          <w:ilvl w:val="0"/>
          <w:numId w:val="68"/>
        </w:numPr>
        <w:rPr>
          <w:rFonts w:ascii="Arial" w:cs="Arial" w:eastAsia="Arial" w:hAnsi="Arial"/>
          <w:sz w:val="24"/>
          <w:szCs w:val="24"/>
          <w:color w:val="auto"/>
          <w:vertAlign w:val="superscript"/>
        </w:rPr>
      </w:pPr>
      <w:r>
        <w:rPr>
          <w:rFonts w:ascii="Arial" w:cs="Arial" w:eastAsia="Arial" w:hAnsi="Arial"/>
          <w:sz w:val="14"/>
          <w:szCs w:val="14"/>
          <w:color w:val="auto"/>
        </w:rPr>
        <w:t>As a result of his promotion to Executive Vice President, General Counsel and Chief Development Officer in June of 2021, Mr. Smith’s annual incentive target as a percent of salary was increased from 65% to 75%.</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67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76" w:name="page77"/>
    <w:bookmarkEnd w:id="7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96" w:lineRule="exact"/>
        <w:rPr>
          <w:sz w:val="20"/>
          <w:szCs w:val="20"/>
          <w:color w:val="auto"/>
        </w:rPr>
      </w:pPr>
    </w:p>
    <w:p>
      <w:pPr>
        <w:spacing w:after="0"/>
        <w:rPr>
          <w:sz w:val="20"/>
          <w:szCs w:val="20"/>
          <w:color w:val="auto"/>
        </w:rPr>
      </w:pPr>
      <w:r>
        <w:rPr>
          <w:rFonts w:ascii="Arial" w:cs="Arial" w:eastAsia="Arial" w:hAnsi="Arial"/>
          <w:sz w:val="29"/>
          <w:szCs w:val="29"/>
          <w:b w:val="1"/>
          <w:bCs w:val="1"/>
          <w:color w:val="355675"/>
        </w:rPr>
        <w:t>2021 APS Incentive Plan Results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color w:val="auto"/>
        </w:rPr>
        <w:t>The metrics, weightings, and results for Messrs. Guldner, Geisler, Hatfield, and Smith under the APS Incentive Plan, and Ms. Lacal under the</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Palo Verde Incentive Plan, are outlined below:</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740" w:type="dxa"/>
            <w:vAlign w:val="bottom"/>
          </w:tcPr>
          <w:p>
            <w:pPr>
              <w:spacing w:after="0"/>
              <w:rPr>
                <w:sz w:val="18"/>
                <w:szCs w:val="18"/>
                <w:color w:val="auto"/>
              </w:rPr>
            </w:pPr>
          </w:p>
        </w:tc>
        <w:tc>
          <w:tcPr>
            <w:tcW w:w="1040" w:type="dxa"/>
            <w:vAlign w:val="bottom"/>
            <w:shd w:val="clear" w:color="auto" w:fill="355675"/>
          </w:tcPr>
          <w:p>
            <w:pPr>
              <w:spacing w:after="0"/>
              <w:rPr>
                <w:sz w:val="18"/>
                <w:szCs w:val="18"/>
                <w:color w:val="auto"/>
              </w:rPr>
            </w:pPr>
          </w:p>
        </w:tc>
        <w:tc>
          <w:tcPr>
            <w:tcW w:w="1000" w:type="dxa"/>
            <w:vAlign w:val="bottom"/>
            <w:shd w:val="clear" w:color="auto" w:fill="355675"/>
          </w:tcPr>
          <w:p>
            <w:pPr>
              <w:spacing w:after="0"/>
              <w:rPr>
                <w:sz w:val="18"/>
                <w:szCs w:val="18"/>
                <w:color w:val="auto"/>
              </w:rPr>
            </w:pPr>
          </w:p>
        </w:tc>
        <w:tc>
          <w:tcPr>
            <w:tcW w:w="3800" w:type="dxa"/>
            <w:vAlign w:val="bottom"/>
            <w:gridSpan w:val="3"/>
            <w:shd w:val="clear" w:color="auto" w:fill="355675"/>
          </w:tcPr>
          <w:p>
            <w:pPr>
              <w:jc w:val="right"/>
              <w:ind w:right="884"/>
              <w:spacing w:after="0"/>
              <w:rPr>
                <w:sz w:val="20"/>
                <w:szCs w:val="20"/>
                <w:color w:val="auto"/>
              </w:rPr>
            </w:pPr>
            <w:r>
              <w:rPr>
                <w:rFonts w:ascii="Arial" w:cs="Arial" w:eastAsia="Arial" w:hAnsi="Arial"/>
                <w:sz w:val="14"/>
                <w:szCs w:val="14"/>
                <w:b w:val="1"/>
                <w:bCs w:val="1"/>
                <w:color w:val="FFFFFF"/>
              </w:rPr>
              <w:t>50% Business Unit Performance</w:t>
            </w:r>
          </w:p>
        </w:tc>
        <w:tc>
          <w:tcPr>
            <w:tcW w:w="980" w:type="dxa"/>
            <w:vAlign w:val="bottom"/>
            <w:shd w:val="clear" w:color="auto" w:fill="355675"/>
          </w:tcPr>
          <w:p>
            <w:pPr>
              <w:spacing w:after="0"/>
              <w:rPr>
                <w:sz w:val="18"/>
                <w:szCs w:val="18"/>
                <w:color w:val="auto"/>
              </w:rPr>
            </w:pPr>
          </w:p>
        </w:tc>
        <w:tc>
          <w:tcPr>
            <w:tcW w:w="680" w:type="dxa"/>
            <w:vAlign w:val="bottom"/>
            <w:shd w:val="clear" w:color="auto" w:fill="355675"/>
          </w:tcPr>
          <w:p>
            <w:pPr>
              <w:spacing w:after="0"/>
              <w:rPr>
                <w:sz w:val="18"/>
                <w:szCs w:val="18"/>
                <w:color w:val="auto"/>
              </w:rPr>
            </w:pPr>
          </w:p>
        </w:tc>
      </w:tr>
      <w:tr>
        <w:trPr>
          <w:trHeight w:val="189"/>
        </w:trPr>
        <w:tc>
          <w:tcPr>
            <w:tcW w:w="3740" w:type="dxa"/>
            <w:vAlign w:val="bottom"/>
          </w:tcPr>
          <w:p>
            <w:pPr>
              <w:spacing w:after="0"/>
              <w:rPr>
                <w:sz w:val="16"/>
                <w:szCs w:val="16"/>
                <w:color w:val="auto"/>
              </w:rPr>
            </w:pPr>
          </w:p>
        </w:tc>
        <w:tc>
          <w:tcPr>
            <w:tcW w:w="1040" w:type="dxa"/>
            <w:vAlign w:val="bottom"/>
          </w:tcPr>
          <w:p>
            <w:pPr>
              <w:jc w:val="right"/>
              <w:ind w:right="82"/>
              <w:spacing w:after="0"/>
              <w:rPr>
                <w:sz w:val="20"/>
                <w:szCs w:val="20"/>
                <w:color w:val="auto"/>
              </w:rPr>
            </w:pPr>
            <w:r>
              <w:rPr>
                <w:rFonts w:ascii="Arial" w:cs="Arial" w:eastAsia="Arial" w:hAnsi="Arial"/>
                <w:sz w:val="14"/>
                <w:szCs w:val="14"/>
                <w:b w:val="1"/>
                <w:bCs w:val="1"/>
                <w:color w:val="355675"/>
              </w:rPr>
              <w:t>50%</w:t>
            </w:r>
          </w:p>
        </w:tc>
        <w:tc>
          <w:tcPr>
            <w:tcW w:w="1000" w:type="dxa"/>
            <w:vAlign w:val="bottom"/>
          </w:tcPr>
          <w:p>
            <w:pPr>
              <w:jc w:val="right"/>
              <w:ind w:right="21"/>
              <w:spacing w:after="0"/>
              <w:rPr>
                <w:sz w:val="20"/>
                <w:szCs w:val="20"/>
                <w:color w:val="auto"/>
              </w:rPr>
            </w:pPr>
            <w:r>
              <w:rPr>
                <w:rFonts w:ascii="Arial" w:cs="Arial" w:eastAsia="Arial" w:hAnsi="Arial"/>
                <w:sz w:val="14"/>
                <w:szCs w:val="14"/>
                <w:b w:val="1"/>
                <w:bCs w:val="1"/>
                <w:color w:val="355675"/>
              </w:rPr>
              <w:t>Corporate</w:t>
            </w:r>
          </w:p>
        </w:tc>
        <w:tc>
          <w:tcPr>
            <w:tcW w:w="1140" w:type="dxa"/>
            <w:vAlign w:val="bottom"/>
          </w:tcPr>
          <w:p>
            <w:pPr>
              <w:jc w:val="right"/>
              <w:ind w:right="185"/>
              <w:spacing w:after="0"/>
              <w:rPr>
                <w:sz w:val="20"/>
                <w:szCs w:val="20"/>
                <w:color w:val="auto"/>
              </w:rPr>
            </w:pPr>
            <w:r>
              <w:rPr>
                <w:rFonts w:ascii="Arial" w:cs="Arial" w:eastAsia="Arial" w:hAnsi="Arial"/>
                <w:sz w:val="14"/>
                <w:szCs w:val="14"/>
                <w:b w:val="1"/>
                <w:bCs w:val="1"/>
                <w:color w:val="355675"/>
              </w:rPr>
              <w:t>Customer</w:t>
            </w:r>
          </w:p>
        </w:tc>
        <w:tc>
          <w:tcPr>
            <w:tcW w:w="1280" w:type="dxa"/>
            <w:vAlign w:val="bottom"/>
          </w:tcPr>
          <w:p>
            <w:pPr>
              <w:jc w:val="right"/>
              <w:ind w:right="24"/>
              <w:spacing w:after="0"/>
              <w:rPr>
                <w:sz w:val="20"/>
                <w:szCs w:val="20"/>
                <w:color w:val="auto"/>
              </w:rPr>
            </w:pPr>
            <w:r>
              <w:rPr>
                <w:rFonts w:ascii="Arial" w:cs="Arial" w:eastAsia="Arial" w:hAnsi="Arial"/>
                <w:sz w:val="14"/>
                <w:szCs w:val="14"/>
                <w:b w:val="1"/>
                <w:bCs w:val="1"/>
                <w:color w:val="355675"/>
              </w:rPr>
              <w:t>Generation</w:t>
            </w:r>
          </w:p>
        </w:tc>
        <w:tc>
          <w:tcPr>
            <w:tcW w:w="1380" w:type="dxa"/>
            <w:vAlign w:val="bottom"/>
          </w:tcPr>
          <w:p>
            <w:pPr>
              <w:jc w:val="right"/>
              <w:ind w:right="224"/>
              <w:spacing w:after="0"/>
              <w:rPr>
                <w:sz w:val="20"/>
                <w:szCs w:val="20"/>
                <w:color w:val="auto"/>
              </w:rPr>
            </w:pPr>
            <w:r>
              <w:rPr>
                <w:rFonts w:ascii="Arial" w:cs="Arial" w:eastAsia="Arial" w:hAnsi="Arial"/>
                <w:sz w:val="14"/>
                <w:szCs w:val="14"/>
                <w:b w:val="1"/>
                <w:bCs w:val="1"/>
                <w:color w:val="355675"/>
              </w:rPr>
              <w:t>Transmission/</w:t>
            </w:r>
          </w:p>
        </w:tc>
        <w:tc>
          <w:tcPr>
            <w:tcW w:w="980" w:type="dxa"/>
            <w:vAlign w:val="bottom"/>
          </w:tcPr>
          <w:p>
            <w:pPr>
              <w:jc w:val="right"/>
              <w:ind w:right="223"/>
              <w:spacing w:after="0"/>
              <w:rPr>
                <w:sz w:val="20"/>
                <w:szCs w:val="20"/>
                <w:color w:val="auto"/>
              </w:rPr>
            </w:pPr>
            <w:r>
              <w:rPr>
                <w:rFonts w:ascii="Arial" w:cs="Arial" w:eastAsia="Arial" w:hAnsi="Arial"/>
                <w:sz w:val="14"/>
                <w:szCs w:val="14"/>
                <w:b w:val="1"/>
                <w:bCs w:val="1"/>
                <w:color w:val="355675"/>
              </w:rPr>
              <w:t>Palo</w:t>
            </w:r>
          </w:p>
        </w:tc>
        <w:tc>
          <w:tcPr>
            <w:tcW w:w="680" w:type="dxa"/>
            <w:vAlign w:val="bottom"/>
          </w:tcPr>
          <w:p>
            <w:pPr>
              <w:jc w:val="right"/>
              <w:spacing w:after="0"/>
              <w:rPr>
                <w:sz w:val="20"/>
                <w:szCs w:val="20"/>
                <w:color w:val="auto"/>
              </w:rPr>
            </w:pPr>
            <w:r>
              <w:rPr>
                <w:rFonts w:ascii="Arial" w:cs="Arial" w:eastAsia="Arial" w:hAnsi="Arial"/>
                <w:sz w:val="14"/>
                <w:szCs w:val="14"/>
                <w:b w:val="1"/>
                <w:bCs w:val="1"/>
                <w:color w:val="355675"/>
              </w:rPr>
              <w:t>2021</w:t>
            </w:r>
          </w:p>
        </w:tc>
      </w:tr>
      <w:tr>
        <w:trPr>
          <w:trHeight w:val="180"/>
        </w:trPr>
        <w:tc>
          <w:tcPr>
            <w:tcW w:w="3740" w:type="dxa"/>
            <w:vAlign w:val="bottom"/>
          </w:tcPr>
          <w:p>
            <w:pPr>
              <w:spacing w:after="0"/>
              <w:rPr>
                <w:sz w:val="15"/>
                <w:szCs w:val="15"/>
                <w:color w:val="auto"/>
              </w:rPr>
            </w:pPr>
          </w:p>
        </w:tc>
        <w:tc>
          <w:tcPr>
            <w:tcW w:w="1040" w:type="dxa"/>
            <w:vAlign w:val="bottom"/>
          </w:tcPr>
          <w:p>
            <w:pPr>
              <w:jc w:val="right"/>
              <w:ind w:right="82"/>
              <w:spacing w:after="0" w:line="180" w:lineRule="exact"/>
              <w:rPr>
                <w:sz w:val="20"/>
                <w:szCs w:val="20"/>
                <w:color w:val="auto"/>
              </w:rPr>
            </w:pPr>
            <w:r>
              <w:rPr>
                <w:rFonts w:ascii="Arial" w:cs="Arial" w:eastAsia="Arial" w:hAnsi="Arial"/>
                <w:sz w:val="13"/>
                <w:szCs w:val="13"/>
                <w:b w:val="1"/>
                <w:bCs w:val="1"/>
                <w:color w:val="355675"/>
              </w:rPr>
              <w:t>Earnings</w:t>
            </w:r>
            <w:r>
              <w:rPr>
                <w:rFonts w:ascii="Arial" w:cs="Arial" w:eastAsia="Arial" w:hAnsi="Arial"/>
                <w:sz w:val="20"/>
                <w:szCs w:val="20"/>
                <w:b w:val="1"/>
                <w:bCs w:val="1"/>
                <w:color w:val="355675"/>
                <w:vertAlign w:val="superscript"/>
              </w:rPr>
              <w:t>(1)</w:t>
            </w:r>
          </w:p>
        </w:tc>
        <w:tc>
          <w:tcPr>
            <w:tcW w:w="1000" w:type="dxa"/>
            <w:vAlign w:val="bottom"/>
          </w:tcPr>
          <w:p>
            <w:pPr>
              <w:jc w:val="right"/>
              <w:ind w:right="21"/>
              <w:spacing w:after="0"/>
              <w:rPr>
                <w:sz w:val="20"/>
                <w:szCs w:val="20"/>
                <w:color w:val="auto"/>
              </w:rPr>
            </w:pPr>
            <w:r>
              <w:rPr>
                <w:rFonts w:ascii="Arial" w:cs="Arial" w:eastAsia="Arial" w:hAnsi="Arial"/>
                <w:sz w:val="14"/>
                <w:szCs w:val="14"/>
                <w:b w:val="1"/>
                <w:bCs w:val="1"/>
                <w:color w:val="355675"/>
              </w:rPr>
              <w:t>Resources</w:t>
            </w:r>
          </w:p>
        </w:tc>
        <w:tc>
          <w:tcPr>
            <w:tcW w:w="1140" w:type="dxa"/>
            <w:vAlign w:val="bottom"/>
          </w:tcPr>
          <w:p>
            <w:pPr>
              <w:jc w:val="right"/>
              <w:ind w:right="185"/>
              <w:spacing w:after="0"/>
              <w:rPr>
                <w:sz w:val="20"/>
                <w:szCs w:val="20"/>
                <w:color w:val="auto"/>
              </w:rPr>
            </w:pPr>
            <w:r>
              <w:rPr>
                <w:rFonts w:ascii="Arial" w:cs="Arial" w:eastAsia="Arial" w:hAnsi="Arial"/>
                <w:sz w:val="14"/>
                <w:szCs w:val="14"/>
                <w:b w:val="1"/>
                <w:bCs w:val="1"/>
                <w:color w:val="355675"/>
              </w:rPr>
              <w:t>Experience</w:t>
            </w:r>
          </w:p>
        </w:tc>
        <w:tc>
          <w:tcPr>
            <w:tcW w:w="1280" w:type="dxa"/>
            <w:vAlign w:val="bottom"/>
          </w:tcPr>
          <w:p>
            <w:pPr>
              <w:jc w:val="right"/>
              <w:ind w:right="24"/>
              <w:spacing w:after="0"/>
              <w:rPr>
                <w:sz w:val="20"/>
                <w:szCs w:val="20"/>
                <w:color w:val="auto"/>
              </w:rPr>
            </w:pPr>
            <w:r>
              <w:rPr>
                <w:rFonts w:ascii="Arial" w:cs="Arial" w:eastAsia="Arial" w:hAnsi="Arial"/>
                <w:sz w:val="14"/>
                <w:szCs w:val="14"/>
                <w:b w:val="1"/>
                <w:bCs w:val="1"/>
                <w:color w:val="355675"/>
              </w:rPr>
              <w:t>(non-nuclear)</w:t>
            </w:r>
          </w:p>
        </w:tc>
        <w:tc>
          <w:tcPr>
            <w:tcW w:w="1380" w:type="dxa"/>
            <w:vAlign w:val="bottom"/>
          </w:tcPr>
          <w:p>
            <w:pPr>
              <w:jc w:val="right"/>
              <w:ind w:right="244"/>
              <w:spacing w:after="0"/>
              <w:rPr>
                <w:sz w:val="20"/>
                <w:szCs w:val="20"/>
                <w:color w:val="auto"/>
              </w:rPr>
            </w:pPr>
            <w:r>
              <w:rPr>
                <w:rFonts w:ascii="Arial" w:cs="Arial" w:eastAsia="Arial" w:hAnsi="Arial"/>
                <w:sz w:val="14"/>
                <w:szCs w:val="14"/>
                <w:b w:val="1"/>
                <w:bCs w:val="1"/>
                <w:color w:val="355675"/>
              </w:rPr>
              <w:t>Distribution</w:t>
            </w:r>
          </w:p>
        </w:tc>
        <w:tc>
          <w:tcPr>
            <w:tcW w:w="980" w:type="dxa"/>
            <w:vAlign w:val="bottom"/>
          </w:tcPr>
          <w:p>
            <w:pPr>
              <w:jc w:val="right"/>
              <w:ind w:right="223"/>
              <w:spacing w:after="0"/>
              <w:rPr>
                <w:sz w:val="20"/>
                <w:szCs w:val="20"/>
                <w:color w:val="auto"/>
              </w:rPr>
            </w:pPr>
            <w:r>
              <w:rPr>
                <w:rFonts w:ascii="Arial" w:cs="Arial" w:eastAsia="Arial" w:hAnsi="Arial"/>
                <w:sz w:val="14"/>
                <w:szCs w:val="14"/>
                <w:b w:val="1"/>
                <w:bCs w:val="1"/>
                <w:color w:val="355675"/>
              </w:rPr>
              <w:t>Verde</w:t>
            </w:r>
          </w:p>
        </w:tc>
        <w:tc>
          <w:tcPr>
            <w:tcW w:w="680" w:type="dxa"/>
            <w:vAlign w:val="bottom"/>
          </w:tcPr>
          <w:p>
            <w:pPr>
              <w:jc w:val="right"/>
              <w:spacing w:after="0"/>
              <w:rPr>
                <w:sz w:val="20"/>
                <w:szCs w:val="20"/>
                <w:color w:val="auto"/>
              </w:rPr>
            </w:pPr>
            <w:r>
              <w:rPr>
                <w:rFonts w:ascii="Arial" w:cs="Arial" w:eastAsia="Arial" w:hAnsi="Arial"/>
                <w:sz w:val="14"/>
                <w:szCs w:val="14"/>
                <w:b w:val="1"/>
                <w:bCs w:val="1"/>
                <w:color w:val="355675"/>
              </w:rPr>
              <w:t>Total</w:t>
            </w:r>
          </w:p>
        </w:tc>
      </w:tr>
      <w:tr>
        <w:trPr>
          <w:trHeight w:val="219"/>
        </w:trPr>
        <w:tc>
          <w:tcPr>
            <w:tcW w:w="37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NEO</w:t>
            </w:r>
          </w:p>
        </w:tc>
        <w:tc>
          <w:tcPr>
            <w:tcW w:w="1040" w:type="dxa"/>
            <w:vAlign w:val="bottom"/>
            <w:tcBorders>
              <w:bottom w:val="single" w:sz="8" w:color="355675"/>
            </w:tcBorders>
          </w:tcPr>
          <w:p>
            <w:pPr>
              <w:jc w:val="right"/>
              <w:ind w:right="82"/>
              <w:spacing w:after="0"/>
              <w:rPr>
                <w:sz w:val="20"/>
                <w:szCs w:val="20"/>
                <w:color w:val="auto"/>
              </w:rPr>
            </w:pPr>
            <w:r>
              <w:rPr>
                <w:rFonts w:ascii="Arial" w:cs="Arial" w:eastAsia="Arial" w:hAnsi="Arial"/>
                <w:sz w:val="14"/>
                <w:szCs w:val="14"/>
                <w:b w:val="1"/>
                <w:bCs w:val="1"/>
                <w:color w:val="355675"/>
              </w:rPr>
              <w:t>(%)</w:t>
            </w:r>
          </w:p>
        </w:tc>
        <w:tc>
          <w:tcPr>
            <w:tcW w:w="1000" w:type="dxa"/>
            <w:vAlign w:val="bottom"/>
            <w:tcBorders>
              <w:bottom w:val="single" w:sz="8" w:color="355675"/>
            </w:tcBorders>
          </w:tcPr>
          <w:p>
            <w:pPr>
              <w:jc w:val="right"/>
              <w:ind w:right="21"/>
              <w:spacing w:after="0"/>
              <w:rPr>
                <w:sz w:val="20"/>
                <w:szCs w:val="20"/>
                <w:color w:val="auto"/>
              </w:rPr>
            </w:pPr>
            <w:r>
              <w:rPr>
                <w:rFonts w:ascii="Arial" w:cs="Arial" w:eastAsia="Arial" w:hAnsi="Arial"/>
                <w:sz w:val="14"/>
                <w:szCs w:val="14"/>
                <w:b w:val="1"/>
                <w:bCs w:val="1"/>
                <w:color w:val="355675"/>
              </w:rPr>
              <w:t>(%)</w:t>
            </w:r>
          </w:p>
        </w:tc>
        <w:tc>
          <w:tcPr>
            <w:tcW w:w="1140" w:type="dxa"/>
            <w:vAlign w:val="bottom"/>
            <w:tcBorders>
              <w:bottom w:val="single" w:sz="8" w:color="355675"/>
            </w:tcBorders>
          </w:tcPr>
          <w:p>
            <w:pPr>
              <w:jc w:val="right"/>
              <w:ind w:right="185"/>
              <w:spacing w:after="0"/>
              <w:rPr>
                <w:sz w:val="20"/>
                <w:szCs w:val="20"/>
                <w:color w:val="auto"/>
              </w:rPr>
            </w:pPr>
            <w:r>
              <w:rPr>
                <w:rFonts w:ascii="Arial" w:cs="Arial" w:eastAsia="Arial" w:hAnsi="Arial"/>
                <w:sz w:val="14"/>
                <w:szCs w:val="14"/>
                <w:b w:val="1"/>
                <w:bCs w:val="1"/>
                <w:color w:val="355675"/>
              </w:rPr>
              <w:t>(%)</w:t>
            </w:r>
          </w:p>
        </w:tc>
        <w:tc>
          <w:tcPr>
            <w:tcW w:w="1280" w:type="dxa"/>
            <w:vAlign w:val="bottom"/>
            <w:tcBorders>
              <w:bottom w:val="single" w:sz="8" w:color="355675"/>
            </w:tcBorders>
          </w:tcPr>
          <w:p>
            <w:pPr>
              <w:jc w:val="right"/>
              <w:ind w:right="24"/>
              <w:spacing w:after="0"/>
              <w:rPr>
                <w:sz w:val="20"/>
                <w:szCs w:val="20"/>
                <w:color w:val="auto"/>
              </w:rPr>
            </w:pPr>
            <w:r>
              <w:rPr>
                <w:rFonts w:ascii="Arial" w:cs="Arial" w:eastAsia="Arial" w:hAnsi="Arial"/>
                <w:sz w:val="14"/>
                <w:szCs w:val="14"/>
                <w:b w:val="1"/>
                <w:bCs w:val="1"/>
                <w:color w:val="355675"/>
              </w:rPr>
              <w:t>(%)</w:t>
            </w:r>
          </w:p>
        </w:tc>
        <w:tc>
          <w:tcPr>
            <w:tcW w:w="1380" w:type="dxa"/>
            <w:vAlign w:val="bottom"/>
            <w:tcBorders>
              <w:bottom w:val="single" w:sz="8" w:color="355675"/>
            </w:tcBorders>
          </w:tcPr>
          <w:p>
            <w:pPr>
              <w:jc w:val="right"/>
              <w:ind w:right="244"/>
              <w:spacing w:after="0"/>
              <w:rPr>
                <w:sz w:val="20"/>
                <w:szCs w:val="20"/>
                <w:color w:val="auto"/>
              </w:rPr>
            </w:pPr>
            <w:r>
              <w:rPr>
                <w:rFonts w:ascii="Arial" w:cs="Arial" w:eastAsia="Arial" w:hAnsi="Arial"/>
                <w:sz w:val="14"/>
                <w:szCs w:val="14"/>
                <w:b w:val="1"/>
                <w:bCs w:val="1"/>
                <w:color w:val="355675"/>
              </w:rPr>
              <w:t>%</w:t>
            </w:r>
          </w:p>
        </w:tc>
        <w:tc>
          <w:tcPr>
            <w:tcW w:w="980" w:type="dxa"/>
            <w:vAlign w:val="bottom"/>
            <w:tcBorders>
              <w:bottom w:val="single" w:sz="8" w:color="355675"/>
            </w:tcBorders>
          </w:tcPr>
          <w:p>
            <w:pPr>
              <w:jc w:val="right"/>
              <w:ind w:right="223"/>
              <w:spacing w:after="0"/>
              <w:rPr>
                <w:sz w:val="20"/>
                <w:szCs w:val="20"/>
                <w:color w:val="auto"/>
              </w:rPr>
            </w:pPr>
            <w:r>
              <w:rPr>
                <w:rFonts w:ascii="Arial" w:cs="Arial" w:eastAsia="Arial" w:hAnsi="Arial"/>
                <w:sz w:val="14"/>
                <w:szCs w:val="14"/>
                <w:b w:val="1"/>
                <w:bCs w:val="1"/>
                <w:color w:val="355675"/>
              </w:rPr>
              <w:t>(%)</w:t>
            </w:r>
          </w:p>
        </w:tc>
        <w:tc>
          <w:tcPr>
            <w:tcW w:w="6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39"/>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Guldner</w:t>
            </w:r>
          </w:p>
        </w:tc>
        <w:tc>
          <w:tcPr>
            <w:tcW w:w="1040" w:type="dxa"/>
            <w:vAlign w:val="bottom"/>
            <w:tcBorders>
              <w:bottom w:val="single" w:sz="8" w:color="939598"/>
            </w:tcBorders>
          </w:tcPr>
          <w:p>
            <w:pPr>
              <w:jc w:val="right"/>
              <w:ind w:right="182"/>
              <w:spacing w:after="0"/>
              <w:rPr>
                <w:sz w:val="20"/>
                <w:szCs w:val="20"/>
                <w:color w:val="auto"/>
              </w:rPr>
            </w:pPr>
            <w:r>
              <w:rPr>
                <w:rFonts w:ascii="Arial" w:cs="Arial" w:eastAsia="Arial" w:hAnsi="Arial"/>
                <w:sz w:val="16"/>
                <w:szCs w:val="16"/>
                <w:b w:val="1"/>
                <w:bCs w:val="1"/>
                <w:color w:val="auto"/>
              </w:rPr>
              <w:t>200</w:t>
            </w:r>
          </w:p>
        </w:tc>
        <w:tc>
          <w:tcPr>
            <w:tcW w:w="1000" w:type="dxa"/>
            <w:vAlign w:val="bottom"/>
            <w:tcBorders>
              <w:bottom w:val="single" w:sz="8" w:color="939598"/>
            </w:tcBorders>
          </w:tcPr>
          <w:p>
            <w:pPr>
              <w:jc w:val="right"/>
              <w:ind w:right="41"/>
              <w:spacing w:after="0"/>
              <w:rPr>
                <w:sz w:val="20"/>
                <w:szCs w:val="20"/>
                <w:color w:val="auto"/>
              </w:rPr>
            </w:pPr>
            <w:r>
              <w:rPr>
                <w:rFonts w:ascii="Arial" w:cs="Arial" w:eastAsia="Arial" w:hAnsi="Arial"/>
                <w:sz w:val="16"/>
                <w:szCs w:val="16"/>
                <w:b w:val="1"/>
                <w:bCs w:val="1"/>
                <w:color w:val="auto"/>
              </w:rPr>
              <w:t>83</w:t>
            </w:r>
            <w:r>
              <w:rPr>
                <w:rFonts w:ascii="Arial" w:cs="Arial" w:eastAsia="Arial" w:hAnsi="Arial"/>
                <w:sz w:val="13"/>
                <w:szCs w:val="13"/>
                <w:color w:val="auto"/>
              </w:rPr>
              <w:t>(2)</w:t>
            </w:r>
          </w:p>
        </w:tc>
        <w:tc>
          <w:tcPr>
            <w:tcW w:w="1140" w:type="dxa"/>
            <w:vAlign w:val="bottom"/>
            <w:tcBorders>
              <w:bottom w:val="single" w:sz="8" w:color="939598"/>
            </w:tcBorders>
          </w:tcPr>
          <w:p>
            <w:pPr>
              <w:jc w:val="right"/>
              <w:ind w:right="285"/>
              <w:spacing w:after="0"/>
              <w:rPr>
                <w:sz w:val="20"/>
                <w:szCs w:val="20"/>
                <w:color w:val="auto"/>
              </w:rPr>
            </w:pPr>
            <w:r>
              <w:rPr>
                <w:rFonts w:ascii="Arial" w:cs="Arial" w:eastAsia="Arial" w:hAnsi="Arial"/>
                <w:sz w:val="16"/>
                <w:szCs w:val="16"/>
                <w:b w:val="1"/>
                <w:bCs w:val="1"/>
                <w:color w:val="auto"/>
              </w:rPr>
              <w:t>90</w:t>
            </w:r>
          </w:p>
        </w:tc>
        <w:tc>
          <w:tcPr>
            <w:tcW w:w="1280" w:type="dxa"/>
            <w:vAlign w:val="bottom"/>
            <w:tcBorders>
              <w:bottom w:val="single" w:sz="8" w:color="939598"/>
            </w:tcBorders>
          </w:tcPr>
          <w:p>
            <w:pPr>
              <w:jc w:val="right"/>
              <w:ind w:right="144"/>
              <w:spacing w:after="0"/>
              <w:rPr>
                <w:sz w:val="20"/>
                <w:szCs w:val="20"/>
                <w:color w:val="auto"/>
              </w:rPr>
            </w:pPr>
            <w:r>
              <w:rPr>
                <w:rFonts w:ascii="Arial" w:cs="Arial" w:eastAsia="Arial" w:hAnsi="Arial"/>
                <w:sz w:val="16"/>
                <w:szCs w:val="16"/>
                <w:b w:val="1"/>
                <w:bCs w:val="1"/>
                <w:color w:val="auto"/>
              </w:rPr>
              <w:t>102</w:t>
            </w:r>
          </w:p>
        </w:tc>
        <w:tc>
          <w:tcPr>
            <w:tcW w:w="1380" w:type="dxa"/>
            <w:vAlign w:val="bottom"/>
            <w:tcBorders>
              <w:bottom w:val="single" w:sz="8" w:color="939598"/>
            </w:tcBorders>
          </w:tcPr>
          <w:p>
            <w:pPr>
              <w:jc w:val="right"/>
              <w:ind w:right="364"/>
              <w:spacing w:after="0"/>
              <w:rPr>
                <w:sz w:val="20"/>
                <w:szCs w:val="20"/>
                <w:color w:val="auto"/>
              </w:rPr>
            </w:pPr>
            <w:r>
              <w:rPr>
                <w:rFonts w:ascii="Arial" w:cs="Arial" w:eastAsia="Arial" w:hAnsi="Arial"/>
                <w:sz w:val="16"/>
                <w:szCs w:val="16"/>
                <w:b w:val="1"/>
                <w:bCs w:val="1"/>
                <w:color w:val="auto"/>
              </w:rPr>
              <w:t>51</w:t>
            </w:r>
          </w:p>
        </w:tc>
        <w:tc>
          <w:tcPr>
            <w:tcW w:w="980" w:type="dxa"/>
            <w:vAlign w:val="bottom"/>
            <w:tcBorders>
              <w:bottom w:val="single" w:sz="8" w:color="939598"/>
            </w:tcBorders>
          </w:tcPr>
          <w:p>
            <w:pPr>
              <w:jc w:val="right"/>
              <w:ind w:right="343"/>
              <w:spacing w:after="0"/>
              <w:rPr>
                <w:sz w:val="20"/>
                <w:szCs w:val="20"/>
                <w:color w:val="auto"/>
              </w:rPr>
            </w:pPr>
            <w:r>
              <w:rPr>
                <w:rFonts w:ascii="Arial" w:cs="Arial" w:eastAsia="Arial" w:hAnsi="Arial"/>
                <w:sz w:val="16"/>
                <w:szCs w:val="16"/>
                <w:b w:val="1"/>
                <w:bCs w:val="1"/>
                <w:color w:val="auto"/>
              </w:rPr>
              <w:t>154</w:t>
            </w:r>
          </w:p>
        </w:tc>
        <w:tc>
          <w:tcPr>
            <w:tcW w:w="680" w:type="dxa"/>
            <w:vAlign w:val="bottom"/>
            <w:tcBorders>
              <w:bottom w:val="single" w:sz="8" w:color="939598"/>
            </w:tcBorders>
          </w:tcPr>
          <w:p>
            <w:pPr>
              <w:jc w:val="right"/>
              <w:ind w:right="21"/>
              <w:spacing w:after="0"/>
              <w:rPr>
                <w:sz w:val="20"/>
                <w:szCs w:val="20"/>
                <w:color w:val="auto"/>
              </w:rPr>
            </w:pPr>
            <w:r>
              <w:rPr>
                <w:rFonts w:ascii="Arial" w:cs="Arial" w:eastAsia="Arial" w:hAnsi="Arial"/>
                <w:sz w:val="16"/>
                <w:szCs w:val="16"/>
                <w:b w:val="1"/>
                <w:bCs w:val="1"/>
                <w:color w:val="auto"/>
              </w:rPr>
              <w:t>96</w:t>
            </w:r>
          </w:p>
        </w:tc>
      </w:tr>
      <w:tr>
        <w:trPr>
          <w:trHeight w:val="234"/>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i w:val="1"/>
                <w:iCs w:val="1"/>
                <w:color w:val="auto"/>
              </w:rPr>
              <w:t>Weighting</w:t>
            </w:r>
          </w:p>
        </w:tc>
        <w:tc>
          <w:tcPr>
            <w:tcW w:w="1040" w:type="dxa"/>
            <w:vAlign w:val="bottom"/>
            <w:tcBorders>
              <w:bottom w:val="single" w:sz="8" w:color="939598"/>
            </w:tcBorders>
          </w:tcPr>
          <w:p>
            <w:pPr>
              <w:jc w:val="right"/>
              <w:ind w:right="122"/>
              <w:spacing w:after="0"/>
              <w:rPr>
                <w:sz w:val="20"/>
                <w:szCs w:val="20"/>
                <w:color w:val="auto"/>
              </w:rPr>
            </w:pPr>
            <w:r>
              <w:rPr>
                <w:rFonts w:ascii="Arial" w:cs="Arial" w:eastAsia="Arial" w:hAnsi="Arial"/>
                <w:sz w:val="16"/>
                <w:szCs w:val="16"/>
                <w:i w:val="1"/>
                <w:iCs w:val="1"/>
                <w:color w:val="auto"/>
              </w:rPr>
              <w:t>(50)</w:t>
            </w:r>
          </w:p>
        </w:tc>
        <w:tc>
          <w:tcPr>
            <w:tcW w:w="1000" w:type="dxa"/>
            <w:vAlign w:val="bottom"/>
            <w:tcBorders>
              <w:bottom w:val="single" w:sz="8" w:color="939598"/>
            </w:tcBorders>
          </w:tcPr>
          <w:p>
            <w:pPr>
              <w:jc w:val="right"/>
              <w:ind w:right="141"/>
              <w:spacing w:after="0"/>
              <w:rPr>
                <w:sz w:val="20"/>
                <w:szCs w:val="20"/>
                <w:color w:val="auto"/>
              </w:rPr>
            </w:pPr>
            <w:r>
              <w:rPr>
                <w:rFonts w:ascii="Arial" w:cs="Arial" w:eastAsia="Arial" w:hAnsi="Arial"/>
                <w:sz w:val="16"/>
                <w:szCs w:val="16"/>
                <w:i w:val="1"/>
                <w:iCs w:val="1"/>
                <w:color w:val="auto"/>
              </w:rPr>
              <w:t>(10)</w:t>
            </w:r>
          </w:p>
        </w:tc>
        <w:tc>
          <w:tcPr>
            <w:tcW w:w="1140" w:type="dxa"/>
            <w:vAlign w:val="bottom"/>
            <w:tcBorders>
              <w:bottom w:val="single" w:sz="8" w:color="939598"/>
            </w:tcBorders>
          </w:tcPr>
          <w:p>
            <w:pPr>
              <w:jc w:val="right"/>
              <w:ind w:right="245"/>
              <w:spacing w:after="0"/>
              <w:rPr>
                <w:sz w:val="20"/>
                <w:szCs w:val="20"/>
                <w:color w:val="auto"/>
              </w:rPr>
            </w:pPr>
            <w:r>
              <w:rPr>
                <w:rFonts w:ascii="Arial" w:cs="Arial" w:eastAsia="Arial" w:hAnsi="Arial"/>
                <w:sz w:val="16"/>
                <w:szCs w:val="16"/>
                <w:i w:val="1"/>
                <w:iCs w:val="1"/>
                <w:color w:val="auto"/>
              </w:rPr>
              <w:t>(10)</w:t>
            </w:r>
          </w:p>
        </w:tc>
        <w:tc>
          <w:tcPr>
            <w:tcW w:w="1280" w:type="dxa"/>
            <w:vAlign w:val="bottom"/>
            <w:tcBorders>
              <w:bottom w:val="single" w:sz="8" w:color="939598"/>
            </w:tcBorders>
          </w:tcPr>
          <w:p>
            <w:pPr>
              <w:jc w:val="right"/>
              <w:ind w:right="84"/>
              <w:spacing w:after="0"/>
              <w:rPr>
                <w:sz w:val="20"/>
                <w:szCs w:val="20"/>
                <w:color w:val="auto"/>
              </w:rPr>
            </w:pPr>
            <w:r>
              <w:rPr>
                <w:rFonts w:ascii="Arial" w:cs="Arial" w:eastAsia="Arial" w:hAnsi="Arial"/>
                <w:sz w:val="16"/>
                <w:szCs w:val="16"/>
                <w:i w:val="1"/>
                <w:iCs w:val="1"/>
                <w:color w:val="auto"/>
              </w:rPr>
              <w:t>(10)</w:t>
            </w:r>
          </w:p>
        </w:tc>
        <w:tc>
          <w:tcPr>
            <w:tcW w:w="1380" w:type="dxa"/>
            <w:vAlign w:val="bottom"/>
            <w:tcBorders>
              <w:bottom w:val="single" w:sz="8" w:color="939598"/>
            </w:tcBorders>
          </w:tcPr>
          <w:p>
            <w:pPr>
              <w:jc w:val="right"/>
              <w:ind w:right="324"/>
              <w:spacing w:after="0"/>
              <w:rPr>
                <w:sz w:val="20"/>
                <w:szCs w:val="20"/>
                <w:color w:val="auto"/>
              </w:rPr>
            </w:pPr>
            <w:r>
              <w:rPr>
                <w:rFonts w:ascii="Arial" w:cs="Arial" w:eastAsia="Arial" w:hAnsi="Arial"/>
                <w:sz w:val="16"/>
                <w:szCs w:val="16"/>
                <w:i w:val="1"/>
                <w:iCs w:val="1"/>
                <w:color w:val="auto"/>
              </w:rPr>
              <w:t>(10)</w:t>
            </w:r>
          </w:p>
        </w:tc>
        <w:tc>
          <w:tcPr>
            <w:tcW w:w="980" w:type="dxa"/>
            <w:vAlign w:val="bottom"/>
            <w:tcBorders>
              <w:bottom w:val="single" w:sz="8" w:color="939598"/>
            </w:tcBorders>
          </w:tcPr>
          <w:p>
            <w:pPr>
              <w:jc w:val="right"/>
              <w:ind w:right="283"/>
              <w:spacing w:after="0"/>
              <w:rPr>
                <w:sz w:val="20"/>
                <w:szCs w:val="20"/>
                <w:color w:val="auto"/>
              </w:rPr>
            </w:pPr>
            <w:r>
              <w:rPr>
                <w:rFonts w:ascii="Arial" w:cs="Arial" w:eastAsia="Arial" w:hAnsi="Arial"/>
                <w:sz w:val="16"/>
                <w:szCs w:val="16"/>
                <w:i w:val="1"/>
                <w:iCs w:val="1"/>
                <w:color w:val="auto"/>
              </w:rPr>
              <w:t>(10)</w:t>
            </w:r>
          </w:p>
        </w:tc>
        <w:tc>
          <w:tcPr>
            <w:tcW w:w="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i w:val="1"/>
                <w:iCs w:val="1"/>
                <w:color w:val="auto"/>
              </w:rPr>
              <w:t>(50)</w:t>
            </w:r>
          </w:p>
        </w:tc>
      </w:tr>
      <w:tr>
        <w:trPr>
          <w:trHeight w:val="239"/>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Geisler</w:t>
            </w:r>
          </w:p>
        </w:tc>
        <w:tc>
          <w:tcPr>
            <w:tcW w:w="1040" w:type="dxa"/>
            <w:vAlign w:val="bottom"/>
            <w:tcBorders>
              <w:bottom w:val="single" w:sz="8" w:color="939598"/>
            </w:tcBorders>
          </w:tcPr>
          <w:p>
            <w:pPr>
              <w:jc w:val="right"/>
              <w:ind w:right="182"/>
              <w:spacing w:after="0"/>
              <w:rPr>
                <w:sz w:val="20"/>
                <w:szCs w:val="20"/>
                <w:color w:val="auto"/>
              </w:rPr>
            </w:pPr>
            <w:r>
              <w:rPr>
                <w:rFonts w:ascii="Arial" w:cs="Arial" w:eastAsia="Arial" w:hAnsi="Arial"/>
                <w:sz w:val="16"/>
                <w:szCs w:val="16"/>
                <w:b w:val="1"/>
                <w:bCs w:val="1"/>
                <w:color w:val="auto"/>
              </w:rPr>
              <w:t>200</w:t>
            </w:r>
          </w:p>
        </w:tc>
        <w:tc>
          <w:tcPr>
            <w:tcW w:w="1000" w:type="dxa"/>
            <w:vAlign w:val="bottom"/>
            <w:tcBorders>
              <w:bottom w:val="single" w:sz="8" w:color="939598"/>
            </w:tcBorders>
          </w:tcPr>
          <w:p>
            <w:pPr>
              <w:jc w:val="right"/>
              <w:ind w:right="41"/>
              <w:spacing w:after="0"/>
              <w:rPr>
                <w:sz w:val="20"/>
                <w:szCs w:val="20"/>
                <w:color w:val="auto"/>
              </w:rPr>
            </w:pPr>
            <w:r>
              <w:rPr>
                <w:rFonts w:ascii="Arial" w:cs="Arial" w:eastAsia="Arial" w:hAnsi="Arial"/>
                <w:sz w:val="16"/>
                <w:szCs w:val="16"/>
                <w:b w:val="1"/>
                <w:bCs w:val="1"/>
                <w:color w:val="auto"/>
              </w:rPr>
              <w:t>84</w:t>
            </w:r>
            <w:r>
              <w:rPr>
                <w:rFonts w:ascii="Arial" w:cs="Arial" w:eastAsia="Arial" w:hAnsi="Arial"/>
                <w:sz w:val="13"/>
                <w:szCs w:val="13"/>
                <w:color w:val="auto"/>
              </w:rPr>
              <w:t>(3)</w:t>
            </w: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spacing w:after="0"/>
              <w:rPr>
                <w:sz w:val="20"/>
                <w:szCs w:val="20"/>
                <w:color w:val="auto"/>
              </w:rPr>
            </w:pPr>
          </w:p>
        </w:tc>
        <w:tc>
          <w:tcPr>
            <w:tcW w:w="680" w:type="dxa"/>
            <w:vAlign w:val="bottom"/>
            <w:tcBorders>
              <w:bottom w:val="single" w:sz="8" w:color="939598"/>
            </w:tcBorders>
          </w:tcPr>
          <w:p>
            <w:pPr>
              <w:jc w:val="right"/>
              <w:ind w:right="21"/>
              <w:spacing w:after="0"/>
              <w:rPr>
                <w:sz w:val="20"/>
                <w:szCs w:val="20"/>
                <w:color w:val="auto"/>
              </w:rPr>
            </w:pPr>
            <w:r>
              <w:rPr>
                <w:rFonts w:ascii="Arial" w:cs="Arial" w:eastAsia="Arial" w:hAnsi="Arial"/>
                <w:sz w:val="16"/>
                <w:szCs w:val="16"/>
                <w:b w:val="1"/>
                <w:bCs w:val="1"/>
                <w:color w:val="auto"/>
              </w:rPr>
              <w:t>84</w:t>
            </w:r>
          </w:p>
        </w:tc>
      </w:tr>
      <w:tr>
        <w:trPr>
          <w:trHeight w:val="234"/>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i w:val="1"/>
                <w:iCs w:val="1"/>
                <w:color w:val="auto"/>
              </w:rPr>
              <w:t>Weighting</w:t>
            </w:r>
          </w:p>
        </w:tc>
        <w:tc>
          <w:tcPr>
            <w:tcW w:w="1040" w:type="dxa"/>
            <w:vAlign w:val="bottom"/>
            <w:tcBorders>
              <w:bottom w:val="single" w:sz="8" w:color="939598"/>
            </w:tcBorders>
          </w:tcPr>
          <w:p>
            <w:pPr>
              <w:jc w:val="right"/>
              <w:ind w:right="122"/>
              <w:spacing w:after="0"/>
              <w:rPr>
                <w:sz w:val="20"/>
                <w:szCs w:val="20"/>
                <w:color w:val="auto"/>
              </w:rPr>
            </w:pPr>
            <w:r>
              <w:rPr>
                <w:rFonts w:ascii="Arial" w:cs="Arial" w:eastAsia="Arial" w:hAnsi="Arial"/>
                <w:sz w:val="16"/>
                <w:szCs w:val="16"/>
                <w:i w:val="1"/>
                <w:iCs w:val="1"/>
                <w:color w:val="auto"/>
              </w:rPr>
              <w:t>(50)</w:t>
            </w:r>
          </w:p>
        </w:tc>
        <w:tc>
          <w:tcPr>
            <w:tcW w:w="1000" w:type="dxa"/>
            <w:vAlign w:val="bottom"/>
            <w:tcBorders>
              <w:bottom w:val="single" w:sz="8" w:color="939598"/>
            </w:tcBorders>
          </w:tcPr>
          <w:p>
            <w:pPr>
              <w:jc w:val="right"/>
              <w:ind w:right="141"/>
              <w:spacing w:after="0"/>
              <w:rPr>
                <w:sz w:val="20"/>
                <w:szCs w:val="20"/>
                <w:color w:val="auto"/>
              </w:rPr>
            </w:pPr>
            <w:r>
              <w:rPr>
                <w:rFonts w:ascii="Arial" w:cs="Arial" w:eastAsia="Arial" w:hAnsi="Arial"/>
                <w:sz w:val="16"/>
                <w:szCs w:val="16"/>
                <w:i w:val="1"/>
                <w:iCs w:val="1"/>
                <w:color w:val="auto"/>
              </w:rPr>
              <w:t>(50)</w:t>
            </w: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spacing w:after="0"/>
              <w:rPr>
                <w:sz w:val="20"/>
                <w:szCs w:val="20"/>
                <w:color w:val="auto"/>
              </w:rPr>
            </w:pPr>
          </w:p>
        </w:tc>
        <w:tc>
          <w:tcPr>
            <w:tcW w:w="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i w:val="1"/>
                <w:iCs w:val="1"/>
                <w:color w:val="auto"/>
              </w:rPr>
              <w:t>(50)</w:t>
            </w:r>
          </w:p>
        </w:tc>
      </w:tr>
      <w:tr>
        <w:trPr>
          <w:trHeight w:val="239"/>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Hatfield</w:t>
            </w:r>
          </w:p>
        </w:tc>
        <w:tc>
          <w:tcPr>
            <w:tcW w:w="1040" w:type="dxa"/>
            <w:vAlign w:val="bottom"/>
            <w:tcBorders>
              <w:bottom w:val="single" w:sz="8" w:color="939598"/>
            </w:tcBorders>
          </w:tcPr>
          <w:p>
            <w:pPr>
              <w:jc w:val="right"/>
              <w:ind w:right="182"/>
              <w:spacing w:after="0"/>
              <w:rPr>
                <w:sz w:val="20"/>
                <w:szCs w:val="20"/>
                <w:color w:val="auto"/>
              </w:rPr>
            </w:pPr>
            <w:r>
              <w:rPr>
                <w:rFonts w:ascii="Arial" w:cs="Arial" w:eastAsia="Arial" w:hAnsi="Arial"/>
                <w:sz w:val="16"/>
                <w:szCs w:val="16"/>
                <w:b w:val="1"/>
                <w:bCs w:val="1"/>
                <w:color w:val="auto"/>
              </w:rPr>
              <w:t>200</w:t>
            </w:r>
          </w:p>
        </w:tc>
        <w:tc>
          <w:tcPr>
            <w:tcW w:w="1000" w:type="dxa"/>
            <w:vAlign w:val="bottom"/>
            <w:tcBorders>
              <w:bottom w:val="single" w:sz="8" w:color="939598"/>
            </w:tcBorders>
          </w:tcPr>
          <w:p>
            <w:pPr>
              <w:jc w:val="right"/>
              <w:ind w:right="41"/>
              <w:spacing w:after="0"/>
              <w:rPr>
                <w:sz w:val="20"/>
                <w:szCs w:val="20"/>
                <w:color w:val="auto"/>
              </w:rPr>
            </w:pPr>
            <w:r>
              <w:rPr>
                <w:rFonts w:ascii="Arial" w:cs="Arial" w:eastAsia="Arial" w:hAnsi="Arial"/>
                <w:sz w:val="16"/>
                <w:szCs w:val="16"/>
                <w:b w:val="1"/>
                <w:bCs w:val="1"/>
                <w:color w:val="auto"/>
              </w:rPr>
              <w:t>83</w:t>
            </w:r>
            <w:r>
              <w:rPr>
                <w:rFonts w:ascii="Arial" w:cs="Arial" w:eastAsia="Arial" w:hAnsi="Arial"/>
                <w:sz w:val="13"/>
                <w:szCs w:val="13"/>
                <w:color w:val="auto"/>
              </w:rPr>
              <w:t>(4)</w:t>
            </w: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spacing w:after="0"/>
              <w:rPr>
                <w:sz w:val="20"/>
                <w:szCs w:val="20"/>
                <w:color w:val="auto"/>
              </w:rPr>
            </w:pPr>
          </w:p>
        </w:tc>
        <w:tc>
          <w:tcPr>
            <w:tcW w:w="680" w:type="dxa"/>
            <w:vAlign w:val="bottom"/>
            <w:tcBorders>
              <w:bottom w:val="single" w:sz="8" w:color="939598"/>
            </w:tcBorders>
          </w:tcPr>
          <w:p>
            <w:pPr>
              <w:jc w:val="right"/>
              <w:ind w:right="21"/>
              <w:spacing w:after="0"/>
              <w:rPr>
                <w:sz w:val="20"/>
                <w:szCs w:val="20"/>
                <w:color w:val="auto"/>
              </w:rPr>
            </w:pPr>
            <w:r>
              <w:rPr>
                <w:rFonts w:ascii="Arial" w:cs="Arial" w:eastAsia="Arial" w:hAnsi="Arial"/>
                <w:sz w:val="16"/>
                <w:szCs w:val="16"/>
                <w:b w:val="1"/>
                <w:bCs w:val="1"/>
                <w:color w:val="auto"/>
              </w:rPr>
              <w:t>83</w:t>
            </w:r>
          </w:p>
        </w:tc>
      </w:tr>
      <w:tr>
        <w:trPr>
          <w:trHeight w:val="234"/>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i w:val="1"/>
                <w:iCs w:val="1"/>
                <w:color w:val="auto"/>
              </w:rPr>
              <w:t>Weighting</w:t>
            </w:r>
          </w:p>
        </w:tc>
        <w:tc>
          <w:tcPr>
            <w:tcW w:w="1040" w:type="dxa"/>
            <w:vAlign w:val="bottom"/>
            <w:tcBorders>
              <w:bottom w:val="single" w:sz="8" w:color="939598"/>
            </w:tcBorders>
          </w:tcPr>
          <w:p>
            <w:pPr>
              <w:jc w:val="right"/>
              <w:ind w:right="122"/>
              <w:spacing w:after="0"/>
              <w:rPr>
                <w:sz w:val="20"/>
                <w:szCs w:val="20"/>
                <w:color w:val="auto"/>
              </w:rPr>
            </w:pPr>
            <w:r>
              <w:rPr>
                <w:rFonts w:ascii="Arial" w:cs="Arial" w:eastAsia="Arial" w:hAnsi="Arial"/>
                <w:sz w:val="16"/>
                <w:szCs w:val="16"/>
                <w:i w:val="1"/>
                <w:iCs w:val="1"/>
                <w:color w:val="auto"/>
              </w:rPr>
              <w:t>(50)</w:t>
            </w:r>
          </w:p>
        </w:tc>
        <w:tc>
          <w:tcPr>
            <w:tcW w:w="1000" w:type="dxa"/>
            <w:vAlign w:val="bottom"/>
            <w:tcBorders>
              <w:bottom w:val="single" w:sz="8" w:color="939598"/>
            </w:tcBorders>
          </w:tcPr>
          <w:p>
            <w:pPr>
              <w:jc w:val="right"/>
              <w:ind w:right="141"/>
              <w:spacing w:after="0"/>
              <w:rPr>
                <w:sz w:val="20"/>
                <w:szCs w:val="20"/>
                <w:color w:val="auto"/>
              </w:rPr>
            </w:pPr>
            <w:r>
              <w:rPr>
                <w:rFonts w:ascii="Arial" w:cs="Arial" w:eastAsia="Arial" w:hAnsi="Arial"/>
                <w:sz w:val="16"/>
                <w:szCs w:val="16"/>
                <w:i w:val="1"/>
                <w:iCs w:val="1"/>
                <w:color w:val="auto"/>
              </w:rPr>
              <w:t>(50)</w:t>
            </w: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spacing w:after="0"/>
              <w:rPr>
                <w:sz w:val="20"/>
                <w:szCs w:val="20"/>
                <w:color w:val="auto"/>
              </w:rPr>
            </w:pPr>
          </w:p>
        </w:tc>
        <w:tc>
          <w:tcPr>
            <w:tcW w:w="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i w:val="1"/>
                <w:iCs w:val="1"/>
                <w:color w:val="auto"/>
              </w:rPr>
              <w:t>(50)</w:t>
            </w:r>
          </w:p>
        </w:tc>
      </w:tr>
      <w:tr>
        <w:trPr>
          <w:trHeight w:val="239"/>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Ms. Lacal</w:t>
            </w:r>
          </w:p>
        </w:tc>
        <w:tc>
          <w:tcPr>
            <w:tcW w:w="1040" w:type="dxa"/>
            <w:vAlign w:val="bottom"/>
            <w:tcBorders>
              <w:bottom w:val="single" w:sz="8" w:color="939598"/>
            </w:tcBorders>
          </w:tcPr>
          <w:p>
            <w:pPr>
              <w:jc w:val="right"/>
              <w:ind w:right="182"/>
              <w:spacing w:after="0"/>
              <w:rPr>
                <w:sz w:val="20"/>
                <w:szCs w:val="20"/>
                <w:color w:val="auto"/>
              </w:rPr>
            </w:pPr>
            <w:r>
              <w:rPr>
                <w:rFonts w:ascii="Arial" w:cs="Arial" w:eastAsia="Arial" w:hAnsi="Arial"/>
                <w:sz w:val="16"/>
                <w:szCs w:val="16"/>
                <w:b w:val="1"/>
                <w:bCs w:val="1"/>
                <w:color w:val="auto"/>
              </w:rPr>
              <w:t>200</w:t>
            </w:r>
          </w:p>
        </w:tc>
        <w:tc>
          <w:tcPr>
            <w:tcW w:w="1000" w:type="dxa"/>
            <w:vAlign w:val="bottom"/>
            <w:tcBorders>
              <w:bottom w:val="single" w:sz="8" w:color="939598"/>
            </w:tcBorders>
          </w:tcPr>
          <w:p>
            <w:pPr>
              <w:spacing w:after="0"/>
              <w:rPr>
                <w:sz w:val="20"/>
                <w:szCs w:val="20"/>
                <w:color w:val="auto"/>
              </w:rPr>
            </w:pP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jc w:val="right"/>
              <w:ind w:right="343"/>
              <w:spacing w:after="0"/>
              <w:rPr>
                <w:sz w:val="20"/>
                <w:szCs w:val="20"/>
                <w:color w:val="auto"/>
              </w:rPr>
            </w:pPr>
            <w:r>
              <w:rPr>
                <w:rFonts w:ascii="Arial" w:cs="Arial" w:eastAsia="Arial" w:hAnsi="Arial"/>
                <w:sz w:val="16"/>
                <w:szCs w:val="16"/>
                <w:b w:val="1"/>
                <w:bCs w:val="1"/>
                <w:color w:val="auto"/>
              </w:rPr>
              <w:t>154</w:t>
            </w:r>
          </w:p>
        </w:tc>
        <w:tc>
          <w:tcPr>
            <w:tcW w:w="680" w:type="dxa"/>
            <w:vAlign w:val="bottom"/>
            <w:tcBorders>
              <w:bottom w:val="single" w:sz="8" w:color="939598"/>
            </w:tcBorders>
          </w:tcPr>
          <w:p>
            <w:pPr>
              <w:jc w:val="right"/>
              <w:ind w:right="21"/>
              <w:spacing w:after="0"/>
              <w:rPr>
                <w:sz w:val="20"/>
                <w:szCs w:val="20"/>
                <w:color w:val="auto"/>
              </w:rPr>
            </w:pPr>
            <w:r>
              <w:rPr>
                <w:rFonts w:ascii="Arial" w:cs="Arial" w:eastAsia="Arial" w:hAnsi="Arial"/>
                <w:sz w:val="16"/>
                <w:szCs w:val="16"/>
                <w:b w:val="1"/>
                <w:bCs w:val="1"/>
                <w:color w:val="auto"/>
              </w:rPr>
              <w:t>154</w:t>
            </w:r>
          </w:p>
        </w:tc>
      </w:tr>
      <w:tr>
        <w:trPr>
          <w:trHeight w:val="234"/>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i w:val="1"/>
                <w:iCs w:val="1"/>
                <w:color w:val="auto"/>
              </w:rPr>
              <w:t>Weighting</w:t>
            </w:r>
          </w:p>
        </w:tc>
        <w:tc>
          <w:tcPr>
            <w:tcW w:w="1040" w:type="dxa"/>
            <w:vAlign w:val="bottom"/>
            <w:tcBorders>
              <w:bottom w:val="single" w:sz="8" w:color="939598"/>
            </w:tcBorders>
          </w:tcPr>
          <w:p>
            <w:pPr>
              <w:jc w:val="right"/>
              <w:ind w:right="122"/>
              <w:spacing w:after="0"/>
              <w:rPr>
                <w:sz w:val="20"/>
                <w:szCs w:val="20"/>
                <w:color w:val="auto"/>
              </w:rPr>
            </w:pPr>
            <w:r>
              <w:rPr>
                <w:rFonts w:ascii="Arial" w:cs="Arial" w:eastAsia="Arial" w:hAnsi="Arial"/>
                <w:sz w:val="16"/>
                <w:szCs w:val="16"/>
                <w:i w:val="1"/>
                <w:iCs w:val="1"/>
                <w:color w:val="auto"/>
              </w:rPr>
              <w:t>(50)</w:t>
            </w:r>
          </w:p>
        </w:tc>
        <w:tc>
          <w:tcPr>
            <w:tcW w:w="1000" w:type="dxa"/>
            <w:vAlign w:val="bottom"/>
            <w:tcBorders>
              <w:bottom w:val="single" w:sz="8" w:color="939598"/>
            </w:tcBorders>
          </w:tcPr>
          <w:p>
            <w:pPr>
              <w:spacing w:after="0"/>
              <w:rPr>
                <w:sz w:val="20"/>
                <w:szCs w:val="20"/>
                <w:color w:val="auto"/>
              </w:rPr>
            </w:pP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jc w:val="right"/>
              <w:ind w:right="283"/>
              <w:spacing w:after="0"/>
              <w:rPr>
                <w:sz w:val="20"/>
                <w:szCs w:val="20"/>
                <w:color w:val="auto"/>
              </w:rPr>
            </w:pPr>
            <w:r>
              <w:rPr>
                <w:rFonts w:ascii="Arial" w:cs="Arial" w:eastAsia="Arial" w:hAnsi="Arial"/>
                <w:sz w:val="16"/>
                <w:szCs w:val="16"/>
                <w:i w:val="1"/>
                <w:iCs w:val="1"/>
                <w:color w:val="auto"/>
              </w:rPr>
              <w:t>(50)</w:t>
            </w:r>
          </w:p>
        </w:tc>
        <w:tc>
          <w:tcPr>
            <w:tcW w:w="680" w:type="dxa"/>
            <w:vAlign w:val="bottom"/>
            <w:tcBorders>
              <w:bottom w:val="single" w:sz="8" w:color="939598"/>
            </w:tcBorders>
          </w:tcPr>
          <w:p>
            <w:pPr>
              <w:jc w:val="right"/>
              <w:spacing w:after="0"/>
              <w:rPr>
                <w:sz w:val="20"/>
                <w:szCs w:val="20"/>
                <w:color w:val="auto"/>
              </w:rPr>
            </w:pPr>
            <w:r>
              <w:rPr>
                <w:rFonts w:ascii="Arial" w:cs="Arial" w:eastAsia="Arial" w:hAnsi="Arial"/>
                <w:sz w:val="16"/>
                <w:szCs w:val="16"/>
                <w:i w:val="1"/>
                <w:iCs w:val="1"/>
                <w:color w:val="auto"/>
              </w:rPr>
              <w:t>(50)</w:t>
            </w:r>
          </w:p>
        </w:tc>
      </w:tr>
      <w:tr>
        <w:trPr>
          <w:trHeight w:val="239"/>
        </w:trPr>
        <w:tc>
          <w:tcPr>
            <w:tcW w:w="37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Smith</w:t>
            </w:r>
          </w:p>
        </w:tc>
        <w:tc>
          <w:tcPr>
            <w:tcW w:w="1040" w:type="dxa"/>
            <w:vAlign w:val="bottom"/>
            <w:tcBorders>
              <w:bottom w:val="single" w:sz="8" w:color="939598"/>
            </w:tcBorders>
          </w:tcPr>
          <w:p>
            <w:pPr>
              <w:jc w:val="right"/>
              <w:ind w:right="182"/>
              <w:spacing w:after="0"/>
              <w:rPr>
                <w:sz w:val="20"/>
                <w:szCs w:val="20"/>
                <w:color w:val="auto"/>
              </w:rPr>
            </w:pPr>
            <w:r>
              <w:rPr>
                <w:rFonts w:ascii="Arial" w:cs="Arial" w:eastAsia="Arial" w:hAnsi="Arial"/>
                <w:sz w:val="16"/>
                <w:szCs w:val="16"/>
                <w:b w:val="1"/>
                <w:bCs w:val="1"/>
                <w:color w:val="auto"/>
              </w:rPr>
              <w:t>200</w:t>
            </w:r>
          </w:p>
        </w:tc>
        <w:tc>
          <w:tcPr>
            <w:tcW w:w="1000" w:type="dxa"/>
            <w:vAlign w:val="bottom"/>
            <w:tcBorders>
              <w:bottom w:val="single" w:sz="8" w:color="939598"/>
            </w:tcBorders>
          </w:tcPr>
          <w:p>
            <w:pPr>
              <w:jc w:val="right"/>
              <w:ind w:right="41"/>
              <w:spacing w:after="0"/>
              <w:rPr>
                <w:sz w:val="20"/>
                <w:szCs w:val="20"/>
                <w:color w:val="auto"/>
              </w:rPr>
            </w:pPr>
            <w:r>
              <w:rPr>
                <w:rFonts w:ascii="Arial" w:cs="Arial" w:eastAsia="Arial" w:hAnsi="Arial"/>
                <w:sz w:val="16"/>
                <w:szCs w:val="16"/>
                <w:b w:val="1"/>
                <w:bCs w:val="1"/>
                <w:color w:val="auto"/>
              </w:rPr>
              <w:t>83</w:t>
            </w:r>
            <w:r>
              <w:rPr>
                <w:rFonts w:ascii="Arial" w:cs="Arial" w:eastAsia="Arial" w:hAnsi="Arial"/>
                <w:sz w:val="13"/>
                <w:szCs w:val="13"/>
                <w:color w:val="auto"/>
              </w:rPr>
              <w:t>(5)</w:t>
            </w:r>
          </w:p>
        </w:tc>
        <w:tc>
          <w:tcPr>
            <w:tcW w:w="1140" w:type="dxa"/>
            <w:vAlign w:val="bottom"/>
            <w:tcBorders>
              <w:bottom w:val="single" w:sz="8" w:color="939598"/>
            </w:tcBorders>
          </w:tcPr>
          <w:p>
            <w:pPr>
              <w:spacing w:after="0"/>
              <w:rPr>
                <w:sz w:val="20"/>
                <w:szCs w:val="20"/>
                <w:color w:val="auto"/>
              </w:rPr>
            </w:pPr>
          </w:p>
        </w:tc>
        <w:tc>
          <w:tcPr>
            <w:tcW w:w="1280" w:type="dxa"/>
            <w:vAlign w:val="bottom"/>
            <w:tcBorders>
              <w:bottom w:val="single" w:sz="8" w:color="939598"/>
            </w:tcBorders>
          </w:tcPr>
          <w:p>
            <w:pPr>
              <w:spacing w:after="0"/>
              <w:rPr>
                <w:sz w:val="20"/>
                <w:szCs w:val="20"/>
                <w:color w:val="auto"/>
              </w:rPr>
            </w:pPr>
          </w:p>
        </w:tc>
        <w:tc>
          <w:tcPr>
            <w:tcW w:w="1380" w:type="dxa"/>
            <w:vAlign w:val="bottom"/>
            <w:tcBorders>
              <w:bottom w:val="single" w:sz="8" w:color="939598"/>
            </w:tcBorders>
          </w:tcPr>
          <w:p>
            <w:pPr>
              <w:spacing w:after="0"/>
              <w:rPr>
                <w:sz w:val="20"/>
                <w:szCs w:val="20"/>
                <w:color w:val="auto"/>
              </w:rPr>
            </w:pPr>
          </w:p>
        </w:tc>
        <w:tc>
          <w:tcPr>
            <w:tcW w:w="980" w:type="dxa"/>
            <w:vAlign w:val="bottom"/>
            <w:tcBorders>
              <w:bottom w:val="single" w:sz="8" w:color="939598"/>
            </w:tcBorders>
          </w:tcPr>
          <w:p>
            <w:pPr>
              <w:spacing w:after="0"/>
              <w:rPr>
                <w:sz w:val="20"/>
                <w:szCs w:val="20"/>
                <w:color w:val="auto"/>
              </w:rPr>
            </w:pPr>
          </w:p>
        </w:tc>
        <w:tc>
          <w:tcPr>
            <w:tcW w:w="680" w:type="dxa"/>
            <w:vAlign w:val="bottom"/>
            <w:tcBorders>
              <w:bottom w:val="single" w:sz="8" w:color="939598"/>
            </w:tcBorders>
          </w:tcPr>
          <w:p>
            <w:pPr>
              <w:jc w:val="right"/>
              <w:ind w:right="21"/>
              <w:spacing w:after="0"/>
              <w:rPr>
                <w:sz w:val="20"/>
                <w:szCs w:val="20"/>
                <w:color w:val="auto"/>
              </w:rPr>
            </w:pPr>
            <w:r>
              <w:rPr>
                <w:rFonts w:ascii="Arial" w:cs="Arial" w:eastAsia="Arial" w:hAnsi="Arial"/>
                <w:sz w:val="16"/>
                <w:szCs w:val="16"/>
                <w:b w:val="1"/>
                <w:bCs w:val="1"/>
                <w:color w:val="auto"/>
              </w:rPr>
              <w:t>83</w:t>
            </w:r>
          </w:p>
        </w:tc>
      </w:tr>
      <w:tr>
        <w:trPr>
          <w:trHeight w:val="261"/>
        </w:trPr>
        <w:tc>
          <w:tcPr>
            <w:tcW w:w="3740" w:type="dxa"/>
            <w:vAlign w:val="bottom"/>
            <w:tcBorders>
              <w:bottom w:val="single" w:sz="8" w:color="355675"/>
            </w:tcBorders>
          </w:tcPr>
          <w:p>
            <w:pPr>
              <w:ind w:left="60"/>
              <w:spacing w:after="0"/>
              <w:rPr>
                <w:sz w:val="20"/>
                <w:szCs w:val="20"/>
                <w:color w:val="auto"/>
              </w:rPr>
            </w:pPr>
            <w:r>
              <w:rPr>
                <w:rFonts w:ascii="Arial" w:cs="Arial" w:eastAsia="Arial" w:hAnsi="Arial"/>
                <w:sz w:val="16"/>
                <w:szCs w:val="16"/>
                <w:i w:val="1"/>
                <w:iCs w:val="1"/>
                <w:color w:val="auto"/>
              </w:rPr>
              <w:t>Weighting</w:t>
            </w:r>
          </w:p>
        </w:tc>
        <w:tc>
          <w:tcPr>
            <w:tcW w:w="1040" w:type="dxa"/>
            <w:vAlign w:val="bottom"/>
            <w:tcBorders>
              <w:bottom w:val="single" w:sz="8" w:color="355675"/>
            </w:tcBorders>
          </w:tcPr>
          <w:p>
            <w:pPr>
              <w:jc w:val="right"/>
              <w:ind w:right="122"/>
              <w:spacing w:after="0"/>
              <w:rPr>
                <w:sz w:val="20"/>
                <w:szCs w:val="20"/>
                <w:color w:val="auto"/>
              </w:rPr>
            </w:pPr>
            <w:r>
              <w:rPr>
                <w:rFonts w:ascii="Arial" w:cs="Arial" w:eastAsia="Arial" w:hAnsi="Arial"/>
                <w:sz w:val="16"/>
                <w:szCs w:val="16"/>
                <w:i w:val="1"/>
                <w:iCs w:val="1"/>
                <w:color w:val="auto"/>
              </w:rPr>
              <w:t>(50)</w:t>
            </w:r>
          </w:p>
        </w:tc>
        <w:tc>
          <w:tcPr>
            <w:tcW w:w="1000" w:type="dxa"/>
            <w:vAlign w:val="bottom"/>
            <w:tcBorders>
              <w:bottom w:val="single" w:sz="8" w:color="355675"/>
            </w:tcBorders>
          </w:tcPr>
          <w:p>
            <w:pPr>
              <w:jc w:val="right"/>
              <w:ind w:right="141"/>
              <w:spacing w:after="0"/>
              <w:rPr>
                <w:sz w:val="20"/>
                <w:szCs w:val="20"/>
                <w:color w:val="auto"/>
              </w:rPr>
            </w:pPr>
            <w:r>
              <w:rPr>
                <w:rFonts w:ascii="Arial" w:cs="Arial" w:eastAsia="Arial" w:hAnsi="Arial"/>
                <w:sz w:val="16"/>
                <w:szCs w:val="16"/>
                <w:i w:val="1"/>
                <w:iCs w:val="1"/>
                <w:color w:val="auto"/>
              </w:rPr>
              <w:t>(50)</w:t>
            </w:r>
          </w:p>
        </w:tc>
        <w:tc>
          <w:tcPr>
            <w:tcW w:w="1140" w:type="dxa"/>
            <w:vAlign w:val="bottom"/>
            <w:tcBorders>
              <w:bottom w:val="single" w:sz="8" w:color="355675"/>
            </w:tcBorders>
          </w:tcPr>
          <w:p>
            <w:pPr>
              <w:spacing w:after="0"/>
              <w:rPr>
                <w:sz w:val="22"/>
                <w:szCs w:val="22"/>
                <w:color w:val="auto"/>
              </w:rPr>
            </w:pPr>
          </w:p>
        </w:tc>
        <w:tc>
          <w:tcPr>
            <w:tcW w:w="1280" w:type="dxa"/>
            <w:vAlign w:val="bottom"/>
            <w:tcBorders>
              <w:bottom w:val="single" w:sz="8" w:color="355675"/>
            </w:tcBorders>
          </w:tcPr>
          <w:p>
            <w:pPr>
              <w:spacing w:after="0"/>
              <w:rPr>
                <w:sz w:val="22"/>
                <w:szCs w:val="22"/>
                <w:color w:val="auto"/>
              </w:rPr>
            </w:pPr>
          </w:p>
        </w:tc>
        <w:tc>
          <w:tcPr>
            <w:tcW w:w="1380" w:type="dxa"/>
            <w:vAlign w:val="bottom"/>
            <w:tcBorders>
              <w:bottom w:val="single" w:sz="8" w:color="355675"/>
            </w:tcBorders>
          </w:tcPr>
          <w:p>
            <w:pPr>
              <w:spacing w:after="0"/>
              <w:rPr>
                <w:sz w:val="22"/>
                <w:szCs w:val="22"/>
                <w:color w:val="auto"/>
              </w:rPr>
            </w:pPr>
          </w:p>
        </w:tc>
        <w:tc>
          <w:tcPr>
            <w:tcW w:w="980" w:type="dxa"/>
            <w:vAlign w:val="bottom"/>
            <w:tcBorders>
              <w:bottom w:val="single" w:sz="8" w:color="355675"/>
            </w:tcBorders>
          </w:tcPr>
          <w:p>
            <w:pPr>
              <w:spacing w:after="0"/>
              <w:rPr>
                <w:sz w:val="22"/>
                <w:szCs w:val="22"/>
                <w:color w:val="auto"/>
              </w:rPr>
            </w:pPr>
          </w:p>
        </w:tc>
        <w:tc>
          <w:tcPr>
            <w:tcW w:w="680" w:type="dxa"/>
            <w:vAlign w:val="bottom"/>
            <w:tcBorders>
              <w:bottom w:val="single" w:sz="8" w:color="355675"/>
            </w:tcBorders>
          </w:tcPr>
          <w:p>
            <w:pPr>
              <w:jc w:val="right"/>
              <w:spacing w:after="0"/>
              <w:rPr>
                <w:sz w:val="20"/>
                <w:szCs w:val="20"/>
                <w:color w:val="auto"/>
              </w:rPr>
            </w:pPr>
            <w:r>
              <w:rPr>
                <w:rFonts w:ascii="Arial" w:cs="Arial" w:eastAsia="Arial" w:hAnsi="Arial"/>
                <w:sz w:val="16"/>
                <w:szCs w:val="16"/>
                <w:i w:val="1"/>
                <w:iCs w:val="1"/>
                <w:color w:val="auto"/>
              </w:rPr>
              <w:t>(50)</w:t>
            </w:r>
          </w:p>
        </w:tc>
      </w:tr>
    </w:tbl>
    <w:p>
      <w:pPr>
        <w:spacing w:after="0" w:line="108" w:lineRule="exact"/>
        <w:rPr>
          <w:sz w:val="20"/>
          <w:szCs w:val="20"/>
          <w:color w:val="auto"/>
        </w:rPr>
      </w:pPr>
    </w:p>
    <w:p>
      <w:pPr>
        <w:ind w:left="240" w:hanging="232"/>
        <w:spacing w:after="0"/>
        <w:tabs>
          <w:tab w:leader="none" w:pos="240" w:val="left"/>
        </w:tabs>
        <w:numPr>
          <w:ilvl w:val="0"/>
          <w:numId w:val="69"/>
        </w:numPr>
        <w:rPr>
          <w:rFonts w:ascii="Arial" w:cs="Arial" w:eastAsia="Arial" w:hAnsi="Arial"/>
          <w:sz w:val="24"/>
          <w:szCs w:val="24"/>
          <w:color w:val="auto"/>
          <w:vertAlign w:val="superscript"/>
        </w:rPr>
      </w:pPr>
      <w:r>
        <w:rPr>
          <w:rFonts w:ascii="Arial" w:cs="Arial" w:eastAsia="Arial" w:hAnsi="Arial"/>
          <w:sz w:val="14"/>
          <w:szCs w:val="14"/>
          <w:color w:val="auto"/>
        </w:rPr>
        <w:t>Reflects PNW earnings for Mr. Guldner and APS earnings for all others.</w:t>
      </w:r>
    </w:p>
    <w:p>
      <w:pPr>
        <w:spacing w:after="0" w:line="120" w:lineRule="exact"/>
        <w:rPr>
          <w:rFonts w:ascii="Arial" w:cs="Arial" w:eastAsia="Arial" w:hAnsi="Arial"/>
          <w:sz w:val="24"/>
          <w:szCs w:val="24"/>
          <w:color w:val="auto"/>
          <w:vertAlign w:val="superscript"/>
        </w:rPr>
      </w:pPr>
    </w:p>
    <w:p>
      <w:pPr>
        <w:ind w:left="240" w:hanging="232"/>
        <w:spacing w:after="0" w:line="183" w:lineRule="auto"/>
        <w:tabs>
          <w:tab w:leader="none" w:pos="240" w:val="left"/>
        </w:tabs>
        <w:numPr>
          <w:ilvl w:val="0"/>
          <w:numId w:val="69"/>
        </w:numPr>
        <w:rPr>
          <w:rFonts w:ascii="Arial" w:cs="Arial" w:eastAsia="Arial" w:hAnsi="Arial"/>
          <w:sz w:val="20"/>
          <w:szCs w:val="20"/>
          <w:color w:val="auto"/>
          <w:vertAlign w:val="superscript"/>
        </w:rPr>
      </w:pPr>
      <w:r>
        <w:rPr>
          <w:rFonts w:ascii="Arial" w:cs="Arial" w:eastAsia="Arial" w:hAnsi="Arial"/>
          <w:sz w:val="12"/>
          <w:szCs w:val="12"/>
          <w:color w:val="auto"/>
        </w:rPr>
        <w:t>Reflects the average of all Corporate Resources business units.</w:t>
      </w:r>
    </w:p>
    <w:p>
      <w:pPr>
        <w:spacing w:after="0" w:line="121" w:lineRule="exact"/>
        <w:rPr>
          <w:rFonts w:ascii="Arial" w:cs="Arial" w:eastAsia="Arial" w:hAnsi="Arial"/>
          <w:sz w:val="20"/>
          <w:szCs w:val="20"/>
          <w:color w:val="auto"/>
          <w:vertAlign w:val="superscript"/>
        </w:rPr>
      </w:pPr>
    </w:p>
    <w:p>
      <w:pPr>
        <w:ind w:left="240" w:hanging="232"/>
        <w:spacing w:after="0" w:line="183" w:lineRule="auto"/>
        <w:tabs>
          <w:tab w:leader="none" w:pos="240" w:val="left"/>
        </w:tabs>
        <w:numPr>
          <w:ilvl w:val="0"/>
          <w:numId w:val="69"/>
        </w:numPr>
        <w:rPr>
          <w:rFonts w:ascii="Arial" w:cs="Arial" w:eastAsia="Arial" w:hAnsi="Arial"/>
          <w:sz w:val="20"/>
          <w:szCs w:val="20"/>
          <w:color w:val="auto"/>
          <w:vertAlign w:val="superscript"/>
        </w:rPr>
      </w:pPr>
      <w:r>
        <w:rPr>
          <w:rFonts w:ascii="Arial" w:cs="Arial" w:eastAsia="Arial" w:hAnsi="Arial"/>
          <w:sz w:val="12"/>
          <w:szCs w:val="12"/>
          <w:color w:val="auto"/>
        </w:rPr>
        <w:t>Reflects the following Corporate Resources business units and respective weightings: Finance/Accounting at 70% and Information Technology at 30%.</w:t>
      </w:r>
    </w:p>
    <w:p>
      <w:pPr>
        <w:spacing w:after="0" w:line="121" w:lineRule="exact"/>
        <w:rPr>
          <w:rFonts w:ascii="Arial" w:cs="Arial" w:eastAsia="Arial" w:hAnsi="Arial"/>
          <w:sz w:val="20"/>
          <w:szCs w:val="20"/>
          <w:color w:val="auto"/>
          <w:vertAlign w:val="superscript"/>
        </w:rPr>
      </w:pPr>
    </w:p>
    <w:p>
      <w:pPr>
        <w:ind w:left="240" w:hanging="232"/>
        <w:spacing w:after="0" w:line="183" w:lineRule="auto"/>
        <w:tabs>
          <w:tab w:leader="none" w:pos="240" w:val="left"/>
        </w:tabs>
        <w:numPr>
          <w:ilvl w:val="0"/>
          <w:numId w:val="69"/>
        </w:numPr>
        <w:rPr>
          <w:rFonts w:ascii="Arial" w:cs="Arial" w:eastAsia="Arial" w:hAnsi="Arial"/>
          <w:sz w:val="20"/>
          <w:szCs w:val="20"/>
          <w:color w:val="auto"/>
          <w:vertAlign w:val="superscript"/>
        </w:rPr>
      </w:pPr>
      <w:r>
        <w:rPr>
          <w:rFonts w:ascii="Arial" w:cs="Arial" w:eastAsia="Arial" w:hAnsi="Arial"/>
          <w:sz w:val="12"/>
          <w:szCs w:val="12"/>
          <w:color w:val="auto"/>
        </w:rPr>
        <w:t>Reflects the Finance/Accounting Corporate Resources business unit.</w:t>
      </w:r>
    </w:p>
    <w:p>
      <w:pPr>
        <w:spacing w:after="0" w:line="121" w:lineRule="exact"/>
        <w:rPr>
          <w:rFonts w:ascii="Arial" w:cs="Arial" w:eastAsia="Arial" w:hAnsi="Arial"/>
          <w:sz w:val="20"/>
          <w:szCs w:val="20"/>
          <w:color w:val="auto"/>
          <w:vertAlign w:val="superscript"/>
        </w:rPr>
      </w:pPr>
    </w:p>
    <w:p>
      <w:pPr>
        <w:ind w:left="240" w:hanging="232"/>
        <w:spacing w:after="0" w:line="183" w:lineRule="auto"/>
        <w:tabs>
          <w:tab w:leader="none" w:pos="240" w:val="left"/>
        </w:tabs>
        <w:numPr>
          <w:ilvl w:val="0"/>
          <w:numId w:val="69"/>
        </w:numPr>
        <w:rPr>
          <w:rFonts w:ascii="Arial" w:cs="Arial" w:eastAsia="Arial" w:hAnsi="Arial"/>
          <w:sz w:val="20"/>
          <w:szCs w:val="20"/>
          <w:color w:val="auto"/>
          <w:vertAlign w:val="superscript"/>
        </w:rPr>
      </w:pPr>
      <w:r>
        <w:rPr>
          <w:rFonts w:ascii="Arial" w:cs="Arial" w:eastAsia="Arial" w:hAnsi="Arial"/>
          <w:sz w:val="12"/>
          <w:szCs w:val="12"/>
          <w:color w:val="auto"/>
        </w:rPr>
        <w:t>Reflects the Legal Corporate Resources business unit.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116840</wp:posOffset>
            </wp:positionV>
            <wp:extent cx="1191260" cy="23177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58"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77" w:name="page78"/>
    <w:bookmarkEnd w:id="7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06"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2021 Incentive Plan Target Setting Process, Rigor and Results</w:t>
      </w:r>
    </w:p>
    <w:p>
      <w:pPr>
        <w:spacing w:after="0" w:line="226"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Earnings Component Target Setting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120015</wp:posOffset>
            </wp:positionV>
            <wp:extent cx="7162165" cy="237871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162165" cy="2378710"/>
                    </a:xfrm>
                    <a:prstGeom prst="rect">
                      <a:avLst/>
                    </a:prstGeom>
                    <a:noFill/>
                  </pic:spPr>
                </pic:pic>
              </a:graphicData>
            </a:graphic>
          </wp:anchor>
        </w:drawing>
      </w:r>
    </w:p>
    <w:p>
      <w:pPr>
        <w:spacing w:after="0" w:line="227" w:lineRule="exact"/>
        <w:rPr>
          <w:sz w:val="20"/>
          <w:szCs w:val="20"/>
          <w:color w:val="auto"/>
        </w:rPr>
      </w:pPr>
    </w:p>
    <w:p>
      <w:pPr>
        <w:ind w:left="80" w:right="100"/>
        <w:spacing w:after="0" w:line="244" w:lineRule="auto"/>
        <w:rPr>
          <w:sz w:val="20"/>
          <w:szCs w:val="20"/>
          <w:color w:val="auto"/>
        </w:rPr>
      </w:pPr>
      <w:r>
        <w:rPr>
          <w:rFonts w:ascii="Arial" w:cs="Arial" w:eastAsia="Arial" w:hAnsi="Arial"/>
          <w:sz w:val="18"/>
          <w:szCs w:val="18"/>
          <w:color w:val="auto"/>
        </w:rPr>
        <w:t>The earnings component targets consider that, as a regulated utility, we are generally unable to adjust our base retail rates outside of a rate case. As such, in years in which we do not expect a retail rate adjustment, changes in our revenues over the previous year would depend largely on factors beyond our control, such as customer growth, weather and customer usage patterns. The Committee sets earnings goals each year in support of the Company’s financial plan and growth objectives, while taking into consideration economic conditions and items that may have impacted the prior year’s actual results, such as:</w:t>
      </w:r>
    </w:p>
    <w:p>
      <w:pPr>
        <w:spacing w:after="0" w:line="149" w:lineRule="exact"/>
        <w:rPr>
          <w:sz w:val="20"/>
          <w:szCs w:val="20"/>
          <w:color w:val="auto"/>
        </w:rPr>
      </w:pPr>
    </w:p>
    <w:p>
      <w:pPr>
        <w:ind w:left="340" w:hanging="251"/>
        <w:spacing w:after="0"/>
        <w:tabs>
          <w:tab w:leader="none" w:pos="340" w:val="left"/>
        </w:tabs>
        <w:numPr>
          <w:ilvl w:val="0"/>
          <w:numId w:val="70"/>
        </w:numPr>
        <w:rPr>
          <w:rFonts w:ascii="Arial" w:cs="Arial" w:eastAsia="Arial" w:hAnsi="Arial"/>
          <w:sz w:val="18"/>
          <w:szCs w:val="18"/>
          <w:color w:val="355675"/>
        </w:rPr>
      </w:pPr>
      <w:r>
        <w:rPr>
          <w:rFonts w:ascii="Arial" w:cs="Arial" w:eastAsia="Arial" w:hAnsi="Arial"/>
          <w:sz w:val="18"/>
          <w:szCs w:val="18"/>
          <w:color w:val="auto"/>
        </w:rPr>
        <w:t>weather-related revenue</w:t>
      </w:r>
    </w:p>
    <w:p>
      <w:pPr>
        <w:spacing w:after="0" w:line="171" w:lineRule="exact"/>
        <w:rPr>
          <w:rFonts w:ascii="Arial" w:cs="Arial" w:eastAsia="Arial" w:hAnsi="Arial"/>
          <w:sz w:val="18"/>
          <w:szCs w:val="18"/>
          <w:color w:val="355675"/>
        </w:rPr>
      </w:pPr>
    </w:p>
    <w:p>
      <w:pPr>
        <w:ind w:left="340" w:hanging="251"/>
        <w:spacing w:after="0"/>
        <w:tabs>
          <w:tab w:leader="none" w:pos="340" w:val="left"/>
        </w:tabs>
        <w:numPr>
          <w:ilvl w:val="0"/>
          <w:numId w:val="70"/>
        </w:numPr>
        <w:rPr>
          <w:rFonts w:ascii="Arial" w:cs="Arial" w:eastAsia="Arial" w:hAnsi="Arial"/>
          <w:sz w:val="18"/>
          <w:szCs w:val="18"/>
          <w:color w:val="355675"/>
        </w:rPr>
      </w:pPr>
      <w:r>
        <w:rPr>
          <w:rFonts w:ascii="Arial" w:cs="Arial" w:eastAsia="Arial" w:hAnsi="Arial"/>
          <w:sz w:val="18"/>
          <w:szCs w:val="18"/>
          <w:color w:val="auto"/>
        </w:rPr>
        <w:t>state and federal regulatory or policy changes</w:t>
      </w:r>
    </w:p>
    <w:p>
      <w:pPr>
        <w:spacing w:after="0" w:line="171" w:lineRule="exact"/>
        <w:rPr>
          <w:rFonts w:ascii="Arial" w:cs="Arial" w:eastAsia="Arial" w:hAnsi="Arial"/>
          <w:sz w:val="18"/>
          <w:szCs w:val="18"/>
          <w:color w:val="355675"/>
        </w:rPr>
      </w:pPr>
    </w:p>
    <w:p>
      <w:pPr>
        <w:ind w:left="340" w:hanging="251"/>
        <w:spacing w:after="0"/>
        <w:tabs>
          <w:tab w:leader="none" w:pos="340" w:val="left"/>
        </w:tabs>
        <w:numPr>
          <w:ilvl w:val="0"/>
          <w:numId w:val="70"/>
        </w:numPr>
        <w:rPr>
          <w:rFonts w:ascii="Arial" w:cs="Arial" w:eastAsia="Arial" w:hAnsi="Arial"/>
          <w:sz w:val="18"/>
          <w:szCs w:val="18"/>
          <w:color w:val="355675"/>
        </w:rPr>
      </w:pPr>
      <w:r>
        <w:rPr>
          <w:rFonts w:ascii="Arial" w:cs="Arial" w:eastAsia="Arial" w:hAnsi="Arial"/>
          <w:sz w:val="18"/>
          <w:szCs w:val="18"/>
          <w:color w:val="auto"/>
        </w:rPr>
        <w:t>impact(s) of one-time or non-recurring items</w:t>
      </w:r>
    </w:p>
    <w:p>
      <w:pPr>
        <w:spacing w:after="0" w:line="77"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Committee reviews earnings adjustments throughout the year by considering:</w:t>
      </w:r>
    </w:p>
    <w:p>
      <w:pPr>
        <w:spacing w:after="0" w:line="185" w:lineRule="exact"/>
        <w:rPr>
          <w:sz w:val="20"/>
          <w:szCs w:val="20"/>
          <w:color w:val="auto"/>
        </w:rPr>
      </w:pPr>
    </w:p>
    <w:p>
      <w:pPr>
        <w:ind w:left="340" w:hanging="251"/>
        <w:spacing w:after="0"/>
        <w:tabs>
          <w:tab w:leader="none" w:pos="340" w:val="left"/>
        </w:tabs>
        <w:numPr>
          <w:ilvl w:val="0"/>
          <w:numId w:val="71"/>
        </w:numPr>
        <w:rPr>
          <w:rFonts w:ascii="Arial" w:cs="Arial" w:eastAsia="Arial" w:hAnsi="Arial"/>
          <w:sz w:val="18"/>
          <w:szCs w:val="18"/>
          <w:color w:val="355675"/>
        </w:rPr>
      </w:pPr>
      <w:r>
        <w:rPr>
          <w:rFonts w:ascii="Arial" w:cs="Arial" w:eastAsia="Arial" w:hAnsi="Arial"/>
          <w:sz w:val="18"/>
          <w:szCs w:val="18"/>
          <w:color w:val="auto"/>
        </w:rPr>
        <w:t>whether the item was included in the financial plan</w:t>
      </w:r>
    </w:p>
    <w:p>
      <w:pPr>
        <w:spacing w:after="0" w:line="171" w:lineRule="exact"/>
        <w:rPr>
          <w:rFonts w:ascii="Arial" w:cs="Arial" w:eastAsia="Arial" w:hAnsi="Arial"/>
          <w:sz w:val="18"/>
          <w:szCs w:val="18"/>
          <w:color w:val="355675"/>
        </w:rPr>
      </w:pPr>
    </w:p>
    <w:p>
      <w:pPr>
        <w:ind w:left="340" w:hanging="251"/>
        <w:spacing w:after="0"/>
        <w:tabs>
          <w:tab w:leader="none" w:pos="340" w:val="left"/>
        </w:tabs>
        <w:numPr>
          <w:ilvl w:val="0"/>
          <w:numId w:val="71"/>
        </w:numPr>
        <w:rPr>
          <w:rFonts w:ascii="Arial" w:cs="Arial" w:eastAsia="Arial" w:hAnsi="Arial"/>
          <w:sz w:val="18"/>
          <w:szCs w:val="18"/>
          <w:color w:val="355675"/>
        </w:rPr>
      </w:pPr>
      <w:r>
        <w:rPr>
          <w:rFonts w:ascii="Arial" w:cs="Arial" w:eastAsia="Arial" w:hAnsi="Arial"/>
          <w:sz w:val="18"/>
          <w:szCs w:val="18"/>
          <w:color w:val="auto"/>
        </w:rPr>
        <w:t>whether the item was an unanticipated event that occurred during the period (outside of management’s control)</w:t>
      </w:r>
    </w:p>
    <w:p>
      <w:pPr>
        <w:spacing w:after="0" w:line="171" w:lineRule="exact"/>
        <w:rPr>
          <w:rFonts w:ascii="Arial" w:cs="Arial" w:eastAsia="Arial" w:hAnsi="Arial"/>
          <w:sz w:val="18"/>
          <w:szCs w:val="18"/>
          <w:color w:val="355675"/>
        </w:rPr>
      </w:pPr>
    </w:p>
    <w:p>
      <w:pPr>
        <w:ind w:left="340" w:hanging="251"/>
        <w:spacing w:after="0"/>
        <w:tabs>
          <w:tab w:leader="none" w:pos="340" w:val="left"/>
        </w:tabs>
        <w:numPr>
          <w:ilvl w:val="0"/>
          <w:numId w:val="71"/>
        </w:numPr>
        <w:rPr>
          <w:rFonts w:ascii="Arial" w:cs="Arial" w:eastAsia="Arial" w:hAnsi="Arial"/>
          <w:sz w:val="18"/>
          <w:szCs w:val="18"/>
          <w:color w:val="355675"/>
        </w:rPr>
      </w:pPr>
      <w:r>
        <w:rPr>
          <w:rFonts w:ascii="Arial" w:cs="Arial" w:eastAsia="Arial" w:hAnsi="Arial"/>
          <w:sz w:val="18"/>
          <w:szCs w:val="18"/>
          <w:color w:val="auto"/>
        </w:rPr>
        <w:t>whether the item was unusual on non-recurring, including without limitation, ACC related impacts on earnings</w:t>
      </w:r>
    </w:p>
    <w:p>
      <w:pPr>
        <w:spacing w:after="0" w:line="252" w:lineRule="exact"/>
        <w:rPr>
          <w:sz w:val="20"/>
          <w:szCs w:val="20"/>
          <w:color w:val="auto"/>
        </w:rPr>
      </w:pPr>
    </w:p>
    <w:p>
      <w:pPr>
        <w:ind w:right="260"/>
        <w:spacing w:after="0" w:line="271" w:lineRule="auto"/>
        <w:rPr>
          <w:sz w:val="20"/>
          <w:szCs w:val="20"/>
          <w:color w:val="auto"/>
        </w:rPr>
      </w:pPr>
      <w:r>
        <w:rPr>
          <w:rFonts w:ascii="Arial" w:cs="Arial" w:eastAsia="Arial" w:hAnsi="Arial"/>
          <w:sz w:val="18"/>
          <w:szCs w:val="18"/>
          <w:color w:val="auto"/>
        </w:rPr>
        <w:t>Consistent with this methodology, for 2021, the Committee set threshold, target and maximum Pinnacle West and APS earnings goals at a decrease relative to 2020 actual incentive earnings in consideration of the following:</w:t>
      </w:r>
    </w:p>
    <w:p>
      <w:pPr>
        <w:spacing w:after="0" w:line="113" w:lineRule="exact"/>
        <w:rPr>
          <w:sz w:val="20"/>
          <w:szCs w:val="20"/>
          <w:color w:val="auto"/>
        </w:rPr>
      </w:pPr>
    </w:p>
    <w:p>
      <w:pPr>
        <w:ind w:left="260" w:right="40" w:hanging="252"/>
        <w:spacing w:after="0" w:line="271" w:lineRule="auto"/>
        <w:tabs>
          <w:tab w:leader="none" w:pos="260" w:val="left"/>
        </w:tabs>
        <w:numPr>
          <w:ilvl w:val="0"/>
          <w:numId w:val="72"/>
        </w:numPr>
        <w:rPr>
          <w:rFonts w:ascii="Arial" w:cs="Arial" w:eastAsia="Arial" w:hAnsi="Arial"/>
          <w:sz w:val="18"/>
          <w:szCs w:val="18"/>
          <w:color w:val="355675"/>
        </w:rPr>
      </w:pPr>
      <w:r>
        <w:rPr>
          <w:rFonts w:ascii="Arial" w:cs="Arial" w:eastAsia="Arial" w:hAnsi="Arial"/>
          <w:sz w:val="18"/>
          <w:szCs w:val="18"/>
          <w:color w:val="auto"/>
        </w:rPr>
        <w:t>inclusion of a projection of revenue and earnings impacts related to the anticipated but unknown actual impact of a decrease in base retail rates from our pending 2019 rate case decision</w:t>
      </w:r>
    </w:p>
    <w:p>
      <w:pPr>
        <w:spacing w:after="0" w:line="113" w:lineRule="exact"/>
        <w:rPr>
          <w:rFonts w:ascii="Arial" w:cs="Arial" w:eastAsia="Arial" w:hAnsi="Arial"/>
          <w:sz w:val="18"/>
          <w:szCs w:val="18"/>
          <w:color w:val="355675"/>
        </w:rPr>
      </w:pPr>
    </w:p>
    <w:p>
      <w:pPr>
        <w:ind w:left="260" w:hanging="252"/>
        <w:spacing w:after="0"/>
        <w:tabs>
          <w:tab w:leader="none" w:pos="260" w:val="left"/>
        </w:tabs>
        <w:numPr>
          <w:ilvl w:val="0"/>
          <w:numId w:val="72"/>
        </w:numPr>
        <w:rPr>
          <w:rFonts w:ascii="Arial" w:cs="Arial" w:eastAsia="Arial" w:hAnsi="Arial"/>
          <w:sz w:val="18"/>
          <w:szCs w:val="18"/>
          <w:color w:val="355675"/>
        </w:rPr>
      </w:pPr>
      <w:r>
        <w:rPr>
          <w:rFonts w:ascii="Arial" w:cs="Arial" w:eastAsia="Arial" w:hAnsi="Arial"/>
          <w:sz w:val="18"/>
          <w:szCs w:val="18"/>
          <w:color w:val="auto"/>
        </w:rPr>
        <w:t>the 2020 incentive earnings being favorably impacted by the hottest summer on record and an adjustment for a one-time expense</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72"/>
        </w:numPr>
        <w:rPr>
          <w:rFonts w:ascii="Arial" w:cs="Arial" w:eastAsia="Arial" w:hAnsi="Arial"/>
          <w:sz w:val="18"/>
          <w:szCs w:val="18"/>
          <w:color w:val="355675"/>
        </w:rPr>
      </w:pPr>
      <w:r>
        <w:rPr>
          <w:rFonts w:ascii="Arial" w:cs="Arial" w:eastAsia="Arial" w:hAnsi="Arial"/>
          <w:sz w:val="18"/>
          <w:szCs w:val="18"/>
          <w:color w:val="auto"/>
        </w:rPr>
        <w:t>a continued focus on effective cost controls and customer affordability</w:t>
      </w:r>
    </w:p>
    <w:p>
      <w:pPr>
        <w:spacing w:after="0" w:line="171" w:lineRule="exact"/>
        <w:rPr>
          <w:rFonts w:ascii="Arial" w:cs="Arial" w:eastAsia="Arial" w:hAnsi="Arial"/>
          <w:sz w:val="18"/>
          <w:szCs w:val="18"/>
          <w:color w:val="355675"/>
        </w:rPr>
      </w:pPr>
    </w:p>
    <w:p>
      <w:pPr>
        <w:jc w:val="both"/>
        <w:ind w:left="260" w:right="220" w:hanging="252"/>
        <w:spacing w:after="0" w:line="253" w:lineRule="auto"/>
        <w:tabs>
          <w:tab w:leader="none" w:pos="260" w:val="left"/>
        </w:tabs>
        <w:numPr>
          <w:ilvl w:val="0"/>
          <w:numId w:val="72"/>
        </w:numPr>
        <w:rPr>
          <w:rFonts w:ascii="Arial" w:cs="Arial" w:eastAsia="Arial" w:hAnsi="Arial"/>
          <w:sz w:val="18"/>
          <w:szCs w:val="18"/>
          <w:color w:val="355675"/>
        </w:rPr>
      </w:pPr>
      <w:r>
        <w:rPr>
          <w:rFonts w:ascii="Arial" w:cs="Arial" w:eastAsia="Arial" w:hAnsi="Arial"/>
          <w:sz w:val="18"/>
          <w:szCs w:val="18"/>
          <w:color w:val="auto"/>
        </w:rPr>
        <w:t>a forecast of annual retail electricity sales growth to be in the range of 0.5% - 1.5% based on COVID recovery expectations of growth in commercial and industrial sales and a return to a more historical residential usage level as compared to 2020 impacts of COVID remote work and school policies</w:t>
      </w:r>
    </w:p>
    <w:p>
      <w:pPr>
        <w:spacing w:after="0" w:line="142" w:lineRule="exact"/>
        <w:rPr>
          <w:sz w:val="20"/>
          <w:szCs w:val="20"/>
          <w:color w:val="auto"/>
        </w:rPr>
      </w:pPr>
    </w:p>
    <w:p>
      <w:pPr>
        <w:ind w:right="80"/>
        <w:spacing w:after="0" w:line="271" w:lineRule="auto"/>
        <w:rPr>
          <w:sz w:val="20"/>
          <w:szCs w:val="20"/>
          <w:color w:val="auto"/>
        </w:rPr>
      </w:pPr>
      <w:r>
        <w:rPr>
          <w:rFonts w:ascii="Arial" w:cs="Arial" w:eastAsia="Arial" w:hAnsi="Arial"/>
          <w:sz w:val="18"/>
          <w:szCs w:val="18"/>
          <w:color w:val="auto"/>
        </w:rPr>
        <w:t>For 2021, we set the APS earnings target at $ 533 million, a decrease from 2020 actual incentive earnings of $587.7 million. Likewise, we set Pinnacle West’s 2021 earnings target at $514 million, compared to Pinnacle West’s 2020 actual incentive earnings of $569.5 million.</w:t>
      </w:r>
    </w:p>
    <w:p>
      <w:pPr>
        <w:spacing w:after="0" w:line="149"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2021 PNW AND APS INCENTIVE PLAN RESULTS – EARNINGS</w:t>
      </w:r>
    </w:p>
    <w:p>
      <w:pPr>
        <w:spacing w:after="0" w:line="166" w:lineRule="exact"/>
        <w:rPr>
          <w:sz w:val="20"/>
          <w:szCs w:val="20"/>
          <w:color w:val="auto"/>
        </w:rPr>
      </w:pPr>
    </w:p>
    <w:p>
      <w:pPr>
        <w:ind w:right="960"/>
        <w:spacing w:after="0" w:line="271" w:lineRule="auto"/>
        <w:rPr>
          <w:sz w:val="20"/>
          <w:szCs w:val="20"/>
          <w:color w:val="auto"/>
        </w:rPr>
      </w:pPr>
      <w:r>
        <w:rPr>
          <w:rFonts w:ascii="Arial" w:cs="Arial" w:eastAsia="Arial" w:hAnsi="Arial"/>
          <w:sz w:val="18"/>
          <w:szCs w:val="18"/>
          <w:color w:val="auto"/>
        </w:rPr>
        <w:t>Actual earnings for Pinnacle West and APS for incentive plan purposes were 200% of target, at $618.7 million and $632.3 million, respectively, as shown on page 70. The 2021 earnings results were driven primarily by:</w:t>
      </w:r>
    </w:p>
    <w:p>
      <w:pPr>
        <w:spacing w:after="0" w:line="113" w:lineRule="exact"/>
        <w:rPr>
          <w:sz w:val="20"/>
          <w:szCs w:val="20"/>
          <w:color w:val="auto"/>
        </w:rPr>
      </w:pPr>
    </w:p>
    <w:p>
      <w:pPr>
        <w:ind w:left="260" w:hanging="252"/>
        <w:spacing w:after="0"/>
        <w:tabs>
          <w:tab w:leader="none" w:pos="260" w:val="left"/>
        </w:tabs>
        <w:numPr>
          <w:ilvl w:val="0"/>
          <w:numId w:val="73"/>
        </w:numPr>
        <w:rPr>
          <w:rFonts w:ascii="Arial" w:cs="Arial" w:eastAsia="Arial" w:hAnsi="Arial"/>
          <w:sz w:val="18"/>
          <w:szCs w:val="18"/>
          <w:color w:val="355675"/>
        </w:rPr>
      </w:pPr>
      <w:r>
        <w:rPr>
          <w:rFonts w:ascii="Arial" w:cs="Arial" w:eastAsia="Arial" w:hAnsi="Arial"/>
          <w:sz w:val="18"/>
          <w:szCs w:val="18"/>
          <w:color w:val="auto"/>
        </w:rPr>
        <w:t>commercial and industrial sales recovery to historical levels</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73"/>
        </w:numPr>
        <w:rPr>
          <w:rFonts w:ascii="Arial" w:cs="Arial" w:eastAsia="Arial" w:hAnsi="Arial"/>
          <w:sz w:val="18"/>
          <w:szCs w:val="18"/>
          <w:color w:val="355675"/>
        </w:rPr>
      </w:pPr>
      <w:r>
        <w:rPr>
          <w:rFonts w:ascii="Arial" w:cs="Arial" w:eastAsia="Arial" w:hAnsi="Arial"/>
          <w:sz w:val="18"/>
          <w:szCs w:val="18"/>
          <w:color w:val="auto"/>
        </w:rPr>
        <w:t>residential sales significantly higher than forecasted due to on-going COVID remote work and school policies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424815</wp:posOffset>
            </wp:positionH>
            <wp:positionV relativeFrom="paragraph">
              <wp:posOffset>128905</wp:posOffset>
            </wp:positionV>
            <wp:extent cx="6300470" cy="97726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6300470" cy="977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260" w:right="80" w:hanging="252"/>
        <w:spacing w:after="0" w:line="271" w:lineRule="auto"/>
        <w:tabs>
          <w:tab w:leader="none" w:pos="260" w:val="left"/>
        </w:tabs>
        <w:numPr>
          <w:ilvl w:val="0"/>
          <w:numId w:val="74"/>
        </w:numPr>
        <w:rPr>
          <w:rFonts w:ascii="Arial" w:cs="Arial" w:eastAsia="Arial" w:hAnsi="Arial"/>
          <w:sz w:val="18"/>
          <w:szCs w:val="18"/>
          <w:color w:val="355675"/>
        </w:rPr>
      </w:pPr>
      <w:r>
        <w:rPr>
          <w:rFonts w:ascii="Arial" w:cs="Arial" w:eastAsia="Arial" w:hAnsi="Arial"/>
          <w:sz w:val="18"/>
          <w:szCs w:val="18"/>
          <w:color w:val="auto"/>
        </w:rPr>
        <w:t>2021 incentive earning results would have been unchanged if no adjustments (as discussed above) were made during the 2021 Incentive Plans target setting process</w:t>
      </w:r>
    </w:p>
    <w:p>
      <w:pPr>
        <w:spacing w:after="0" w:line="150"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69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78" w:name="page79"/>
    <w:bookmarkEnd w:id="7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71" w:lineRule="exact"/>
        <w:rPr>
          <w:sz w:val="20"/>
          <w:szCs w:val="20"/>
          <w:color w:val="auto"/>
        </w:rPr>
      </w:pPr>
    </w:p>
    <w:p>
      <w:pPr>
        <w:ind w:right="100"/>
        <w:spacing w:after="0" w:line="247" w:lineRule="auto"/>
        <w:rPr>
          <w:sz w:val="20"/>
          <w:szCs w:val="20"/>
          <w:color w:val="auto"/>
        </w:rPr>
      </w:pPr>
      <w:r>
        <w:rPr>
          <w:rFonts w:ascii="Arial" w:cs="Arial" w:eastAsia="Arial" w:hAnsi="Arial"/>
          <w:sz w:val="18"/>
          <w:szCs w:val="18"/>
          <w:color w:val="auto"/>
        </w:rPr>
        <w:t>The earnings portion of the annual cash incentive for Mr. Guldner as CEO was determined based on Pinnacle West earnings weighted at 50% of the award. For all NEOs other than the CEO, the earnings portion of the annual cash incentive was determined based on APS earnings and weighted at 50% of the award. The APS Incentive Plan provides that if the threshold earnings number is not met, no incentive payment will be awarded, regardless of business unit performance.</w:t>
      </w:r>
    </w:p>
    <w:p>
      <w:pPr>
        <w:spacing w:after="0" w:line="147" w:lineRule="exact"/>
        <w:rPr>
          <w:sz w:val="20"/>
          <w:szCs w:val="20"/>
          <w:color w:val="auto"/>
        </w:rPr>
      </w:pPr>
    </w:p>
    <w:p>
      <w:pPr>
        <w:jc w:val="both"/>
        <w:ind w:right="80"/>
        <w:spacing w:after="0" w:line="253" w:lineRule="auto"/>
        <w:rPr>
          <w:sz w:val="20"/>
          <w:szCs w:val="20"/>
          <w:color w:val="auto"/>
        </w:rPr>
      </w:pPr>
      <w:r>
        <w:rPr>
          <w:rFonts w:ascii="Arial" w:cs="Arial" w:eastAsia="Arial" w:hAnsi="Arial"/>
          <w:sz w:val="18"/>
          <w:szCs w:val="18"/>
          <w:color w:val="auto"/>
        </w:rPr>
        <w:t>The Palo Verde Incentive Plan provides that if the threshold earnings number is not met, the APS earnings portion of the incentive payment will not be awarded. In addition, under the Palo Verde Incentive Plan, PVGS’s overall business unit performance was required to achieve at least 100% of the target level for 2021 before Ms. Lacal could receive any payout under the APS earnings portion.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424815</wp:posOffset>
            </wp:positionH>
            <wp:positionV relativeFrom="paragraph">
              <wp:posOffset>93345</wp:posOffset>
            </wp:positionV>
            <wp:extent cx="6300470" cy="263207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6300470" cy="2632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line="247" w:lineRule="auto"/>
        <w:rPr>
          <w:sz w:val="20"/>
          <w:szCs w:val="20"/>
          <w:color w:val="auto"/>
        </w:rPr>
      </w:pPr>
      <w:r>
        <w:rPr>
          <w:rFonts w:ascii="Arial" w:cs="Arial" w:eastAsia="Arial" w:hAnsi="Arial"/>
          <w:sz w:val="18"/>
          <w:szCs w:val="18"/>
          <w:color w:val="auto"/>
        </w:rPr>
        <w:t>Under the terms of the 2021 Incentive Plans, the Committee may adjust plan targets or incentive results and may make other changes to the plan deemed necessary or appropriate due to unanticipated events that arise during the performance period or unusual or non-recurring adjustments on actual earnings that arise during the performance period, including without limitation, ACC rate-related impacts on earnings. The Committee did not make any adjustments to PNW and APS 2021 earnings.</w:t>
      </w:r>
    </w:p>
    <w:p>
      <w:pPr>
        <w:spacing w:after="0" w:line="169"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Business Unit Component Target Setting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143510</wp:posOffset>
            </wp:positionV>
            <wp:extent cx="7195820" cy="228028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7195820" cy="2280285"/>
                    </a:xfrm>
                    <a:prstGeom prst="rect">
                      <a:avLst/>
                    </a:prstGeom>
                    <a:noFill/>
                  </pic:spPr>
                </pic:pic>
              </a:graphicData>
            </a:graphic>
          </wp:anchor>
        </w:drawing>
      </w:r>
    </w:p>
    <w:p>
      <w:pPr>
        <w:spacing w:after="0" w:line="241" w:lineRule="exact"/>
        <w:rPr>
          <w:sz w:val="20"/>
          <w:szCs w:val="20"/>
          <w:color w:val="auto"/>
        </w:rPr>
      </w:pPr>
    </w:p>
    <w:p>
      <w:pPr>
        <w:ind w:left="60" w:right="300"/>
        <w:spacing w:after="0" w:line="271" w:lineRule="auto"/>
        <w:rPr>
          <w:sz w:val="20"/>
          <w:szCs w:val="20"/>
          <w:color w:val="auto"/>
        </w:rPr>
      </w:pPr>
      <w:r>
        <w:rPr>
          <w:rFonts w:ascii="Arial" w:cs="Arial" w:eastAsia="Arial" w:hAnsi="Arial"/>
          <w:sz w:val="18"/>
          <w:szCs w:val="18"/>
          <w:color w:val="auto"/>
        </w:rPr>
        <w:t>The Committee and the Board review and discuss the metrics and target recommendations to ensure appropriate rigor and alignment to business strategy and the financial plan.</w:t>
      </w:r>
    </w:p>
    <w:p>
      <w:pPr>
        <w:spacing w:after="0" w:line="127" w:lineRule="exact"/>
        <w:rPr>
          <w:sz w:val="20"/>
          <w:szCs w:val="20"/>
          <w:color w:val="auto"/>
        </w:rPr>
      </w:pPr>
    </w:p>
    <w:p>
      <w:pPr>
        <w:ind w:left="60" w:right="320"/>
        <w:spacing w:after="0" w:line="271" w:lineRule="auto"/>
        <w:rPr>
          <w:sz w:val="20"/>
          <w:szCs w:val="20"/>
          <w:color w:val="auto"/>
        </w:rPr>
      </w:pPr>
      <w:r>
        <w:rPr>
          <w:rFonts w:ascii="Arial" w:cs="Arial" w:eastAsia="Arial" w:hAnsi="Arial"/>
          <w:sz w:val="18"/>
          <w:szCs w:val="18"/>
          <w:color w:val="auto"/>
        </w:rPr>
        <w:t>The Company reviews enterprise shared and business unit specific metrics as part of the strategic business planning process to ensure alignment with the APS Promise, long-term issues and strategic priorities.</w:t>
      </w:r>
    </w:p>
    <w:p>
      <w:pPr>
        <w:spacing w:after="0" w:line="113" w:lineRule="exact"/>
        <w:rPr>
          <w:sz w:val="20"/>
          <w:szCs w:val="20"/>
          <w:color w:val="auto"/>
        </w:rPr>
      </w:pPr>
    </w:p>
    <w:p>
      <w:pPr>
        <w:ind w:left="60"/>
        <w:spacing w:after="0"/>
        <w:rPr>
          <w:sz w:val="20"/>
          <w:szCs w:val="20"/>
          <w:color w:val="auto"/>
        </w:rPr>
      </w:pPr>
      <w:r>
        <w:rPr>
          <w:rFonts w:ascii="Arial" w:cs="Arial" w:eastAsia="Arial" w:hAnsi="Arial"/>
          <w:sz w:val="18"/>
          <w:szCs w:val="18"/>
          <w:color w:val="auto"/>
        </w:rPr>
        <w:t>The goal-setting process considers objective measures to set achievement levels based on:</w:t>
      </w:r>
    </w:p>
    <w:p>
      <w:pPr>
        <w:spacing w:after="0" w:line="171" w:lineRule="exact"/>
        <w:rPr>
          <w:sz w:val="20"/>
          <w:szCs w:val="20"/>
          <w:color w:val="auto"/>
        </w:rPr>
      </w:pPr>
    </w:p>
    <w:p>
      <w:pPr>
        <w:ind w:left="320" w:hanging="258"/>
        <w:spacing w:after="0"/>
        <w:tabs>
          <w:tab w:leader="none" w:pos="320" w:val="left"/>
        </w:tabs>
        <w:numPr>
          <w:ilvl w:val="0"/>
          <w:numId w:val="75"/>
        </w:numPr>
        <w:rPr>
          <w:rFonts w:ascii="Arial" w:cs="Arial" w:eastAsia="Arial" w:hAnsi="Arial"/>
          <w:sz w:val="18"/>
          <w:szCs w:val="18"/>
          <w:color w:val="355675"/>
        </w:rPr>
      </w:pPr>
      <w:r>
        <w:rPr>
          <w:rFonts w:ascii="Arial" w:cs="Arial" w:eastAsia="Arial" w:hAnsi="Arial"/>
          <w:sz w:val="18"/>
          <w:szCs w:val="18"/>
          <w:color w:val="auto"/>
        </w:rPr>
        <w:t>industry benchmarks with the objective of delivering top quartile performance</w:t>
      </w:r>
    </w:p>
    <w:p>
      <w:pPr>
        <w:spacing w:after="0" w:line="171" w:lineRule="exact"/>
        <w:rPr>
          <w:rFonts w:ascii="Arial" w:cs="Arial" w:eastAsia="Arial" w:hAnsi="Arial"/>
          <w:sz w:val="18"/>
          <w:szCs w:val="18"/>
          <w:color w:val="355675"/>
        </w:rPr>
      </w:pPr>
    </w:p>
    <w:p>
      <w:pPr>
        <w:ind w:left="320" w:hanging="258"/>
        <w:spacing w:after="0"/>
        <w:tabs>
          <w:tab w:leader="none" w:pos="320" w:val="left"/>
        </w:tabs>
        <w:numPr>
          <w:ilvl w:val="0"/>
          <w:numId w:val="75"/>
        </w:numPr>
        <w:rPr>
          <w:rFonts w:ascii="Arial" w:cs="Arial" w:eastAsia="Arial" w:hAnsi="Arial"/>
          <w:sz w:val="18"/>
          <w:szCs w:val="18"/>
          <w:color w:val="355675"/>
        </w:rPr>
      </w:pPr>
      <w:r>
        <w:rPr>
          <w:rFonts w:ascii="Arial" w:cs="Arial" w:eastAsia="Arial" w:hAnsi="Arial"/>
          <w:sz w:val="18"/>
          <w:szCs w:val="18"/>
          <w:color w:val="auto"/>
        </w:rPr>
        <w:t>previous performance and opportunities to improve performance</w:t>
      </w:r>
    </w:p>
    <w:p>
      <w:pPr>
        <w:spacing w:after="0" w:line="171" w:lineRule="exact"/>
        <w:rPr>
          <w:rFonts w:ascii="Arial" w:cs="Arial" w:eastAsia="Arial" w:hAnsi="Arial"/>
          <w:sz w:val="18"/>
          <w:szCs w:val="18"/>
          <w:color w:val="355675"/>
        </w:rPr>
      </w:pPr>
    </w:p>
    <w:p>
      <w:pPr>
        <w:ind w:left="320" w:hanging="258"/>
        <w:spacing w:after="0"/>
        <w:tabs>
          <w:tab w:leader="none" w:pos="320" w:val="left"/>
        </w:tabs>
        <w:numPr>
          <w:ilvl w:val="0"/>
          <w:numId w:val="75"/>
        </w:numPr>
        <w:rPr>
          <w:rFonts w:ascii="Arial" w:cs="Arial" w:eastAsia="Arial" w:hAnsi="Arial"/>
          <w:sz w:val="18"/>
          <w:szCs w:val="18"/>
          <w:color w:val="355675"/>
        </w:rPr>
      </w:pPr>
      <w:r>
        <w:rPr>
          <w:rFonts w:ascii="Arial" w:cs="Arial" w:eastAsia="Arial" w:hAnsi="Arial"/>
          <w:sz w:val="18"/>
          <w:szCs w:val="18"/>
          <w:color w:val="auto"/>
        </w:rPr>
        <w:t>internal trends and external considerations</w:t>
      </w:r>
    </w:p>
    <w:p>
      <w:pPr>
        <w:spacing w:after="0" w:line="171" w:lineRule="exact"/>
        <w:rPr>
          <w:rFonts w:ascii="Arial" w:cs="Arial" w:eastAsia="Arial" w:hAnsi="Arial"/>
          <w:sz w:val="18"/>
          <w:szCs w:val="18"/>
          <w:color w:val="355675"/>
        </w:rPr>
      </w:pPr>
    </w:p>
    <w:p>
      <w:pPr>
        <w:ind w:left="320" w:hanging="258"/>
        <w:spacing w:after="0"/>
        <w:tabs>
          <w:tab w:leader="none" w:pos="320" w:val="left"/>
        </w:tabs>
        <w:numPr>
          <w:ilvl w:val="0"/>
          <w:numId w:val="75"/>
        </w:numPr>
        <w:rPr>
          <w:rFonts w:ascii="Arial" w:cs="Arial" w:eastAsia="Arial" w:hAnsi="Arial"/>
          <w:sz w:val="18"/>
          <w:szCs w:val="18"/>
          <w:color w:val="355675"/>
        </w:rPr>
      </w:pPr>
      <w:r>
        <w:rPr>
          <w:rFonts w:ascii="Arial" w:cs="Arial" w:eastAsia="Arial" w:hAnsi="Arial"/>
          <w:sz w:val="18"/>
          <w:szCs w:val="18"/>
          <w:color w:val="auto"/>
        </w:rPr>
        <w:t>goals to stretch and motivate performance improvement</w:t>
      </w:r>
    </w:p>
    <w:p>
      <w:pPr>
        <w:spacing w:after="0" w:line="185" w:lineRule="exact"/>
        <w:rPr>
          <w:sz w:val="20"/>
          <w:szCs w:val="20"/>
          <w:color w:val="auto"/>
        </w:rPr>
      </w:pPr>
    </w:p>
    <w:p>
      <w:pPr>
        <w:ind w:left="60" w:right="20"/>
        <w:spacing w:after="0" w:line="271" w:lineRule="auto"/>
        <w:rPr>
          <w:sz w:val="20"/>
          <w:szCs w:val="20"/>
          <w:color w:val="auto"/>
        </w:rPr>
      </w:pPr>
      <w:r>
        <w:rPr>
          <w:rFonts w:ascii="Arial" w:cs="Arial" w:eastAsia="Arial" w:hAnsi="Arial"/>
          <w:sz w:val="18"/>
          <w:szCs w:val="18"/>
          <w:color w:val="auto"/>
        </w:rPr>
        <w:t>Enterprise shared and specific business unit metrics are tied to the mission pillars of the APS Promise: Culture; Reliable; Customer Centric; Clean; and Affordable.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135255</wp:posOffset>
            </wp:positionV>
            <wp:extent cx="1191260" cy="23114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8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160"/>
          </w:cols>
          <w:pgMar w:left="320" w:top="125" w:right="419" w:bottom="1440" w:gutter="0" w:footer="0" w:header="0"/>
        </w:sectPr>
      </w:pPr>
    </w:p>
    <w:bookmarkStart w:id="79" w:name="page80"/>
    <w:bookmarkEnd w:id="7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9100"/>
        <w:spacing w:after="0"/>
        <w:rPr>
          <w:sz w:val="20"/>
          <w:szCs w:val="20"/>
          <w:color w:val="auto"/>
        </w:rPr>
      </w:pPr>
      <w:r>
        <w:rPr>
          <w:rFonts w:ascii="Arial" w:cs="Arial" w:eastAsia="Arial" w:hAnsi="Arial"/>
          <w:sz w:val="18"/>
          <w:szCs w:val="18"/>
          <w:b w:val="1"/>
          <w:bCs w:val="1"/>
          <w:color w:val="355675"/>
        </w:rPr>
        <w:t>Executive Compensation</w:t>
      </w:r>
    </w:p>
    <w:p>
      <w:pPr>
        <w:spacing w:after="0" w:line="171" w:lineRule="exact"/>
        <w:rPr>
          <w:sz w:val="20"/>
          <w:szCs w:val="20"/>
          <w:color w:val="auto"/>
        </w:rPr>
      </w:pPr>
    </w:p>
    <w:p>
      <w:pPr>
        <w:ind w:right="100"/>
        <w:spacing w:after="0" w:line="253" w:lineRule="auto"/>
        <w:rPr>
          <w:sz w:val="20"/>
          <w:szCs w:val="20"/>
          <w:color w:val="auto"/>
        </w:rPr>
      </w:pPr>
      <w:r>
        <w:rPr>
          <w:rFonts w:ascii="Arial" w:cs="Arial" w:eastAsia="Arial" w:hAnsi="Arial"/>
          <w:sz w:val="18"/>
          <w:szCs w:val="18"/>
          <w:color w:val="auto"/>
        </w:rPr>
        <w:t>For 2021, we revised several of our metrics to shared enterprise-wide metrics to align with our principles and execution of strategic priorities. The 2021 Incentive Plans business unit performance for the NEOs (excluding Ms. Lacal) was measured sixty percent on five shared enterprise metrics and the remaining forty percent on specific metrics aligned with the business unit(s) the officer supports.</w:t>
      </w:r>
    </w:p>
    <w:p>
      <w:pPr>
        <w:spacing w:after="0" w:line="142" w:lineRule="exact"/>
        <w:rPr>
          <w:sz w:val="20"/>
          <w:szCs w:val="20"/>
          <w:color w:val="auto"/>
        </w:rPr>
      </w:pPr>
    </w:p>
    <w:p>
      <w:pPr>
        <w:ind w:left="260" w:hanging="252"/>
        <w:spacing w:after="0"/>
        <w:tabs>
          <w:tab w:leader="none" w:pos="260" w:val="left"/>
        </w:tabs>
        <w:numPr>
          <w:ilvl w:val="0"/>
          <w:numId w:val="76"/>
        </w:numPr>
        <w:rPr>
          <w:rFonts w:ascii="Arial" w:cs="Arial" w:eastAsia="Arial" w:hAnsi="Arial"/>
          <w:sz w:val="18"/>
          <w:szCs w:val="18"/>
          <w:color w:val="355675"/>
        </w:rPr>
      </w:pPr>
      <w:r>
        <w:rPr>
          <w:rFonts w:ascii="Arial" w:cs="Arial" w:eastAsia="Arial" w:hAnsi="Arial"/>
          <w:sz w:val="18"/>
          <w:szCs w:val="18"/>
          <w:color w:val="auto"/>
        </w:rPr>
        <w:t>Mr. Guldner was evaluated against the shared enterprise metrics and an average of the five business specific areas</w:t>
      </w:r>
    </w:p>
    <w:p>
      <w:pPr>
        <w:spacing w:after="0" w:line="171" w:lineRule="exact"/>
        <w:rPr>
          <w:rFonts w:ascii="Arial" w:cs="Arial" w:eastAsia="Arial" w:hAnsi="Arial"/>
          <w:sz w:val="18"/>
          <w:szCs w:val="18"/>
          <w:color w:val="355675"/>
        </w:rPr>
      </w:pPr>
    </w:p>
    <w:p>
      <w:pPr>
        <w:ind w:left="260" w:hanging="252"/>
        <w:spacing w:after="0"/>
        <w:tabs>
          <w:tab w:leader="none" w:pos="260" w:val="left"/>
        </w:tabs>
        <w:numPr>
          <w:ilvl w:val="0"/>
          <w:numId w:val="76"/>
        </w:numPr>
        <w:rPr>
          <w:rFonts w:ascii="Arial" w:cs="Arial" w:eastAsia="Arial" w:hAnsi="Arial"/>
          <w:sz w:val="18"/>
          <w:szCs w:val="18"/>
          <w:color w:val="355675"/>
        </w:rPr>
      </w:pPr>
      <w:r>
        <w:rPr>
          <w:rFonts w:ascii="Arial" w:cs="Arial" w:eastAsia="Arial" w:hAnsi="Arial"/>
          <w:sz w:val="18"/>
          <w:szCs w:val="18"/>
          <w:color w:val="auto"/>
        </w:rPr>
        <w:t>Ms. Lacal was measured on PVGS business area metrics</w:t>
      </w:r>
    </w:p>
    <w:p>
      <w:pPr>
        <w:spacing w:after="0" w:line="206"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2021 PNW and APS Incentive Plan Results – Business Unit Metrics</w:t>
      </w:r>
    </w:p>
    <w:p>
      <w:pPr>
        <w:spacing w:after="0" w:line="191" w:lineRule="exact"/>
        <w:rPr>
          <w:sz w:val="20"/>
          <w:szCs w:val="20"/>
          <w:color w:val="auto"/>
        </w:rPr>
      </w:pPr>
    </w:p>
    <w:p>
      <w:pPr>
        <w:ind w:right="340"/>
        <w:spacing w:after="0" w:line="271" w:lineRule="auto"/>
        <w:rPr>
          <w:sz w:val="20"/>
          <w:szCs w:val="20"/>
          <w:color w:val="auto"/>
        </w:rPr>
      </w:pPr>
      <w:r>
        <w:rPr>
          <w:rFonts w:ascii="Arial" w:cs="Arial" w:eastAsia="Arial" w:hAnsi="Arial"/>
          <w:sz w:val="18"/>
          <w:szCs w:val="18"/>
          <w:color w:val="auto"/>
        </w:rPr>
        <w:t>The 2021 average of all business unit metrics performance for 2021 was 96% of target compared to 130% of target in 2020. Performance includes adjustments for prudent business decisions, as described further below.</w:t>
      </w:r>
    </w:p>
    <w:p>
      <w:pPr>
        <w:spacing w:after="0" w:line="150" w:lineRule="exact"/>
        <w:rPr>
          <w:sz w:val="20"/>
          <w:szCs w:val="20"/>
          <w:color w:val="auto"/>
        </w:rPr>
      </w:pPr>
    </w:p>
    <w:tbl>
      <w:tblPr>
        <w:tblLayout w:type="fixed"/>
        <w:tblInd w:w="0" w:type="dxa"/>
        <w:tblCellMar>
          <w:top w:w="0" w:type="dxa"/>
          <w:left w:w="0" w:type="dxa"/>
          <w:bottom w:w="0" w:type="dxa"/>
          <w:right w:w="0" w:type="dxa"/>
        </w:tblCellMar>
      </w:tblPr>
      <w:tr>
        <w:trPr>
          <w:trHeight w:val="219"/>
        </w:trPr>
        <w:tc>
          <w:tcPr>
            <w:tcW w:w="3580" w:type="dxa"/>
            <w:vAlign w:val="bottom"/>
          </w:tcPr>
          <w:p>
            <w:pPr>
              <w:spacing w:after="0"/>
              <w:rPr>
                <w:sz w:val="19"/>
                <w:szCs w:val="19"/>
                <w:color w:val="auto"/>
              </w:rPr>
            </w:pPr>
          </w:p>
        </w:tc>
        <w:tc>
          <w:tcPr>
            <w:tcW w:w="1340" w:type="dxa"/>
            <w:vAlign w:val="bottom"/>
            <w:tcBorders>
              <w:bottom w:val="single" w:sz="8" w:color="355675"/>
            </w:tcBorders>
          </w:tcPr>
          <w:p>
            <w:pPr>
              <w:spacing w:after="0"/>
              <w:rPr>
                <w:sz w:val="19"/>
                <w:szCs w:val="19"/>
                <w:color w:val="auto"/>
              </w:rPr>
            </w:pPr>
          </w:p>
        </w:tc>
        <w:tc>
          <w:tcPr>
            <w:tcW w:w="1260" w:type="dxa"/>
            <w:vAlign w:val="bottom"/>
            <w:tcBorders>
              <w:bottom w:val="single" w:sz="8" w:color="355675"/>
            </w:tcBorders>
          </w:tcPr>
          <w:p>
            <w:pPr>
              <w:spacing w:after="0"/>
              <w:rPr>
                <w:sz w:val="19"/>
                <w:szCs w:val="19"/>
                <w:color w:val="auto"/>
              </w:rPr>
            </w:pPr>
          </w:p>
        </w:tc>
        <w:tc>
          <w:tcPr>
            <w:tcW w:w="2920" w:type="dxa"/>
            <w:vAlign w:val="bottom"/>
            <w:tcBorders>
              <w:bottom w:val="single" w:sz="8" w:color="355675"/>
            </w:tcBorders>
            <w:gridSpan w:val="2"/>
          </w:tcPr>
          <w:p>
            <w:pPr>
              <w:jc w:val="right"/>
              <w:ind w:right="684"/>
              <w:spacing w:after="0"/>
              <w:rPr>
                <w:sz w:val="20"/>
                <w:szCs w:val="20"/>
                <w:color w:val="auto"/>
              </w:rPr>
            </w:pPr>
            <w:r>
              <w:rPr>
                <w:rFonts w:ascii="Arial" w:cs="Arial" w:eastAsia="Arial" w:hAnsi="Arial"/>
                <w:sz w:val="14"/>
                <w:szCs w:val="14"/>
                <w:b w:val="1"/>
                <w:bCs w:val="1"/>
                <w:color w:val="355675"/>
              </w:rPr>
              <w:t>Business Unit Performance</w:t>
            </w:r>
          </w:p>
        </w:tc>
        <w:tc>
          <w:tcPr>
            <w:tcW w:w="1180" w:type="dxa"/>
            <w:vAlign w:val="bottom"/>
            <w:tcBorders>
              <w:bottom w:val="single" w:sz="8" w:color="355675"/>
            </w:tcBorders>
          </w:tcPr>
          <w:p>
            <w:pPr>
              <w:spacing w:after="0"/>
              <w:rPr>
                <w:sz w:val="19"/>
                <w:szCs w:val="19"/>
                <w:color w:val="auto"/>
              </w:rPr>
            </w:pPr>
          </w:p>
        </w:tc>
        <w:tc>
          <w:tcPr>
            <w:tcW w:w="960" w:type="dxa"/>
            <w:vAlign w:val="bottom"/>
            <w:tcBorders>
              <w:bottom w:val="single" w:sz="8" w:color="355675"/>
            </w:tcBorders>
          </w:tcPr>
          <w:p>
            <w:pPr>
              <w:spacing w:after="0"/>
              <w:rPr>
                <w:sz w:val="19"/>
                <w:szCs w:val="19"/>
                <w:color w:val="auto"/>
              </w:rPr>
            </w:pPr>
          </w:p>
        </w:tc>
      </w:tr>
      <w:tr>
        <w:trPr>
          <w:trHeight w:val="180"/>
        </w:trPr>
        <w:tc>
          <w:tcPr>
            <w:tcW w:w="3580" w:type="dxa"/>
            <w:vAlign w:val="bottom"/>
          </w:tcPr>
          <w:p>
            <w:pPr>
              <w:spacing w:after="0"/>
              <w:rPr>
                <w:sz w:val="15"/>
                <w:szCs w:val="15"/>
                <w:color w:val="auto"/>
              </w:rPr>
            </w:pPr>
          </w:p>
        </w:tc>
        <w:tc>
          <w:tcPr>
            <w:tcW w:w="1340" w:type="dxa"/>
            <w:vAlign w:val="bottom"/>
          </w:tcPr>
          <w:p>
            <w:pPr>
              <w:jc w:val="right"/>
              <w:ind w:right="184"/>
              <w:spacing w:after="0"/>
              <w:rPr>
                <w:sz w:val="20"/>
                <w:szCs w:val="20"/>
                <w:color w:val="auto"/>
              </w:rPr>
            </w:pPr>
            <w:r>
              <w:rPr>
                <w:rFonts w:ascii="Arial" w:cs="Arial" w:eastAsia="Arial" w:hAnsi="Arial"/>
                <w:sz w:val="14"/>
                <w:szCs w:val="14"/>
                <w:b w:val="1"/>
                <w:bCs w:val="1"/>
                <w:color w:val="355675"/>
              </w:rPr>
              <w:t>Corporate</w:t>
            </w:r>
          </w:p>
        </w:tc>
        <w:tc>
          <w:tcPr>
            <w:tcW w:w="1260" w:type="dxa"/>
            <w:vAlign w:val="bottom"/>
          </w:tcPr>
          <w:p>
            <w:pPr>
              <w:jc w:val="right"/>
              <w:ind w:right="124"/>
              <w:spacing w:after="0"/>
              <w:rPr>
                <w:sz w:val="20"/>
                <w:szCs w:val="20"/>
                <w:color w:val="auto"/>
              </w:rPr>
            </w:pPr>
            <w:r>
              <w:rPr>
                <w:rFonts w:ascii="Arial" w:cs="Arial" w:eastAsia="Arial" w:hAnsi="Arial"/>
                <w:sz w:val="14"/>
                <w:szCs w:val="14"/>
                <w:b w:val="1"/>
                <w:bCs w:val="1"/>
                <w:color w:val="355675"/>
              </w:rPr>
              <w:t>Customer</w:t>
            </w:r>
          </w:p>
        </w:tc>
        <w:tc>
          <w:tcPr>
            <w:tcW w:w="1320" w:type="dxa"/>
            <w:vAlign w:val="bottom"/>
          </w:tcPr>
          <w:p>
            <w:pPr>
              <w:jc w:val="right"/>
              <w:ind w:right="105"/>
              <w:spacing w:after="0"/>
              <w:rPr>
                <w:sz w:val="20"/>
                <w:szCs w:val="20"/>
                <w:color w:val="auto"/>
              </w:rPr>
            </w:pPr>
            <w:r>
              <w:rPr>
                <w:rFonts w:ascii="Arial" w:cs="Arial" w:eastAsia="Arial" w:hAnsi="Arial"/>
                <w:sz w:val="14"/>
                <w:szCs w:val="14"/>
                <w:b w:val="1"/>
                <w:bCs w:val="1"/>
                <w:color w:val="355675"/>
              </w:rPr>
              <w:t>Generation</w:t>
            </w:r>
          </w:p>
        </w:tc>
        <w:tc>
          <w:tcPr>
            <w:tcW w:w="1600" w:type="dxa"/>
            <w:vAlign w:val="bottom"/>
          </w:tcPr>
          <w:p>
            <w:pPr>
              <w:jc w:val="right"/>
              <w:ind w:right="384"/>
              <w:spacing w:after="0"/>
              <w:rPr>
                <w:sz w:val="20"/>
                <w:szCs w:val="20"/>
                <w:color w:val="auto"/>
              </w:rPr>
            </w:pPr>
            <w:r>
              <w:rPr>
                <w:rFonts w:ascii="Arial" w:cs="Arial" w:eastAsia="Arial" w:hAnsi="Arial"/>
                <w:sz w:val="14"/>
                <w:szCs w:val="14"/>
                <w:b w:val="1"/>
                <w:bCs w:val="1"/>
                <w:color w:val="355675"/>
              </w:rPr>
              <w:t>Transmission/</w:t>
            </w:r>
          </w:p>
        </w:tc>
        <w:tc>
          <w:tcPr>
            <w:tcW w:w="1180" w:type="dxa"/>
            <w:vAlign w:val="bottom"/>
          </w:tcPr>
          <w:p>
            <w:pPr>
              <w:jc w:val="right"/>
              <w:ind w:right="264"/>
              <w:spacing w:after="0"/>
              <w:rPr>
                <w:sz w:val="20"/>
                <w:szCs w:val="20"/>
                <w:color w:val="auto"/>
              </w:rPr>
            </w:pPr>
            <w:r>
              <w:rPr>
                <w:rFonts w:ascii="Arial" w:cs="Arial" w:eastAsia="Arial" w:hAnsi="Arial"/>
                <w:sz w:val="14"/>
                <w:szCs w:val="14"/>
                <w:b w:val="1"/>
                <w:bCs w:val="1"/>
                <w:color w:val="355675"/>
              </w:rPr>
              <w:t>Palo</w:t>
            </w:r>
          </w:p>
        </w:tc>
        <w:tc>
          <w:tcPr>
            <w:tcW w:w="960" w:type="dxa"/>
            <w:vAlign w:val="bottom"/>
          </w:tcPr>
          <w:p>
            <w:pPr>
              <w:spacing w:after="0"/>
              <w:rPr>
                <w:sz w:val="15"/>
                <w:szCs w:val="15"/>
                <w:color w:val="auto"/>
              </w:rPr>
            </w:pPr>
          </w:p>
        </w:tc>
      </w:tr>
      <w:tr>
        <w:trPr>
          <w:trHeight w:val="162"/>
        </w:trPr>
        <w:tc>
          <w:tcPr>
            <w:tcW w:w="3580" w:type="dxa"/>
            <w:vAlign w:val="bottom"/>
          </w:tcPr>
          <w:p>
            <w:pPr>
              <w:spacing w:after="0"/>
              <w:rPr>
                <w:sz w:val="14"/>
                <w:szCs w:val="14"/>
                <w:color w:val="auto"/>
              </w:rPr>
            </w:pPr>
          </w:p>
        </w:tc>
        <w:tc>
          <w:tcPr>
            <w:tcW w:w="1340" w:type="dxa"/>
            <w:vAlign w:val="bottom"/>
          </w:tcPr>
          <w:p>
            <w:pPr>
              <w:jc w:val="right"/>
              <w:ind w:right="184"/>
              <w:spacing w:after="0"/>
              <w:rPr>
                <w:sz w:val="20"/>
                <w:szCs w:val="20"/>
                <w:color w:val="auto"/>
              </w:rPr>
            </w:pPr>
            <w:r>
              <w:rPr>
                <w:rFonts w:ascii="Arial" w:cs="Arial" w:eastAsia="Arial" w:hAnsi="Arial"/>
                <w:sz w:val="14"/>
                <w:szCs w:val="14"/>
                <w:b w:val="1"/>
                <w:bCs w:val="1"/>
                <w:color w:val="355675"/>
              </w:rPr>
              <w:t>Resources</w:t>
            </w:r>
          </w:p>
        </w:tc>
        <w:tc>
          <w:tcPr>
            <w:tcW w:w="1260" w:type="dxa"/>
            <w:vAlign w:val="bottom"/>
          </w:tcPr>
          <w:p>
            <w:pPr>
              <w:jc w:val="right"/>
              <w:ind w:right="124"/>
              <w:spacing w:after="0"/>
              <w:rPr>
                <w:sz w:val="20"/>
                <w:szCs w:val="20"/>
                <w:color w:val="auto"/>
              </w:rPr>
            </w:pPr>
            <w:r>
              <w:rPr>
                <w:rFonts w:ascii="Arial" w:cs="Arial" w:eastAsia="Arial" w:hAnsi="Arial"/>
                <w:sz w:val="14"/>
                <w:szCs w:val="14"/>
                <w:b w:val="1"/>
                <w:bCs w:val="1"/>
                <w:color w:val="355675"/>
              </w:rPr>
              <w:t>Experience</w:t>
            </w:r>
          </w:p>
        </w:tc>
        <w:tc>
          <w:tcPr>
            <w:tcW w:w="1320" w:type="dxa"/>
            <w:vAlign w:val="bottom"/>
          </w:tcPr>
          <w:p>
            <w:pPr>
              <w:jc w:val="right"/>
              <w:ind w:right="105"/>
              <w:spacing w:after="0"/>
              <w:rPr>
                <w:sz w:val="20"/>
                <w:szCs w:val="20"/>
                <w:color w:val="auto"/>
              </w:rPr>
            </w:pPr>
            <w:r>
              <w:rPr>
                <w:rFonts w:ascii="Arial" w:cs="Arial" w:eastAsia="Arial" w:hAnsi="Arial"/>
                <w:sz w:val="14"/>
                <w:szCs w:val="14"/>
                <w:b w:val="1"/>
                <w:bCs w:val="1"/>
                <w:color w:val="355675"/>
              </w:rPr>
              <w:t>(non-nuclear)</w:t>
            </w:r>
          </w:p>
        </w:tc>
        <w:tc>
          <w:tcPr>
            <w:tcW w:w="1600" w:type="dxa"/>
            <w:vAlign w:val="bottom"/>
          </w:tcPr>
          <w:p>
            <w:pPr>
              <w:jc w:val="right"/>
              <w:ind w:right="384"/>
              <w:spacing w:after="0"/>
              <w:rPr>
                <w:sz w:val="20"/>
                <w:szCs w:val="20"/>
                <w:color w:val="auto"/>
              </w:rPr>
            </w:pPr>
            <w:r>
              <w:rPr>
                <w:rFonts w:ascii="Arial" w:cs="Arial" w:eastAsia="Arial" w:hAnsi="Arial"/>
                <w:sz w:val="14"/>
                <w:szCs w:val="14"/>
                <w:b w:val="1"/>
                <w:bCs w:val="1"/>
                <w:color w:val="355675"/>
              </w:rPr>
              <w:t>Distribution</w:t>
            </w:r>
          </w:p>
        </w:tc>
        <w:tc>
          <w:tcPr>
            <w:tcW w:w="1180" w:type="dxa"/>
            <w:vAlign w:val="bottom"/>
          </w:tcPr>
          <w:p>
            <w:pPr>
              <w:jc w:val="right"/>
              <w:ind w:right="264"/>
              <w:spacing w:after="0"/>
              <w:rPr>
                <w:sz w:val="20"/>
                <w:szCs w:val="20"/>
                <w:color w:val="auto"/>
              </w:rPr>
            </w:pPr>
            <w:r>
              <w:rPr>
                <w:rFonts w:ascii="Arial" w:cs="Arial" w:eastAsia="Arial" w:hAnsi="Arial"/>
                <w:sz w:val="14"/>
                <w:szCs w:val="14"/>
                <w:b w:val="1"/>
                <w:bCs w:val="1"/>
                <w:color w:val="355675"/>
              </w:rPr>
              <w:t>Verde</w:t>
            </w:r>
          </w:p>
        </w:tc>
        <w:tc>
          <w:tcPr>
            <w:tcW w:w="960" w:type="dxa"/>
            <w:vAlign w:val="bottom"/>
          </w:tcPr>
          <w:p>
            <w:pPr>
              <w:jc w:val="right"/>
              <w:spacing w:after="0"/>
              <w:rPr>
                <w:sz w:val="20"/>
                <w:szCs w:val="20"/>
                <w:color w:val="auto"/>
              </w:rPr>
            </w:pPr>
            <w:r>
              <w:rPr>
                <w:rFonts w:ascii="Arial" w:cs="Arial" w:eastAsia="Arial" w:hAnsi="Arial"/>
                <w:sz w:val="14"/>
                <w:szCs w:val="14"/>
                <w:b w:val="1"/>
                <w:bCs w:val="1"/>
                <w:color w:val="355675"/>
              </w:rPr>
              <w:t>Average</w:t>
            </w:r>
          </w:p>
        </w:tc>
      </w:tr>
      <w:tr>
        <w:trPr>
          <w:trHeight w:val="219"/>
        </w:trPr>
        <w:tc>
          <w:tcPr>
            <w:tcW w:w="3580" w:type="dxa"/>
            <w:vAlign w:val="bottom"/>
            <w:tcBorders>
              <w:bottom w:val="single" w:sz="8" w:color="355675"/>
            </w:tcBorders>
          </w:tcPr>
          <w:p>
            <w:pPr>
              <w:spacing w:after="0"/>
              <w:rPr>
                <w:sz w:val="19"/>
                <w:szCs w:val="19"/>
                <w:color w:val="auto"/>
              </w:rPr>
            </w:pPr>
          </w:p>
        </w:tc>
        <w:tc>
          <w:tcPr>
            <w:tcW w:w="1340" w:type="dxa"/>
            <w:vAlign w:val="bottom"/>
            <w:tcBorders>
              <w:bottom w:val="single" w:sz="8" w:color="355675"/>
            </w:tcBorders>
          </w:tcPr>
          <w:p>
            <w:pPr>
              <w:jc w:val="right"/>
              <w:ind w:right="184"/>
              <w:spacing w:after="0"/>
              <w:rPr>
                <w:sz w:val="20"/>
                <w:szCs w:val="20"/>
                <w:color w:val="auto"/>
              </w:rPr>
            </w:pPr>
            <w:r>
              <w:rPr>
                <w:rFonts w:ascii="Arial" w:cs="Arial" w:eastAsia="Arial" w:hAnsi="Arial"/>
                <w:sz w:val="14"/>
                <w:szCs w:val="14"/>
                <w:b w:val="1"/>
                <w:bCs w:val="1"/>
                <w:color w:val="355675"/>
              </w:rPr>
              <w:t>(%)</w:t>
            </w:r>
          </w:p>
        </w:tc>
        <w:tc>
          <w:tcPr>
            <w:tcW w:w="1260" w:type="dxa"/>
            <w:vAlign w:val="bottom"/>
            <w:tcBorders>
              <w:bottom w:val="single" w:sz="8" w:color="355675"/>
            </w:tcBorders>
          </w:tcPr>
          <w:p>
            <w:pPr>
              <w:jc w:val="right"/>
              <w:ind w:right="124"/>
              <w:spacing w:after="0"/>
              <w:rPr>
                <w:sz w:val="20"/>
                <w:szCs w:val="20"/>
                <w:color w:val="auto"/>
              </w:rPr>
            </w:pPr>
            <w:r>
              <w:rPr>
                <w:rFonts w:ascii="Arial" w:cs="Arial" w:eastAsia="Arial" w:hAnsi="Arial"/>
                <w:sz w:val="14"/>
                <w:szCs w:val="14"/>
                <w:b w:val="1"/>
                <w:bCs w:val="1"/>
                <w:color w:val="355675"/>
              </w:rPr>
              <w:t>(%)</w:t>
            </w:r>
          </w:p>
        </w:tc>
        <w:tc>
          <w:tcPr>
            <w:tcW w:w="1320" w:type="dxa"/>
            <w:vAlign w:val="bottom"/>
            <w:tcBorders>
              <w:bottom w:val="single" w:sz="8" w:color="355675"/>
            </w:tcBorders>
          </w:tcPr>
          <w:p>
            <w:pPr>
              <w:jc w:val="right"/>
              <w:ind w:right="105"/>
              <w:spacing w:after="0"/>
              <w:rPr>
                <w:sz w:val="20"/>
                <w:szCs w:val="20"/>
                <w:color w:val="auto"/>
              </w:rPr>
            </w:pPr>
            <w:r>
              <w:rPr>
                <w:rFonts w:ascii="Arial" w:cs="Arial" w:eastAsia="Arial" w:hAnsi="Arial"/>
                <w:sz w:val="14"/>
                <w:szCs w:val="14"/>
                <w:b w:val="1"/>
                <w:bCs w:val="1"/>
                <w:color w:val="355675"/>
              </w:rPr>
              <w:t>(%)</w:t>
            </w:r>
          </w:p>
        </w:tc>
        <w:tc>
          <w:tcPr>
            <w:tcW w:w="1600" w:type="dxa"/>
            <w:vAlign w:val="bottom"/>
            <w:tcBorders>
              <w:bottom w:val="single" w:sz="8" w:color="355675"/>
            </w:tcBorders>
          </w:tcPr>
          <w:p>
            <w:pPr>
              <w:jc w:val="right"/>
              <w:ind w:right="384"/>
              <w:spacing w:after="0"/>
              <w:rPr>
                <w:sz w:val="20"/>
                <w:szCs w:val="20"/>
                <w:color w:val="auto"/>
              </w:rPr>
            </w:pPr>
            <w:r>
              <w:rPr>
                <w:rFonts w:ascii="Arial" w:cs="Arial" w:eastAsia="Arial" w:hAnsi="Arial"/>
                <w:sz w:val="14"/>
                <w:szCs w:val="14"/>
                <w:b w:val="1"/>
                <w:bCs w:val="1"/>
                <w:color w:val="355675"/>
              </w:rPr>
              <w:t>(%)</w:t>
            </w:r>
          </w:p>
        </w:tc>
        <w:tc>
          <w:tcPr>
            <w:tcW w:w="1180" w:type="dxa"/>
            <w:vAlign w:val="bottom"/>
            <w:tcBorders>
              <w:bottom w:val="single" w:sz="8" w:color="355675"/>
            </w:tcBorders>
          </w:tcPr>
          <w:p>
            <w:pPr>
              <w:jc w:val="right"/>
              <w:ind w:right="264"/>
              <w:spacing w:after="0"/>
              <w:rPr>
                <w:sz w:val="20"/>
                <w:szCs w:val="20"/>
                <w:color w:val="auto"/>
              </w:rPr>
            </w:pPr>
            <w:r>
              <w:rPr>
                <w:rFonts w:ascii="Arial" w:cs="Arial" w:eastAsia="Arial" w:hAnsi="Arial"/>
                <w:sz w:val="14"/>
                <w:szCs w:val="14"/>
                <w:b w:val="1"/>
                <w:bCs w:val="1"/>
                <w:color w:val="355675"/>
              </w:rPr>
              <w:t>(%)</w:t>
            </w:r>
          </w:p>
        </w:tc>
        <w:tc>
          <w:tcPr>
            <w:tcW w:w="96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83"/>
        </w:trPr>
        <w:tc>
          <w:tcPr>
            <w:tcW w:w="3580" w:type="dxa"/>
            <w:vAlign w:val="bottom"/>
            <w:tcBorders>
              <w:bottom w:val="single" w:sz="8" w:color="939598"/>
            </w:tcBorders>
          </w:tcPr>
          <w:p>
            <w:pPr>
              <w:ind w:left="60"/>
              <w:spacing w:after="0" w:line="283" w:lineRule="exact"/>
              <w:rPr>
                <w:sz w:val="20"/>
                <w:szCs w:val="20"/>
                <w:color w:val="auto"/>
              </w:rPr>
            </w:pPr>
            <w:r>
              <w:rPr>
                <w:rFonts w:ascii="Arial" w:cs="Arial" w:eastAsia="Arial" w:hAnsi="Arial"/>
                <w:sz w:val="16"/>
                <w:szCs w:val="16"/>
                <w:color w:val="auto"/>
              </w:rPr>
              <w:t>2021 Results</w:t>
            </w:r>
            <w:r>
              <w:rPr>
                <w:rFonts w:ascii="Arial" w:cs="Arial" w:eastAsia="Arial" w:hAnsi="Arial"/>
                <w:sz w:val="26"/>
                <w:szCs w:val="26"/>
                <w:color w:val="auto"/>
                <w:vertAlign w:val="superscript"/>
              </w:rPr>
              <w:t>(1)</w:t>
            </w:r>
          </w:p>
        </w:tc>
        <w:tc>
          <w:tcPr>
            <w:tcW w:w="1340" w:type="dxa"/>
            <w:vAlign w:val="bottom"/>
            <w:tcBorders>
              <w:bottom w:val="single" w:sz="8" w:color="939598"/>
            </w:tcBorders>
          </w:tcPr>
          <w:p>
            <w:pPr>
              <w:jc w:val="right"/>
              <w:ind w:right="184"/>
              <w:spacing w:after="0"/>
              <w:rPr>
                <w:sz w:val="20"/>
                <w:szCs w:val="20"/>
                <w:color w:val="auto"/>
              </w:rPr>
            </w:pPr>
            <w:r>
              <w:rPr>
                <w:rFonts w:ascii="Arial" w:cs="Arial" w:eastAsia="Arial" w:hAnsi="Arial"/>
                <w:sz w:val="16"/>
                <w:szCs w:val="16"/>
                <w:color w:val="auto"/>
              </w:rPr>
              <w:t>83</w:t>
            </w:r>
          </w:p>
        </w:tc>
        <w:tc>
          <w:tcPr>
            <w:tcW w:w="1260" w:type="dxa"/>
            <w:vAlign w:val="bottom"/>
            <w:tcBorders>
              <w:bottom w:val="single" w:sz="8" w:color="939598"/>
            </w:tcBorders>
          </w:tcPr>
          <w:p>
            <w:pPr>
              <w:jc w:val="right"/>
              <w:ind w:right="124"/>
              <w:spacing w:after="0"/>
              <w:rPr>
                <w:sz w:val="20"/>
                <w:szCs w:val="20"/>
                <w:color w:val="auto"/>
              </w:rPr>
            </w:pPr>
            <w:r>
              <w:rPr>
                <w:rFonts w:ascii="Arial" w:cs="Arial" w:eastAsia="Arial" w:hAnsi="Arial"/>
                <w:sz w:val="16"/>
                <w:szCs w:val="16"/>
                <w:color w:val="auto"/>
              </w:rPr>
              <w:t>90</w:t>
            </w:r>
          </w:p>
        </w:tc>
        <w:tc>
          <w:tcPr>
            <w:tcW w:w="1320" w:type="dxa"/>
            <w:vAlign w:val="bottom"/>
            <w:tcBorders>
              <w:bottom w:val="single" w:sz="8" w:color="939598"/>
            </w:tcBorders>
          </w:tcPr>
          <w:p>
            <w:pPr>
              <w:jc w:val="right"/>
              <w:ind w:right="105"/>
              <w:spacing w:after="0"/>
              <w:rPr>
                <w:sz w:val="20"/>
                <w:szCs w:val="20"/>
                <w:color w:val="auto"/>
              </w:rPr>
            </w:pPr>
            <w:r>
              <w:rPr>
                <w:rFonts w:ascii="Arial" w:cs="Arial" w:eastAsia="Arial" w:hAnsi="Arial"/>
                <w:sz w:val="16"/>
                <w:szCs w:val="16"/>
                <w:color w:val="auto"/>
              </w:rPr>
              <w:t>102</w:t>
            </w:r>
          </w:p>
        </w:tc>
        <w:tc>
          <w:tcPr>
            <w:tcW w:w="1600" w:type="dxa"/>
            <w:vAlign w:val="bottom"/>
            <w:tcBorders>
              <w:bottom w:val="single" w:sz="8" w:color="939598"/>
            </w:tcBorders>
          </w:tcPr>
          <w:p>
            <w:pPr>
              <w:jc w:val="right"/>
              <w:ind w:right="384"/>
              <w:spacing w:after="0"/>
              <w:rPr>
                <w:sz w:val="20"/>
                <w:szCs w:val="20"/>
                <w:color w:val="auto"/>
              </w:rPr>
            </w:pPr>
            <w:r>
              <w:rPr>
                <w:rFonts w:ascii="Arial" w:cs="Arial" w:eastAsia="Arial" w:hAnsi="Arial"/>
                <w:sz w:val="16"/>
                <w:szCs w:val="16"/>
                <w:color w:val="auto"/>
              </w:rPr>
              <w:t>51</w:t>
            </w:r>
          </w:p>
        </w:tc>
        <w:tc>
          <w:tcPr>
            <w:tcW w:w="1180" w:type="dxa"/>
            <w:vAlign w:val="bottom"/>
            <w:tcBorders>
              <w:bottom w:val="single" w:sz="8" w:color="939598"/>
            </w:tcBorders>
          </w:tcPr>
          <w:p>
            <w:pPr>
              <w:jc w:val="right"/>
              <w:ind w:right="264"/>
              <w:spacing w:after="0"/>
              <w:rPr>
                <w:sz w:val="20"/>
                <w:szCs w:val="20"/>
                <w:color w:val="auto"/>
              </w:rPr>
            </w:pPr>
            <w:r>
              <w:rPr>
                <w:rFonts w:ascii="Arial" w:cs="Arial" w:eastAsia="Arial" w:hAnsi="Arial"/>
                <w:sz w:val="16"/>
                <w:szCs w:val="16"/>
                <w:color w:val="auto"/>
              </w:rPr>
              <w:t>154</w:t>
            </w:r>
          </w:p>
        </w:tc>
        <w:tc>
          <w:tcPr>
            <w:tcW w:w="96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96</w:t>
            </w:r>
          </w:p>
        </w:tc>
      </w:tr>
      <w:tr>
        <w:trPr>
          <w:trHeight w:val="298"/>
        </w:trPr>
        <w:tc>
          <w:tcPr>
            <w:tcW w:w="3580" w:type="dxa"/>
            <w:vAlign w:val="bottom"/>
            <w:tcBorders>
              <w:bottom w:val="single" w:sz="8" w:color="355675"/>
            </w:tcBorders>
          </w:tcPr>
          <w:p>
            <w:pPr>
              <w:ind w:left="60"/>
              <w:spacing w:after="0" w:line="277" w:lineRule="exact"/>
              <w:rPr>
                <w:sz w:val="20"/>
                <w:szCs w:val="20"/>
                <w:color w:val="auto"/>
              </w:rPr>
            </w:pPr>
            <w:r>
              <w:rPr>
                <w:rFonts w:ascii="Arial" w:cs="Arial" w:eastAsia="Arial" w:hAnsi="Arial"/>
                <w:sz w:val="16"/>
                <w:szCs w:val="16"/>
                <w:color w:val="auto"/>
              </w:rPr>
              <w:t>2020 Results</w:t>
            </w:r>
            <w:r>
              <w:rPr>
                <w:rFonts w:ascii="Arial" w:cs="Arial" w:eastAsia="Arial" w:hAnsi="Arial"/>
                <w:sz w:val="26"/>
                <w:szCs w:val="26"/>
                <w:color w:val="auto"/>
                <w:vertAlign w:val="superscript"/>
              </w:rPr>
              <w:t>(2)</w:t>
            </w:r>
          </w:p>
        </w:tc>
        <w:tc>
          <w:tcPr>
            <w:tcW w:w="1340" w:type="dxa"/>
            <w:vAlign w:val="bottom"/>
            <w:tcBorders>
              <w:bottom w:val="single" w:sz="8" w:color="355675"/>
            </w:tcBorders>
          </w:tcPr>
          <w:p>
            <w:pPr>
              <w:jc w:val="right"/>
              <w:ind w:right="184"/>
              <w:spacing w:after="0"/>
              <w:rPr>
                <w:sz w:val="20"/>
                <w:szCs w:val="20"/>
                <w:color w:val="auto"/>
              </w:rPr>
            </w:pPr>
            <w:r>
              <w:rPr>
                <w:rFonts w:ascii="Arial" w:cs="Arial" w:eastAsia="Arial" w:hAnsi="Arial"/>
                <w:sz w:val="16"/>
                <w:szCs w:val="16"/>
                <w:color w:val="auto"/>
              </w:rPr>
              <w:t>123</w:t>
            </w:r>
          </w:p>
        </w:tc>
        <w:tc>
          <w:tcPr>
            <w:tcW w:w="1260" w:type="dxa"/>
            <w:vAlign w:val="bottom"/>
            <w:tcBorders>
              <w:bottom w:val="single" w:sz="8" w:color="355675"/>
            </w:tcBorders>
          </w:tcPr>
          <w:p>
            <w:pPr>
              <w:jc w:val="right"/>
              <w:ind w:right="124"/>
              <w:spacing w:after="0"/>
              <w:rPr>
                <w:sz w:val="20"/>
                <w:szCs w:val="20"/>
                <w:color w:val="auto"/>
              </w:rPr>
            </w:pPr>
            <w:r>
              <w:rPr>
                <w:rFonts w:ascii="Arial" w:cs="Arial" w:eastAsia="Arial" w:hAnsi="Arial"/>
                <w:sz w:val="16"/>
                <w:szCs w:val="16"/>
                <w:color w:val="auto"/>
              </w:rPr>
              <w:t>117</w:t>
            </w:r>
          </w:p>
        </w:tc>
        <w:tc>
          <w:tcPr>
            <w:tcW w:w="1320" w:type="dxa"/>
            <w:vAlign w:val="bottom"/>
            <w:tcBorders>
              <w:bottom w:val="single" w:sz="8" w:color="355675"/>
            </w:tcBorders>
          </w:tcPr>
          <w:p>
            <w:pPr>
              <w:jc w:val="right"/>
              <w:ind w:right="105"/>
              <w:spacing w:after="0"/>
              <w:rPr>
                <w:sz w:val="20"/>
                <w:szCs w:val="20"/>
                <w:color w:val="auto"/>
              </w:rPr>
            </w:pPr>
            <w:r>
              <w:rPr>
                <w:rFonts w:ascii="Arial" w:cs="Arial" w:eastAsia="Arial" w:hAnsi="Arial"/>
                <w:sz w:val="16"/>
                <w:szCs w:val="16"/>
                <w:color w:val="auto"/>
              </w:rPr>
              <w:t>152</w:t>
            </w:r>
          </w:p>
        </w:tc>
        <w:tc>
          <w:tcPr>
            <w:tcW w:w="1600" w:type="dxa"/>
            <w:vAlign w:val="bottom"/>
            <w:tcBorders>
              <w:bottom w:val="single" w:sz="8" w:color="355675"/>
            </w:tcBorders>
          </w:tcPr>
          <w:p>
            <w:pPr>
              <w:jc w:val="right"/>
              <w:ind w:right="384"/>
              <w:spacing w:after="0"/>
              <w:rPr>
                <w:sz w:val="20"/>
                <w:szCs w:val="20"/>
                <w:color w:val="auto"/>
              </w:rPr>
            </w:pPr>
            <w:r>
              <w:rPr>
                <w:rFonts w:ascii="Arial" w:cs="Arial" w:eastAsia="Arial" w:hAnsi="Arial"/>
                <w:sz w:val="16"/>
                <w:szCs w:val="16"/>
                <w:color w:val="auto"/>
              </w:rPr>
              <w:t>100</w:t>
            </w:r>
          </w:p>
        </w:tc>
        <w:tc>
          <w:tcPr>
            <w:tcW w:w="1180" w:type="dxa"/>
            <w:vAlign w:val="bottom"/>
            <w:tcBorders>
              <w:bottom w:val="single" w:sz="8" w:color="355675"/>
            </w:tcBorders>
          </w:tcPr>
          <w:p>
            <w:pPr>
              <w:jc w:val="right"/>
              <w:ind w:right="264"/>
              <w:spacing w:after="0"/>
              <w:rPr>
                <w:sz w:val="20"/>
                <w:szCs w:val="20"/>
                <w:color w:val="auto"/>
              </w:rPr>
            </w:pPr>
            <w:r>
              <w:rPr>
                <w:rFonts w:ascii="Arial" w:cs="Arial" w:eastAsia="Arial" w:hAnsi="Arial"/>
                <w:sz w:val="16"/>
                <w:szCs w:val="16"/>
                <w:color w:val="auto"/>
              </w:rPr>
              <w:t>157</w:t>
            </w:r>
          </w:p>
        </w:tc>
        <w:tc>
          <w:tcPr>
            <w:tcW w:w="96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130</w:t>
            </w:r>
          </w:p>
        </w:tc>
      </w:tr>
    </w:tbl>
    <w:p>
      <w:pPr>
        <w:spacing w:after="0" w:line="67" w:lineRule="exact"/>
        <w:rPr>
          <w:sz w:val="20"/>
          <w:szCs w:val="20"/>
          <w:color w:val="auto"/>
        </w:rPr>
      </w:pPr>
    </w:p>
    <w:p>
      <w:pPr>
        <w:ind w:left="240" w:hanging="232"/>
        <w:spacing w:after="0"/>
        <w:tabs>
          <w:tab w:leader="none" w:pos="240" w:val="left"/>
        </w:tabs>
        <w:numPr>
          <w:ilvl w:val="0"/>
          <w:numId w:val="77"/>
        </w:numPr>
        <w:rPr>
          <w:rFonts w:ascii="Arial" w:cs="Arial" w:eastAsia="Arial" w:hAnsi="Arial"/>
          <w:sz w:val="24"/>
          <w:szCs w:val="24"/>
          <w:color w:val="auto"/>
          <w:vertAlign w:val="superscript"/>
        </w:rPr>
      </w:pPr>
      <w:r>
        <w:rPr>
          <w:rFonts w:ascii="Arial" w:cs="Arial" w:eastAsia="Arial" w:hAnsi="Arial"/>
          <w:sz w:val="14"/>
          <w:szCs w:val="14"/>
          <w:color w:val="auto"/>
        </w:rPr>
        <w:t>Results include adjustments made for prudent business decisions discussed below.</w:t>
      </w:r>
    </w:p>
    <w:p>
      <w:pPr>
        <w:spacing w:after="0" w:line="120" w:lineRule="exact"/>
        <w:rPr>
          <w:rFonts w:ascii="Arial" w:cs="Arial" w:eastAsia="Arial" w:hAnsi="Arial"/>
          <w:sz w:val="24"/>
          <w:szCs w:val="24"/>
          <w:color w:val="auto"/>
          <w:vertAlign w:val="superscript"/>
        </w:rPr>
      </w:pPr>
    </w:p>
    <w:p>
      <w:pPr>
        <w:ind w:left="240" w:hanging="232"/>
        <w:spacing w:after="0" w:line="183" w:lineRule="auto"/>
        <w:tabs>
          <w:tab w:leader="none" w:pos="240" w:val="left"/>
        </w:tabs>
        <w:numPr>
          <w:ilvl w:val="0"/>
          <w:numId w:val="77"/>
        </w:numPr>
        <w:rPr>
          <w:rFonts w:ascii="Arial" w:cs="Arial" w:eastAsia="Arial" w:hAnsi="Arial"/>
          <w:sz w:val="20"/>
          <w:szCs w:val="20"/>
          <w:color w:val="auto"/>
          <w:vertAlign w:val="superscript"/>
        </w:rPr>
      </w:pPr>
      <w:r>
        <w:rPr>
          <w:rFonts w:ascii="Arial" w:cs="Arial" w:eastAsia="Arial" w:hAnsi="Arial"/>
          <w:sz w:val="12"/>
          <w:szCs w:val="12"/>
          <w:color w:val="auto"/>
        </w:rPr>
        <w:t>Results include adjustments for prudent business decisions discussed on page 79 of the Company’s 2021 Proxy Statement.</w:t>
      </w:r>
    </w:p>
    <w:p>
      <w:pPr>
        <w:spacing w:after="0" w:line="152" w:lineRule="exact"/>
        <w:rPr>
          <w:sz w:val="20"/>
          <w:szCs w:val="20"/>
          <w:color w:val="auto"/>
        </w:rPr>
      </w:pPr>
    </w:p>
    <w:p>
      <w:pPr>
        <w:ind w:right="180"/>
        <w:spacing w:after="0" w:line="242" w:lineRule="auto"/>
        <w:rPr>
          <w:sz w:val="20"/>
          <w:szCs w:val="20"/>
          <w:color w:val="auto"/>
        </w:rPr>
      </w:pPr>
      <w:r>
        <w:rPr>
          <w:rFonts w:ascii="Arial" w:cs="Arial" w:eastAsia="Arial" w:hAnsi="Arial"/>
          <w:sz w:val="18"/>
          <w:szCs w:val="18"/>
          <w:color w:val="auto"/>
        </w:rPr>
        <w:t>As indicated above, NEOs are evaluated based on shared enterprise metrics and/or business area specific metrics that correlate to their responsibilities. The business unit component for each NEO was weighted at 50%, with multiple business area results averaged for applicable NEOs. The 2021 Incentive Plans allow the Committee to make adjustments for individual performance, and the Committee may exercise discretion under the 2021 Incentive Plans due to unanticipated events that might arise during the performance period. In 2021, the Committee adjusted two business metrics for management authorized increased prudent spend to offset and mitigate expense in future years due to the favorable impacts on earnings that were available primarily because of customer sales growth.</w:t>
      </w:r>
    </w:p>
    <w:p>
      <w:pPr>
        <w:spacing w:after="0" w:line="138" w:lineRule="exact"/>
        <w:rPr>
          <w:sz w:val="20"/>
          <w:szCs w:val="20"/>
          <w:color w:val="auto"/>
        </w:rPr>
      </w:pPr>
    </w:p>
    <w:p>
      <w:pPr>
        <w:ind w:left="340" w:right="580" w:hanging="332"/>
        <w:spacing w:after="0" w:line="271" w:lineRule="auto"/>
        <w:tabs>
          <w:tab w:leader="none" w:pos="3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These financial decisions increased the expenses for the shared enterprise operations and maintenance (“O&amp;M”) for 2021 and the Committee approved an adjustment for PNW O&amp;M.</w:t>
      </w:r>
    </w:p>
    <w:p>
      <w:pPr>
        <w:spacing w:after="0" w:line="113" w:lineRule="exact"/>
        <w:rPr>
          <w:rFonts w:ascii="Arial" w:cs="Arial" w:eastAsia="Arial" w:hAnsi="Arial"/>
          <w:sz w:val="18"/>
          <w:szCs w:val="18"/>
          <w:color w:val="auto"/>
        </w:rPr>
      </w:pPr>
    </w:p>
    <w:p>
      <w:pPr>
        <w:ind w:left="340" w:right="300" w:hanging="332"/>
        <w:spacing w:after="0" w:line="281" w:lineRule="auto"/>
        <w:tabs>
          <w:tab w:leader="none" w:pos="3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 xml:space="preserve">These financial decisions also increased capital spend for 2021 and the Committee approved an adjustment for PNW but </w:t>
      </w:r>
      <w:r>
        <w:rPr>
          <w:rFonts w:ascii="Arial" w:cs="Arial" w:eastAsia="Arial" w:hAnsi="Arial"/>
          <w:sz w:val="18"/>
          <w:szCs w:val="18"/>
          <w:b w:val="1"/>
          <w:bCs w:val="1"/>
          <w:color w:val="auto"/>
        </w:rPr>
        <w:t>capped the</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results to target </w:t>
      </w:r>
      <w:r>
        <w:rPr>
          <w:rFonts w:ascii="Arial" w:cs="Arial" w:eastAsia="Arial" w:hAnsi="Arial"/>
          <w:sz w:val="18"/>
          <w:szCs w:val="18"/>
          <w:color w:val="auto"/>
        </w:rPr>
        <w:t>achievement.</w:t>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color w:val="auto"/>
        </w:rPr>
        <w:t>See “Business Unit Components Under the 2021 Incentive Plans” below for detailed goals and achievement levels for each business area.</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71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80" w:name="page81"/>
    <w:bookmarkEnd w:id="8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46"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Business Unit Components Under the 2021 Incentive Plans</w:t>
      </w:r>
    </w:p>
    <w:p>
      <w:pPr>
        <w:spacing w:after="0" w:line="258" w:lineRule="exact"/>
        <w:rPr>
          <w:sz w:val="20"/>
          <w:szCs w:val="20"/>
          <w:color w:val="auto"/>
        </w:rPr>
      </w:pPr>
    </w:p>
    <w:p>
      <w:pPr>
        <w:ind w:right="40"/>
        <w:spacing w:after="0" w:line="247" w:lineRule="auto"/>
        <w:rPr>
          <w:sz w:val="20"/>
          <w:szCs w:val="20"/>
          <w:color w:val="auto"/>
        </w:rPr>
      </w:pPr>
      <w:r>
        <w:rPr>
          <w:rFonts w:ascii="Arial" w:cs="Arial" w:eastAsia="Arial" w:hAnsi="Arial"/>
          <w:sz w:val="18"/>
          <w:szCs w:val="18"/>
          <w:color w:val="auto"/>
        </w:rPr>
        <w:t>The following table summarizes the shared enterprise metrics and/or business area specific metrics used for each business unit, in addition to individual weightings, targets, and 2021 results. Under the components of the 2021 Incentive Plans, the range of potential achievement for each business unit metric was zero to 200% of the target level. Within that range, a target level of achievement provided for a 100% payout, a threshold level provided for a 50% of target payout and a maximum level provided for a 200% of target payout.</w:t>
      </w:r>
    </w:p>
    <w:p>
      <w:pPr>
        <w:spacing w:after="0" w:line="147" w:lineRule="exact"/>
        <w:rPr>
          <w:sz w:val="20"/>
          <w:szCs w:val="20"/>
          <w:color w:val="auto"/>
        </w:rPr>
      </w:pPr>
    </w:p>
    <w:p>
      <w:pPr>
        <w:ind w:right="320"/>
        <w:spacing w:after="0" w:line="271" w:lineRule="auto"/>
        <w:rPr>
          <w:sz w:val="20"/>
          <w:szCs w:val="20"/>
          <w:color w:val="auto"/>
        </w:rPr>
      </w:pPr>
      <w:r>
        <w:rPr>
          <w:rFonts w:ascii="Arial" w:cs="Arial" w:eastAsia="Arial" w:hAnsi="Arial"/>
          <w:sz w:val="18"/>
          <w:szCs w:val="18"/>
          <w:color w:val="auto"/>
        </w:rPr>
        <w:t>The percentage of target performance achieved reflects the comparison of our actual achievement of a particular measure for 2021 to the target established for that measure.</w:t>
      </w:r>
    </w:p>
    <w:p>
      <w:pPr>
        <w:sectPr>
          <w:pgSz w:w="11900" w:h="16838" w:orient="portrait"/>
          <w:cols w:equalWidth="0" w:num="1">
            <w:col w:w="11240"/>
          </w:cols>
          <w:pgMar w:left="320" w:top="125" w:right="339" w:bottom="1440" w:gutter="0" w:footer="0" w:header="0"/>
        </w:sectPr>
      </w:pPr>
    </w:p>
    <w:p>
      <w:pPr>
        <w:spacing w:after="0" w:line="285"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500" w:type="dxa"/>
            <w:vAlign w:val="bottom"/>
            <w:gridSpan w:val="2"/>
          </w:tcPr>
          <w:p>
            <w:pPr>
              <w:ind w:left="60"/>
              <w:spacing w:after="0"/>
              <w:rPr>
                <w:sz w:val="20"/>
                <w:szCs w:val="20"/>
                <w:color w:val="auto"/>
              </w:rPr>
            </w:pPr>
            <w:r>
              <w:rPr>
                <w:rFonts w:ascii="Arial" w:cs="Arial" w:eastAsia="Arial" w:hAnsi="Arial"/>
                <w:sz w:val="14"/>
                <w:szCs w:val="14"/>
                <w:b w:val="1"/>
                <w:bCs w:val="1"/>
                <w:color w:val="355675"/>
              </w:rPr>
              <w:t>Business Unit Measures</w:t>
            </w:r>
          </w:p>
        </w:tc>
        <w:tc>
          <w:tcPr>
            <w:tcW w:w="38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8"/>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4"/>
                <w:szCs w:val="14"/>
                <w:b w:val="1"/>
                <w:bCs w:val="1"/>
                <w:color w:val="355675"/>
              </w:rPr>
              <w:t>and Weighting</w:t>
            </w:r>
          </w:p>
        </w:tc>
        <w:tc>
          <w:tcPr>
            <w:tcW w:w="3820" w:type="dxa"/>
            <w:vAlign w:val="bottom"/>
            <w:tcBorders>
              <w:bottom w:val="single" w:sz="8" w:color="355675"/>
            </w:tcBorders>
          </w:tcPr>
          <w:p>
            <w:pPr>
              <w:spacing w:after="0"/>
              <w:rPr>
                <w:sz w:val="20"/>
                <w:szCs w:val="20"/>
                <w:color w:val="auto"/>
              </w:rPr>
            </w:pPr>
            <w:r>
              <w:rPr>
                <w:rFonts w:ascii="Arial" w:cs="Arial" w:eastAsia="Arial" w:hAnsi="Arial"/>
                <w:sz w:val="14"/>
                <w:szCs w:val="14"/>
                <w:b w:val="1"/>
                <w:bCs w:val="1"/>
                <w:color w:val="355675"/>
              </w:rPr>
              <w:t>Measure</w:t>
            </w:r>
          </w:p>
        </w:tc>
        <w:tc>
          <w:tcPr>
            <w:tcW w:w="0" w:type="dxa"/>
            <w:vAlign w:val="bottom"/>
          </w:tcPr>
          <w:p>
            <w:pPr>
              <w:spacing w:after="0"/>
              <w:rPr>
                <w:sz w:val="1"/>
                <w:szCs w:val="1"/>
                <w:color w:val="auto"/>
              </w:rPr>
            </w:pPr>
          </w:p>
        </w:tc>
      </w:tr>
      <w:tr>
        <w:trPr>
          <w:trHeight w:val="209"/>
        </w:trPr>
        <w:tc>
          <w:tcPr>
            <w:tcW w:w="7320" w:type="dxa"/>
            <w:vAlign w:val="bottom"/>
            <w:tcBorders>
              <w:bottom w:val="single" w:sz="8" w:color="355675"/>
            </w:tcBorders>
            <w:gridSpan w:val="3"/>
          </w:tcPr>
          <w:p>
            <w:pPr>
              <w:ind w:left="60"/>
              <w:spacing w:after="0"/>
              <w:rPr>
                <w:sz w:val="20"/>
                <w:szCs w:val="20"/>
                <w:color w:val="auto"/>
              </w:rPr>
            </w:pPr>
            <w:r>
              <w:rPr>
                <w:rFonts w:ascii="Arial" w:cs="Arial" w:eastAsia="Arial" w:hAnsi="Arial"/>
                <w:sz w:val="16"/>
                <w:szCs w:val="16"/>
                <w:b w:val="1"/>
                <w:bCs w:val="1"/>
                <w:color w:val="355675"/>
              </w:rPr>
              <w:t>Shared Enterprise Metrics (60%) (excluding PVGS)</w:t>
            </w:r>
          </w:p>
        </w:tc>
        <w:tc>
          <w:tcPr>
            <w:tcW w:w="0" w:type="dxa"/>
            <w:vAlign w:val="bottom"/>
          </w:tcPr>
          <w:p>
            <w:pPr>
              <w:spacing w:after="0"/>
              <w:rPr>
                <w:sz w:val="1"/>
                <w:szCs w:val="1"/>
                <w:color w:val="auto"/>
              </w:rPr>
            </w:pPr>
          </w:p>
        </w:tc>
      </w:tr>
      <w:tr>
        <w:trPr>
          <w:trHeight w:val="215"/>
        </w:trPr>
        <w:tc>
          <w:tcPr>
            <w:tcW w:w="3500" w:type="dxa"/>
            <w:vAlign w:val="bottom"/>
            <w:gridSpan w:val="2"/>
          </w:tcPr>
          <w:p>
            <w:pPr>
              <w:ind w:left="60"/>
              <w:spacing w:after="0"/>
              <w:rPr>
                <w:sz w:val="20"/>
                <w:szCs w:val="20"/>
                <w:color w:val="auto"/>
              </w:rPr>
            </w:pPr>
            <w:r>
              <w:rPr>
                <w:rFonts w:ascii="Arial" w:cs="Arial" w:eastAsia="Arial" w:hAnsi="Arial"/>
                <w:sz w:val="16"/>
                <w:szCs w:val="16"/>
                <w:color w:val="auto"/>
              </w:rPr>
              <w:t>Culture (15%)</w:t>
            </w:r>
          </w:p>
        </w:tc>
        <w:tc>
          <w:tcPr>
            <w:tcW w:w="3820" w:type="dxa"/>
            <w:vAlign w:val="bottom"/>
          </w:tcPr>
          <w:p>
            <w:pPr>
              <w:spacing w:after="0" w:line="216" w:lineRule="exact"/>
              <w:rPr>
                <w:sz w:val="20"/>
                <w:szCs w:val="20"/>
                <w:color w:val="auto"/>
              </w:rPr>
            </w:pPr>
            <w:r>
              <w:rPr>
                <w:rFonts w:ascii="Arial" w:cs="Arial" w:eastAsia="Arial" w:hAnsi="Arial"/>
                <w:sz w:val="15"/>
                <w:szCs w:val="15"/>
                <w:color w:val="auto"/>
              </w:rPr>
              <w:t>Total Company Serious Injury and Fatality</w:t>
            </w:r>
            <w:r>
              <w:rPr>
                <w:rFonts w:ascii="Arial" w:cs="Arial" w:eastAsia="Arial" w:hAnsi="Arial"/>
                <w:sz w:val="24"/>
                <w:szCs w:val="24"/>
                <w:color w:val="auto"/>
                <w:vertAlign w:val="superscript"/>
              </w:rPr>
              <w:t>(1)</w:t>
            </w:r>
            <w:r>
              <w:rPr>
                <w:rFonts w:ascii="Arial" w:cs="Arial" w:eastAsia="Arial" w:hAnsi="Arial"/>
                <w:sz w:val="15"/>
                <w:szCs w:val="15"/>
                <w:color w:val="auto"/>
              </w:rPr>
              <w:t xml:space="preserve"> (SIF)</w:t>
            </w:r>
          </w:p>
        </w:tc>
        <w:tc>
          <w:tcPr>
            <w:tcW w:w="0" w:type="dxa"/>
            <w:vAlign w:val="bottom"/>
          </w:tcPr>
          <w:p>
            <w:pPr>
              <w:spacing w:after="0"/>
              <w:rPr>
                <w:sz w:val="1"/>
                <w:szCs w:val="1"/>
                <w:color w:val="auto"/>
              </w:rPr>
            </w:pPr>
          </w:p>
        </w:tc>
      </w:tr>
      <w:tr>
        <w:trPr>
          <w:trHeight w:val="203"/>
        </w:trPr>
        <w:tc>
          <w:tcPr>
            <w:tcW w:w="3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(10%)</w:t>
            </w:r>
          </w:p>
        </w:tc>
        <w:tc>
          <w:tcPr>
            <w:tcW w:w="0" w:type="dxa"/>
            <w:vAlign w:val="bottom"/>
          </w:tcPr>
          <w:p>
            <w:pPr>
              <w:spacing w:after="0"/>
              <w:rPr>
                <w:sz w:val="1"/>
                <w:szCs w:val="1"/>
                <w:color w:val="auto"/>
              </w:rPr>
            </w:pPr>
          </w:p>
        </w:tc>
      </w:tr>
      <w:tr>
        <w:trPr>
          <w:trHeight w:val="183"/>
        </w:trPr>
        <w:tc>
          <w:tcPr>
            <w:tcW w:w="3380" w:type="dxa"/>
            <w:vAlign w:val="bottom"/>
            <w:tcBorders>
              <w:bottom w:val="single" w:sz="8" w:color="939598"/>
            </w:tcBorders>
          </w:tcPr>
          <w:p>
            <w:pPr>
              <w:spacing w:after="0"/>
              <w:rPr>
                <w:sz w:val="15"/>
                <w:szCs w:val="15"/>
                <w:color w:val="auto"/>
              </w:rPr>
            </w:pPr>
          </w:p>
        </w:tc>
        <w:tc>
          <w:tcPr>
            <w:tcW w:w="120" w:type="dxa"/>
            <w:vAlign w:val="bottom"/>
          </w:tcPr>
          <w:p>
            <w:pPr>
              <w:spacing w:after="0"/>
              <w:rPr>
                <w:sz w:val="15"/>
                <w:szCs w:val="15"/>
                <w:color w:val="auto"/>
              </w:rPr>
            </w:pPr>
          </w:p>
        </w:tc>
        <w:tc>
          <w:tcPr>
            <w:tcW w:w="3820" w:type="dxa"/>
            <w:vAlign w:val="bottom"/>
            <w:tcBorders>
              <w:bottom w:val="single" w:sz="8" w:color="939598"/>
            </w:tcBorders>
          </w:tcPr>
          <w:p>
            <w:pPr>
              <w:spacing w:after="0" w:line="183" w:lineRule="exact"/>
              <w:rPr>
                <w:sz w:val="20"/>
                <w:szCs w:val="20"/>
                <w:color w:val="auto"/>
              </w:rPr>
            </w:pPr>
            <w:r>
              <w:rPr>
                <w:rFonts w:ascii="Arial" w:cs="Arial" w:eastAsia="Arial" w:hAnsi="Arial"/>
                <w:sz w:val="16"/>
                <w:szCs w:val="16"/>
                <w:color w:val="auto"/>
              </w:rPr>
              <w:t>Total Company OSHA Recordable Incidents (5%)</w:t>
            </w:r>
          </w:p>
        </w:tc>
        <w:tc>
          <w:tcPr>
            <w:tcW w:w="0" w:type="dxa"/>
            <w:vAlign w:val="bottom"/>
          </w:tcPr>
          <w:p>
            <w:pPr>
              <w:spacing w:after="0"/>
              <w:rPr>
                <w:sz w:val="1"/>
                <w:szCs w:val="1"/>
                <w:color w:val="auto"/>
              </w:rPr>
            </w:pPr>
          </w:p>
        </w:tc>
      </w:tr>
      <w:tr>
        <w:trPr>
          <w:trHeight w:val="168"/>
        </w:trPr>
        <w:tc>
          <w:tcPr>
            <w:tcW w:w="3380" w:type="dxa"/>
            <w:vAlign w:val="bottom"/>
          </w:tcPr>
          <w:p>
            <w:pPr>
              <w:ind w:left="60"/>
              <w:spacing w:after="0" w:line="168" w:lineRule="exact"/>
              <w:rPr>
                <w:sz w:val="20"/>
                <w:szCs w:val="20"/>
                <w:color w:val="auto"/>
              </w:rPr>
            </w:pPr>
            <w:r>
              <w:rPr>
                <w:rFonts w:ascii="Arial" w:cs="Arial" w:eastAsia="Arial" w:hAnsi="Arial"/>
                <w:sz w:val="16"/>
                <w:szCs w:val="16"/>
                <w:color w:val="auto"/>
              </w:rPr>
              <w:t>Customer Centric (15%)</w:t>
            </w:r>
          </w:p>
        </w:tc>
        <w:tc>
          <w:tcPr>
            <w:tcW w:w="120" w:type="dxa"/>
            <w:vAlign w:val="bottom"/>
          </w:tcPr>
          <w:p>
            <w:pPr>
              <w:spacing w:after="0"/>
              <w:rPr>
                <w:sz w:val="14"/>
                <w:szCs w:val="14"/>
                <w:color w:val="auto"/>
              </w:rPr>
            </w:pPr>
          </w:p>
        </w:tc>
        <w:tc>
          <w:tcPr>
            <w:tcW w:w="3820" w:type="dxa"/>
            <w:vAlign w:val="bottom"/>
          </w:tcPr>
          <w:p>
            <w:pPr>
              <w:spacing w:after="0" w:line="168" w:lineRule="exact"/>
              <w:rPr>
                <w:sz w:val="20"/>
                <w:szCs w:val="20"/>
                <w:color w:val="auto"/>
              </w:rPr>
            </w:pPr>
            <w:r>
              <w:rPr>
                <w:rFonts w:ascii="Arial" w:cs="Arial" w:eastAsia="Arial" w:hAnsi="Arial"/>
                <w:sz w:val="16"/>
                <w:szCs w:val="16"/>
                <w:color w:val="auto"/>
              </w:rPr>
              <w:t>J.D. Power Electric Utility Residential Study Overall</w:t>
            </w:r>
          </w:p>
        </w:tc>
        <w:tc>
          <w:tcPr>
            <w:tcW w:w="0" w:type="dxa"/>
            <w:vAlign w:val="bottom"/>
          </w:tcPr>
          <w:p>
            <w:pPr>
              <w:spacing w:after="0"/>
              <w:rPr>
                <w:sz w:val="1"/>
                <w:szCs w:val="1"/>
                <w:color w:val="auto"/>
              </w:rPr>
            </w:pPr>
          </w:p>
        </w:tc>
      </w:tr>
      <w:tr>
        <w:trPr>
          <w:trHeight w:val="215"/>
        </w:trPr>
        <w:tc>
          <w:tcPr>
            <w:tcW w:w="3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820" w:type="dxa"/>
            <w:vAlign w:val="bottom"/>
          </w:tcPr>
          <w:p>
            <w:pPr>
              <w:spacing w:after="0"/>
              <w:rPr>
                <w:sz w:val="20"/>
                <w:szCs w:val="20"/>
                <w:color w:val="auto"/>
              </w:rPr>
            </w:pPr>
            <w:r>
              <w:rPr>
                <w:rFonts w:ascii="Arial" w:cs="Arial" w:eastAsia="Arial" w:hAnsi="Arial"/>
                <w:sz w:val="16"/>
                <w:szCs w:val="16"/>
                <w:color w:val="auto"/>
              </w:rPr>
              <w:t>Customer Satisfaction Index</w:t>
            </w:r>
          </w:p>
        </w:tc>
        <w:tc>
          <w:tcPr>
            <w:tcW w:w="0" w:type="dxa"/>
            <w:vAlign w:val="bottom"/>
          </w:tcPr>
          <w:p>
            <w:pPr>
              <w:spacing w:after="0"/>
              <w:rPr>
                <w:sz w:val="1"/>
                <w:szCs w:val="1"/>
                <w:color w:val="auto"/>
              </w:rPr>
            </w:pPr>
          </w:p>
        </w:tc>
      </w:tr>
      <w:tr>
        <w:trPr>
          <w:trHeight w:val="29"/>
        </w:trPr>
        <w:tc>
          <w:tcPr>
            <w:tcW w:w="3380" w:type="dxa"/>
            <w:vAlign w:val="bottom"/>
            <w:tcBorders>
              <w:bottom w:val="single" w:sz="8" w:color="939598"/>
            </w:tcBorders>
          </w:tcPr>
          <w:p>
            <w:pPr>
              <w:spacing w:after="0"/>
              <w:rPr>
                <w:sz w:val="2"/>
                <w:szCs w:val="2"/>
                <w:color w:val="auto"/>
              </w:rPr>
            </w:pPr>
          </w:p>
        </w:tc>
        <w:tc>
          <w:tcPr>
            <w:tcW w:w="120" w:type="dxa"/>
            <w:vAlign w:val="bottom"/>
            <w:vMerge w:val="restart"/>
          </w:tcPr>
          <w:p>
            <w:pPr>
              <w:spacing w:after="0"/>
              <w:rPr>
                <w:sz w:val="2"/>
                <w:szCs w:val="2"/>
                <w:color w:val="auto"/>
              </w:rPr>
            </w:pPr>
          </w:p>
        </w:tc>
        <w:tc>
          <w:tcPr>
            <w:tcW w:w="3820" w:type="dxa"/>
            <w:vAlign w:val="bottom"/>
            <w:tcBorders>
              <w:bottom w:val="single" w:sz="8" w:color="939598"/>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3380" w:type="dxa"/>
            <w:vAlign w:val="bottom"/>
          </w:tcPr>
          <w:p>
            <w:pPr>
              <w:ind w:left="60"/>
              <w:spacing w:after="0"/>
              <w:rPr>
                <w:sz w:val="20"/>
                <w:szCs w:val="20"/>
                <w:color w:val="auto"/>
              </w:rPr>
            </w:pPr>
            <w:r>
              <w:rPr>
                <w:rFonts w:ascii="Arial" w:cs="Arial" w:eastAsia="Arial" w:hAnsi="Arial"/>
                <w:sz w:val="16"/>
                <w:szCs w:val="16"/>
                <w:color w:val="auto"/>
              </w:rPr>
              <w:t>Affordable (30%)</w:t>
            </w:r>
          </w:p>
        </w:tc>
        <w:tc>
          <w:tcPr>
            <w:tcW w:w="120" w:type="dxa"/>
            <w:vAlign w:val="bottom"/>
            <w:vMerge w:val="continue"/>
          </w:tcPr>
          <w:p>
            <w:pPr>
              <w:spacing w:after="0"/>
              <w:rPr>
                <w:sz w:val="19"/>
                <w:szCs w:val="19"/>
                <w:color w:val="auto"/>
              </w:rPr>
            </w:pPr>
          </w:p>
        </w:tc>
        <w:tc>
          <w:tcPr>
            <w:tcW w:w="3820" w:type="dxa"/>
            <w:vAlign w:val="bottom"/>
            <w:tcBorders>
              <w:bottom w:val="single" w:sz="8" w:color="939598"/>
            </w:tcBorders>
          </w:tcPr>
          <w:p>
            <w:pPr>
              <w:spacing w:after="0" w:line="223" w:lineRule="exact"/>
              <w:rPr>
                <w:sz w:val="20"/>
                <w:szCs w:val="20"/>
                <w:color w:val="auto"/>
              </w:rPr>
            </w:pPr>
            <w:r>
              <w:rPr>
                <w:rFonts w:ascii="Arial" w:cs="Arial" w:eastAsia="Arial" w:hAnsi="Arial"/>
                <w:sz w:val="16"/>
                <w:szCs w:val="16"/>
                <w:color w:val="auto"/>
              </w:rPr>
              <w:t>PNW O&amp;M</w:t>
            </w:r>
            <w:r>
              <w:rPr>
                <w:rFonts w:ascii="Arial" w:cs="Arial" w:eastAsia="Arial" w:hAnsi="Arial"/>
                <w:sz w:val="25"/>
                <w:szCs w:val="25"/>
                <w:color w:val="auto"/>
                <w:vertAlign w:val="superscript"/>
              </w:rPr>
              <w:t>(2)</w:t>
            </w:r>
            <w:r>
              <w:rPr>
                <w:rFonts w:ascii="Arial" w:cs="Arial" w:eastAsia="Arial" w:hAnsi="Arial"/>
                <w:sz w:val="16"/>
                <w:szCs w:val="16"/>
                <w:color w:val="auto"/>
              </w:rPr>
              <w:t xml:space="preserve"> (15%)</w:t>
            </w:r>
          </w:p>
        </w:tc>
        <w:tc>
          <w:tcPr>
            <w:tcW w:w="0" w:type="dxa"/>
            <w:vAlign w:val="bottom"/>
          </w:tcPr>
          <w:p>
            <w:pPr>
              <w:spacing w:after="0"/>
              <w:rPr>
                <w:sz w:val="1"/>
                <w:szCs w:val="1"/>
                <w:color w:val="auto"/>
              </w:rPr>
            </w:pPr>
          </w:p>
        </w:tc>
      </w:tr>
      <w:tr>
        <w:trPr>
          <w:trHeight w:val="230"/>
        </w:trPr>
        <w:tc>
          <w:tcPr>
            <w:tcW w:w="3380" w:type="dxa"/>
            <w:vAlign w:val="bottom"/>
            <w:tcBorders>
              <w:bottom w:val="single" w:sz="8" w:color="355675"/>
            </w:tcBorders>
          </w:tcPr>
          <w:p>
            <w:pPr>
              <w:spacing w:after="0"/>
              <w:rPr>
                <w:sz w:val="20"/>
                <w:szCs w:val="20"/>
                <w:color w:val="auto"/>
              </w:rPr>
            </w:pPr>
          </w:p>
        </w:tc>
        <w:tc>
          <w:tcPr>
            <w:tcW w:w="120" w:type="dxa"/>
            <w:vAlign w:val="bottom"/>
            <w:tcBorders>
              <w:bottom w:val="single" w:sz="8" w:color="355675"/>
            </w:tcBorders>
          </w:tcPr>
          <w:p>
            <w:pPr>
              <w:spacing w:after="0"/>
              <w:rPr>
                <w:sz w:val="20"/>
                <w:szCs w:val="20"/>
                <w:color w:val="auto"/>
              </w:rPr>
            </w:pPr>
          </w:p>
        </w:tc>
        <w:tc>
          <w:tcPr>
            <w:tcW w:w="3820" w:type="dxa"/>
            <w:vAlign w:val="bottom"/>
            <w:tcBorders>
              <w:bottom w:val="single" w:sz="8" w:color="355675"/>
            </w:tcBorders>
          </w:tcPr>
          <w:p>
            <w:pPr>
              <w:spacing w:after="0" w:line="223" w:lineRule="exact"/>
              <w:rPr>
                <w:sz w:val="20"/>
                <w:szCs w:val="20"/>
                <w:color w:val="auto"/>
              </w:rPr>
            </w:pPr>
            <w:r>
              <w:rPr>
                <w:rFonts w:ascii="Arial" w:cs="Arial" w:eastAsia="Arial" w:hAnsi="Arial"/>
                <w:sz w:val="16"/>
                <w:szCs w:val="16"/>
                <w:color w:val="auto"/>
              </w:rPr>
              <w:t>PNW Capital</w:t>
            </w:r>
            <w:r>
              <w:rPr>
                <w:rFonts w:ascii="Arial" w:cs="Arial" w:eastAsia="Arial" w:hAnsi="Arial"/>
                <w:sz w:val="25"/>
                <w:szCs w:val="25"/>
                <w:color w:val="auto"/>
                <w:vertAlign w:val="superscript"/>
              </w:rPr>
              <w:t>(2)</w:t>
            </w:r>
            <w:r>
              <w:rPr>
                <w:rFonts w:ascii="Arial" w:cs="Arial" w:eastAsia="Arial" w:hAnsi="Arial"/>
                <w:sz w:val="16"/>
                <w:szCs w:val="16"/>
                <w:color w:val="auto"/>
              </w:rPr>
              <w:t xml:space="preserve"> (15%)</w:t>
            </w:r>
          </w:p>
        </w:tc>
        <w:tc>
          <w:tcPr>
            <w:tcW w:w="0" w:type="dxa"/>
            <w:vAlign w:val="bottom"/>
          </w:tcPr>
          <w:p>
            <w:pPr>
              <w:spacing w:after="0"/>
              <w:rPr>
                <w:sz w:val="1"/>
                <w:szCs w:val="1"/>
                <w:color w:val="auto"/>
              </w:rPr>
            </w:pPr>
          </w:p>
        </w:tc>
      </w:tr>
      <w:tr>
        <w:trPr>
          <w:trHeight w:val="210"/>
        </w:trPr>
        <w:tc>
          <w:tcPr>
            <w:tcW w:w="7320" w:type="dxa"/>
            <w:vAlign w:val="bottom"/>
            <w:tcBorders>
              <w:bottom w:val="single" w:sz="8" w:color="355675"/>
            </w:tcBorders>
            <w:gridSpan w:val="3"/>
          </w:tcPr>
          <w:p>
            <w:pPr>
              <w:ind w:left="60"/>
              <w:spacing w:after="0"/>
              <w:rPr>
                <w:sz w:val="20"/>
                <w:szCs w:val="20"/>
                <w:color w:val="auto"/>
              </w:rPr>
            </w:pPr>
            <w:r>
              <w:rPr>
                <w:rFonts w:ascii="Arial" w:cs="Arial" w:eastAsia="Arial" w:hAnsi="Arial"/>
                <w:sz w:val="16"/>
                <w:szCs w:val="16"/>
                <w:b w:val="1"/>
                <w:bCs w:val="1"/>
                <w:color w:val="355675"/>
              </w:rPr>
              <w:t>Corporate Resources (Information Technology)</w:t>
            </w:r>
          </w:p>
        </w:tc>
        <w:tc>
          <w:tcPr>
            <w:tcW w:w="0" w:type="dxa"/>
            <w:vAlign w:val="bottom"/>
          </w:tcPr>
          <w:p>
            <w:pPr>
              <w:spacing w:after="0"/>
              <w:rPr>
                <w:sz w:val="1"/>
                <w:szCs w:val="1"/>
                <w:color w:val="auto"/>
              </w:rPr>
            </w:pPr>
          </w:p>
        </w:tc>
      </w:tr>
      <w:tr>
        <w:trPr>
          <w:trHeight w:val="223"/>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color w:val="auto"/>
              </w:rPr>
              <w:t>Shared Enterprise Metrics (60%)</w:t>
            </w:r>
          </w:p>
        </w:tc>
        <w:tc>
          <w:tcPr>
            <w:tcW w:w="3820" w:type="dxa"/>
            <w:vAlign w:val="bottom"/>
            <w:tcBorders>
              <w:bottom w:val="single" w:sz="8" w:color="355675"/>
            </w:tcBorders>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500" w:type="dxa"/>
            <w:vAlign w:val="bottom"/>
            <w:gridSpan w:val="2"/>
          </w:tcPr>
          <w:p>
            <w:pPr>
              <w:ind w:left="60"/>
              <w:spacing w:after="0"/>
              <w:rPr>
                <w:sz w:val="20"/>
                <w:szCs w:val="20"/>
                <w:color w:val="auto"/>
              </w:rPr>
            </w:pPr>
            <w:r>
              <w:rPr>
                <w:rFonts w:ascii="Arial" w:cs="Arial" w:eastAsia="Arial" w:hAnsi="Arial"/>
                <w:sz w:val="16"/>
                <w:szCs w:val="16"/>
                <w:color w:val="auto"/>
              </w:rPr>
              <w:t>Reliable (40%)</w:t>
            </w:r>
          </w:p>
        </w:tc>
        <w:tc>
          <w:tcPr>
            <w:tcW w:w="3820" w:type="dxa"/>
            <w:vAlign w:val="bottom"/>
            <w:tcBorders>
              <w:bottom w:val="single" w:sz="8" w:color="939598"/>
            </w:tcBorders>
          </w:tcPr>
          <w:p>
            <w:pPr>
              <w:spacing w:after="0" w:line="230" w:lineRule="exact"/>
              <w:rPr>
                <w:sz w:val="20"/>
                <w:szCs w:val="20"/>
                <w:color w:val="auto"/>
              </w:rPr>
            </w:pPr>
            <w:r>
              <w:rPr>
                <w:rFonts w:ascii="Arial" w:cs="Arial" w:eastAsia="Arial" w:hAnsi="Arial"/>
                <w:sz w:val="16"/>
                <w:szCs w:val="16"/>
                <w:color w:val="auto"/>
              </w:rPr>
              <w:t>Average of All Operations Groups</w:t>
            </w:r>
            <w:r>
              <w:rPr>
                <w:rFonts w:ascii="Arial" w:cs="Arial" w:eastAsia="Arial" w:hAnsi="Arial"/>
                <w:sz w:val="26"/>
                <w:szCs w:val="26"/>
                <w:color w:val="auto"/>
                <w:vertAlign w:val="superscript"/>
              </w:rPr>
              <w:t>(3)</w:t>
            </w:r>
            <w:r>
              <w:rPr>
                <w:rFonts w:ascii="Arial" w:cs="Arial" w:eastAsia="Arial" w:hAnsi="Arial"/>
                <w:sz w:val="16"/>
                <w:szCs w:val="16"/>
                <w:color w:val="auto"/>
              </w:rPr>
              <w:t xml:space="preserve"> Results (30%)</w:t>
            </w:r>
          </w:p>
        </w:tc>
        <w:tc>
          <w:tcPr>
            <w:tcW w:w="0" w:type="dxa"/>
            <w:vAlign w:val="bottom"/>
          </w:tcPr>
          <w:p>
            <w:pPr>
              <w:spacing w:after="0"/>
              <w:rPr>
                <w:sz w:val="1"/>
                <w:szCs w:val="1"/>
                <w:color w:val="auto"/>
              </w:rPr>
            </w:pPr>
          </w:p>
        </w:tc>
      </w:tr>
      <w:tr>
        <w:trPr>
          <w:trHeight w:val="203"/>
        </w:trPr>
        <w:tc>
          <w:tcPr>
            <w:tcW w:w="3380" w:type="dxa"/>
            <w:vAlign w:val="bottom"/>
            <w:tcBorders>
              <w:bottom w:val="single" w:sz="8" w:color="355675"/>
            </w:tcBorders>
          </w:tcPr>
          <w:p>
            <w:pPr>
              <w:spacing w:after="0"/>
              <w:rPr>
                <w:sz w:val="17"/>
                <w:szCs w:val="17"/>
                <w:color w:val="auto"/>
              </w:rPr>
            </w:pPr>
          </w:p>
        </w:tc>
        <w:tc>
          <w:tcPr>
            <w:tcW w:w="120" w:type="dxa"/>
            <w:vAlign w:val="bottom"/>
            <w:tcBorders>
              <w:bottom w:val="single" w:sz="8" w:color="355675"/>
            </w:tcBorders>
          </w:tcPr>
          <w:p>
            <w:pPr>
              <w:spacing w:after="0"/>
              <w:rPr>
                <w:sz w:val="17"/>
                <w:szCs w:val="17"/>
                <w:color w:val="auto"/>
              </w:rPr>
            </w:pPr>
          </w:p>
        </w:tc>
        <w:tc>
          <w:tcPr>
            <w:tcW w:w="38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Mission Critical System Cumulative Availability (10%)</w:t>
            </w:r>
          </w:p>
        </w:tc>
        <w:tc>
          <w:tcPr>
            <w:tcW w:w="0" w:type="dxa"/>
            <w:vAlign w:val="bottom"/>
          </w:tcPr>
          <w:p>
            <w:pPr>
              <w:spacing w:after="0"/>
              <w:rPr>
                <w:sz w:val="1"/>
                <w:szCs w:val="1"/>
                <w:color w:val="auto"/>
              </w:rPr>
            </w:pPr>
          </w:p>
        </w:tc>
      </w:tr>
      <w:tr>
        <w:trPr>
          <w:trHeight w:val="210"/>
        </w:trPr>
        <w:tc>
          <w:tcPr>
            <w:tcW w:w="7320" w:type="dxa"/>
            <w:vAlign w:val="bottom"/>
            <w:tcBorders>
              <w:bottom w:val="single" w:sz="8" w:color="355675"/>
            </w:tcBorders>
            <w:gridSpan w:val="3"/>
          </w:tcPr>
          <w:p>
            <w:pPr>
              <w:ind w:left="60"/>
              <w:spacing w:after="0"/>
              <w:rPr>
                <w:sz w:val="20"/>
                <w:szCs w:val="20"/>
                <w:color w:val="auto"/>
              </w:rPr>
            </w:pPr>
            <w:r>
              <w:rPr>
                <w:rFonts w:ascii="Arial" w:cs="Arial" w:eastAsia="Arial" w:hAnsi="Arial"/>
                <w:sz w:val="16"/>
                <w:szCs w:val="16"/>
                <w:b w:val="1"/>
                <w:bCs w:val="1"/>
                <w:color w:val="355675"/>
              </w:rPr>
              <w:t>Corporate Resources (Resource Management)</w:t>
            </w:r>
          </w:p>
        </w:tc>
        <w:tc>
          <w:tcPr>
            <w:tcW w:w="0" w:type="dxa"/>
            <w:vAlign w:val="bottom"/>
          </w:tcPr>
          <w:p>
            <w:pPr>
              <w:spacing w:after="0"/>
              <w:rPr>
                <w:sz w:val="1"/>
                <w:szCs w:val="1"/>
                <w:color w:val="auto"/>
              </w:rPr>
            </w:pPr>
          </w:p>
        </w:tc>
      </w:tr>
      <w:tr>
        <w:trPr>
          <w:trHeight w:val="210"/>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color w:val="auto"/>
              </w:rPr>
              <w:t>Shared Enterprise Metrics (60%)</w:t>
            </w:r>
          </w:p>
        </w:tc>
        <w:tc>
          <w:tcPr>
            <w:tcW w:w="3820" w:type="dxa"/>
            <w:vAlign w:val="bottom"/>
            <w:tcBorders>
              <w:bottom w:val="single" w:sz="8" w:color="355675"/>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3500" w:type="dxa"/>
            <w:vAlign w:val="bottom"/>
            <w:gridSpan w:val="2"/>
          </w:tcPr>
          <w:p>
            <w:pPr>
              <w:ind w:left="60"/>
              <w:spacing w:after="0"/>
              <w:rPr>
                <w:sz w:val="20"/>
                <w:szCs w:val="20"/>
                <w:color w:val="auto"/>
              </w:rPr>
            </w:pPr>
            <w:r>
              <w:rPr>
                <w:rFonts w:ascii="Arial" w:cs="Arial" w:eastAsia="Arial" w:hAnsi="Arial"/>
                <w:sz w:val="16"/>
                <w:szCs w:val="16"/>
                <w:color w:val="auto"/>
              </w:rPr>
              <w:t>Culture (10%)</w:t>
            </w:r>
          </w:p>
        </w:tc>
        <w:tc>
          <w:tcPr>
            <w:tcW w:w="3820" w:type="dxa"/>
            <w:vAlign w:val="bottom"/>
          </w:tcPr>
          <w:p>
            <w:pPr>
              <w:spacing w:after="0"/>
              <w:rPr>
                <w:sz w:val="20"/>
                <w:szCs w:val="20"/>
                <w:color w:val="auto"/>
              </w:rPr>
            </w:pPr>
            <w:r>
              <w:rPr>
                <w:rFonts w:ascii="Arial" w:cs="Arial" w:eastAsia="Arial" w:hAnsi="Arial"/>
                <w:sz w:val="16"/>
                <w:szCs w:val="16"/>
                <w:color w:val="auto"/>
              </w:rPr>
              <w:t>ERMG Violations (10%)</w:t>
            </w:r>
          </w:p>
        </w:tc>
        <w:tc>
          <w:tcPr>
            <w:tcW w:w="0" w:type="dxa"/>
            <w:vAlign w:val="bottom"/>
          </w:tcPr>
          <w:p>
            <w:pPr>
              <w:spacing w:after="0"/>
              <w:rPr>
                <w:sz w:val="1"/>
                <w:szCs w:val="1"/>
                <w:color w:val="auto"/>
              </w:rPr>
            </w:pPr>
          </w:p>
        </w:tc>
      </w:tr>
      <w:tr>
        <w:trPr>
          <w:trHeight w:val="223"/>
        </w:trPr>
        <w:tc>
          <w:tcPr>
            <w:tcW w:w="3380" w:type="dxa"/>
            <w:vAlign w:val="bottom"/>
            <w:tcBorders>
              <w:top w:val="single" w:sz="8" w:color="939598"/>
            </w:tcBorders>
          </w:tcPr>
          <w:p>
            <w:pPr>
              <w:ind w:left="60"/>
              <w:spacing w:after="0"/>
              <w:rPr>
                <w:sz w:val="20"/>
                <w:szCs w:val="20"/>
                <w:color w:val="auto"/>
              </w:rPr>
            </w:pPr>
            <w:r>
              <w:rPr>
                <w:rFonts w:ascii="Arial" w:cs="Arial" w:eastAsia="Arial" w:hAnsi="Arial"/>
                <w:sz w:val="16"/>
                <w:szCs w:val="16"/>
                <w:color w:val="auto"/>
              </w:rPr>
              <w:t>Reliable (30%)</w:t>
            </w:r>
          </w:p>
        </w:tc>
        <w:tc>
          <w:tcPr>
            <w:tcW w:w="120" w:type="dxa"/>
            <w:vAlign w:val="bottom"/>
          </w:tcPr>
          <w:p>
            <w:pPr>
              <w:spacing w:after="0"/>
              <w:rPr>
                <w:sz w:val="19"/>
                <w:szCs w:val="19"/>
                <w:color w:val="auto"/>
              </w:rPr>
            </w:pPr>
          </w:p>
        </w:tc>
        <w:tc>
          <w:tcPr>
            <w:tcW w:w="3820" w:type="dxa"/>
            <w:vAlign w:val="bottom"/>
            <w:tcBorders>
              <w:top w:val="single" w:sz="8" w:color="939598"/>
              <w:bottom w:val="single" w:sz="8" w:color="939598"/>
            </w:tcBorders>
          </w:tcPr>
          <w:p>
            <w:pPr>
              <w:spacing w:after="0" w:line="223" w:lineRule="exact"/>
              <w:rPr>
                <w:sz w:val="20"/>
                <w:szCs w:val="20"/>
                <w:color w:val="auto"/>
              </w:rPr>
            </w:pPr>
            <w:r>
              <w:rPr>
                <w:rFonts w:ascii="Arial" w:cs="Arial" w:eastAsia="Arial" w:hAnsi="Arial"/>
                <w:sz w:val="16"/>
                <w:szCs w:val="16"/>
                <w:color w:val="auto"/>
              </w:rPr>
              <w:t>Average of All Operations Groups</w:t>
            </w:r>
            <w:r>
              <w:rPr>
                <w:rFonts w:ascii="Arial" w:cs="Arial" w:eastAsia="Arial" w:hAnsi="Arial"/>
                <w:sz w:val="25"/>
                <w:szCs w:val="25"/>
                <w:color w:val="auto"/>
                <w:vertAlign w:val="superscript"/>
              </w:rPr>
              <w:t>(3)</w:t>
            </w:r>
            <w:r>
              <w:rPr>
                <w:rFonts w:ascii="Arial" w:cs="Arial" w:eastAsia="Arial" w:hAnsi="Arial"/>
                <w:sz w:val="16"/>
                <w:szCs w:val="16"/>
                <w:color w:val="auto"/>
              </w:rPr>
              <w:t xml:space="preserve"> Results (20%)</w:t>
            </w:r>
          </w:p>
        </w:tc>
        <w:tc>
          <w:tcPr>
            <w:tcW w:w="0" w:type="dxa"/>
            <w:vAlign w:val="bottom"/>
          </w:tcPr>
          <w:p>
            <w:pPr>
              <w:spacing w:after="0"/>
              <w:rPr>
                <w:sz w:val="1"/>
                <w:szCs w:val="1"/>
                <w:color w:val="auto"/>
              </w:rPr>
            </w:pPr>
          </w:p>
        </w:tc>
      </w:tr>
      <w:tr>
        <w:trPr>
          <w:trHeight w:val="203"/>
        </w:trPr>
        <w:tc>
          <w:tcPr>
            <w:tcW w:w="3380" w:type="dxa"/>
            <w:vAlign w:val="bottom"/>
            <w:tcBorders>
              <w:bottom w:val="single" w:sz="8" w:color="355675"/>
            </w:tcBorders>
          </w:tcPr>
          <w:p>
            <w:pPr>
              <w:spacing w:after="0"/>
              <w:rPr>
                <w:sz w:val="17"/>
                <w:szCs w:val="17"/>
                <w:color w:val="auto"/>
              </w:rPr>
            </w:pPr>
          </w:p>
        </w:tc>
        <w:tc>
          <w:tcPr>
            <w:tcW w:w="120" w:type="dxa"/>
            <w:vAlign w:val="bottom"/>
            <w:tcBorders>
              <w:bottom w:val="single" w:sz="8" w:color="355675"/>
            </w:tcBorders>
          </w:tcPr>
          <w:p>
            <w:pPr>
              <w:spacing w:after="0"/>
              <w:rPr>
                <w:sz w:val="17"/>
                <w:szCs w:val="17"/>
                <w:color w:val="auto"/>
              </w:rPr>
            </w:pPr>
          </w:p>
        </w:tc>
        <w:tc>
          <w:tcPr>
            <w:tcW w:w="38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EIM Flex Ramping Value (10%)</w:t>
            </w:r>
          </w:p>
        </w:tc>
        <w:tc>
          <w:tcPr>
            <w:tcW w:w="0" w:type="dxa"/>
            <w:vAlign w:val="bottom"/>
          </w:tcPr>
          <w:p>
            <w:pPr>
              <w:spacing w:after="0"/>
              <w:rPr>
                <w:sz w:val="1"/>
                <w:szCs w:val="1"/>
                <w:color w:val="auto"/>
              </w:rPr>
            </w:pPr>
          </w:p>
        </w:tc>
      </w:tr>
      <w:tr>
        <w:trPr>
          <w:trHeight w:val="196"/>
        </w:trPr>
        <w:tc>
          <w:tcPr>
            <w:tcW w:w="7320" w:type="dxa"/>
            <w:vAlign w:val="bottom"/>
            <w:tcBorders>
              <w:bottom w:val="single" w:sz="8" w:color="355675"/>
            </w:tcBorders>
            <w:gridSpan w:val="3"/>
          </w:tcPr>
          <w:p>
            <w:pPr>
              <w:ind w:left="60"/>
              <w:spacing w:after="0"/>
              <w:rPr>
                <w:sz w:val="20"/>
                <w:szCs w:val="20"/>
                <w:color w:val="auto"/>
              </w:rPr>
            </w:pPr>
            <w:r>
              <w:rPr>
                <w:rFonts w:ascii="Arial" w:cs="Arial" w:eastAsia="Arial" w:hAnsi="Arial"/>
                <w:sz w:val="16"/>
                <w:szCs w:val="16"/>
                <w:b w:val="1"/>
                <w:bCs w:val="1"/>
                <w:color w:val="355675"/>
              </w:rPr>
              <w:t>Corporate Resources (excluding Information Technology and Resource Management)</w:t>
            </w:r>
          </w:p>
        </w:tc>
        <w:tc>
          <w:tcPr>
            <w:tcW w:w="0" w:type="dxa"/>
            <w:vAlign w:val="bottom"/>
          </w:tcPr>
          <w:p>
            <w:pPr>
              <w:spacing w:after="0"/>
              <w:rPr>
                <w:sz w:val="1"/>
                <w:szCs w:val="1"/>
                <w:color w:val="auto"/>
              </w:rPr>
            </w:pPr>
          </w:p>
        </w:tc>
      </w:tr>
      <w:tr>
        <w:trPr>
          <w:trHeight w:val="210"/>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color w:val="auto"/>
              </w:rPr>
              <w:t>Shared Enterprise Metrics (60%)</w:t>
            </w:r>
          </w:p>
        </w:tc>
        <w:tc>
          <w:tcPr>
            <w:tcW w:w="3820" w:type="dxa"/>
            <w:vAlign w:val="bottom"/>
            <w:tcBorders>
              <w:bottom w:val="single" w:sz="8" w:color="355675"/>
            </w:tcBorders>
          </w:tcPr>
          <w:p>
            <w:pPr>
              <w:spacing w:after="0"/>
              <w:rPr>
                <w:sz w:val="18"/>
                <w:szCs w:val="18"/>
                <w:color w:val="auto"/>
              </w:rPr>
            </w:pPr>
          </w:p>
        </w:tc>
        <w:tc>
          <w:tcPr>
            <w:tcW w:w="0" w:type="dxa"/>
            <w:vAlign w:val="bottom"/>
          </w:tcPr>
          <w:p>
            <w:pPr>
              <w:spacing w:after="0"/>
              <w:rPr>
                <w:sz w:val="1"/>
                <w:szCs w:val="1"/>
                <w:color w:val="auto"/>
              </w:rPr>
            </w:pPr>
          </w:p>
        </w:tc>
      </w:tr>
      <w:tr>
        <w:trPr>
          <w:trHeight w:val="236"/>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color w:val="auto"/>
              </w:rPr>
              <w:t>Reliable (40%)</w:t>
            </w:r>
          </w:p>
        </w:tc>
        <w:tc>
          <w:tcPr>
            <w:tcW w:w="3820" w:type="dxa"/>
            <w:vAlign w:val="bottom"/>
            <w:tcBorders>
              <w:bottom w:val="single" w:sz="8" w:color="355675"/>
            </w:tcBorders>
          </w:tcPr>
          <w:p>
            <w:pPr>
              <w:spacing w:after="0" w:line="230" w:lineRule="exact"/>
              <w:rPr>
                <w:sz w:val="20"/>
                <w:szCs w:val="20"/>
                <w:color w:val="auto"/>
              </w:rPr>
            </w:pPr>
            <w:r>
              <w:rPr>
                <w:rFonts w:ascii="Arial" w:cs="Arial" w:eastAsia="Arial" w:hAnsi="Arial"/>
                <w:sz w:val="16"/>
                <w:szCs w:val="16"/>
                <w:color w:val="auto"/>
              </w:rPr>
              <w:t>Average of All Operations Groups</w:t>
            </w:r>
            <w:r>
              <w:rPr>
                <w:rFonts w:ascii="Arial" w:cs="Arial" w:eastAsia="Arial" w:hAnsi="Arial"/>
                <w:sz w:val="26"/>
                <w:szCs w:val="26"/>
                <w:color w:val="auto"/>
                <w:vertAlign w:val="superscript"/>
              </w:rPr>
              <w:t>(3)</w:t>
            </w:r>
            <w:r>
              <w:rPr>
                <w:rFonts w:ascii="Arial" w:cs="Arial" w:eastAsia="Arial" w:hAnsi="Arial"/>
                <w:sz w:val="16"/>
                <w:szCs w:val="16"/>
                <w:color w:val="auto"/>
              </w:rPr>
              <w:t xml:space="preserve"> Results (20%)</w:t>
            </w:r>
          </w:p>
        </w:tc>
        <w:tc>
          <w:tcPr>
            <w:tcW w:w="0" w:type="dxa"/>
            <w:vAlign w:val="bottom"/>
          </w:tcPr>
          <w:p>
            <w:pPr>
              <w:spacing w:after="0"/>
              <w:rPr>
                <w:sz w:val="1"/>
                <w:szCs w:val="1"/>
                <w:color w:val="auto"/>
              </w:rPr>
            </w:pPr>
          </w:p>
        </w:tc>
      </w:tr>
      <w:tr>
        <w:trPr>
          <w:trHeight w:val="210"/>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b w:val="1"/>
                <w:bCs w:val="1"/>
                <w:color w:val="355675"/>
              </w:rPr>
              <w:t>Customer Experience</w:t>
            </w:r>
          </w:p>
        </w:tc>
        <w:tc>
          <w:tcPr>
            <w:tcW w:w="3820" w:type="dxa"/>
            <w:vAlign w:val="bottom"/>
            <w:tcBorders>
              <w:bottom w:val="single" w:sz="8" w:color="355675"/>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color w:val="auto"/>
              </w:rPr>
              <w:t>Shared Enterprise Metrics (60%)</w:t>
            </w:r>
          </w:p>
        </w:tc>
        <w:tc>
          <w:tcPr>
            <w:tcW w:w="3820" w:type="dxa"/>
            <w:vAlign w:val="bottom"/>
            <w:tcBorders>
              <w:bottom w:val="single" w:sz="8" w:color="355675"/>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3500" w:type="dxa"/>
            <w:vAlign w:val="bottom"/>
            <w:gridSpan w:val="2"/>
          </w:tcPr>
          <w:p>
            <w:pPr>
              <w:ind w:left="60"/>
              <w:spacing w:after="0"/>
              <w:rPr>
                <w:sz w:val="20"/>
                <w:szCs w:val="20"/>
                <w:color w:val="auto"/>
              </w:rPr>
            </w:pPr>
            <w:r>
              <w:rPr>
                <w:rFonts w:ascii="Arial" w:cs="Arial" w:eastAsia="Arial" w:hAnsi="Arial"/>
                <w:sz w:val="16"/>
                <w:szCs w:val="16"/>
                <w:color w:val="auto"/>
              </w:rPr>
              <w:t>Customer Centric (40%)</w:t>
            </w: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Customer Care Service Level (20%)</w:t>
            </w:r>
          </w:p>
        </w:tc>
        <w:tc>
          <w:tcPr>
            <w:tcW w:w="0" w:type="dxa"/>
            <w:vAlign w:val="bottom"/>
          </w:tcPr>
          <w:p>
            <w:pPr>
              <w:spacing w:after="0"/>
              <w:rPr>
                <w:sz w:val="1"/>
                <w:szCs w:val="1"/>
                <w:color w:val="auto"/>
              </w:rPr>
            </w:pPr>
          </w:p>
        </w:tc>
      </w:tr>
      <w:tr>
        <w:trPr>
          <w:trHeight w:val="203"/>
        </w:trPr>
        <w:tc>
          <w:tcPr>
            <w:tcW w:w="3380" w:type="dxa"/>
            <w:vAlign w:val="bottom"/>
            <w:tcBorders>
              <w:bottom w:val="single" w:sz="8" w:color="355675"/>
            </w:tcBorders>
          </w:tcPr>
          <w:p>
            <w:pPr>
              <w:spacing w:after="0"/>
              <w:rPr>
                <w:sz w:val="17"/>
                <w:szCs w:val="17"/>
                <w:color w:val="auto"/>
              </w:rPr>
            </w:pPr>
          </w:p>
        </w:tc>
        <w:tc>
          <w:tcPr>
            <w:tcW w:w="120" w:type="dxa"/>
            <w:vAlign w:val="bottom"/>
            <w:tcBorders>
              <w:bottom w:val="single" w:sz="8" w:color="355675"/>
            </w:tcBorders>
          </w:tcPr>
          <w:p>
            <w:pPr>
              <w:spacing w:after="0"/>
              <w:rPr>
                <w:sz w:val="17"/>
                <w:szCs w:val="17"/>
                <w:color w:val="auto"/>
              </w:rPr>
            </w:pPr>
          </w:p>
        </w:tc>
        <w:tc>
          <w:tcPr>
            <w:tcW w:w="38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Digital Engagement (20%)</w:t>
            </w:r>
          </w:p>
        </w:tc>
        <w:tc>
          <w:tcPr>
            <w:tcW w:w="0" w:type="dxa"/>
            <w:vAlign w:val="bottom"/>
          </w:tcPr>
          <w:p>
            <w:pPr>
              <w:spacing w:after="0"/>
              <w:rPr>
                <w:sz w:val="1"/>
                <w:szCs w:val="1"/>
                <w:color w:val="auto"/>
              </w:rPr>
            </w:pPr>
          </w:p>
        </w:tc>
      </w:tr>
      <w:tr>
        <w:trPr>
          <w:trHeight w:val="210"/>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b w:val="1"/>
                <w:bCs w:val="1"/>
                <w:color w:val="355675"/>
              </w:rPr>
              <w:t>Generation (non-nuclear)</w:t>
            </w:r>
          </w:p>
        </w:tc>
        <w:tc>
          <w:tcPr>
            <w:tcW w:w="3820" w:type="dxa"/>
            <w:vAlign w:val="bottom"/>
            <w:tcBorders>
              <w:bottom w:val="single" w:sz="8" w:color="355675"/>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3500" w:type="dxa"/>
            <w:vAlign w:val="bottom"/>
            <w:tcBorders>
              <w:bottom w:val="single" w:sz="8" w:color="355675"/>
            </w:tcBorders>
            <w:gridSpan w:val="2"/>
          </w:tcPr>
          <w:p>
            <w:pPr>
              <w:ind w:left="60"/>
              <w:spacing w:after="0"/>
              <w:rPr>
                <w:sz w:val="20"/>
                <w:szCs w:val="20"/>
                <w:color w:val="auto"/>
              </w:rPr>
            </w:pPr>
            <w:r>
              <w:rPr>
                <w:rFonts w:ascii="Arial" w:cs="Arial" w:eastAsia="Arial" w:hAnsi="Arial"/>
                <w:sz w:val="16"/>
                <w:szCs w:val="16"/>
                <w:color w:val="auto"/>
              </w:rPr>
              <w:t>Shared Enterprise Metrics (60%)</w:t>
            </w:r>
          </w:p>
        </w:tc>
        <w:tc>
          <w:tcPr>
            <w:tcW w:w="3820" w:type="dxa"/>
            <w:vAlign w:val="bottom"/>
            <w:tcBorders>
              <w:bottom w:val="single" w:sz="8" w:color="355675"/>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3500" w:type="dxa"/>
            <w:vAlign w:val="bottom"/>
            <w:gridSpan w:val="2"/>
          </w:tcPr>
          <w:p>
            <w:pPr>
              <w:ind w:left="60"/>
              <w:spacing w:after="0"/>
              <w:rPr>
                <w:sz w:val="20"/>
                <w:szCs w:val="20"/>
                <w:color w:val="auto"/>
              </w:rPr>
            </w:pPr>
            <w:r>
              <w:rPr>
                <w:rFonts w:ascii="Arial" w:cs="Arial" w:eastAsia="Arial" w:hAnsi="Arial"/>
                <w:sz w:val="16"/>
                <w:szCs w:val="16"/>
                <w:color w:val="auto"/>
              </w:rPr>
              <w:t>Reliable (20%)</w:t>
            </w:r>
          </w:p>
        </w:tc>
        <w:tc>
          <w:tcPr>
            <w:tcW w:w="3820" w:type="dxa"/>
            <w:vAlign w:val="bottom"/>
          </w:tcPr>
          <w:p>
            <w:pPr>
              <w:spacing w:after="0"/>
              <w:rPr>
                <w:sz w:val="20"/>
                <w:szCs w:val="20"/>
                <w:color w:val="auto"/>
              </w:rPr>
            </w:pPr>
            <w:r>
              <w:rPr>
                <w:rFonts w:ascii="Arial" w:cs="Arial" w:eastAsia="Arial" w:hAnsi="Arial"/>
                <w:sz w:val="16"/>
                <w:szCs w:val="16"/>
                <w:color w:val="auto"/>
              </w:rPr>
              <w:t>G&amp;O Start-Up Reliability (20%)</w:t>
            </w:r>
          </w:p>
        </w:tc>
        <w:tc>
          <w:tcPr>
            <w:tcW w:w="0" w:type="dxa"/>
            <w:vAlign w:val="bottom"/>
          </w:tcPr>
          <w:p>
            <w:pPr>
              <w:spacing w:after="0"/>
              <w:rPr>
                <w:sz w:val="1"/>
                <w:szCs w:val="1"/>
                <w:color w:val="auto"/>
              </w:rPr>
            </w:pPr>
          </w:p>
        </w:tc>
      </w:tr>
      <w:tr>
        <w:trPr>
          <w:trHeight w:val="168"/>
        </w:trPr>
        <w:tc>
          <w:tcPr>
            <w:tcW w:w="3380" w:type="dxa"/>
            <w:vAlign w:val="bottom"/>
            <w:tcBorders>
              <w:top w:val="single" w:sz="8" w:color="939598"/>
            </w:tcBorders>
          </w:tcPr>
          <w:p>
            <w:pPr>
              <w:ind w:left="60"/>
              <w:spacing w:after="0" w:line="168" w:lineRule="exact"/>
              <w:rPr>
                <w:sz w:val="20"/>
                <w:szCs w:val="20"/>
                <w:color w:val="auto"/>
              </w:rPr>
            </w:pPr>
            <w:r>
              <w:rPr>
                <w:rFonts w:ascii="Arial" w:cs="Arial" w:eastAsia="Arial" w:hAnsi="Arial"/>
                <w:sz w:val="16"/>
                <w:szCs w:val="16"/>
                <w:color w:val="auto"/>
              </w:rPr>
              <w:t>Customer Centric (20%)</w:t>
            </w:r>
          </w:p>
        </w:tc>
        <w:tc>
          <w:tcPr>
            <w:tcW w:w="120" w:type="dxa"/>
            <w:vAlign w:val="bottom"/>
          </w:tcPr>
          <w:p>
            <w:pPr>
              <w:spacing w:after="0"/>
              <w:rPr>
                <w:sz w:val="14"/>
                <w:szCs w:val="14"/>
                <w:color w:val="auto"/>
              </w:rPr>
            </w:pPr>
          </w:p>
        </w:tc>
        <w:tc>
          <w:tcPr>
            <w:tcW w:w="3820" w:type="dxa"/>
            <w:vAlign w:val="bottom"/>
            <w:tcBorders>
              <w:top w:val="single" w:sz="8" w:color="939598"/>
            </w:tcBorders>
          </w:tcPr>
          <w:p>
            <w:pPr>
              <w:spacing w:after="0" w:line="168" w:lineRule="exact"/>
              <w:rPr>
                <w:sz w:val="20"/>
                <w:szCs w:val="20"/>
                <w:color w:val="auto"/>
              </w:rPr>
            </w:pPr>
            <w:r>
              <w:rPr>
                <w:rFonts w:ascii="Arial" w:cs="Arial" w:eastAsia="Arial" w:hAnsi="Arial"/>
                <w:sz w:val="16"/>
                <w:szCs w:val="16"/>
                <w:color w:val="auto"/>
              </w:rPr>
              <w:t>Fleet Summertime Equivalent Availability Factor</w:t>
            </w:r>
          </w:p>
        </w:tc>
        <w:tc>
          <w:tcPr>
            <w:tcW w:w="0" w:type="dxa"/>
            <w:vAlign w:val="bottom"/>
          </w:tcPr>
          <w:p>
            <w:pPr>
              <w:spacing w:after="0"/>
              <w:rPr>
                <w:sz w:val="1"/>
                <w:szCs w:val="1"/>
                <w:color w:val="auto"/>
              </w:rPr>
            </w:pPr>
          </w:p>
        </w:tc>
      </w:tr>
      <w:tr>
        <w:trPr>
          <w:trHeight w:val="215"/>
        </w:trPr>
        <w:tc>
          <w:tcPr>
            <w:tcW w:w="3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820" w:type="dxa"/>
            <w:vAlign w:val="bottom"/>
          </w:tcPr>
          <w:p>
            <w:pPr>
              <w:spacing w:after="0"/>
              <w:rPr>
                <w:sz w:val="20"/>
                <w:szCs w:val="20"/>
                <w:color w:val="auto"/>
              </w:rPr>
            </w:pPr>
            <w:r>
              <w:rPr>
                <w:rFonts w:ascii="Arial" w:cs="Arial" w:eastAsia="Arial" w:hAnsi="Arial"/>
                <w:sz w:val="16"/>
                <w:szCs w:val="16"/>
                <w:color w:val="auto"/>
              </w:rPr>
              <w:t>(20%)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4646295" cy="1714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4646295" cy="17145"/>
                    </a:xfrm>
                    <a:prstGeom prst="rect">
                      <a:avLst/>
                    </a:prstGeom>
                    <a:noFill/>
                  </pic:spPr>
                </pic:pic>
              </a:graphicData>
            </a:graphic>
          </wp:anchor>
        </w:drawing>
      </w:r>
    </w:p>
    <w:p>
      <w:pPr>
        <w:ind w:left="60"/>
        <w:spacing w:after="0"/>
        <w:rPr>
          <w:sz w:val="20"/>
          <w:szCs w:val="20"/>
          <w:color w:val="auto"/>
        </w:rPr>
      </w:pPr>
      <w:r>
        <w:rPr>
          <w:rFonts w:ascii="Arial" w:cs="Arial" w:eastAsia="Arial" w:hAnsi="Arial"/>
          <w:sz w:val="16"/>
          <w:szCs w:val="16"/>
          <w:b w:val="1"/>
          <w:bCs w:val="1"/>
          <w:color w:val="355675"/>
        </w:rPr>
        <w:t>Transmission &amp; Distribution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20955</wp:posOffset>
            </wp:positionV>
            <wp:extent cx="4646295" cy="171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4646295" cy="17145"/>
                    </a:xfrm>
                    <a:prstGeom prst="rect">
                      <a:avLst/>
                    </a:prstGeom>
                    <a:noFill/>
                  </pic:spPr>
                </pic:pic>
              </a:graphicData>
            </a:graphic>
          </wp:anchor>
        </w:drawing>
        <w:drawing>
          <wp:anchor simplePos="0" relativeHeight="251657728" behindDoc="1" locked="0" layoutInCell="0" allowOverlap="1">
            <wp:simplePos x="0" y="0"/>
            <wp:positionH relativeFrom="column">
              <wp:posOffset>321945</wp:posOffset>
            </wp:positionH>
            <wp:positionV relativeFrom="paragraph">
              <wp:posOffset>140970</wp:posOffset>
            </wp:positionV>
            <wp:extent cx="1191260" cy="23177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2"/>
        </w:trPr>
        <w:tc>
          <w:tcPr>
            <w:tcW w:w="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40" w:type="dxa"/>
            <w:vAlign w:val="bottom"/>
          </w:tcPr>
          <w:p>
            <w:pPr>
              <w:jc w:val="right"/>
              <w:spacing w:after="0"/>
              <w:rPr>
                <w:sz w:val="20"/>
                <w:szCs w:val="20"/>
                <w:color w:val="auto"/>
              </w:rPr>
            </w:pPr>
            <w:r>
              <w:rPr>
                <w:rFonts w:ascii="Arial" w:cs="Arial" w:eastAsia="Arial" w:hAnsi="Arial"/>
                <w:sz w:val="14"/>
                <w:szCs w:val="14"/>
                <w:b w:val="1"/>
                <w:bCs w:val="1"/>
                <w:color w:val="355675"/>
              </w:rPr>
              <w:t>% of Target</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20" w:type="dxa"/>
            <w:vAlign w:val="bottom"/>
            <w:gridSpan w:val="2"/>
          </w:tcPr>
          <w:p>
            <w:pPr>
              <w:spacing w:after="0"/>
              <w:rPr>
                <w:sz w:val="20"/>
                <w:szCs w:val="20"/>
                <w:color w:val="auto"/>
              </w:rPr>
            </w:pPr>
            <w:r>
              <w:rPr>
                <w:rFonts w:ascii="Arial" w:cs="Arial" w:eastAsia="Arial" w:hAnsi="Arial"/>
                <w:sz w:val="14"/>
                <w:szCs w:val="14"/>
                <w:b w:val="1"/>
                <w:bCs w:val="1"/>
                <w:color w:val="355675"/>
              </w:rPr>
              <w:t>Actual</w:t>
            </w:r>
          </w:p>
        </w:tc>
        <w:tc>
          <w:tcPr>
            <w:tcW w:w="1340" w:type="dxa"/>
            <w:vAlign w:val="bottom"/>
          </w:tcPr>
          <w:p>
            <w:pPr>
              <w:jc w:val="right"/>
              <w:spacing w:after="0"/>
              <w:rPr>
                <w:sz w:val="20"/>
                <w:szCs w:val="20"/>
                <w:color w:val="auto"/>
              </w:rPr>
            </w:pPr>
            <w:r>
              <w:rPr>
                <w:rFonts w:ascii="Arial" w:cs="Arial" w:eastAsia="Arial" w:hAnsi="Arial"/>
                <w:sz w:val="14"/>
                <w:szCs w:val="14"/>
                <w:b w:val="1"/>
                <w:bCs w:val="1"/>
                <w:color w:val="355675"/>
              </w:rPr>
              <w:t>Performance</w:t>
            </w:r>
          </w:p>
        </w:tc>
        <w:tc>
          <w:tcPr>
            <w:tcW w:w="0" w:type="dxa"/>
            <w:vAlign w:val="bottom"/>
          </w:tcPr>
          <w:p>
            <w:pPr>
              <w:spacing w:after="0"/>
              <w:rPr>
                <w:sz w:val="1"/>
                <w:szCs w:val="1"/>
                <w:color w:val="auto"/>
              </w:rPr>
            </w:pPr>
          </w:p>
        </w:tc>
      </w:tr>
      <w:tr>
        <w:trPr>
          <w:trHeight w:val="178"/>
        </w:trPr>
        <w:tc>
          <w:tcPr>
            <w:tcW w:w="1240" w:type="dxa"/>
            <w:vAlign w:val="bottom"/>
            <w:gridSpan w:val="3"/>
          </w:tcPr>
          <w:p>
            <w:pPr>
              <w:spacing w:after="0"/>
              <w:rPr>
                <w:sz w:val="20"/>
                <w:szCs w:val="20"/>
                <w:color w:val="auto"/>
              </w:rPr>
            </w:pPr>
            <w:r>
              <w:rPr>
                <w:rFonts w:ascii="Arial" w:cs="Arial" w:eastAsia="Arial" w:hAnsi="Arial"/>
                <w:sz w:val="14"/>
                <w:szCs w:val="14"/>
                <w:b w:val="1"/>
                <w:bCs w:val="1"/>
                <w:color w:val="355675"/>
              </w:rPr>
              <w:t>Target</w:t>
            </w:r>
          </w:p>
        </w:tc>
        <w:tc>
          <w:tcPr>
            <w:tcW w:w="1220" w:type="dxa"/>
            <w:vAlign w:val="bottom"/>
            <w:gridSpan w:val="2"/>
          </w:tcPr>
          <w:p>
            <w:pPr>
              <w:spacing w:after="0"/>
              <w:rPr>
                <w:sz w:val="20"/>
                <w:szCs w:val="20"/>
                <w:color w:val="auto"/>
              </w:rPr>
            </w:pPr>
            <w:r>
              <w:rPr>
                <w:rFonts w:ascii="Arial" w:cs="Arial" w:eastAsia="Arial" w:hAnsi="Arial"/>
                <w:sz w:val="14"/>
                <w:szCs w:val="14"/>
                <w:b w:val="1"/>
                <w:bCs w:val="1"/>
                <w:color w:val="355675"/>
              </w:rPr>
              <w:t>Results</w:t>
            </w:r>
          </w:p>
        </w:tc>
        <w:tc>
          <w:tcPr>
            <w:tcW w:w="1340" w:type="dxa"/>
            <w:vAlign w:val="bottom"/>
          </w:tcPr>
          <w:p>
            <w:pPr>
              <w:jc w:val="right"/>
              <w:spacing w:after="0"/>
              <w:rPr>
                <w:sz w:val="20"/>
                <w:szCs w:val="20"/>
                <w:color w:val="auto"/>
              </w:rPr>
            </w:pPr>
            <w:r>
              <w:rPr>
                <w:rFonts w:ascii="Arial" w:cs="Arial" w:eastAsia="Arial" w:hAnsi="Arial"/>
                <w:sz w:val="14"/>
                <w:szCs w:val="14"/>
                <w:b w:val="1"/>
                <w:bCs w:val="1"/>
                <w:color w:val="355675"/>
              </w:rPr>
              <w:t>Achieved</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1100" w:type="dxa"/>
            <w:vAlign w:val="bottom"/>
            <w:tcBorders>
              <w:top w:val="single" w:sz="8" w:color="355675"/>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top w:val="single" w:sz="8" w:color="355675"/>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top w:val="single" w:sz="8" w:color="355675"/>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26</w:t>
            </w:r>
          </w:p>
        </w:tc>
        <w:tc>
          <w:tcPr>
            <w:tcW w:w="0" w:type="dxa"/>
            <w:vAlign w:val="bottom"/>
          </w:tcPr>
          <w:p>
            <w:pPr>
              <w:spacing w:after="0"/>
              <w:rPr>
                <w:sz w:val="1"/>
                <w:szCs w:val="1"/>
                <w:color w:val="auto"/>
              </w:rPr>
            </w:pPr>
          </w:p>
        </w:tc>
      </w:tr>
      <w:tr>
        <w:trPr>
          <w:trHeight w:val="215"/>
        </w:trPr>
        <w:tc>
          <w:tcPr>
            <w:tcW w:w="20" w:type="dxa"/>
            <w:vAlign w:val="bottom"/>
          </w:tcPr>
          <w:p>
            <w:pPr>
              <w:spacing w:after="0"/>
              <w:rPr>
                <w:sz w:val="18"/>
                <w:szCs w:val="18"/>
                <w:color w:val="auto"/>
              </w:rPr>
            </w:pPr>
          </w:p>
        </w:tc>
        <w:tc>
          <w:tcPr>
            <w:tcW w:w="1100" w:type="dxa"/>
            <w:vAlign w:val="bottom"/>
          </w:tcPr>
          <w:p>
            <w:pPr>
              <w:spacing w:after="0"/>
              <w:rPr>
                <w:sz w:val="20"/>
                <w:szCs w:val="20"/>
                <w:color w:val="auto"/>
              </w:rPr>
            </w:pPr>
            <w:r>
              <w:rPr>
                <w:rFonts w:ascii="Arial" w:cs="Arial" w:eastAsia="Arial" w:hAnsi="Arial"/>
                <w:sz w:val="16"/>
                <w:szCs w:val="16"/>
                <w:color w:val="auto"/>
              </w:rPr>
              <w:t>N/A</w:t>
            </w:r>
          </w:p>
        </w:tc>
        <w:tc>
          <w:tcPr>
            <w:tcW w:w="120" w:type="dxa"/>
            <w:vAlign w:val="bottom"/>
          </w:tcPr>
          <w:p>
            <w:pPr>
              <w:spacing w:after="0"/>
              <w:rPr>
                <w:sz w:val="18"/>
                <w:szCs w:val="18"/>
                <w:color w:val="auto"/>
              </w:rPr>
            </w:pPr>
          </w:p>
        </w:tc>
        <w:tc>
          <w:tcPr>
            <w:tcW w:w="1120" w:type="dxa"/>
            <w:vAlign w:val="bottom"/>
          </w:tcPr>
          <w:p>
            <w:pPr>
              <w:spacing w:after="0"/>
              <w:rPr>
                <w:sz w:val="20"/>
                <w:szCs w:val="20"/>
                <w:color w:val="auto"/>
              </w:rPr>
            </w:pPr>
            <w:r>
              <w:rPr>
                <w:rFonts w:ascii="Arial" w:cs="Arial" w:eastAsia="Arial" w:hAnsi="Arial"/>
                <w:sz w:val="16"/>
                <w:szCs w:val="16"/>
                <w:color w:val="auto"/>
              </w:rPr>
              <w:t>7</w:t>
            </w:r>
          </w:p>
        </w:tc>
        <w:tc>
          <w:tcPr>
            <w:tcW w:w="100" w:type="dxa"/>
            <w:vAlign w:val="bottom"/>
          </w:tcPr>
          <w:p>
            <w:pPr>
              <w:spacing w:after="0"/>
              <w:rPr>
                <w:sz w:val="18"/>
                <w:szCs w:val="18"/>
                <w:color w:val="auto"/>
              </w:rPr>
            </w:pPr>
          </w:p>
        </w:tc>
        <w:tc>
          <w:tcPr>
            <w:tcW w:w="1340" w:type="dxa"/>
            <w:vAlign w:val="bottom"/>
          </w:tcPr>
          <w:p>
            <w:pPr>
              <w:jc w:val="right"/>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204"/>
        </w:trPr>
        <w:tc>
          <w:tcPr>
            <w:tcW w:w="20" w:type="dxa"/>
            <w:vAlign w:val="bottom"/>
            <w:vMerge w:val="restart"/>
          </w:tcPr>
          <w:p>
            <w:pPr>
              <w:spacing w:after="0"/>
              <w:rPr>
                <w:sz w:val="17"/>
                <w:szCs w:val="17"/>
                <w:color w:val="auto"/>
              </w:rPr>
            </w:pPr>
          </w:p>
        </w:tc>
        <w:tc>
          <w:tcPr>
            <w:tcW w:w="1100" w:type="dxa"/>
            <w:vAlign w:val="bottom"/>
            <w:tcBorders>
              <w:bottom w:val="single" w:sz="8" w:color="939598"/>
            </w:tcBorders>
          </w:tcPr>
          <w:p>
            <w:pPr>
              <w:spacing w:after="0"/>
              <w:rPr>
                <w:sz w:val="17"/>
                <w:szCs w:val="17"/>
                <w:color w:val="auto"/>
              </w:rPr>
            </w:pP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Borders>
              <w:bottom w:val="single" w:sz="8" w:color="939598"/>
            </w:tcBorders>
          </w:tcPr>
          <w:p>
            <w:pPr>
              <w:spacing w:after="0"/>
              <w:rPr>
                <w:sz w:val="17"/>
                <w:szCs w:val="17"/>
                <w:color w:val="auto"/>
              </w:rPr>
            </w:pPr>
          </w:p>
        </w:tc>
        <w:tc>
          <w:tcPr>
            <w:tcW w:w="0" w:type="dxa"/>
            <w:vAlign w:val="bottom"/>
          </w:tcPr>
          <w:p>
            <w:pPr>
              <w:spacing w:after="0"/>
              <w:rPr>
                <w:sz w:val="1"/>
                <w:szCs w:val="1"/>
                <w:color w:val="auto"/>
              </w:rPr>
            </w:pPr>
          </w:p>
        </w:tc>
      </w:tr>
      <w:tr>
        <w:trPr>
          <w:trHeight w:val="183"/>
        </w:trPr>
        <w:tc>
          <w:tcPr>
            <w:tcW w:w="20" w:type="dxa"/>
            <w:vAlign w:val="bottom"/>
            <w:vMerge w:val="continue"/>
          </w:tcPr>
          <w:p>
            <w:pPr>
              <w:spacing w:after="0"/>
              <w:rPr>
                <w:sz w:val="15"/>
                <w:szCs w:val="15"/>
                <w:color w:val="auto"/>
              </w:rPr>
            </w:pPr>
          </w:p>
        </w:tc>
        <w:tc>
          <w:tcPr>
            <w:tcW w:w="1100" w:type="dxa"/>
            <w:vAlign w:val="bottom"/>
            <w:tcBorders>
              <w:bottom w:val="single" w:sz="8" w:color="939598"/>
            </w:tcBorders>
          </w:tcPr>
          <w:p>
            <w:pPr>
              <w:spacing w:after="0" w:line="183" w:lineRule="exact"/>
              <w:rPr>
                <w:sz w:val="20"/>
                <w:szCs w:val="20"/>
                <w:color w:val="auto"/>
              </w:rPr>
            </w:pPr>
            <w:r>
              <w:rPr>
                <w:rFonts w:ascii="Arial" w:cs="Arial" w:eastAsia="Arial" w:hAnsi="Arial"/>
                <w:sz w:val="16"/>
                <w:szCs w:val="16"/>
                <w:color w:val="auto"/>
              </w:rPr>
              <w:t>27</w:t>
            </w:r>
          </w:p>
        </w:tc>
        <w:tc>
          <w:tcPr>
            <w:tcW w:w="120" w:type="dxa"/>
            <w:vAlign w:val="bottom"/>
          </w:tcPr>
          <w:p>
            <w:pPr>
              <w:spacing w:after="0"/>
              <w:rPr>
                <w:sz w:val="15"/>
                <w:szCs w:val="15"/>
                <w:color w:val="auto"/>
              </w:rPr>
            </w:pPr>
          </w:p>
        </w:tc>
        <w:tc>
          <w:tcPr>
            <w:tcW w:w="1120" w:type="dxa"/>
            <w:vAlign w:val="bottom"/>
            <w:tcBorders>
              <w:bottom w:val="single" w:sz="8" w:color="939598"/>
            </w:tcBorders>
          </w:tcPr>
          <w:p>
            <w:pPr>
              <w:spacing w:after="0" w:line="183" w:lineRule="exact"/>
              <w:rPr>
                <w:sz w:val="20"/>
                <w:szCs w:val="20"/>
                <w:color w:val="auto"/>
              </w:rPr>
            </w:pPr>
            <w:r>
              <w:rPr>
                <w:rFonts w:ascii="Arial" w:cs="Arial" w:eastAsia="Arial" w:hAnsi="Arial"/>
                <w:sz w:val="16"/>
                <w:szCs w:val="16"/>
                <w:color w:val="auto"/>
              </w:rPr>
              <w:t>40</w:t>
            </w:r>
          </w:p>
        </w:tc>
        <w:tc>
          <w:tcPr>
            <w:tcW w:w="100" w:type="dxa"/>
            <w:vAlign w:val="bottom"/>
          </w:tcPr>
          <w:p>
            <w:pPr>
              <w:spacing w:after="0"/>
              <w:rPr>
                <w:sz w:val="15"/>
                <w:szCs w:val="15"/>
                <w:color w:val="auto"/>
              </w:rPr>
            </w:pPr>
          </w:p>
        </w:tc>
        <w:tc>
          <w:tcPr>
            <w:tcW w:w="134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1100" w:type="dxa"/>
            <w:vAlign w:val="bottom"/>
          </w:tcPr>
          <w:p>
            <w:pPr>
              <w:spacing w:after="0" w:line="209" w:lineRule="exact"/>
              <w:rPr>
                <w:sz w:val="20"/>
                <w:szCs w:val="20"/>
                <w:color w:val="auto"/>
              </w:rPr>
            </w:pPr>
            <w:r>
              <w:rPr>
                <w:rFonts w:ascii="Arial" w:cs="Arial" w:eastAsia="Arial" w:hAnsi="Arial"/>
                <w:sz w:val="15"/>
                <w:szCs w:val="15"/>
                <w:color w:val="auto"/>
              </w:rPr>
              <w:t>Top half of 3</w:t>
            </w:r>
            <w:r>
              <w:rPr>
                <w:rFonts w:ascii="Arial" w:cs="Arial" w:eastAsia="Arial" w:hAnsi="Arial"/>
                <w:sz w:val="24"/>
                <w:szCs w:val="24"/>
                <w:color w:val="auto"/>
                <w:vertAlign w:val="superscript"/>
              </w:rPr>
              <w:t>rd</w:t>
            </w:r>
          </w:p>
        </w:tc>
        <w:tc>
          <w:tcPr>
            <w:tcW w:w="120" w:type="dxa"/>
            <w:vAlign w:val="bottom"/>
          </w:tcPr>
          <w:p>
            <w:pPr>
              <w:spacing w:after="0"/>
              <w:rPr>
                <w:sz w:val="18"/>
                <w:szCs w:val="18"/>
                <w:color w:val="auto"/>
              </w:rPr>
            </w:pPr>
          </w:p>
        </w:tc>
        <w:tc>
          <w:tcPr>
            <w:tcW w:w="1120" w:type="dxa"/>
            <w:vAlign w:val="bottom"/>
          </w:tcPr>
          <w:p>
            <w:pPr>
              <w:spacing w:after="0" w:line="209" w:lineRule="exact"/>
              <w:rPr>
                <w:sz w:val="20"/>
                <w:szCs w:val="20"/>
                <w:color w:val="auto"/>
              </w:rPr>
            </w:pPr>
            <w:r>
              <w:rPr>
                <w:rFonts w:ascii="Arial" w:cs="Arial" w:eastAsia="Arial" w:hAnsi="Arial"/>
                <w:sz w:val="15"/>
                <w:szCs w:val="15"/>
                <w:color w:val="auto"/>
              </w:rPr>
              <w:t>Top half of 4</w:t>
            </w:r>
            <w:r>
              <w:rPr>
                <w:rFonts w:ascii="Arial" w:cs="Arial" w:eastAsia="Arial" w:hAnsi="Arial"/>
                <w:sz w:val="24"/>
                <w:szCs w:val="24"/>
                <w:color w:val="auto"/>
                <w:vertAlign w:val="superscript"/>
              </w:rPr>
              <w:t>th</w:t>
            </w:r>
          </w:p>
        </w:tc>
        <w:tc>
          <w:tcPr>
            <w:tcW w:w="100" w:type="dxa"/>
            <w:vAlign w:val="bottom"/>
          </w:tcPr>
          <w:p>
            <w:pPr>
              <w:spacing w:after="0"/>
              <w:rPr>
                <w:sz w:val="18"/>
                <w:szCs w:val="18"/>
                <w:color w:val="auto"/>
              </w:rPr>
            </w:pPr>
          </w:p>
        </w:tc>
        <w:tc>
          <w:tcPr>
            <w:tcW w:w="1340" w:type="dxa"/>
            <w:vAlign w:val="bottom"/>
          </w:tcPr>
          <w:p>
            <w:pPr>
              <w:jc w:val="right"/>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203"/>
        </w:trPr>
        <w:tc>
          <w:tcPr>
            <w:tcW w:w="1240" w:type="dxa"/>
            <w:vAlign w:val="bottom"/>
            <w:gridSpan w:val="3"/>
          </w:tcPr>
          <w:p>
            <w:pPr>
              <w:spacing w:after="0"/>
              <w:rPr>
                <w:sz w:val="20"/>
                <w:szCs w:val="20"/>
                <w:color w:val="auto"/>
              </w:rPr>
            </w:pPr>
            <w:r>
              <w:rPr>
                <w:rFonts w:ascii="Arial" w:cs="Arial" w:eastAsia="Arial" w:hAnsi="Arial"/>
                <w:sz w:val="16"/>
                <w:szCs w:val="16"/>
                <w:color w:val="auto"/>
              </w:rPr>
              <w:t>Quartile</w:t>
            </w:r>
          </w:p>
        </w:tc>
        <w:tc>
          <w:tcPr>
            <w:tcW w:w="1220" w:type="dxa"/>
            <w:vAlign w:val="bottom"/>
            <w:gridSpan w:val="2"/>
          </w:tcPr>
          <w:p>
            <w:pPr>
              <w:spacing w:after="0"/>
              <w:rPr>
                <w:sz w:val="20"/>
                <w:szCs w:val="20"/>
                <w:color w:val="auto"/>
              </w:rPr>
            </w:pPr>
            <w:r>
              <w:rPr>
                <w:rFonts w:ascii="Arial" w:cs="Arial" w:eastAsia="Arial" w:hAnsi="Arial"/>
                <w:sz w:val="16"/>
                <w:szCs w:val="16"/>
                <w:color w:val="auto"/>
              </w:rPr>
              <w:t>Quartile</w:t>
            </w:r>
          </w:p>
        </w:tc>
        <w:tc>
          <w:tcPr>
            <w:tcW w:w="1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10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$3M &lt; Budget</w:t>
            </w:r>
          </w:p>
        </w:tc>
        <w:tc>
          <w:tcPr>
            <w:tcW w:w="120" w:type="dxa"/>
            <w:vAlign w:val="bottom"/>
          </w:tcPr>
          <w:p>
            <w:pPr>
              <w:spacing w:after="0"/>
              <w:rPr>
                <w:sz w:val="18"/>
                <w:szCs w:val="18"/>
                <w:color w:val="auto"/>
              </w:rPr>
            </w:pPr>
          </w:p>
        </w:tc>
        <w:tc>
          <w:tcPr>
            <w:tcW w:w="112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$1.3M Under</w:t>
            </w:r>
          </w:p>
        </w:tc>
        <w:tc>
          <w:tcPr>
            <w:tcW w:w="100" w:type="dxa"/>
            <w:vAlign w:val="bottom"/>
          </w:tcPr>
          <w:p>
            <w:pPr>
              <w:spacing w:after="0"/>
              <w:rPr>
                <w:sz w:val="18"/>
                <w:szCs w:val="18"/>
                <w:color w:val="auto"/>
              </w:rPr>
            </w:pPr>
          </w:p>
        </w:tc>
        <w:tc>
          <w:tcPr>
            <w:tcW w:w="134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72</w:t>
            </w:r>
          </w:p>
        </w:tc>
        <w:tc>
          <w:tcPr>
            <w:tcW w:w="0" w:type="dxa"/>
            <w:vAlign w:val="bottom"/>
          </w:tcPr>
          <w:p>
            <w:pPr>
              <w:spacing w:after="0"/>
              <w:rPr>
                <w:sz w:val="1"/>
                <w:szCs w:val="1"/>
                <w:color w:val="auto"/>
              </w:rPr>
            </w:pPr>
          </w:p>
        </w:tc>
      </w:tr>
      <w:tr>
        <w:trPr>
          <w:trHeight w:val="236"/>
        </w:trPr>
        <w:tc>
          <w:tcPr>
            <w:tcW w:w="20" w:type="dxa"/>
            <w:vAlign w:val="bottom"/>
          </w:tcPr>
          <w:p>
            <w:pPr>
              <w:spacing w:after="0"/>
              <w:rPr>
                <w:sz w:val="20"/>
                <w:szCs w:val="20"/>
                <w:color w:val="auto"/>
              </w:rPr>
            </w:pPr>
          </w:p>
        </w:tc>
        <w:tc>
          <w:tcPr>
            <w:tcW w:w="110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w w:val="98"/>
              </w:rPr>
              <w:t>Budget +/- $5M</w:t>
            </w:r>
          </w:p>
        </w:tc>
        <w:tc>
          <w:tcPr>
            <w:tcW w:w="120" w:type="dxa"/>
            <w:vAlign w:val="bottom"/>
          </w:tcPr>
          <w:p>
            <w:pPr>
              <w:spacing w:after="0"/>
              <w:rPr>
                <w:sz w:val="20"/>
                <w:szCs w:val="20"/>
                <w:color w:val="auto"/>
              </w:rPr>
            </w:pPr>
          </w:p>
        </w:tc>
        <w:tc>
          <w:tcPr>
            <w:tcW w:w="11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$5M Over</w:t>
            </w:r>
          </w:p>
        </w:tc>
        <w:tc>
          <w:tcPr>
            <w:tcW w:w="100" w:type="dxa"/>
            <w:vAlign w:val="bottom"/>
          </w:tcPr>
          <w:p>
            <w:pPr>
              <w:spacing w:after="0"/>
              <w:rPr>
                <w:sz w:val="20"/>
                <w:szCs w:val="20"/>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100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88</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100" w:type="dxa"/>
            <w:vAlign w:val="bottom"/>
            <w:tcBorders>
              <w:bottom w:val="single" w:sz="8" w:color="355675"/>
            </w:tcBorders>
          </w:tcPr>
          <w:p>
            <w:pPr>
              <w:spacing w:after="0"/>
              <w:rPr>
                <w:sz w:val="19"/>
                <w:szCs w:val="19"/>
                <w:color w:val="auto"/>
              </w:rPr>
            </w:pPr>
          </w:p>
        </w:tc>
        <w:tc>
          <w:tcPr>
            <w:tcW w:w="120" w:type="dxa"/>
            <w:vAlign w:val="bottom"/>
          </w:tcPr>
          <w:p>
            <w:pPr>
              <w:spacing w:after="0"/>
              <w:rPr>
                <w:sz w:val="19"/>
                <w:szCs w:val="19"/>
                <w:color w:val="auto"/>
              </w:rPr>
            </w:pPr>
          </w:p>
        </w:tc>
        <w:tc>
          <w:tcPr>
            <w:tcW w:w="1120" w:type="dxa"/>
            <w:vAlign w:val="bottom"/>
            <w:tcBorders>
              <w:bottom w:val="single" w:sz="8" w:color="355675"/>
            </w:tcBorders>
          </w:tcPr>
          <w:p>
            <w:pPr>
              <w:spacing w:after="0"/>
              <w:rPr>
                <w:sz w:val="19"/>
                <w:szCs w:val="19"/>
                <w:color w:val="auto"/>
              </w:rPr>
            </w:pPr>
          </w:p>
        </w:tc>
        <w:tc>
          <w:tcPr>
            <w:tcW w:w="100" w:type="dxa"/>
            <w:vAlign w:val="bottom"/>
          </w:tcPr>
          <w:p>
            <w:pPr>
              <w:spacing w:after="0"/>
              <w:rPr>
                <w:sz w:val="19"/>
                <w:szCs w:val="19"/>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26</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10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100%</w:t>
            </w:r>
          </w:p>
        </w:tc>
        <w:tc>
          <w:tcPr>
            <w:tcW w:w="120" w:type="dxa"/>
            <w:vAlign w:val="bottom"/>
          </w:tcPr>
          <w:p>
            <w:pPr>
              <w:spacing w:after="0"/>
              <w:rPr>
                <w:sz w:val="19"/>
                <w:szCs w:val="19"/>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142%</w:t>
            </w:r>
          </w:p>
        </w:tc>
        <w:tc>
          <w:tcPr>
            <w:tcW w:w="100" w:type="dxa"/>
            <w:vAlign w:val="bottom"/>
          </w:tcPr>
          <w:p>
            <w:pPr>
              <w:spacing w:after="0"/>
              <w:rPr>
                <w:sz w:val="19"/>
                <w:szCs w:val="19"/>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142</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99.9850%</w:t>
            </w: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99.9978%</w:t>
            </w: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79</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26</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10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100</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10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100%</w:t>
            </w:r>
          </w:p>
        </w:tc>
        <w:tc>
          <w:tcPr>
            <w:tcW w:w="120" w:type="dxa"/>
            <w:vAlign w:val="bottom"/>
          </w:tcPr>
          <w:p>
            <w:pPr>
              <w:spacing w:after="0"/>
              <w:rPr>
                <w:sz w:val="18"/>
                <w:szCs w:val="18"/>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142%</w:t>
            </w:r>
          </w:p>
        </w:tc>
        <w:tc>
          <w:tcPr>
            <w:tcW w:w="100" w:type="dxa"/>
            <w:vAlign w:val="bottom"/>
          </w:tcPr>
          <w:p>
            <w:pPr>
              <w:spacing w:after="0"/>
              <w:rPr>
                <w:sz w:val="18"/>
                <w:szCs w:val="18"/>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142</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97.00%</w:t>
            </w: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97.51%</w:t>
            </w: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151</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100" w:type="dxa"/>
            <w:vAlign w:val="bottom"/>
            <w:tcBorders>
              <w:bottom w:val="single" w:sz="8" w:color="355675"/>
            </w:tcBorders>
          </w:tcPr>
          <w:p>
            <w:pPr>
              <w:spacing w:after="0"/>
              <w:rPr>
                <w:sz w:val="17"/>
                <w:szCs w:val="17"/>
                <w:color w:val="auto"/>
              </w:rPr>
            </w:pPr>
          </w:p>
        </w:tc>
        <w:tc>
          <w:tcPr>
            <w:tcW w:w="120" w:type="dxa"/>
            <w:vAlign w:val="bottom"/>
          </w:tcPr>
          <w:p>
            <w:pPr>
              <w:spacing w:after="0"/>
              <w:rPr>
                <w:sz w:val="17"/>
                <w:szCs w:val="17"/>
                <w:color w:val="auto"/>
              </w:rPr>
            </w:pPr>
          </w:p>
        </w:tc>
        <w:tc>
          <w:tcPr>
            <w:tcW w:w="1120" w:type="dxa"/>
            <w:vAlign w:val="bottom"/>
            <w:tcBorders>
              <w:bottom w:val="single" w:sz="8" w:color="355675"/>
            </w:tcBorders>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83</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26</w:t>
            </w:r>
          </w:p>
        </w:tc>
        <w:tc>
          <w:tcPr>
            <w:tcW w:w="0" w:type="dxa"/>
            <w:vAlign w:val="bottom"/>
          </w:tcPr>
          <w:p>
            <w:pPr>
              <w:spacing w:after="0"/>
              <w:rPr>
                <w:sz w:val="1"/>
                <w:szCs w:val="1"/>
                <w:color w:val="auto"/>
              </w:rPr>
            </w:pPr>
          </w:p>
        </w:tc>
      </w:tr>
      <w:tr>
        <w:trPr>
          <w:trHeight w:val="236"/>
        </w:trPr>
        <w:tc>
          <w:tcPr>
            <w:tcW w:w="20" w:type="dxa"/>
            <w:vAlign w:val="bottom"/>
          </w:tcPr>
          <w:p>
            <w:pPr>
              <w:spacing w:after="0"/>
              <w:rPr>
                <w:sz w:val="20"/>
                <w:szCs w:val="20"/>
                <w:color w:val="auto"/>
              </w:rPr>
            </w:pPr>
          </w:p>
        </w:tc>
        <w:tc>
          <w:tcPr>
            <w:tcW w:w="110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100%</w:t>
            </w:r>
          </w:p>
        </w:tc>
        <w:tc>
          <w:tcPr>
            <w:tcW w:w="120" w:type="dxa"/>
            <w:vAlign w:val="bottom"/>
          </w:tcPr>
          <w:p>
            <w:pPr>
              <w:spacing w:after="0"/>
              <w:rPr>
                <w:sz w:val="20"/>
                <w:szCs w:val="20"/>
                <w:color w:val="auto"/>
              </w:rPr>
            </w:pPr>
          </w:p>
        </w:tc>
        <w:tc>
          <w:tcPr>
            <w:tcW w:w="11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142%</w:t>
            </w:r>
          </w:p>
        </w:tc>
        <w:tc>
          <w:tcPr>
            <w:tcW w:w="100" w:type="dxa"/>
            <w:vAlign w:val="bottom"/>
          </w:tcPr>
          <w:p>
            <w:pPr>
              <w:spacing w:after="0"/>
              <w:rPr>
                <w:sz w:val="20"/>
                <w:szCs w:val="20"/>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142</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90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26</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10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75.00%</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76.10%</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122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10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100.0%</w:t>
            </w:r>
          </w:p>
        </w:tc>
        <w:tc>
          <w:tcPr>
            <w:tcW w:w="120" w:type="dxa"/>
            <w:vAlign w:val="bottom"/>
          </w:tcPr>
          <w:p>
            <w:pPr>
              <w:spacing w:after="0"/>
              <w:rPr>
                <w:sz w:val="17"/>
                <w:szCs w:val="17"/>
                <w:color w:val="auto"/>
              </w:rPr>
            </w:pPr>
          </w:p>
        </w:tc>
        <w:tc>
          <w:tcPr>
            <w:tcW w:w="1120" w:type="dxa"/>
            <w:vAlign w:val="bottom"/>
            <w:tcBorders>
              <w:bottom w:val="single" w:sz="8" w:color="355675"/>
            </w:tcBorders>
          </w:tcPr>
          <w:p>
            <w:pPr>
              <w:spacing w:after="0"/>
              <w:rPr>
                <w:sz w:val="20"/>
                <w:szCs w:val="20"/>
                <w:color w:val="auto"/>
              </w:rPr>
            </w:pPr>
            <w:r>
              <w:rPr>
                <w:rFonts w:ascii="Arial" w:cs="Arial" w:eastAsia="Arial" w:hAnsi="Arial"/>
                <w:sz w:val="16"/>
                <w:szCs w:val="16"/>
                <w:color w:val="auto"/>
              </w:rPr>
              <w:t>184.9%</w:t>
            </w:r>
          </w:p>
        </w:tc>
        <w:tc>
          <w:tcPr>
            <w:tcW w:w="100" w:type="dxa"/>
            <w:vAlign w:val="bottom"/>
          </w:tcPr>
          <w:p>
            <w:pPr>
              <w:spacing w:after="0"/>
              <w:rPr>
                <w:sz w:val="17"/>
                <w:szCs w:val="17"/>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102</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26</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10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98.8%</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99.8%</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200</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1100" w:type="dxa"/>
            <w:vAlign w:val="bottom"/>
          </w:tcPr>
          <w:p>
            <w:pPr>
              <w:spacing w:after="0"/>
              <w:rPr>
                <w:sz w:val="20"/>
                <w:szCs w:val="20"/>
                <w:color w:val="auto"/>
              </w:rPr>
            </w:pPr>
            <w:r>
              <w:rPr>
                <w:rFonts w:ascii="Arial" w:cs="Arial" w:eastAsia="Arial" w:hAnsi="Arial"/>
                <w:sz w:val="16"/>
                <w:szCs w:val="16"/>
                <w:color w:val="auto"/>
              </w:rPr>
              <w:t>92.8%</w:t>
            </w:r>
          </w:p>
        </w:tc>
        <w:tc>
          <w:tcPr>
            <w:tcW w:w="120" w:type="dxa"/>
            <w:vAlign w:val="bottom"/>
          </w:tcPr>
          <w:p>
            <w:pPr>
              <w:spacing w:after="0"/>
              <w:rPr>
                <w:sz w:val="18"/>
                <w:szCs w:val="18"/>
                <w:color w:val="auto"/>
              </w:rPr>
            </w:pPr>
          </w:p>
        </w:tc>
        <w:tc>
          <w:tcPr>
            <w:tcW w:w="1120" w:type="dxa"/>
            <w:vAlign w:val="bottom"/>
          </w:tcPr>
          <w:p>
            <w:pPr>
              <w:spacing w:after="0"/>
              <w:rPr>
                <w:sz w:val="20"/>
                <w:szCs w:val="20"/>
                <w:color w:val="auto"/>
              </w:rPr>
            </w:pPr>
            <w:r>
              <w:rPr>
                <w:rFonts w:ascii="Arial" w:cs="Arial" w:eastAsia="Arial" w:hAnsi="Arial"/>
                <w:sz w:val="16"/>
                <w:szCs w:val="16"/>
                <w:color w:val="auto"/>
              </w:rPr>
              <w:t>94.4%</w:t>
            </w:r>
          </w:p>
        </w:tc>
        <w:tc>
          <w:tcPr>
            <w:tcW w:w="100" w:type="dxa"/>
            <w:vAlign w:val="bottom"/>
          </w:tcPr>
          <w:p>
            <w:pPr>
              <w:spacing w:after="0"/>
              <w:rPr>
                <w:sz w:val="18"/>
                <w:szCs w:val="18"/>
                <w:color w:val="auto"/>
              </w:rPr>
            </w:pPr>
          </w:p>
        </w:tc>
        <w:tc>
          <w:tcPr>
            <w:tcW w:w="1340" w:type="dxa"/>
            <w:vAlign w:val="bottom"/>
          </w:tcPr>
          <w:p>
            <w:pPr>
              <w:jc w:val="right"/>
              <w:spacing w:after="0"/>
              <w:rPr>
                <w:sz w:val="20"/>
                <w:szCs w:val="20"/>
                <w:color w:val="auto"/>
              </w:rPr>
            </w:pPr>
            <w:r>
              <w:rPr>
                <w:rFonts w:ascii="Arial" w:cs="Arial" w:eastAsia="Arial" w:hAnsi="Arial"/>
                <w:sz w:val="16"/>
                <w:szCs w:val="16"/>
                <w:color w:val="auto"/>
              </w:rPr>
              <w:t>180</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1100" w:type="dxa"/>
            <w:vAlign w:val="bottom"/>
            <w:tcBorders>
              <w:bottom w:val="single" w:sz="8" w:color="355675"/>
            </w:tcBorders>
          </w:tcPr>
          <w:p>
            <w:pPr>
              <w:spacing w:after="0"/>
              <w:rPr>
                <w:sz w:val="14"/>
                <w:szCs w:val="14"/>
                <w:color w:val="auto"/>
              </w:rPr>
            </w:pPr>
          </w:p>
        </w:tc>
        <w:tc>
          <w:tcPr>
            <w:tcW w:w="120" w:type="dxa"/>
            <w:vAlign w:val="bottom"/>
          </w:tcPr>
          <w:p>
            <w:pPr>
              <w:spacing w:after="0"/>
              <w:rPr>
                <w:sz w:val="14"/>
                <w:szCs w:val="14"/>
                <w:color w:val="auto"/>
              </w:rPr>
            </w:pPr>
          </w:p>
        </w:tc>
        <w:tc>
          <w:tcPr>
            <w:tcW w:w="1120" w:type="dxa"/>
            <w:vAlign w:val="bottom"/>
            <w:tcBorders>
              <w:bottom w:val="single" w:sz="8" w:color="355675"/>
            </w:tcBorders>
          </w:tcPr>
          <w:p>
            <w:pPr>
              <w:spacing w:after="0"/>
              <w:rPr>
                <w:sz w:val="14"/>
                <w:szCs w:val="14"/>
                <w:color w:val="auto"/>
              </w:rPr>
            </w:pPr>
          </w:p>
        </w:tc>
        <w:tc>
          <w:tcPr>
            <w:tcW w:w="100" w:type="dxa"/>
            <w:vAlign w:val="bottom"/>
          </w:tcPr>
          <w:p>
            <w:pPr>
              <w:spacing w:after="0"/>
              <w:rPr>
                <w:sz w:val="14"/>
                <w:szCs w:val="14"/>
                <w:color w:val="auto"/>
              </w:rPr>
            </w:pPr>
          </w:p>
        </w:tc>
        <w:tc>
          <w:tcPr>
            <w:tcW w:w="1340" w:type="dxa"/>
            <w:vAlign w:val="bottom"/>
            <w:tcBorders>
              <w:bottom w:val="single" w:sz="8" w:color="355675"/>
            </w:tcBorders>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110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51</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2">
            <w:col w:w="7320" w:space="120"/>
            <w:col w:w="3800"/>
          </w:cols>
          <w:pgMar w:left="320" w:top="125" w:right="339" w:bottom="1440" w:gutter="0" w:footer="0" w:header="0"/>
          <w:type w:val="continuous"/>
        </w:sectPr>
      </w:pPr>
    </w:p>
    <w:p>
      <w:pPr>
        <w:spacing w:after="0" w:line="182"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81" w:name="page82"/>
    <w:bookmarkEnd w:id="8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247"/>
        </w:trPr>
        <w:tc>
          <w:tcPr>
            <w:tcW w:w="33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8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460" w:type="dxa"/>
            <w:vAlign w:val="bottom"/>
            <w:gridSpan w:val="3"/>
          </w:tcPr>
          <w:p>
            <w:pPr>
              <w:jc w:val="right"/>
              <w:spacing w:after="0"/>
              <w:rPr>
                <w:sz w:val="20"/>
                <w:szCs w:val="20"/>
                <w:color w:val="auto"/>
              </w:rPr>
            </w:pPr>
            <w:r>
              <w:rPr>
                <w:rFonts w:ascii="Arial" w:cs="Arial" w:eastAsia="Arial" w:hAnsi="Arial"/>
                <w:sz w:val="18"/>
                <w:szCs w:val="18"/>
                <w:b w:val="1"/>
                <w:bCs w:val="1"/>
                <w:color w:val="355675"/>
              </w:rPr>
              <w:t>Executive Compensation</w:t>
            </w:r>
          </w:p>
        </w:tc>
      </w:tr>
      <w:tr>
        <w:trPr>
          <w:trHeight w:val="171"/>
        </w:trPr>
        <w:tc>
          <w:tcPr>
            <w:tcW w:w="3380" w:type="dxa"/>
            <w:vAlign w:val="bottom"/>
            <w:tcBorders>
              <w:bottom w:val="single" w:sz="8" w:color="355675"/>
            </w:tcBorders>
          </w:tcPr>
          <w:p>
            <w:pPr>
              <w:spacing w:after="0"/>
              <w:rPr>
                <w:sz w:val="14"/>
                <w:szCs w:val="14"/>
                <w:color w:val="auto"/>
              </w:rPr>
            </w:pPr>
          </w:p>
        </w:tc>
        <w:tc>
          <w:tcPr>
            <w:tcW w:w="120" w:type="dxa"/>
            <w:vAlign w:val="bottom"/>
            <w:tcBorders>
              <w:bottom w:val="single" w:sz="8" w:color="355675"/>
            </w:tcBorders>
          </w:tcPr>
          <w:p>
            <w:pPr>
              <w:spacing w:after="0"/>
              <w:rPr>
                <w:sz w:val="14"/>
                <w:szCs w:val="14"/>
                <w:color w:val="auto"/>
              </w:rPr>
            </w:pPr>
          </w:p>
        </w:tc>
        <w:tc>
          <w:tcPr>
            <w:tcW w:w="3820" w:type="dxa"/>
            <w:vAlign w:val="bottom"/>
            <w:tcBorders>
              <w:bottom w:val="single" w:sz="8" w:color="355675"/>
            </w:tcBorders>
          </w:tcPr>
          <w:p>
            <w:pPr>
              <w:spacing w:after="0"/>
              <w:rPr>
                <w:sz w:val="14"/>
                <w:szCs w:val="14"/>
                <w:color w:val="auto"/>
              </w:rPr>
            </w:pPr>
          </w:p>
        </w:tc>
        <w:tc>
          <w:tcPr>
            <w:tcW w:w="120" w:type="dxa"/>
            <w:vAlign w:val="bottom"/>
          </w:tcPr>
          <w:p>
            <w:pPr>
              <w:spacing w:after="0"/>
              <w:rPr>
                <w:sz w:val="14"/>
                <w:szCs w:val="14"/>
                <w:color w:val="auto"/>
              </w:rPr>
            </w:pPr>
          </w:p>
        </w:tc>
        <w:tc>
          <w:tcPr>
            <w:tcW w:w="1120" w:type="dxa"/>
            <w:vAlign w:val="bottom"/>
            <w:tcBorders>
              <w:bottom w:val="single" w:sz="8" w:color="355675"/>
            </w:tcBorders>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Borders>
              <w:bottom w:val="single" w:sz="8" w:color="355675"/>
            </w:tcBorders>
          </w:tcPr>
          <w:p>
            <w:pPr>
              <w:spacing w:after="0"/>
              <w:rPr>
                <w:sz w:val="14"/>
                <w:szCs w:val="14"/>
                <w:color w:val="auto"/>
              </w:rPr>
            </w:pPr>
          </w:p>
        </w:tc>
        <w:tc>
          <w:tcPr>
            <w:tcW w:w="1020" w:type="dxa"/>
            <w:vAlign w:val="bottom"/>
            <w:tcBorders>
              <w:bottom w:val="single" w:sz="8" w:color="355675"/>
            </w:tcBorders>
          </w:tcPr>
          <w:p>
            <w:pPr>
              <w:spacing w:after="0"/>
              <w:rPr>
                <w:sz w:val="14"/>
                <w:szCs w:val="14"/>
                <w:color w:val="auto"/>
              </w:rPr>
            </w:pPr>
          </w:p>
        </w:tc>
        <w:tc>
          <w:tcPr>
            <w:tcW w:w="100" w:type="dxa"/>
            <w:vAlign w:val="bottom"/>
          </w:tcPr>
          <w:p>
            <w:pPr>
              <w:spacing w:after="0"/>
              <w:rPr>
                <w:sz w:val="14"/>
                <w:szCs w:val="14"/>
                <w:color w:val="auto"/>
              </w:rPr>
            </w:pPr>
          </w:p>
        </w:tc>
        <w:tc>
          <w:tcPr>
            <w:tcW w:w="1340" w:type="dxa"/>
            <w:vAlign w:val="bottom"/>
            <w:tcBorders>
              <w:bottom w:val="single" w:sz="8" w:color="355675"/>
            </w:tcBorders>
          </w:tcPr>
          <w:p>
            <w:pPr>
              <w:spacing w:after="0"/>
              <w:rPr>
                <w:sz w:val="14"/>
                <w:szCs w:val="14"/>
                <w:color w:val="auto"/>
              </w:rPr>
            </w:pPr>
          </w:p>
        </w:tc>
      </w:tr>
      <w:tr>
        <w:trPr>
          <w:trHeight w:val="209"/>
        </w:trPr>
        <w:tc>
          <w:tcPr>
            <w:tcW w:w="3380" w:type="dxa"/>
            <w:vAlign w:val="bottom"/>
            <w:tcBorders>
              <w:bottom w:val="single" w:sz="8" w:color="355675"/>
            </w:tcBorders>
          </w:tcPr>
          <w:p>
            <w:pPr>
              <w:ind w:left="60"/>
              <w:spacing w:after="0"/>
              <w:rPr>
                <w:sz w:val="20"/>
                <w:szCs w:val="20"/>
                <w:color w:val="auto"/>
              </w:rPr>
            </w:pPr>
            <w:r>
              <w:rPr>
                <w:rFonts w:ascii="Arial" w:cs="Arial" w:eastAsia="Arial" w:hAnsi="Arial"/>
                <w:sz w:val="16"/>
                <w:szCs w:val="16"/>
                <w:color w:val="auto"/>
              </w:rPr>
              <w:t>Shared Enterprise Metrics (60%)</w:t>
            </w:r>
          </w:p>
        </w:tc>
        <w:tc>
          <w:tcPr>
            <w:tcW w:w="120" w:type="dxa"/>
            <w:vAlign w:val="bottom"/>
            <w:tcBorders>
              <w:bottom w:val="single" w:sz="8" w:color="355675"/>
            </w:tcBorders>
          </w:tcPr>
          <w:p>
            <w:pPr>
              <w:spacing w:after="0"/>
              <w:rPr>
                <w:sz w:val="18"/>
                <w:szCs w:val="18"/>
                <w:color w:val="auto"/>
              </w:rPr>
            </w:pPr>
          </w:p>
        </w:tc>
        <w:tc>
          <w:tcPr>
            <w:tcW w:w="382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355675"/>
            </w:tcBorders>
          </w:tcPr>
          <w:p>
            <w:pPr>
              <w:spacing w:after="0"/>
              <w:rPr>
                <w:sz w:val="18"/>
                <w:szCs w:val="18"/>
                <w:color w:val="auto"/>
              </w:rPr>
            </w:pPr>
          </w:p>
        </w:tc>
        <w:tc>
          <w:tcPr>
            <w:tcW w:w="10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26</w:t>
            </w:r>
          </w:p>
        </w:tc>
      </w:tr>
      <w:tr>
        <w:trPr>
          <w:trHeight w:val="175"/>
        </w:trPr>
        <w:tc>
          <w:tcPr>
            <w:tcW w:w="3380" w:type="dxa"/>
            <w:vAlign w:val="bottom"/>
          </w:tcPr>
          <w:p>
            <w:pPr>
              <w:ind w:left="60"/>
              <w:spacing w:after="0" w:line="175" w:lineRule="exact"/>
              <w:rPr>
                <w:sz w:val="20"/>
                <w:szCs w:val="20"/>
                <w:color w:val="auto"/>
              </w:rPr>
            </w:pPr>
            <w:r>
              <w:rPr>
                <w:rFonts w:ascii="Arial" w:cs="Arial" w:eastAsia="Arial" w:hAnsi="Arial"/>
                <w:sz w:val="16"/>
                <w:szCs w:val="16"/>
                <w:color w:val="auto"/>
              </w:rPr>
              <w:t>Reliable (40%)</w:t>
            </w:r>
          </w:p>
        </w:tc>
        <w:tc>
          <w:tcPr>
            <w:tcW w:w="3940" w:type="dxa"/>
            <w:vAlign w:val="bottom"/>
            <w:gridSpan w:val="2"/>
          </w:tcPr>
          <w:p>
            <w:pPr>
              <w:ind w:left="120"/>
              <w:spacing w:after="0" w:line="175" w:lineRule="exact"/>
              <w:rPr>
                <w:sz w:val="20"/>
                <w:szCs w:val="20"/>
                <w:color w:val="auto"/>
              </w:rPr>
            </w:pPr>
            <w:r>
              <w:rPr>
                <w:rFonts w:ascii="Arial" w:cs="Arial" w:eastAsia="Arial" w:hAnsi="Arial"/>
                <w:sz w:val="16"/>
                <w:szCs w:val="16"/>
                <w:color w:val="auto"/>
              </w:rPr>
              <w:t>System Average Interruption Frequency Index</w:t>
            </w:r>
          </w:p>
        </w:tc>
        <w:tc>
          <w:tcPr>
            <w:tcW w:w="120" w:type="dxa"/>
            <w:vAlign w:val="bottom"/>
          </w:tcPr>
          <w:p>
            <w:pPr>
              <w:spacing w:after="0"/>
              <w:rPr>
                <w:sz w:val="15"/>
                <w:szCs w:val="15"/>
                <w:color w:val="auto"/>
              </w:rPr>
            </w:pPr>
          </w:p>
        </w:tc>
        <w:tc>
          <w:tcPr>
            <w:tcW w:w="1120" w:type="dxa"/>
            <w:vAlign w:val="bottom"/>
          </w:tcPr>
          <w:p>
            <w:pPr>
              <w:spacing w:after="0" w:line="175" w:lineRule="exact"/>
              <w:rPr>
                <w:sz w:val="20"/>
                <w:szCs w:val="20"/>
                <w:color w:val="auto"/>
              </w:rPr>
            </w:pPr>
            <w:r>
              <w:rPr>
                <w:rFonts w:ascii="Arial" w:cs="Arial" w:eastAsia="Arial" w:hAnsi="Arial"/>
                <w:sz w:val="16"/>
                <w:szCs w:val="16"/>
                <w:color w:val="auto"/>
              </w:rPr>
              <w:t>0.86</w:t>
            </w:r>
          </w:p>
        </w:tc>
        <w:tc>
          <w:tcPr>
            <w:tcW w:w="120" w:type="dxa"/>
            <w:vAlign w:val="bottom"/>
          </w:tcPr>
          <w:p>
            <w:pPr>
              <w:spacing w:after="0"/>
              <w:rPr>
                <w:sz w:val="15"/>
                <w:szCs w:val="15"/>
                <w:color w:val="auto"/>
              </w:rPr>
            </w:pPr>
          </w:p>
        </w:tc>
        <w:tc>
          <w:tcPr>
            <w:tcW w:w="1120" w:type="dxa"/>
            <w:vAlign w:val="bottom"/>
            <w:gridSpan w:val="2"/>
          </w:tcPr>
          <w:p>
            <w:pPr>
              <w:spacing w:after="0" w:line="175" w:lineRule="exact"/>
              <w:rPr>
                <w:sz w:val="20"/>
                <w:szCs w:val="20"/>
                <w:color w:val="auto"/>
              </w:rPr>
            </w:pPr>
            <w:r>
              <w:rPr>
                <w:rFonts w:ascii="Arial" w:cs="Arial" w:eastAsia="Arial" w:hAnsi="Arial"/>
                <w:sz w:val="16"/>
                <w:szCs w:val="16"/>
                <w:color w:val="auto"/>
              </w:rPr>
              <w:t>0.89</w:t>
            </w:r>
          </w:p>
        </w:tc>
        <w:tc>
          <w:tcPr>
            <w:tcW w:w="100" w:type="dxa"/>
            <w:vAlign w:val="bottom"/>
          </w:tcPr>
          <w:p>
            <w:pPr>
              <w:spacing w:after="0"/>
              <w:rPr>
                <w:sz w:val="15"/>
                <w:szCs w:val="15"/>
                <w:color w:val="auto"/>
              </w:rPr>
            </w:pPr>
          </w:p>
        </w:tc>
        <w:tc>
          <w:tcPr>
            <w:tcW w:w="1340" w:type="dxa"/>
            <w:vAlign w:val="bottom"/>
          </w:tcPr>
          <w:p>
            <w:pPr>
              <w:jc w:val="right"/>
              <w:spacing w:after="0" w:line="175" w:lineRule="exact"/>
              <w:rPr>
                <w:sz w:val="20"/>
                <w:szCs w:val="20"/>
                <w:color w:val="auto"/>
              </w:rPr>
            </w:pPr>
            <w:r>
              <w:rPr>
                <w:rFonts w:ascii="Arial" w:cs="Arial" w:eastAsia="Arial" w:hAnsi="Arial"/>
                <w:sz w:val="16"/>
                <w:szCs w:val="16"/>
                <w:color w:val="auto"/>
              </w:rPr>
              <w:t>63</w:t>
            </w:r>
          </w:p>
        </w:tc>
      </w:tr>
      <w:tr>
        <w:trPr>
          <w:trHeight w:val="203"/>
        </w:trPr>
        <w:tc>
          <w:tcPr>
            <w:tcW w:w="3380" w:type="dxa"/>
            <w:vAlign w:val="bottom"/>
          </w:tcPr>
          <w:p>
            <w:pPr>
              <w:spacing w:after="0"/>
              <w:rPr>
                <w:sz w:val="17"/>
                <w:szCs w:val="17"/>
                <w:color w:val="auto"/>
              </w:rPr>
            </w:pPr>
          </w:p>
        </w:tc>
        <w:tc>
          <w:tcPr>
            <w:tcW w:w="3940" w:type="dxa"/>
            <w:vAlign w:val="bottom"/>
            <w:gridSpan w:val="2"/>
          </w:tcPr>
          <w:p>
            <w:pPr>
              <w:ind w:left="120"/>
              <w:spacing w:after="0"/>
              <w:rPr>
                <w:sz w:val="20"/>
                <w:szCs w:val="20"/>
                <w:color w:val="auto"/>
              </w:rPr>
            </w:pPr>
            <w:r>
              <w:rPr>
                <w:rFonts w:ascii="Arial" w:cs="Arial" w:eastAsia="Arial" w:hAnsi="Arial"/>
                <w:sz w:val="16"/>
                <w:szCs w:val="16"/>
                <w:color w:val="auto"/>
              </w:rPr>
              <w:t>(“SAIFI”) – All Weather (20%)</w:t>
            </w:r>
          </w:p>
        </w:tc>
        <w:tc>
          <w:tcPr>
            <w:tcW w:w="12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340" w:type="dxa"/>
            <w:vAlign w:val="bottom"/>
          </w:tcPr>
          <w:p>
            <w:pPr>
              <w:spacing w:after="0"/>
              <w:rPr>
                <w:sz w:val="17"/>
                <w:szCs w:val="17"/>
                <w:color w:val="auto"/>
              </w:rPr>
            </w:pPr>
          </w:p>
        </w:tc>
      </w:tr>
      <w:tr>
        <w:trPr>
          <w:trHeight w:val="168"/>
        </w:trPr>
        <w:tc>
          <w:tcPr>
            <w:tcW w:w="3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20" w:type="dxa"/>
            <w:vAlign w:val="bottom"/>
            <w:tcBorders>
              <w:top w:val="single" w:sz="8" w:color="939598"/>
            </w:tcBorders>
          </w:tcPr>
          <w:p>
            <w:pPr>
              <w:spacing w:after="0" w:line="168" w:lineRule="exact"/>
              <w:rPr>
                <w:sz w:val="20"/>
                <w:szCs w:val="20"/>
                <w:color w:val="auto"/>
              </w:rPr>
            </w:pPr>
            <w:r>
              <w:rPr>
                <w:rFonts w:ascii="Arial" w:cs="Arial" w:eastAsia="Arial" w:hAnsi="Arial"/>
                <w:sz w:val="16"/>
                <w:szCs w:val="16"/>
                <w:color w:val="auto"/>
              </w:rPr>
              <w:t>System Average Interruption Duration Index</w:t>
            </w:r>
          </w:p>
        </w:tc>
        <w:tc>
          <w:tcPr>
            <w:tcW w:w="120" w:type="dxa"/>
            <w:vAlign w:val="bottom"/>
          </w:tcPr>
          <w:p>
            <w:pPr>
              <w:spacing w:after="0"/>
              <w:rPr>
                <w:sz w:val="14"/>
                <w:szCs w:val="14"/>
                <w:color w:val="auto"/>
              </w:rPr>
            </w:pPr>
          </w:p>
        </w:tc>
        <w:tc>
          <w:tcPr>
            <w:tcW w:w="1120" w:type="dxa"/>
            <w:vAlign w:val="bottom"/>
            <w:tcBorders>
              <w:top w:val="single" w:sz="8" w:color="939598"/>
            </w:tcBorders>
          </w:tcPr>
          <w:p>
            <w:pPr>
              <w:spacing w:after="0" w:line="168" w:lineRule="exact"/>
              <w:rPr>
                <w:sz w:val="20"/>
                <w:szCs w:val="20"/>
                <w:color w:val="auto"/>
              </w:rPr>
            </w:pPr>
            <w:r>
              <w:rPr>
                <w:rFonts w:ascii="Arial" w:cs="Arial" w:eastAsia="Arial" w:hAnsi="Arial"/>
                <w:sz w:val="16"/>
                <w:szCs w:val="16"/>
                <w:color w:val="auto"/>
              </w:rPr>
              <w:t>82.67</w:t>
            </w:r>
          </w:p>
        </w:tc>
        <w:tc>
          <w:tcPr>
            <w:tcW w:w="120" w:type="dxa"/>
            <w:vAlign w:val="bottom"/>
          </w:tcPr>
          <w:p>
            <w:pPr>
              <w:spacing w:after="0"/>
              <w:rPr>
                <w:sz w:val="14"/>
                <w:szCs w:val="14"/>
                <w:color w:val="auto"/>
              </w:rPr>
            </w:pPr>
          </w:p>
        </w:tc>
        <w:tc>
          <w:tcPr>
            <w:tcW w:w="1120" w:type="dxa"/>
            <w:vAlign w:val="bottom"/>
            <w:tcBorders>
              <w:top w:val="single" w:sz="8" w:color="939598"/>
            </w:tcBorders>
            <w:gridSpan w:val="2"/>
          </w:tcPr>
          <w:p>
            <w:pPr>
              <w:spacing w:after="0" w:line="168" w:lineRule="exact"/>
              <w:rPr>
                <w:sz w:val="20"/>
                <w:szCs w:val="20"/>
                <w:color w:val="auto"/>
              </w:rPr>
            </w:pPr>
            <w:r>
              <w:rPr>
                <w:rFonts w:ascii="Arial" w:cs="Arial" w:eastAsia="Arial" w:hAnsi="Arial"/>
                <w:sz w:val="16"/>
                <w:szCs w:val="16"/>
                <w:color w:val="auto"/>
              </w:rPr>
              <w:t>87.36</w:t>
            </w:r>
          </w:p>
        </w:tc>
        <w:tc>
          <w:tcPr>
            <w:tcW w:w="100" w:type="dxa"/>
            <w:vAlign w:val="bottom"/>
          </w:tcPr>
          <w:p>
            <w:pPr>
              <w:spacing w:after="0"/>
              <w:rPr>
                <w:sz w:val="14"/>
                <w:szCs w:val="14"/>
                <w:color w:val="auto"/>
              </w:rPr>
            </w:pPr>
          </w:p>
        </w:tc>
        <w:tc>
          <w:tcPr>
            <w:tcW w:w="1340" w:type="dxa"/>
            <w:vAlign w:val="bottom"/>
            <w:tcBorders>
              <w:top w:val="single" w:sz="8" w:color="939598"/>
            </w:tcBorders>
          </w:tcPr>
          <w:p>
            <w:pPr>
              <w:jc w:val="right"/>
              <w:spacing w:after="0" w:line="168" w:lineRule="exact"/>
              <w:rPr>
                <w:sz w:val="20"/>
                <w:szCs w:val="20"/>
                <w:color w:val="auto"/>
              </w:rPr>
            </w:pPr>
            <w:r>
              <w:rPr>
                <w:rFonts w:ascii="Arial" w:cs="Arial" w:eastAsia="Arial" w:hAnsi="Arial"/>
                <w:sz w:val="16"/>
                <w:szCs w:val="16"/>
                <w:color w:val="auto"/>
              </w:rPr>
              <w:t>62</w:t>
            </w:r>
          </w:p>
        </w:tc>
      </w:tr>
      <w:tr>
        <w:trPr>
          <w:trHeight w:val="210"/>
        </w:trPr>
        <w:tc>
          <w:tcPr>
            <w:tcW w:w="3380" w:type="dxa"/>
            <w:vAlign w:val="bottom"/>
            <w:tcBorders>
              <w:bottom w:val="single" w:sz="8" w:color="355675"/>
            </w:tcBorders>
          </w:tcPr>
          <w:p>
            <w:pPr>
              <w:spacing w:after="0"/>
              <w:rPr>
                <w:sz w:val="18"/>
                <w:szCs w:val="18"/>
                <w:color w:val="auto"/>
              </w:rPr>
            </w:pPr>
          </w:p>
        </w:tc>
        <w:tc>
          <w:tcPr>
            <w:tcW w:w="3940" w:type="dxa"/>
            <w:vAlign w:val="bottom"/>
            <w:tcBorders>
              <w:bottom w:val="single" w:sz="8" w:color="355675"/>
            </w:tcBorders>
            <w:gridSpan w:val="2"/>
          </w:tcPr>
          <w:p>
            <w:pPr>
              <w:ind w:left="120"/>
              <w:spacing w:after="0"/>
              <w:rPr>
                <w:sz w:val="20"/>
                <w:szCs w:val="20"/>
                <w:color w:val="auto"/>
              </w:rPr>
            </w:pPr>
            <w:r>
              <w:rPr>
                <w:rFonts w:ascii="Arial" w:cs="Arial" w:eastAsia="Arial" w:hAnsi="Arial"/>
                <w:sz w:val="16"/>
                <w:szCs w:val="16"/>
                <w:color w:val="auto"/>
              </w:rPr>
              <w:t>(“SAIDI”) (20%)</w:t>
            </w:r>
          </w:p>
        </w:tc>
        <w:tc>
          <w:tcPr>
            <w:tcW w:w="120" w:type="dxa"/>
            <w:vAlign w:val="bottom"/>
          </w:tcPr>
          <w:p>
            <w:pPr>
              <w:spacing w:after="0"/>
              <w:rPr>
                <w:sz w:val="18"/>
                <w:szCs w:val="18"/>
                <w:color w:val="auto"/>
              </w:rPr>
            </w:pPr>
          </w:p>
        </w:tc>
        <w:tc>
          <w:tcPr>
            <w:tcW w:w="1120" w:type="dxa"/>
            <w:vAlign w:val="bottom"/>
            <w:tcBorders>
              <w:bottom w:val="single" w:sz="8" w:color="355675"/>
            </w:tcBorders>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355675"/>
            </w:tcBorders>
          </w:tcPr>
          <w:p>
            <w:pPr>
              <w:spacing w:after="0"/>
              <w:rPr>
                <w:sz w:val="18"/>
                <w:szCs w:val="18"/>
                <w:color w:val="auto"/>
              </w:rPr>
            </w:pPr>
          </w:p>
        </w:tc>
        <w:tc>
          <w:tcPr>
            <w:tcW w:w="1020" w:type="dxa"/>
            <w:vAlign w:val="bottom"/>
            <w:tcBorders>
              <w:bottom w:val="single" w:sz="8" w:color="355675"/>
            </w:tcBorders>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tcBorders>
              <w:bottom w:val="single" w:sz="8" w:color="355675"/>
            </w:tcBorders>
          </w:tcPr>
          <w:p>
            <w:pPr>
              <w:spacing w:after="0"/>
              <w:rPr>
                <w:sz w:val="18"/>
                <w:szCs w:val="18"/>
                <w:color w:val="auto"/>
              </w:rPr>
            </w:pPr>
          </w:p>
        </w:tc>
      </w:tr>
      <w:tr>
        <w:trPr>
          <w:trHeight w:val="237"/>
        </w:trPr>
        <w:tc>
          <w:tcPr>
            <w:tcW w:w="3380" w:type="dxa"/>
            <w:vAlign w:val="bottom"/>
            <w:tcBorders>
              <w:bottom w:val="single" w:sz="8" w:color="355675"/>
            </w:tcBorders>
          </w:tcPr>
          <w:p>
            <w:pPr>
              <w:ind w:left="60"/>
              <w:spacing w:after="0" w:line="230" w:lineRule="exact"/>
              <w:rPr>
                <w:sz w:val="20"/>
                <w:szCs w:val="20"/>
                <w:color w:val="auto"/>
              </w:rPr>
            </w:pPr>
            <w:r>
              <w:rPr>
                <w:rFonts w:ascii="Arial" w:cs="Arial" w:eastAsia="Arial" w:hAnsi="Arial"/>
                <w:sz w:val="16"/>
                <w:szCs w:val="16"/>
                <w:b w:val="1"/>
                <w:bCs w:val="1"/>
                <w:color w:val="355675"/>
              </w:rPr>
              <w:t>Palo Verde Generating Station</w:t>
            </w:r>
            <w:r>
              <w:rPr>
                <w:rFonts w:ascii="Arial" w:cs="Arial" w:eastAsia="Arial" w:hAnsi="Arial"/>
                <w:sz w:val="26"/>
                <w:szCs w:val="26"/>
                <w:b w:val="1"/>
                <w:bCs w:val="1"/>
                <w:color w:val="355675"/>
                <w:vertAlign w:val="superscript"/>
              </w:rPr>
              <w:t>(4)</w:t>
            </w:r>
          </w:p>
        </w:tc>
        <w:tc>
          <w:tcPr>
            <w:tcW w:w="120" w:type="dxa"/>
            <w:vAlign w:val="bottom"/>
            <w:tcBorders>
              <w:bottom w:val="single" w:sz="8" w:color="355675"/>
            </w:tcBorders>
          </w:tcPr>
          <w:p>
            <w:pPr>
              <w:spacing w:after="0"/>
              <w:rPr>
                <w:sz w:val="20"/>
                <w:szCs w:val="20"/>
                <w:color w:val="auto"/>
              </w:rPr>
            </w:pPr>
          </w:p>
        </w:tc>
        <w:tc>
          <w:tcPr>
            <w:tcW w:w="3820" w:type="dxa"/>
            <w:vAlign w:val="bottom"/>
            <w:tcBorders>
              <w:bottom w:val="single" w:sz="8" w:color="355675"/>
            </w:tcBorders>
          </w:tcPr>
          <w:p>
            <w:pPr>
              <w:spacing w:after="0"/>
              <w:rPr>
                <w:sz w:val="20"/>
                <w:szCs w:val="20"/>
                <w:color w:val="auto"/>
              </w:rPr>
            </w:pPr>
          </w:p>
        </w:tc>
        <w:tc>
          <w:tcPr>
            <w:tcW w:w="120" w:type="dxa"/>
            <w:vAlign w:val="bottom"/>
          </w:tcPr>
          <w:p>
            <w:pPr>
              <w:spacing w:after="0"/>
              <w:rPr>
                <w:sz w:val="20"/>
                <w:szCs w:val="20"/>
                <w:color w:val="auto"/>
              </w:rPr>
            </w:pPr>
          </w:p>
        </w:tc>
        <w:tc>
          <w:tcPr>
            <w:tcW w:w="1120" w:type="dxa"/>
            <w:vAlign w:val="bottom"/>
            <w:tcBorders>
              <w:bottom w:val="single" w:sz="8" w:color="355675"/>
            </w:tcBorders>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Borders>
              <w:bottom w:val="single" w:sz="8" w:color="355675"/>
            </w:tcBorders>
          </w:tcPr>
          <w:p>
            <w:pPr>
              <w:spacing w:after="0"/>
              <w:rPr>
                <w:sz w:val="20"/>
                <w:szCs w:val="20"/>
                <w:color w:val="auto"/>
              </w:rPr>
            </w:pPr>
          </w:p>
        </w:tc>
        <w:tc>
          <w:tcPr>
            <w:tcW w:w="1020" w:type="dxa"/>
            <w:vAlign w:val="bottom"/>
            <w:tcBorders>
              <w:bottom w:val="single" w:sz="8" w:color="355675"/>
            </w:tcBorders>
          </w:tcPr>
          <w:p>
            <w:pPr>
              <w:spacing w:after="0"/>
              <w:rPr>
                <w:sz w:val="20"/>
                <w:szCs w:val="20"/>
                <w:color w:val="auto"/>
              </w:rPr>
            </w:pPr>
          </w:p>
        </w:tc>
        <w:tc>
          <w:tcPr>
            <w:tcW w:w="100" w:type="dxa"/>
            <w:vAlign w:val="bottom"/>
          </w:tcPr>
          <w:p>
            <w:pPr>
              <w:spacing w:after="0"/>
              <w:rPr>
                <w:sz w:val="20"/>
                <w:szCs w:val="20"/>
                <w:color w:val="auto"/>
              </w:rPr>
            </w:pPr>
          </w:p>
        </w:tc>
        <w:tc>
          <w:tcPr>
            <w:tcW w:w="134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154</w:t>
            </w:r>
          </w:p>
        </w:tc>
      </w:tr>
      <w:tr>
        <w:trPr>
          <w:trHeight w:val="203"/>
        </w:trPr>
        <w:tc>
          <w:tcPr>
            <w:tcW w:w="3380" w:type="dxa"/>
            <w:vAlign w:val="bottom"/>
          </w:tcPr>
          <w:p>
            <w:pPr>
              <w:ind w:left="60"/>
              <w:spacing w:after="0"/>
              <w:rPr>
                <w:sz w:val="20"/>
                <w:szCs w:val="20"/>
                <w:color w:val="auto"/>
              </w:rPr>
            </w:pPr>
            <w:r>
              <w:rPr>
                <w:rFonts w:ascii="Arial" w:cs="Arial" w:eastAsia="Arial" w:hAnsi="Arial"/>
                <w:sz w:val="16"/>
                <w:szCs w:val="16"/>
                <w:color w:val="auto"/>
              </w:rPr>
              <w:t>Culture (40%)</w:t>
            </w:r>
          </w:p>
        </w:tc>
        <w:tc>
          <w:tcPr>
            <w:tcW w:w="3940" w:type="dxa"/>
            <w:vAlign w:val="bottom"/>
            <w:gridSpan w:val="2"/>
          </w:tcPr>
          <w:p>
            <w:pPr>
              <w:ind w:left="120"/>
              <w:spacing w:after="0"/>
              <w:rPr>
                <w:sz w:val="20"/>
                <w:szCs w:val="20"/>
                <w:color w:val="auto"/>
              </w:rPr>
            </w:pPr>
            <w:r>
              <w:rPr>
                <w:rFonts w:ascii="Arial" w:cs="Arial" w:eastAsia="Arial" w:hAnsi="Arial"/>
                <w:sz w:val="16"/>
                <w:szCs w:val="16"/>
                <w:color w:val="auto"/>
              </w:rPr>
              <w:t>Reactivity Management (7.5%)</w:t>
            </w:r>
          </w:p>
        </w:tc>
        <w:tc>
          <w:tcPr>
            <w:tcW w:w="120" w:type="dxa"/>
            <w:vAlign w:val="bottom"/>
          </w:tcPr>
          <w:p>
            <w:pPr>
              <w:spacing w:after="0"/>
              <w:rPr>
                <w:sz w:val="17"/>
                <w:szCs w:val="17"/>
                <w:color w:val="auto"/>
              </w:rPr>
            </w:pPr>
          </w:p>
        </w:tc>
        <w:tc>
          <w:tcPr>
            <w:tcW w:w="1120" w:type="dxa"/>
            <w:vAlign w:val="bottom"/>
          </w:tcPr>
          <w:p>
            <w:pPr>
              <w:spacing w:after="0"/>
              <w:rPr>
                <w:sz w:val="20"/>
                <w:szCs w:val="20"/>
                <w:color w:val="auto"/>
              </w:rPr>
            </w:pPr>
            <w:r>
              <w:rPr>
                <w:rFonts w:ascii="Arial" w:cs="Arial" w:eastAsia="Arial" w:hAnsi="Arial"/>
                <w:sz w:val="16"/>
                <w:szCs w:val="16"/>
                <w:color w:val="auto"/>
              </w:rPr>
              <w:t>95</w:t>
            </w:r>
          </w:p>
        </w:tc>
        <w:tc>
          <w:tcPr>
            <w:tcW w:w="120" w:type="dxa"/>
            <w:vAlign w:val="bottom"/>
          </w:tcPr>
          <w:p>
            <w:pPr>
              <w:spacing w:after="0"/>
              <w:rPr>
                <w:sz w:val="17"/>
                <w:szCs w:val="17"/>
                <w:color w:val="auto"/>
              </w:rPr>
            </w:pPr>
          </w:p>
        </w:tc>
        <w:tc>
          <w:tcPr>
            <w:tcW w:w="1120" w:type="dxa"/>
            <w:vAlign w:val="bottom"/>
            <w:gridSpan w:val="2"/>
          </w:tcPr>
          <w:p>
            <w:pPr>
              <w:spacing w:after="0"/>
              <w:rPr>
                <w:sz w:val="20"/>
                <w:szCs w:val="20"/>
                <w:color w:val="auto"/>
              </w:rPr>
            </w:pPr>
            <w:r>
              <w:rPr>
                <w:rFonts w:ascii="Arial" w:cs="Arial" w:eastAsia="Arial" w:hAnsi="Arial"/>
                <w:sz w:val="16"/>
                <w:szCs w:val="16"/>
                <w:color w:val="auto"/>
              </w:rPr>
              <w:t>95</w:t>
            </w:r>
          </w:p>
        </w:tc>
        <w:tc>
          <w:tcPr>
            <w:tcW w:w="100" w:type="dxa"/>
            <w:vAlign w:val="bottom"/>
          </w:tcPr>
          <w:p>
            <w:pPr>
              <w:spacing w:after="0"/>
              <w:rPr>
                <w:sz w:val="17"/>
                <w:szCs w:val="17"/>
                <w:color w:val="auto"/>
              </w:rPr>
            </w:pPr>
          </w:p>
        </w:tc>
        <w:tc>
          <w:tcPr>
            <w:tcW w:w="1340" w:type="dxa"/>
            <w:vAlign w:val="bottom"/>
          </w:tcPr>
          <w:p>
            <w:pPr>
              <w:jc w:val="right"/>
              <w:spacing w:after="0"/>
              <w:rPr>
                <w:sz w:val="20"/>
                <w:szCs w:val="20"/>
                <w:color w:val="auto"/>
              </w:rPr>
            </w:pPr>
            <w:r>
              <w:rPr>
                <w:rFonts w:ascii="Arial" w:cs="Arial" w:eastAsia="Arial" w:hAnsi="Arial"/>
                <w:sz w:val="16"/>
                <w:szCs w:val="16"/>
                <w:color w:val="auto"/>
              </w:rPr>
              <w:t>100</w:t>
            </w:r>
          </w:p>
        </w:tc>
      </w:tr>
      <w:tr>
        <w:trPr>
          <w:trHeight w:val="223"/>
        </w:trPr>
        <w:tc>
          <w:tcPr>
            <w:tcW w:w="3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820" w:type="dxa"/>
            <w:vAlign w:val="bottom"/>
            <w:tcBorders>
              <w:top w:val="single" w:sz="8" w:color="939598"/>
              <w:bottom w:val="single" w:sz="8" w:color="939598"/>
            </w:tcBorders>
          </w:tcPr>
          <w:p>
            <w:pPr>
              <w:spacing w:after="0" w:line="223" w:lineRule="exact"/>
              <w:rPr>
                <w:sz w:val="20"/>
                <w:szCs w:val="20"/>
                <w:color w:val="auto"/>
              </w:rPr>
            </w:pPr>
            <w:r>
              <w:rPr>
                <w:rFonts w:ascii="Arial" w:cs="Arial" w:eastAsia="Arial" w:hAnsi="Arial"/>
                <w:sz w:val="16"/>
                <w:szCs w:val="16"/>
                <w:color w:val="auto"/>
              </w:rPr>
              <w:t>PVGS SIF</w:t>
            </w:r>
            <w:r>
              <w:rPr>
                <w:rFonts w:ascii="Arial" w:cs="Arial" w:eastAsia="Arial" w:hAnsi="Arial"/>
                <w:sz w:val="25"/>
                <w:szCs w:val="25"/>
                <w:color w:val="auto"/>
                <w:vertAlign w:val="superscript"/>
              </w:rPr>
              <w:t>(5)</w:t>
            </w:r>
            <w:r>
              <w:rPr>
                <w:rFonts w:ascii="Arial" w:cs="Arial" w:eastAsia="Arial" w:hAnsi="Arial"/>
                <w:sz w:val="16"/>
                <w:szCs w:val="16"/>
                <w:color w:val="auto"/>
              </w:rPr>
              <w:t xml:space="preserve"> – Employees and Contractors (20%)</w:t>
            </w:r>
          </w:p>
        </w:tc>
        <w:tc>
          <w:tcPr>
            <w:tcW w:w="120" w:type="dxa"/>
            <w:vAlign w:val="bottom"/>
          </w:tcPr>
          <w:p>
            <w:pPr>
              <w:spacing w:after="0"/>
              <w:rPr>
                <w:sz w:val="19"/>
                <w:szCs w:val="19"/>
                <w:color w:val="auto"/>
              </w:rPr>
            </w:pPr>
          </w:p>
        </w:tc>
        <w:tc>
          <w:tcPr>
            <w:tcW w:w="112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N/A</w:t>
            </w:r>
          </w:p>
        </w:tc>
        <w:tc>
          <w:tcPr>
            <w:tcW w:w="120" w:type="dxa"/>
            <w:vAlign w:val="bottom"/>
          </w:tcPr>
          <w:p>
            <w:pPr>
              <w:spacing w:after="0"/>
              <w:rPr>
                <w:sz w:val="19"/>
                <w:szCs w:val="19"/>
                <w:color w:val="auto"/>
              </w:rPr>
            </w:pPr>
          </w:p>
        </w:tc>
        <w:tc>
          <w:tcPr>
            <w:tcW w:w="10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w w:val="89"/>
              </w:rPr>
              <w:t>0</w:t>
            </w:r>
          </w:p>
        </w:tc>
        <w:tc>
          <w:tcPr>
            <w:tcW w:w="1020" w:type="dxa"/>
            <w:vAlign w:val="bottom"/>
            <w:tcBorders>
              <w:top w:val="single" w:sz="8" w:color="939598"/>
              <w:bottom w:val="single" w:sz="8" w:color="939598"/>
            </w:tcBorders>
          </w:tcPr>
          <w:p>
            <w:pPr>
              <w:spacing w:after="0"/>
              <w:rPr>
                <w:sz w:val="19"/>
                <w:szCs w:val="19"/>
                <w:color w:val="auto"/>
              </w:rPr>
            </w:pPr>
          </w:p>
        </w:tc>
        <w:tc>
          <w:tcPr>
            <w:tcW w:w="100" w:type="dxa"/>
            <w:vAlign w:val="bottom"/>
          </w:tcPr>
          <w:p>
            <w:pPr>
              <w:spacing w:after="0"/>
              <w:rPr>
                <w:sz w:val="19"/>
                <w:szCs w:val="19"/>
                <w:color w:val="auto"/>
              </w:rPr>
            </w:pPr>
          </w:p>
        </w:tc>
        <w:tc>
          <w:tcPr>
            <w:tcW w:w="134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200</w:t>
            </w:r>
          </w:p>
        </w:tc>
      </w:tr>
      <w:tr>
        <w:trPr>
          <w:trHeight w:val="196"/>
        </w:trPr>
        <w:tc>
          <w:tcPr>
            <w:tcW w:w="3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INPO Evaluation (5%)</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N/A</w:t>
            </w:r>
          </w:p>
        </w:tc>
        <w:tc>
          <w:tcPr>
            <w:tcW w:w="120" w:type="dxa"/>
            <w:vAlign w:val="bottom"/>
          </w:tcPr>
          <w:p>
            <w:pPr>
              <w:spacing w:after="0"/>
              <w:rPr>
                <w:sz w:val="17"/>
                <w:szCs w:val="17"/>
                <w:color w:val="auto"/>
              </w:rPr>
            </w:pPr>
          </w:p>
        </w:tc>
        <w:tc>
          <w:tcPr>
            <w:tcW w:w="1120" w:type="dxa"/>
            <w:vAlign w:val="bottom"/>
            <w:tcBorders>
              <w:bottom w:val="single" w:sz="8" w:color="939598"/>
            </w:tcBorders>
            <w:gridSpan w:val="2"/>
          </w:tcPr>
          <w:p>
            <w:pPr>
              <w:spacing w:after="0"/>
              <w:rPr>
                <w:sz w:val="20"/>
                <w:szCs w:val="20"/>
                <w:color w:val="auto"/>
              </w:rPr>
            </w:pPr>
            <w:r>
              <w:rPr>
                <w:rFonts w:ascii="Arial" w:cs="Arial" w:eastAsia="Arial" w:hAnsi="Arial"/>
                <w:sz w:val="16"/>
                <w:szCs w:val="16"/>
                <w:color w:val="auto"/>
              </w:rPr>
              <w:t>Exemplary</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200</w:t>
            </w:r>
          </w:p>
        </w:tc>
      </w:tr>
      <w:tr>
        <w:trPr>
          <w:trHeight w:val="196"/>
        </w:trPr>
        <w:tc>
          <w:tcPr>
            <w:tcW w:w="3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Voluntary Protection Permit (2.5%)</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N/A</w:t>
            </w:r>
          </w:p>
        </w:tc>
        <w:tc>
          <w:tcPr>
            <w:tcW w:w="120" w:type="dxa"/>
            <w:vAlign w:val="bottom"/>
          </w:tcPr>
          <w:p>
            <w:pPr>
              <w:spacing w:after="0"/>
              <w:rPr>
                <w:sz w:val="17"/>
                <w:szCs w:val="17"/>
                <w:color w:val="auto"/>
              </w:rPr>
            </w:pPr>
          </w:p>
        </w:tc>
        <w:tc>
          <w:tcPr>
            <w:tcW w:w="1120" w:type="dxa"/>
            <w:vAlign w:val="bottom"/>
            <w:tcBorders>
              <w:bottom w:val="single" w:sz="8" w:color="939598"/>
            </w:tcBorders>
            <w:gridSpan w:val="2"/>
          </w:tcPr>
          <w:p>
            <w:pPr>
              <w:spacing w:after="0"/>
              <w:rPr>
                <w:sz w:val="20"/>
                <w:szCs w:val="20"/>
                <w:color w:val="auto"/>
              </w:rPr>
            </w:pPr>
            <w:r>
              <w:rPr>
                <w:rFonts w:ascii="Arial" w:cs="Arial" w:eastAsia="Arial" w:hAnsi="Arial"/>
                <w:sz w:val="16"/>
                <w:szCs w:val="16"/>
                <w:color w:val="auto"/>
              </w:rPr>
              <w:t>Certification</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200</w:t>
            </w:r>
          </w:p>
        </w:tc>
      </w:tr>
      <w:tr>
        <w:trPr>
          <w:trHeight w:val="196"/>
        </w:trPr>
        <w:tc>
          <w:tcPr>
            <w:tcW w:w="3380" w:type="dxa"/>
            <w:vAlign w:val="bottom"/>
            <w:tcBorders>
              <w:bottom w:val="single" w:sz="8" w:color="939598"/>
            </w:tcBorders>
          </w:tcPr>
          <w:p>
            <w:pPr>
              <w:spacing w:after="0"/>
              <w:rPr>
                <w:sz w:val="17"/>
                <w:szCs w:val="17"/>
                <w:color w:val="auto"/>
              </w:rPr>
            </w:pPr>
          </w:p>
        </w:tc>
        <w:tc>
          <w:tcPr>
            <w:tcW w:w="120" w:type="dxa"/>
            <w:vAlign w:val="bottom"/>
          </w:tcPr>
          <w:p>
            <w:pPr>
              <w:spacing w:after="0"/>
              <w:rPr>
                <w:sz w:val="17"/>
                <w:szCs w:val="17"/>
                <w:color w:val="auto"/>
              </w:rPr>
            </w:pP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Radiological Safety Focus Index (5%)</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93</w:t>
            </w:r>
          </w:p>
        </w:tc>
        <w:tc>
          <w:tcPr>
            <w:tcW w:w="120" w:type="dxa"/>
            <w:vAlign w:val="bottom"/>
          </w:tcPr>
          <w:p>
            <w:pPr>
              <w:spacing w:after="0"/>
              <w:rPr>
                <w:sz w:val="17"/>
                <w:szCs w:val="17"/>
                <w:color w:val="auto"/>
              </w:rPr>
            </w:pPr>
          </w:p>
        </w:tc>
        <w:tc>
          <w:tcPr>
            <w:tcW w:w="1120" w:type="dxa"/>
            <w:vAlign w:val="bottom"/>
            <w:tcBorders>
              <w:bottom w:val="single" w:sz="8" w:color="939598"/>
            </w:tcBorders>
            <w:gridSpan w:val="2"/>
          </w:tcPr>
          <w:p>
            <w:pPr>
              <w:spacing w:after="0"/>
              <w:rPr>
                <w:sz w:val="20"/>
                <w:szCs w:val="20"/>
                <w:color w:val="auto"/>
              </w:rPr>
            </w:pPr>
            <w:r>
              <w:rPr>
                <w:rFonts w:ascii="Arial" w:cs="Arial" w:eastAsia="Arial" w:hAnsi="Arial"/>
                <w:sz w:val="16"/>
                <w:szCs w:val="16"/>
                <w:color w:val="auto"/>
              </w:rPr>
              <w:t>98</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171</w:t>
            </w:r>
          </w:p>
        </w:tc>
      </w:tr>
      <w:tr>
        <w:trPr>
          <w:trHeight w:val="196"/>
        </w:trPr>
        <w:tc>
          <w:tcPr>
            <w:tcW w:w="3380" w:type="dxa"/>
            <w:vAlign w:val="bottom"/>
          </w:tcPr>
          <w:p>
            <w:pPr>
              <w:ind w:left="60"/>
              <w:spacing w:after="0"/>
              <w:rPr>
                <w:sz w:val="20"/>
                <w:szCs w:val="20"/>
                <w:color w:val="auto"/>
              </w:rPr>
            </w:pPr>
            <w:r>
              <w:rPr>
                <w:rFonts w:ascii="Arial" w:cs="Arial" w:eastAsia="Arial" w:hAnsi="Arial"/>
                <w:sz w:val="16"/>
                <w:szCs w:val="16"/>
                <w:color w:val="auto"/>
              </w:rPr>
              <w:t>Customer Centric (30%)</w:t>
            </w:r>
          </w:p>
        </w:tc>
        <w:tc>
          <w:tcPr>
            <w:tcW w:w="120" w:type="dxa"/>
            <w:vAlign w:val="bottom"/>
          </w:tcPr>
          <w:p>
            <w:pPr>
              <w:spacing w:after="0"/>
              <w:rPr>
                <w:sz w:val="17"/>
                <w:szCs w:val="17"/>
                <w:color w:val="auto"/>
              </w:rPr>
            </w:pP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Site Capacity Factor (12.5%)</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92.00%</w:t>
            </w:r>
          </w:p>
        </w:tc>
        <w:tc>
          <w:tcPr>
            <w:tcW w:w="120" w:type="dxa"/>
            <w:vAlign w:val="bottom"/>
          </w:tcPr>
          <w:p>
            <w:pPr>
              <w:spacing w:after="0"/>
              <w:rPr>
                <w:sz w:val="17"/>
                <w:szCs w:val="17"/>
                <w:color w:val="auto"/>
              </w:rPr>
            </w:pPr>
          </w:p>
        </w:tc>
        <w:tc>
          <w:tcPr>
            <w:tcW w:w="1120" w:type="dxa"/>
            <w:vAlign w:val="bottom"/>
            <w:tcBorders>
              <w:bottom w:val="single" w:sz="8" w:color="939598"/>
            </w:tcBorders>
            <w:gridSpan w:val="2"/>
          </w:tcPr>
          <w:p>
            <w:pPr>
              <w:spacing w:after="0"/>
              <w:rPr>
                <w:sz w:val="20"/>
                <w:szCs w:val="20"/>
                <w:color w:val="auto"/>
              </w:rPr>
            </w:pPr>
            <w:r>
              <w:rPr>
                <w:rFonts w:ascii="Arial" w:cs="Arial" w:eastAsia="Arial" w:hAnsi="Arial"/>
                <w:sz w:val="16"/>
                <w:szCs w:val="16"/>
                <w:color w:val="auto"/>
              </w:rPr>
              <w:t>91.71%</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86</w:t>
            </w:r>
          </w:p>
        </w:tc>
      </w:tr>
      <w:tr>
        <w:trPr>
          <w:trHeight w:val="196"/>
        </w:trPr>
        <w:tc>
          <w:tcPr>
            <w:tcW w:w="3380" w:type="dxa"/>
            <w:vAlign w:val="bottom"/>
            <w:tcBorders>
              <w:bottom w:val="single" w:sz="8" w:color="939598"/>
            </w:tcBorders>
          </w:tcPr>
          <w:p>
            <w:pPr>
              <w:spacing w:after="0"/>
              <w:rPr>
                <w:sz w:val="17"/>
                <w:szCs w:val="17"/>
                <w:color w:val="auto"/>
              </w:rPr>
            </w:pPr>
          </w:p>
        </w:tc>
        <w:tc>
          <w:tcPr>
            <w:tcW w:w="120" w:type="dxa"/>
            <w:vAlign w:val="bottom"/>
          </w:tcPr>
          <w:p>
            <w:pPr>
              <w:spacing w:after="0"/>
              <w:rPr>
                <w:sz w:val="17"/>
                <w:szCs w:val="17"/>
                <w:color w:val="auto"/>
              </w:rPr>
            </w:pPr>
          </w:p>
        </w:tc>
        <w:tc>
          <w:tcPr>
            <w:tcW w:w="38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Summer Reliability Capacity Factor (17.5%)</w:t>
            </w:r>
          </w:p>
        </w:tc>
        <w:tc>
          <w:tcPr>
            <w:tcW w:w="120" w:type="dxa"/>
            <w:vAlign w:val="bottom"/>
          </w:tcPr>
          <w:p>
            <w:pPr>
              <w:spacing w:after="0"/>
              <w:rPr>
                <w:sz w:val="17"/>
                <w:szCs w:val="17"/>
                <w:color w:val="auto"/>
              </w:rPr>
            </w:pPr>
          </w:p>
        </w:tc>
        <w:tc>
          <w:tcPr>
            <w:tcW w:w="112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98.70%</w:t>
            </w:r>
          </w:p>
        </w:tc>
        <w:tc>
          <w:tcPr>
            <w:tcW w:w="120" w:type="dxa"/>
            <w:vAlign w:val="bottom"/>
          </w:tcPr>
          <w:p>
            <w:pPr>
              <w:spacing w:after="0"/>
              <w:rPr>
                <w:sz w:val="17"/>
                <w:szCs w:val="17"/>
                <w:color w:val="auto"/>
              </w:rPr>
            </w:pPr>
          </w:p>
        </w:tc>
        <w:tc>
          <w:tcPr>
            <w:tcW w:w="1120" w:type="dxa"/>
            <w:vAlign w:val="bottom"/>
            <w:tcBorders>
              <w:bottom w:val="single" w:sz="8" w:color="939598"/>
            </w:tcBorders>
            <w:gridSpan w:val="2"/>
          </w:tcPr>
          <w:p>
            <w:pPr>
              <w:spacing w:after="0"/>
              <w:rPr>
                <w:sz w:val="20"/>
                <w:szCs w:val="20"/>
                <w:color w:val="auto"/>
              </w:rPr>
            </w:pPr>
            <w:r>
              <w:rPr>
                <w:rFonts w:ascii="Arial" w:cs="Arial" w:eastAsia="Arial" w:hAnsi="Arial"/>
                <w:sz w:val="16"/>
                <w:szCs w:val="16"/>
                <w:color w:val="auto"/>
              </w:rPr>
              <w:t>98.65%</w:t>
            </w:r>
          </w:p>
        </w:tc>
        <w:tc>
          <w:tcPr>
            <w:tcW w:w="100" w:type="dxa"/>
            <w:vAlign w:val="bottom"/>
          </w:tcPr>
          <w:p>
            <w:pPr>
              <w:spacing w:after="0"/>
              <w:rPr>
                <w:sz w:val="17"/>
                <w:szCs w:val="17"/>
                <w:color w:val="auto"/>
              </w:rPr>
            </w:pPr>
          </w:p>
        </w:tc>
        <w:tc>
          <w:tcPr>
            <w:tcW w:w="13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95</w:t>
            </w:r>
          </w:p>
        </w:tc>
      </w:tr>
      <w:tr>
        <w:trPr>
          <w:trHeight w:val="222"/>
        </w:trPr>
        <w:tc>
          <w:tcPr>
            <w:tcW w:w="3380" w:type="dxa"/>
            <w:vAlign w:val="bottom"/>
          </w:tcPr>
          <w:p>
            <w:pPr>
              <w:ind w:left="60"/>
              <w:spacing w:after="0"/>
              <w:rPr>
                <w:sz w:val="20"/>
                <w:szCs w:val="20"/>
                <w:color w:val="auto"/>
              </w:rPr>
            </w:pPr>
            <w:r>
              <w:rPr>
                <w:rFonts w:ascii="Arial" w:cs="Arial" w:eastAsia="Arial" w:hAnsi="Arial"/>
                <w:sz w:val="16"/>
                <w:szCs w:val="16"/>
                <w:color w:val="auto"/>
              </w:rPr>
              <w:t>Reliable (10%)</w:t>
            </w:r>
          </w:p>
        </w:tc>
        <w:tc>
          <w:tcPr>
            <w:tcW w:w="120" w:type="dxa"/>
            <w:vAlign w:val="bottom"/>
          </w:tcPr>
          <w:p>
            <w:pPr>
              <w:spacing w:after="0"/>
              <w:rPr>
                <w:sz w:val="19"/>
                <w:szCs w:val="19"/>
                <w:color w:val="auto"/>
              </w:rPr>
            </w:pPr>
          </w:p>
        </w:tc>
        <w:tc>
          <w:tcPr>
            <w:tcW w:w="3820" w:type="dxa"/>
            <w:vAlign w:val="bottom"/>
          </w:tcPr>
          <w:p>
            <w:pPr>
              <w:spacing w:after="0" w:line="222" w:lineRule="exact"/>
              <w:rPr>
                <w:sz w:val="20"/>
                <w:szCs w:val="20"/>
                <w:color w:val="auto"/>
              </w:rPr>
            </w:pPr>
            <w:r>
              <w:rPr>
                <w:rFonts w:ascii="Arial" w:cs="Arial" w:eastAsia="Arial" w:hAnsi="Arial"/>
                <w:sz w:val="16"/>
                <w:szCs w:val="16"/>
                <w:color w:val="auto"/>
              </w:rPr>
              <w:t>PI&amp;R Performance Index</w:t>
            </w:r>
            <w:r>
              <w:rPr>
                <w:rFonts w:ascii="Arial" w:cs="Arial" w:eastAsia="Arial" w:hAnsi="Arial"/>
                <w:sz w:val="25"/>
                <w:szCs w:val="25"/>
                <w:color w:val="auto"/>
                <w:vertAlign w:val="superscript"/>
              </w:rPr>
              <w:t>(6)</w:t>
            </w:r>
            <w:r>
              <w:rPr>
                <w:rFonts w:ascii="Arial" w:cs="Arial" w:eastAsia="Arial" w:hAnsi="Arial"/>
                <w:sz w:val="16"/>
                <w:szCs w:val="16"/>
                <w:color w:val="auto"/>
              </w:rPr>
              <w:t xml:space="preserve"> (5%)</w:t>
            </w:r>
          </w:p>
        </w:tc>
        <w:tc>
          <w:tcPr>
            <w:tcW w:w="120" w:type="dxa"/>
            <w:vAlign w:val="bottom"/>
          </w:tcPr>
          <w:p>
            <w:pPr>
              <w:spacing w:after="0"/>
              <w:rPr>
                <w:sz w:val="19"/>
                <w:szCs w:val="19"/>
                <w:color w:val="auto"/>
              </w:rPr>
            </w:pPr>
          </w:p>
        </w:tc>
        <w:tc>
          <w:tcPr>
            <w:tcW w:w="1120" w:type="dxa"/>
            <w:vAlign w:val="bottom"/>
          </w:tcPr>
          <w:p>
            <w:pPr>
              <w:spacing w:after="0"/>
              <w:rPr>
                <w:sz w:val="20"/>
                <w:szCs w:val="20"/>
                <w:color w:val="auto"/>
              </w:rPr>
            </w:pPr>
            <w:r>
              <w:rPr>
                <w:rFonts w:ascii="Arial" w:cs="Arial" w:eastAsia="Arial" w:hAnsi="Arial"/>
                <w:sz w:val="16"/>
                <w:szCs w:val="16"/>
                <w:color w:val="auto"/>
              </w:rPr>
              <w:t>5 G/W</w:t>
            </w:r>
          </w:p>
        </w:tc>
        <w:tc>
          <w:tcPr>
            <w:tcW w:w="12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Arial" w:cs="Arial" w:eastAsia="Arial" w:hAnsi="Arial"/>
                <w:sz w:val="16"/>
                <w:szCs w:val="16"/>
                <w:color w:val="auto"/>
                <w:w w:val="89"/>
              </w:rPr>
              <w:t>3</w:t>
            </w:r>
          </w:p>
        </w:tc>
        <w:tc>
          <w:tcPr>
            <w:tcW w:w="1020" w:type="dxa"/>
            <w:vAlign w:val="bottom"/>
          </w:tcPr>
          <w:p>
            <w:pPr>
              <w:ind w:left="40"/>
              <w:spacing w:after="0"/>
              <w:rPr>
                <w:sz w:val="20"/>
                <w:szCs w:val="20"/>
                <w:color w:val="auto"/>
              </w:rPr>
            </w:pPr>
            <w:r>
              <w:rPr>
                <w:rFonts w:ascii="Arial" w:cs="Arial" w:eastAsia="Arial" w:hAnsi="Arial"/>
                <w:sz w:val="16"/>
                <w:szCs w:val="16"/>
                <w:color w:val="auto"/>
              </w:rPr>
              <w:t>Green</w:t>
            </w:r>
          </w:p>
        </w:tc>
        <w:tc>
          <w:tcPr>
            <w:tcW w:w="10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6"/>
                <w:szCs w:val="16"/>
                <w:color w:val="auto"/>
              </w:rPr>
              <w:t>113</w:t>
            </w:r>
          </w:p>
        </w:tc>
      </w:tr>
      <w:tr>
        <w:trPr>
          <w:trHeight w:val="215"/>
        </w:trPr>
        <w:tc>
          <w:tcPr>
            <w:tcW w:w="3380" w:type="dxa"/>
            <w:vAlign w:val="bottom"/>
          </w:tcPr>
          <w:p>
            <w:pPr>
              <w:spacing w:after="0"/>
              <w:rPr>
                <w:sz w:val="18"/>
                <w:szCs w:val="18"/>
                <w:color w:val="auto"/>
              </w:rPr>
            </w:pPr>
          </w:p>
        </w:tc>
        <w:tc>
          <w:tcPr>
            <w:tcW w:w="3940" w:type="dxa"/>
            <w:vAlign w:val="bottom"/>
            <w:gridSpan w:val="2"/>
          </w:tcPr>
          <w:p>
            <w:pPr>
              <w:ind w:left="120"/>
              <w:spacing w:after="0"/>
              <w:rPr>
                <w:sz w:val="20"/>
                <w:szCs w:val="20"/>
                <w:color w:val="auto"/>
              </w:rPr>
            </w:pPr>
            <w:r>
              <w:rPr>
                <w:rFonts w:ascii="Arial" w:cs="Arial" w:eastAsia="Arial" w:hAnsi="Arial"/>
                <w:sz w:val="16"/>
                <w:szCs w:val="16"/>
                <w:color w:val="auto"/>
              </w:rPr>
              <w:t>Measured 3/31, 6/30, 9/30 and 12/31</w:t>
            </w:r>
          </w:p>
        </w:tc>
        <w:tc>
          <w:tcPr>
            <w:tcW w:w="1360" w:type="dxa"/>
            <w:vAlign w:val="bottom"/>
            <w:gridSpan w:val="3"/>
          </w:tcPr>
          <w:p>
            <w:pPr>
              <w:ind w:left="120"/>
              <w:spacing w:after="0"/>
              <w:rPr>
                <w:sz w:val="20"/>
                <w:szCs w:val="20"/>
                <w:color w:val="auto"/>
              </w:rPr>
            </w:pPr>
            <w:r>
              <w:rPr>
                <w:rFonts w:ascii="Arial" w:cs="Arial" w:eastAsia="Arial" w:hAnsi="Arial"/>
                <w:sz w:val="16"/>
                <w:szCs w:val="16"/>
                <w:color w:val="auto"/>
              </w:rPr>
              <w:t>No Red</w:t>
            </w:r>
          </w:p>
        </w:tc>
        <w:tc>
          <w:tcPr>
            <w:tcW w:w="100" w:type="dxa"/>
            <w:vAlign w:val="bottom"/>
          </w:tcPr>
          <w:p>
            <w:pPr>
              <w:spacing w:after="0"/>
              <w:rPr>
                <w:sz w:val="20"/>
                <w:szCs w:val="20"/>
                <w:color w:val="auto"/>
              </w:rPr>
            </w:pPr>
            <w:r>
              <w:rPr>
                <w:rFonts w:ascii="Arial" w:cs="Arial" w:eastAsia="Arial" w:hAnsi="Arial"/>
                <w:sz w:val="16"/>
                <w:szCs w:val="16"/>
                <w:color w:val="auto"/>
                <w:w w:val="89"/>
              </w:rPr>
              <w:t>4</w:t>
            </w:r>
          </w:p>
        </w:tc>
        <w:tc>
          <w:tcPr>
            <w:tcW w:w="1120" w:type="dxa"/>
            <w:vAlign w:val="bottom"/>
            <w:gridSpan w:val="2"/>
          </w:tcPr>
          <w:p>
            <w:pPr>
              <w:ind w:left="40"/>
              <w:spacing w:after="0"/>
              <w:rPr>
                <w:sz w:val="20"/>
                <w:szCs w:val="20"/>
                <w:color w:val="auto"/>
              </w:rPr>
            </w:pPr>
            <w:r>
              <w:rPr>
                <w:rFonts w:ascii="Arial" w:cs="Arial" w:eastAsia="Arial" w:hAnsi="Arial"/>
                <w:sz w:val="16"/>
                <w:szCs w:val="16"/>
                <w:color w:val="auto"/>
              </w:rPr>
              <w:t>White</w:t>
            </w:r>
          </w:p>
        </w:tc>
        <w:tc>
          <w:tcPr>
            <w:tcW w:w="1340" w:type="dxa"/>
            <w:vAlign w:val="bottom"/>
          </w:tcPr>
          <w:p>
            <w:pPr>
              <w:spacing w:after="0"/>
              <w:rPr>
                <w:sz w:val="18"/>
                <w:szCs w:val="18"/>
                <w:color w:val="auto"/>
              </w:rPr>
            </w:pPr>
          </w:p>
        </w:tc>
      </w:tr>
      <w:tr>
        <w:trPr>
          <w:trHeight w:val="184"/>
        </w:trPr>
        <w:tc>
          <w:tcPr>
            <w:tcW w:w="3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82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Operational Focus Indicator (2.5%)</w:t>
            </w:r>
          </w:p>
        </w:tc>
        <w:tc>
          <w:tcPr>
            <w:tcW w:w="120" w:type="dxa"/>
            <w:vAlign w:val="bottom"/>
          </w:tcPr>
          <w:p>
            <w:pPr>
              <w:spacing w:after="0"/>
              <w:rPr>
                <w:sz w:val="15"/>
                <w:szCs w:val="15"/>
                <w:color w:val="auto"/>
              </w:rPr>
            </w:pPr>
          </w:p>
        </w:tc>
        <w:tc>
          <w:tcPr>
            <w:tcW w:w="112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7 G/W</w:t>
            </w:r>
          </w:p>
        </w:tc>
        <w:tc>
          <w:tcPr>
            <w:tcW w:w="120" w:type="dxa"/>
            <w:vAlign w:val="bottom"/>
          </w:tcPr>
          <w:p>
            <w:pPr>
              <w:spacing w:after="0"/>
              <w:rPr>
                <w:sz w:val="15"/>
                <w:szCs w:val="15"/>
                <w:color w:val="auto"/>
              </w:rPr>
            </w:pPr>
          </w:p>
        </w:tc>
        <w:tc>
          <w:tcPr>
            <w:tcW w:w="100" w:type="dxa"/>
            <w:vAlign w:val="bottom"/>
            <w:tcBorders>
              <w:top w:val="single" w:sz="8" w:color="939598"/>
            </w:tcBorders>
          </w:tcPr>
          <w:p>
            <w:pPr>
              <w:spacing w:after="0"/>
              <w:rPr>
                <w:sz w:val="20"/>
                <w:szCs w:val="20"/>
                <w:color w:val="auto"/>
              </w:rPr>
            </w:pPr>
            <w:r>
              <w:rPr>
                <w:rFonts w:ascii="Arial" w:cs="Arial" w:eastAsia="Arial" w:hAnsi="Arial"/>
                <w:sz w:val="16"/>
                <w:szCs w:val="16"/>
                <w:color w:val="auto"/>
                <w:w w:val="89"/>
              </w:rPr>
              <w:t>8</w:t>
            </w:r>
          </w:p>
        </w:tc>
        <w:tc>
          <w:tcPr>
            <w:tcW w:w="1020" w:type="dxa"/>
            <w:vAlign w:val="bottom"/>
            <w:tcBorders>
              <w:top w:val="single" w:sz="8" w:color="939598"/>
            </w:tcBorders>
          </w:tcPr>
          <w:p>
            <w:pPr>
              <w:ind w:left="40"/>
              <w:spacing w:after="0"/>
              <w:rPr>
                <w:sz w:val="20"/>
                <w:szCs w:val="20"/>
                <w:color w:val="auto"/>
              </w:rPr>
            </w:pPr>
            <w:r>
              <w:rPr>
                <w:rFonts w:ascii="Arial" w:cs="Arial" w:eastAsia="Arial" w:hAnsi="Arial"/>
                <w:sz w:val="16"/>
                <w:szCs w:val="16"/>
                <w:color w:val="auto"/>
              </w:rPr>
              <w:t>Green</w:t>
            </w:r>
          </w:p>
        </w:tc>
        <w:tc>
          <w:tcPr>
            <w:tcW w:w="100" w:type="dxa"/>
            <w:vAlign w:val="bottom"/>
          </w:tcPr>
          <w:p>
            <w:pPr>
              <w:spacing w:after="0"/>
              <w:rPr>
                <w:sz w:val="15"/>
                <w:szCs w:val="15"/>
                <w:color w:val="auto"/>
              </w:rPr>
            </w:pPr>
          </w:p>
        </w:tc>
        <w:tc>
          <w:tcPr>
            <w:tcW w:w="1340" w:type="dxa"/>
            <w:vAlign w:val="bottom"/>
            <w:tcBorders>
              <w:top w:val="single" w:sz="8" w:color="939598"/>
            </w:tcBorders>
          </w:tcPr>
          <w:p>
            <w:pPr>
              <w:jc w:val="right"/>
              <w:spacing w:after="0"/>
              <w:rPr>
                <w:sz w:val="20"/>
                <w:szCs w:val="20"/>
                <w:color w:val="auto"/>
              </w:rPr>
            </w:pPr>
            <w:r>
              <w:rPr>
                <w:rFonts w:ascii="Arial" w:cs="Arial" w:eastAsia="Arial" w:hAnsi="Arial"/>
                <w:sz w:val="16"/>
                <w:szCs w:val="16"/>
                <w:color w:val="auto"/>
              </w:rPr>
              <w:t>200</w:t>
            </w:r>
          </w:p>
        </w:tc>
      </w:tr>
      <w:tr>
        <w:trPr>
          <w:trHeight w:val="257"/>
        </w:trPr>
        <w:tc>
          <w:tcPr>
            <w:tcW w:w="3380" w:type="dxa"/>
            <w:vAlign w:val="bottom"/>
          </w:tcPr>
          <w:p>
            <w:pPr>
              <w:spacing w:after="0"/>
              <w:rPr>
                <w:sz w:val="22"/>
                <w:szCs w:val="22"/>
                <w:color w:val="auto"/>
              </w:rPr>
            </w:pPr>
          </w:p>
        </w:tc>
        <w:tc>
          <w:tcPr>
            <w:tcW w:w="3940" w:type="dxa"/>
            <w:vAlign w:val="bottom"/>
            <w:gridSpan w:val="2"/>
          </w:tcPr>
          <w:p>
            <w:pPr>
              <w:ind w:left="120"/>
              <w:spacing w:after="0" w:line="257" w:lineRule="exact"/>
              <w:rPr>
                <w:sz w:val="20"/>
                <w:szCs w:val="20"/>
                <w:color w:val="auto"/>
              </w:rPr>
            </w:pPr>
            <w:r>
              <w:rPr>
                <w:rFonts w:ascii="Arial" w:cs="Arial" w:eastAsia="Arial" w:hAnsi="Arial"/>
                <w:sz w:val="16"/>
                <w:szCs w:val="16"/>
                <w:color w:val="auto"/>
              </w:rPr>
              <w:t>Measured 6/30 and 12/31</w:t>
            </w:r>
            <w:r>
              <w:rPr>
                <w:rFonts w:ascii="Arial" w:cs="Arial" w:eastAsia="Arial" w:hAnsi="Arial"/>
                <w:sz w:val="26"/>
                <w:szCs w:val="26"/>
                <w:color w:val="auto"/>
                <w:vertAlign w:val="superscript"/>
              </w:rPr>
              <w:t>(6)</w:t>
            </w:r>
          </w:p>
        </w:tc>
        <w:tc>
          <w:tcPr>
            <w:tcW w:w="1360" w:type="dxa"/>
            <w:vAlign w:val="bottom"/>
            <w:gridSpan w:val="3"/>
          </w:tcPr>
          <w:p>
            <w:pPr>
              <w:ind w:left="120"/>
              <w:spacing w:after="0"/>
              <w:rPr>
                <w:sz w:val="20"/>
                <w:szCs w:val="20"/>
                <w:color w:val="auto"/>
              </w:rPr>
            </w:pPr>
            <w:r>
              <w:rPr>
                <w:rFonts w:ascii="Arial" w:cs="Arial" w:eastAsia="Arial" w:hAnsi="Arial"/>
                <w:sz w:val="16"/>
                <w:szCs w:val="16"/>
                <w:color w:val="auto"/>
              </w:rPr>
              <w:t>No Red</w:t>
            </w:r>
          </w:p>
        </w:tc>
        <w:tc>
          <w:tcPr>
            <w:tcW w:w="100" w:type="dxa"/>
            <w:vAlign w:val="bottom"/>
          </w:tcPr>
          <w:p>
            <w:pPr>
              <w:spacing w:after="0"/>
              <w:rPr>
                <w:sz w:val="20"/>
                <w:szCs w:val="20"/>
                <w:color w:val="auto"/>
              </w:rPr>
            </w:pPr>
            <w:r>
              <w:rPr>
                <w:rFonts w:ascii="Arial" w:cs="Arial" w:eastAsia="Arial" w:hAnsi="Arial"/>
                <w:sz w:val="16"/>
                <w:szCs w:val="16"/>
                <w:color w:val="auto"/>
                <w:w w:val="89"/>
              </w:rPr>
              <w:t>0</w:t>
            </w:r>
          </w:p>
        </w:tc>
        <w:tc>
          <w:tcPr>
            <w:tcW w:w="1120" w:type="dxa"/>
            <w:vAlign w:val="bottom"/>
            <w:gridSpan w:val="2"/>
          </w:tcPr>
          <w:p>
            <w:pPr>
              <w:ind w:left="40"/>
              <w:spacing w:after="0"/>
              <w:rPr>
                <w:sz w:val="20"/>
                <w:szCs w:val="20"/>
                <w:color w:val="auto"/>
              </w:rPr>
            </w:pPr>
            <w:r>
              <w:rPr>
                <w:rFonts w:ascii="Arial" w:cs="Arial" w:eastAsia="Arial" w:hAnsi="Arial"/>
                <w:sz w:val="16"/>
                <w:szCs w:val="16"/>
                <w:color w:val="auto"/>
              </w:rPr>
              <w:t>White</w:t>
            </w:r>
          </w:p>
        </w:tc>
        <w:tc>
          <w:tcPr>
            <w:tcW w:w="1340" w:type="dxa"/>
            <w:vAlign w:val="bottom"/>
          </w:tcPr>
          <w:p>
            <w:pPr>
              <w:spacing w:after="0"/>
              <w:rPr>
                <w:sz w:val="22"/>
                <w:szCs w:val="22"/>
                <w:color w:val="auto"/>
              </w:rPr>
            </w:pPr>
          </w:p>
        </w:tc>
      </w:tr>
      <w:tr>
        <w:trPr>
          <w:trHeight w:val="196"/>
        </w:trPr>
        <w:tc>
          <w:tcPr>
            <w:tcW w:w="3380" w:type="dxa"/>
            <w:vAlign w:val="bottom"/>
            <w:tcBorders>
              <w:bottom w:val="single" w:sz="8" w:color="939598"/>
            </w:tcBorders>
          </w:tcPr>
          <w:p>
            <w:pPr>
              <w:spacing w:after="0"/>
              <w:rPr>
                <w:sz w:val="17"/>
                <w:szCs w:val="17"/>
                <w:color w:val="auto"/>
              </w:rPr>
            </w:pPr>
          </w:p>
        </w:tc>
        <w:tc>
          <w:tcPr>
            <w:tcW w:w="120" w:type="dxa"/>
            <w:vAlign w:val="bottom"/>
          </w:tcPr>
          <w:p>
            <w:pPr>
              <w:spacing w:after="0"/>
              <w:rPr>
                <w:sz w:val="17"/>
                <w:szCs w:val="17"/>
                <w:color w:val="auto"/>
              </w:rPr>
            </w:pPr>
          </w:p>
        </w:tc>
        <w:tc>
          <w:tcPr>
            <w:tcW w:w="382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Plant Health Committee (PHC) Actions (2.5%)</w:t>
            </w:r>
          </w:p>
        </w:tc>
        <w:tc>
          <w:tcPr>
            <w:tcW w:w="120" w:type="dxa"/>
            <w:vAlign w:val="bottom"/>
          </w:tcPr>
          <w:p>
            <w:pPr>
              <w:spacing w:after="0"/>
              <w:rPr>
                <w:sz w:val="17"/>
                <w:szCs w:val="17"/>
                <w:color w:val="auto"/>
              </w:rPr>
            </w:pPr>
          </w:p>
        </w:tc>
        <w:tc>
          <w:tcPr>
            <w:tcW w:w="112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90</w:t>
            </w:r>
          </w:p>
        </w:tc>
        <w:tc>
          <w:tcPr>
            <w:tcW w:w="120" w:type="dxa"/>
            <w:vAlign w:val="bottom"/>
          </w:tcPr>
          <w:p>
            <w:pPr>
              <w:spacing w:after="0"/>
              <w:rPr>
                <w:sz w:val="17"/>
                <w:szCs w:val="17"/>
                <w:color w:val="auto"/>
              </w:rPr>
            </w:pPr>
          </w:p>
        </w:tc>
        <w:tc>
          <w:tcPr>
            <w:tcW w:w="1120" w:type="dxa"/>
            <w:vAlign w:val="bottom"/>
            <w:tcBorders>
              <w:top w:val="single" w:sz="8" w:color="939598"/>
              <w:bottom w:val="single" w:sz="8" w:color="939598"/>
            </w:tcBorders>
            <w:gridSpan w:val="2"/>
          </w:tcPr>
          <w:p>
            <w:pPr>
              <w:spacing w:after="0"/>
              <w:rPr>
                <w:sz w:val="20"/>
                <w:szCs w:val="20"/>
                <w:color w:val="auto"/>
              </w:rPr>
            </w:pPr>
            <w:r>
              <w:rPr>
                <w:rFonts w:ascii="Arial" w:cs="Arial" w:eastAsia="Arial" w:hAnsi="Arial"/>
                <w:sz w:val="16"/>
                <w:szCs w:val="16"/>
                <w:color w:val="auto"/>
              </w:rPr>
              <w:t>100</w:t>
            </w:r>
          </w:p>
        </w:tc>
        <w:tc>
          <w:tcPr>
            <w:tcW w:w="100" w:type="dxa"/>
            <w:vAlign w:val="bottom"/>
          </w:tcPr>
          <w:p>
            <w:pPr>
              <w:spacing w:after="0"/>
              <w:rPr>
                <w:sz w:val="17"/>
                <w:szCs w:val="17"/>
                <w:color w:val="auto"/>
              </w:rPr>
            </w:pPr>
          </w:p>
        </w:tc>
        <w:tc>
          <w:tcPr>
            <w:tcW w:w="134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200</w:t>
            </w:r>
          </w:p>
        </w:tc>
      </w:tr>
      <w:tr>
        <w:trPr>
          <w:trHeight w:val="190"/>
        </w:trPr>
        <w:tc>
          <w:tcPr>
            <w:tcW w:w="3380" w:type="dxa"/>
            <w:vAlign w:val="bottom"/>
            <w:tcBorders>
              <w:bottom w:val="single" w:sz="8" w:color="355675"/>
            </w:tcBorders>
          </w:tcPr>
          <w:p>
            <w:pPr>
              <w:ind w:left="60"/>
              <w:spacing w:after="0" w:line="183" w:lineRule="exact"/>
              <w:rPr>
                <w:sz w:val="20"/>
                <w:szCs w:val="20"/>
                <w:color w:val="auto"/>
              </w:rPr>
            </w:pPr>
            <w:r>
              <w:rPr>
                <w:rFonts w:ascii="Arial" w:cs="Arial" w:eastAsia="Arial" w:hAnsi="Arial"/>
                <w:sz w:val="16"/>
                <w:szCs w:val="16"/>
                <w:color w:val="auto"/>
              </w:rPr>
              <w:t>Affordable (20%)</w:t>
            </w:r>
          </w:p>
        </w:tc>
        <w:tc>
          <w:tcPr>
            <w:tcW w:w="120" w:type="dxa"/>
            <w:vAlign w:val="bottom"/>
          </w:tcPr>
          <w:p>
            <w:pPr>
              <w:spacing w:after="0"/>
              <w:rPr>
                <w:sz w:val="16"/>
                <w:szCs w:val="16"/>
                <w:color w:val="auto"/>
              </w:rPr>
            </w:pPr>
          </w:p>
        </w:tc>
        <w:tc>
          <w:tcPr>
            <w:tcW w:w="3820" w:type="dxa"/>
            <w:vAlign w:val="bottom"/>
            <w:tcBorders>
              <w:bottom w:val="single" w:sz="8" w:color="355675"/>
            </w:tcBorders>
          </w:tcPr>
          <w:p>
            <w:pPr>
              <w:spacing w:after="0" w:line="183" w:lineRule="exact"/>
              <w:rPr>
                <w:sz w:val="20"/>
                <w:szCs w:val="20"/>
                <w:color w:val="auto"/>
              </w:rPr>
            </w:pPr>
            <w:r>
              <w:rPr>
                <w:rFonts w:ascii="Arial" w:cs="Arial" w:eastAsia="Arial" w:hAnsi="Arial"/>
                <w:sz w:val="16"/>
                <w:szCs w:val="16"/>
                <w:color w:val="auto"/>
              </w:rPr>
              <w:t>O&amp;M Budget (20%)</w:t>
            </w:r>
          </w:p>
        </w:tc>
        <w:tc>
          <w:tcPr>
            <w:tcW w:w="120" w:type="dxa"/>
            <w:vAlign w:val="bottom"/>
          </w:tcPr>
          <w:p>
            <w:pPr>
              <w:spacing w:after="0"/>
              <w:rPr>
                <w:sz w:val="16"/>
                <w:szCs w:val="16"/>
                <w:color w:val="auto"/>
              </w:rPr>
            </w:pPr>
          </w:p>
        </w:tc>
        <w:tc>
          <w:tcPr>
            <w:tcW w:w="1120" w:type="dxa"/>
            <w:vAlign w:val="bottom"/>
            <w:tcBorders>
              <w:bottom w:val="single" w:sz="8" w:color="355675"/>
            </w:tcBorders>
          </w:tcPr>
          <w:p>
            <w:pPr>
              <w:spacing w:after="0" w:line="183" w:lineRule="exact"/>
              <w:rPr>
                <w:sz w:val="20"/>
                <w:szCs w:val="20"/>
                <w:color w:val="auto"/>
              </w:rPr>
            </w:pPr>
            <w:r>
              <w:rPr>
                <w:rFonts w:ascii="Arial" w:cs="Arial" w:eastAsia="Arial" w:hAnsi="Arial"/>
                <w:sz w:val="16"/>
                <w:szCs w:val="16"/>
                <w:color w:val="auto"/>
              </w:rPr>
              <w:t>$2M &lt; Budget</w:t>
            </w:r>
          </w:p>
        </w:tc>
        <w:tc>
          <w:tcPr>
            <w:tcW w:w="120" w:type="dxa"/>
            <w:vAlign w:val="bottom"/>
          </w:tcPr>
          <w:p>
            <w:pPr>
              <w:spacing w:after="0"/>
              <w:rPr>
                <w:sz w:val="16"/>
                <w:szCs w:val="16"/>
                <w:color w:val="auto"/>
              </w:rPr>
            </w:pPr>
          </w:p>
        </w:tc>
        <w:tc>
          <w:tcPr>
            <w:tcW w:w="1120" w:type="dxa"/>
            <w:vAlign w:val="bottom"/>
            <w:tcBorders>
              <w:bottom w:val="single" w:sz="8" w:color="355675"/>
            </w:tcBorders>
            <w:gridSpan w:val="2"/>
          </w:tcPr>
          <w:p>
            <w:pPr>
              <w:spacing w:after="0" w:line="183" w:lineRule="exact"/>
              <w:rPr>
                <w:sz w:val="20"/>
                <w:szCs w:val="20"/>
                <w:color w:val="auto"/>
              </w:rPr>
            </w:pPr>
            <w:r>
              <w:rPr>
                <w:rFonts w:ascii="Arial" w:cs="Arial" w:eastAsia="Arial" w:hAnsi="Arial"/>
                <w:sz w:val="16"/>
                <w:szCs w:val="16"/>
                <w:color w:val="auto"/>
              </w:rPr>
              <w:t>$14.6M Under</w:t>
            </w:r>
          </w:p>
        </w:tc>
        <w:tc>
          <w:tcPr>
            <w:tcW w:w="100" w:type="dxa"/>
            <w:vAlign w:val="bottom"/>
          </w:tcPr>
          <w:p>
            <w:pPr>
              <w:spacing w:after="0"/>
              <w:rPr>
                <w:sz w:val="16"/>
                <w:szCs w:val="16"/>
                <w:color w:val="auto"/>
              </w:rPr>
            </w:pPr>
          </w:p>
        </w:tc>
        <w:tc>
          <w:tcPr>
            <w:tcW w:w="1340" w:type="dxa"/>
            <w:vAlign w:val="bottom"/>
            <w:tcBorders>
              <w:bottom w:val="single" w:sz="8" w:color="355675"/>
            </w:tcBorders>
          </w:tcPr>
          <w:p>
            <w:pPr>
              <w:jc w:val="right"/>
              <w:spacing w:after="0" w:line="183" w:lineRule="exact"/>
              <w:rPr>
                <w:sz w:val="20"/>
                <w:szCs w:val="20"/>
                <w:color w:val="auto"/>
              </w:rPr>
            </w:pPr>
            <w:r>
              <w:rPr>
                <w:rFonts w:ascii="Arial" w:cs="Arial" w:eastAsia="Arial" w:hAnsi="Arial"/>
                <w:sz w:val="16"/>
                <w:szCs w:val="16"/>
                <w:color w:val="auto"/>
              </w:rPr>
              <w:t>200</w:t>
            </w:r>
          </w:p>
        </w:tc>
      </w:tr>
    </w:tbl>
    <w:p>
      <w:pPr>
        <w:spacing w:after="0" w:line="126" w:lineRule="exact"/>
        <w:rPr>
          <w:sz w:val="20"/>
          <w:szCs w:val="20"/>
          <w:color w:val="auto"/>
        </w:rPr>
      </w:pPr>
    </w:p>
    <w:p>
      <w:pPr>
        <w:ind w:left="300" w:right="80" w:hanging="292"/>
        <w:spacing w:after="0" w:line="193" w:lineRule="auto"/>
        <w:tabs>
          <w:tab w:leader="none" w:pos="300" w:val="left"/>
        </w:tabs>
        <w:numPr>
          <w:ilvl w:val="0"/>
          <w:numId w:val="79"/>
        </w:numPr>
        <w:rPr>
          <w:rFonts w:ascii="Arial" w:cs="Arial" w:eastAsia="Arial" w:hAnsi="Arial"/>
          <w:sz w:val="24"/>
          <w:szCs w:val="24"/>
          <w:color w:val="auto"/>
          <w:vertAlign w:val="superscript"/>
        </w:rPr>
      </w:pPr>
      <w:r>
        <w:rPr>
          <w:rFonts w:ascii="Arial" w:cs="Arial" w:eastAsia="Arial" w:hAnsi="Arial"/>
          <w:sz w:val="14"/>
          <w:szCs w:val="14"/>
          <w:color w:val="auto"/>
        </w:rPr>
        <w:t>Measured quarterly; pays at maximum for each quarter with no recordable incidents; no payout if total SIFs for the year exceed 4 or in the event of an APS employee work-related fatality.</w:t>
      </w:r>
    </w:p>
    <w:p>
      <w:pPr>
        <w:spacing w:after="0" w:line="21" w:lineRule="exact"/>
        <w:rPr>
          <w:rFonts w:ascii="Arial" w:cs="Arial" w:eastAsia="Arial" w:hAnsi="Arial"/>
          <w:sz w:val="24"/>
          <w:szCs w:val="24"/>
          <w:color w:val="auto"/>
          <w:vertAlign w:val="superscript"/>
        </w:rPr>
      </w:pPr>
    </w:p>
    <w:p>
      <w:pPr>
        <w:ind w:left="300" w:hanging="292"/>
        <w:spacing w:after="0"/>
        <w:tabs>
          <w:tab w:leader="none" w:pos="300" w:val="left"/>
        </w:tabs>
        <w:numPr>
          <w:ilvl w:val="0"/>
          <w:numId w:val="79"/>
        </w:numPr>
        <w:rPr>
          <w:rFonts w:ascii="Arial" w:cs="Arial" w:eastAsia="Arial" w:hAnsi="Arial"/>
          <w:sz w:val="24"/>
          <w:szCs w:val="24"/>
          <w:color w:val="auto"/>
          <w:vertAlign w:val="superscript"/>
        </w:rPr>
      </w:pPr>
      <w:r>
        <w:rPr>
          <w:rFonts w:ascii="Arial" w:cs="Arial" w:eastAsia="Arial" w:hAnsi="Arial"/>
          <w:sz w:val="14"/>
          <w:szCs w:val="14"/>
          <w:color w:val="auto"/>
        </w:rPr>
        <w:t>Performance listed under the Actual Results column was adjusted; see page 71 for additional detail on this adjustment.</w:t>
      </w:r>
    </w:p>
    <w:p>
      <w:pPr>
        <w:spacing w:after="0" w:line="120" w:lineRule="exact"/>
        <w:rPr>
          <w:rFonts w:ascii="Arial" w:cs="Arial" w:eastAsia="Arial" w:hAnsi="Arial"/>
          <w:sz w:val="24"/>
          <w:szCs w:val="24"/>
          <w:color w:val="auto"/>
          <w:vertAlign w:val="superscript"/>
        </w:rPr>
      </w:pPr>
    </w:p>
    <w:p>
      <w:pPr>
        <w:ind w:left="300" w:hanging="292"/>
        <w:spacing w:after="0" w:line="183" w:lineRule="auto"/>
        <w:tabs>
          <w:tab w:leader="none" w:pos="300" w:val="left"/>
        </w:tabs>
        <w:numPr>
          <w:ilvl w:val="0"/>
          <w:numId w:val="79"/>
        </w:numPr>
        <w:rPr>
          <w:rFonts w:ascii="Arial" w:cs="Arial" w:eastAsia="Arial" w:hAnsi="Arial"/>
          <w:sz w:val="20"/>
          <w:szCs w:val="20"/>
          <w:color w:val="auto"/>
          <w:vertAlign w:val="superscript"/>
        </w:rPr>
      </w:pPr>
      <w:r>
        <w:rPr>
          <w:rFonts w:ascii="Arial" w:cs="Arial" w:eastAsia="Arial" w:hAnsi="Arial"/>
          <w:sz w:val="12"/>
          <w:szCs w:val="12"/>
          <w:color w:val="auto"/>
        </w:rPr>
        <w:t>Average includes: Transmission/Distribution, Customer Experience, Generation (non-nuclear) and PVGS.</w:t>
      </w:r>
    </w:p>
    <w:p>
      <w:pPr>
        <w:spacing w:after="0" w:line="121" w:lineRule="exact"/>
        <w:rPr>
          <w:rFonts w:ascii="Arial" w:cs="Arial" w:eastAsia="Arial" w:hAnsi="Arial"/>
          <w:sz w:val="20"/>
          <w:szCs w:val="20"/>
          <w:color w:val="auto"/>
          <w:vertAlign w:val="superscript"/>
        </w:rPr>
      </w:pPr>
    </w:p>
    <w:p>
      <w:pPr>
        <w:ind w:left="300" w:hanging="292"/>
        <w:spacing w:after="0" w:line="183" w:lineRule="auto"/>
        <w:tabs>
          <w:tab w:leader="none" w:pos="300" w:val="left"/>
        </w:tabs>
        <w:numPr>
          <w:ilvl w:val="0"/>
          <w:numId w:val="79"/>
        </w:numPr>
        <w:rPr>
          <w:rFonts w:ascii="Arial" w:cs="Arial" w:eastAsia="Arial" w:hAnsi="Arial"/>
          <w:sz w:val="20"/>
          <w:szCs w:val="20"/>
          <w:color w:val="auto"/>
          <w:vertAlign w:val="superscript"/>
        </w:rPr>
      </w:pPr>
      <w:r>
        <w:rPr>
          <w:rFonts w:ascii="Arial" w:cs="Arial" w:eastAsia="Arial" w:hAnsi="Arial"/>
          <w:sz w:val="12"/>
          <w:szCs w:val="12"/>
          <w:color w:val="auto"/>
        </w:rPr>
        <w:t>PVGS business unit performance goals must achieve at least 100% payout overall before payment of the APS performance component can occur.</w:t>
      </w:r>
    </w:p>
    <w:p>
      <w:pPr>
        <w:spacing w:after="0" w:line="121" w:lineRule="exact"/>
        <w:rPr>
          <w:rFonts w:ascii="Arial" w:cs="Arial" w:eastAsia="Arial" w:hAnsi="Arial"/>
          <w:sz w:val="20"/>
          <w:szCs w:val="20"/>
          <w:color w:val="auto"/>
          <w:vertAlign w:val="superscript"/>
        </w:rPr>
      </w:pPr>
    </w:p>
    <w:p>
      <w:pPr>
        <w:ind w:left="300" w:right="400" w:hanging="292"/>
        <w:spacing w:after="0" w:line="185" w:lineRule="auto"/>
        <w:tabs>
          <w:tab w:leader="none" w:pos="300" w:val="left"/>
        </w:tabs>
        <w:numPr>
          <w:ilvl w:val="0"/>
          <w:numId w:val="79"/>
        </w:numPr>
        <w:rPr>
          <w:rFonts w:ascii="Arial" w:cs="Arial" w:eastAsia="Arial" w:hAnsi="Arial"/>
          <w:sz w:val="24"/>
          <w:szCs w:val="24"/>
          <w:color w:val="auto"/>
          <w:vertAlign w:val="superscript"/>
        </w:rPr>
      </w:pPr>
      <w:r>
        <w:rPr>
          <w:rFonts w:ascii="Arial" w:cs="Arial" w:eastAsia="Arial" w:hAnsi="Arial"/>
          <w:sz w:val="14"/>
          <w:szCs w:val="14"/>
          <w:color w:val="auto"/>
        </w:rPr>
        <w:t>Measured quarterly; pays at maximum for each quarter with no recordable incidents; no payout if total SIFs for the year exceed 4, or in the event of a PVGS employee work-related fatality.</w:t>
      </w:r>
    </w:p>
    <w:p>
      <w:pPr>
        <w:spacing w:after="0" w:line="22" w:lineRule="exact"/>
        <w:rPr>
          <w:rFonts w:ascii="Arial" w:cs="Arial" w:eastAsia="Arial" w:hAnsi="Arial"/>
          <w:sz w:val="24"/>
          <w:szCs w:val="24"/>
          <w:color w:val="auto"/>
          <w:vertAlign w:val="superscript"/>
        </w:rPr>
      </w:pPr>
    </w:p>
    <w:p>
      <w:pPr>
        <w:ind w:left="300" w:hanging="292"/>
        <w:spacing w:after="0"/>
        <w:tabs>
          <w:tab w:leader="none" w:pos="300" w:val="left"/>
        </w:tabs>
        <w:numPr>
          <w:ilvl w:val="0"/>
          <w:numId w:val="79"/>
        </w:numPr>
        <w:rPr>
          <w:rFonts w:ascii="Arial" w:cs="Arial" w:eastAsia="Arial" w:hAnsi="Arial"/>
          <w:sz w:val="24"/>
          <w:szCs w:val="24"/>
          <w:color w:val="auto"/>
          <w:vertAlign w:val="superscript"/>
        </w:rPr>
      </w:pPr>
      <w:r>
        <w:rPr>
          <w:rFonts w:ascii="Arial" w:cs="Arial" w:eastAsia="Arial" w:hAnsi="Arial"/>
          <w:sz w:val="14"/>
          <w:szCs w:val="14"/>
          <w:color w:val="auto"/>
        </w:rPr>
        <w:t>Performance listed under the Actual Results column reflects 12/31/21 measurement.</w:t>
      </w:r>
    </w:p>
    <w:p>
      <w:pPr>
        <w:spacing w:after="0" w:line="230"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Long-Term Incentives</w:t>
      </w:r>
    </w:p>
    <w:p>
      <w:pPr>
        <w:spacing w:after="0" w:line="303" w:lineRule="exact"/>
        <w:rPr>
          <w:sz w:val="20"/>
          <w:szCs w:val="20"/>
          <w:color w:val="auto"/>
        </w:rPr>
      </w:pPr>
    </w:p>
    <w:p>
      <w:pPr>
        <w:ind w:right="40"/>
        <w:spacing w:after="0" w:line="244" w:lineRule="auto"/>
        <w:rPr>
          <w:sz w:val="20"/>
          <w:szCs w:val="20"/>
          <w:color w:val="auto"/>
        </w:rPr>
      </w:pPr>
      <w:r>
        <w:rPr>
          <w:rFonts w:ascii="Arial" w:cs="Arial" w:eastAsia="Arial" w:hAnsi="Arial"/>
          <w:sz w:val="18"/>
          <w:szCs w:val="18"/>
          <w:color w:val="auto"/>
        </w:rPr>
        <w:t>Our long-term equity incentive compensation is intended to align the interests of executives and our shareholders and increase long-term shareholder value while also offering an award opportunity that helps attract and retain qualified, experienced executives. The Company currently uses two types of equity awards: performance shares and RSUs. For our CEO and Executive Vice Presidents, our annual long-term equity awards were granted 70% to performance-based measures and 30% to time-based vesting and for all other officers, 60% to performance-based measures and 40% to time-based vesting.</w:t>
      </w:r>
    </w:p>
    <w:p>
      <w:pPr>
        <w:spacing w:after="0" w:line="211"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2021 Long-Term Equity Incentive Component Summary</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2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58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 of Target</w:t>
            </w:r>
          </w:p>
        </w:tc>
        <w:tc>
          <w:tcPr>
            <w:tcW w:w="26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260" w:type="dxa"/>
            <w:vAlign w:val="bottom"/>
          </w:tcPr>
          <w:p>
            <w:pPr>
              <w:spacing w:after="0"/>
              <w:rPr>
                <w:sz w:val="14"/>
                <w:szCs w:val="14"/>
                <w:color w:val="auto"/>
              </w:rPr>
            </w:pPr>
          </w:p>
        </w:tc>
      </w:tr>
      <w:tr>
        <w:trPr>
          <w:trHeight w:val="178"/>
        </w:trPr>
        <w:tc>
          <w:tcPr>
            <w:tcW w:w="2500" w:type="dxa"/>
            <w:vAlign w:val="bottom"/>
            <w:gridSpan w:val="2"/>
          </w:tcPr>
          <w:p>
            <w:pPr>
              <w:ind w:left="60"/>
              <w:spacing w:after="0"/>
              <w:rPr>
                <w:sz w:val="20"/>
                <w:szCs w:val="20"/>
                <w:color w:val="auto"/>
              </w:rPr>
            </w:pPr>
            <w:r>
              <w:rPr>
                <w:rFonts w:ascii="Arial" w:cs="Arial" w:eastAsia="Arial" w:hAnsi="Arial"/>
                <w:sz w:val="14"/>
                <w:szCs w:val="14"/>
                <w:b w:val="1"/>
                <w:bCs w:val="1"/>
                <w:color w:val="355675"/>
              </w:rPr>
              <w:t>vehicle</w:t>
            </w:r>
          </w:p>
        </w:tc>
        <w:tc>
          <w:tcPr>
            <w:tcW w:w="158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Equity Pay Mix</w:t>
            </w:r>
          </w:p>
        </w:tc>
        <w:tc>
          <w:tcPr>
            <w:tcW w:w="290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355675"/>
              </w:rPr>
              <w:t>Measurement Period</w:t>
            </w:r>
          </w:p>
        </w:tc>
        <w:tc>
          <w:tcPr>
            <w:tcW w:w="4260" w:type="dxa"/>
            <w:vAlign w:val="bottom"/>
          </w:tcPr>
          <w:p>
            <w:pPr>
              <w:jc w:val="right"/>
              <w:spacing w:after="0"/>
              <w:rPr>
                <w:sz w:val="20"/>
                <w:szCs w:val="20"/>
                <w:color w:val="auto"/>
              </w:rPr>
            </w:pPr>
            <w:r>
              <w:rPr>
                <w:rFonts w:ascii="Arial" w:cs="Arial" w:eastAsia="Arial" w:hAnsi="Arial"/>
                <w:sz w:val="14"/>
                <w:szCs w:val="14"/>
                <w:b w:val="1"/>
                <w:bCs w:val="1"/>
                <w:color w:val="355675"/>
              </w:rPr>
              <w:t>Performance Link</w:t>
            </w:r>
          </w:p>
        </w:tc>
      </w:tr>
      <w:tr>
        <w:trPr>
          <w:trHeight w:val="189"/>
        </w:trPr>
        <w:tc>
          <w:tcPr>
            <w:tcW w:w="2260" w:type="dxa"/>
            <w:vAlign w:val="bottom"/>
            <w:tcBorders>
              <w:top w:val="single" w:sz="8" w:color="355675"/>
            </w:tcBorders>
          </w:tcPr>
          <w:p>
            <w:pPr>
              <w:ind w:left="60"/>
              <w:spacing w:after="0"/>
              <w:rPr>
                <w:sz w:val="20"/>
                <w:szCs w:val="20"/>
                <w:color w:val="auto"/>
              </w:rPr>
            </w:pPr>
            <w:r>
              <w:rPr>
                <w:rFonts w:ascii="Arial" w:cs="Arial" w:eastAsia="Arial" w:hAnsi="Arial"/>
                <w:sz w:val="16"/>
                <w:szCs w:val="16"/>
                <w:b w:val="1"/>
                <w:bCs w:val="1"/>
                <w:color w:val="355675"/>
              </w:rPr>
              <w:t>Performance Shares</w:t>
            </w:r>
          </w:p>
        </w:tc>
        <w:tc>
          <w:tcPr>
            <w:tcW w:w="240" w:type="dxa"/>
            <w:vAlign w:val="bottom"/>
          </w:tcPr>
          <w:p>
            <w:pPr>
              <w:spacing w:after="0"/>
              <w:rPr>
                <w:sz w:val="16"/>
                <w:szCs w:val="16"/>
                <w:color w:val="auto"/>
              </w:rPr>
            </w:pPr>
          </w:p>
        </w:tc>
        <w:tc>
          <w:tcPr>
            <w:tcW w:w="1340" w:type="dxa"/>
            <w:vAlign w:val="bottom"/>
            <w:tcBorders>
              <w:top w:val="single" w:sz="8" w:color="355675"/>
            </w:tcBorders>
          </w:tcPr>
          <w:p>
            <w:pPr>
              <w:jc w:val="right"/>
              <w:spacing w:after="0" w:line="189" w:lineRule="exact"/>
              <w:rPr>
                <w:sz w:val="20"/>
                <w:szCs w:val="20"/>
                <w:color w:val="auto"/>
              </w:rPr>
            </w:pPr>
            <w:r>
              <w:rPr>
                <w:rFonts w:ascii="Arial" w:cs="Arial" w:eastAsia="Arial" w:hAnsi="Arial"/>
                <w:sz w:val="21"/>
                <w:szCs w:val="21"/>
                <w:color w:val="auto"/>
                <w:vertAlign w:val="subscript"/>
              </w:rPr>
              <w:t>70</w:t>
            </w:r>
            <w:r>
              <w:rPr>
                <w:rFonts w:ascii="Arial" w:cs="Arial" w:eastAsia="Arial" w:hAnsi="Arial"/>
                <w:sz w:val="11"/>
                <w:szCs w:val="11"/>
                <w:color w:val="auto"/>
              </w:rPr>
              <w:t>(1)</w:t>
            </w:r>
          </w:p>
        </w:tc>
        <w:tc>
          <w:tcPr>
            <w:tcW w:w="240" w:type="dxa"/>
            <w:vAlign w:val="bottom"/>
          </w:tcPr>
          <w:p>
            <w:pPr>
              <w:spacing w:after="0"/>
              <w:rPr>
                <w:sz w:val="16"/>
                <w:szCs w:val="16"/>
                <w:color w:val="auto"/>
              </w:rPr>
            </w:pPr>
          </w:p>
        </w:tc>
        <w:tc>
          <w:tcPr>
            <w:tcW w:w="2680" w:type="dxa"/>
            <w:vAlign w:val="bottom"/>
            <w:tcBorders>
              <w:top w:val="single" w:sz="8" w:color="355675"/>
            </w:tcBorders>
          </w:tcPr>
          <w:p>
            <w:pPr>
              <w:jc w:val="right"/>
              <w:spacing w:after="0"/>
              <w:rPr>
                <w:sz w:val="20"/>
                <w:szCs w:val="20"/>
                <w:color w:val="auto"/>
              </w:rPr>
            </w:pPr>
            <w:r>
              <w:rPr>
                <w:rFonts w:ascii="Arial" w:cs="Arial" w:eastAsia="Arial" w:hAnsi="Arial"/>
                <w:sz w:val="16"/>
                <w:szCs w:val="16"/>
                <w:color w:val="auto"/>
              </w:rPr>
              <w:t>3 years</w:t>
            </w:r>
          </w:p>
        </w:tc>
        <w:tc>
          <w:tcPr>
            <w:tcW w:w="220" w:type="dxa"/>
            <w:vAlign w:val="bottom"/>
          </w:tcPr>
          <w:p>
            <w:pPr>
              <w:spacing w:after="0"/>
              <w:rPr>
                <w:sz w:val="16"/>
                <w:szCs w:val="16"/>
                <w:color w:val="auto"/>
              </w:rPr>
            </w:pPr>
          </w:p>
        </w:tc>
        <w:tc>
          <w:tcPr>
            <w:tcW w:w="4260" w:type="dxa"/>
            <w:vAlign w:val="bottom"/>
            <w:tcBorders>
              <w:top w:val="single" w:sz="8" w:color="355675"/>
            </w:tcBorders>
          </w:tcPr>
          <w:p>
            <w:pPr>
              <w:jc w:val="right"/>
              <w:spacing w:after="0"/>
              <w:rPr>
                <w:sz w:val="20"/>
                <w:szCs w:val="20"/>
                <w:color w:val="auto"/>
              </w:rPr>
            </w:pPr>
            <w:r>
              <w:rPr>
                <w:rFonts w:ascii="Arial" w:cs="Arial" w:eastAsia="Arial" w:hAnsi="Arial"/>
                <w:sz w:val="16"/>
                <w:szCs w:val="16"/>
                <w:b w:val="1"/>
                <w:bCs w:val="1"/>
                <w:color w:val="355675"/>
              </w:rPr>
              <w:t>Relative TSR (50%)</w:t>
            </w:r>
          </w:p>
        </w:tc>
      </w:tr>
      <w:tr>
        <w:trPr>
          <w:trHeight w:val="189"/>
        </w:trPr>
        <w:tc>
          <w:tcPr>
            <w:tcW w:w="2260" w:type="dxa"/>
            <w:vAlign w:val="bottom"/>
            <w:tcBorders>
              <w:bottom w:val="single" w:sz="8" w:color="939598"/>
            </w:tcBorders>
          </w:tcPr>
          <w:p>
            <w:pPr>
              <w:spacing w:after="0"/>
              <w:rPr>
                <w:sz w:val="16"/>
                <w:szCs w:val="16"/>
                <w:color w:val="auto"/>
              </w:rPr>
            </w:pPr>
          </w:p>
        </w:tc>
        <w:tc>
          <w:tcPr>
            <w:tcW w:w="240" w:type="dxa"/>
            <w:vAlign w:val="bottom"/>
          </w:tcPr>
          <w:p>
            <w:pPr>
              <w:spacing w:after="0"/>
              <w:rPr>
                <w:sz w:val="16"/>
                <w:szCs w:val="16"/>
                <w:color w:val="auto"/>
              </w:rPr>
            </w:pPr>
          </w:p>
        </w:tc>
        <w:tc>
          <w:tcPr>
            <w:tcW w:w="1340" w:type="dxa"/>
            <w:vAlign w:val="bottom"/>
            <w:tcBorders>
              <w:bottom w:val="single" w:sz="8" w:color="939598"/>
            </w:tcBorders>
          </w:tcPr>
          <w:p>
            <w:pPr>
              <w:spacing w:after="0"/>
              <w:rPr>
                <w:sz w:val="16"/>
                <w:szCs w:val="16"/>
                <w:color w:val="auto"/>
              </w:rPr>
            </w:pPr>
          </w:p>
        </w:tc>
        <w:tc>
          <w:tcPr>
            <w:tcW w:w="240" w:type="dxa"/>
            <w:vAlign w:val="bottom"/>
          </w:tcPr>
          <w:p>
            <w:pPr>
              <w:spacing w:after="0"/>
              <w:rPr>
                <w:sz w:val="16"/>
                <w:szCs w:val="16"/>
                <w:color w:val="auto"/>
              </w:rPr>
            </w:pPr>
          </w:p>
        </w:tc>
        <w:tc>
          <w:tcPr>
            <w:tcW w:w="2680" w:type="dxa"/>
            <w:vAlign w:val="bottom"/>
            <w:tcBorders>
              <w:bottom w:val="single" w:sz="8" w:color="939598"/>
            </w:tcBorders>
          </w:tcPr>
          <w:p>
            <w:pPr>
              <w:spacing w:after="0"/>
              <w:rPr>
                <w:sz w:val="16"/>
                <w:szCs w:val="16"/>
                <w:color w:val="auto"/>
              </w:rPr>
            </w:pPr>
          </w:p>
        </w:tc>
        <w:tc>
          <w:tcPr>
            <w:tcW w:w="220" w:type="dxa"/>
            <w:vAlign w:val="bottom"/>
          </w:tcPr>
          <w:p>
            <w:pPr>
              <w:spacing w:after="0"/>
              <w:rPr>
                <w:sz w:val="16"/>
                <w:szCs w:val="16"/>
                <w:color w:val="auto"/>
              </w:rPr>
            </w:pPr>
          </w:p>
        </w:tc>
        <w:tc>
          <w:tcPr>
            <w:tcW w:w="4260" w:type="dxa"/>
            <w:vAlign w:val="bottom"/>
            <w:tcBorders>
              <w:bottom w:val="single" w:sz="8" w:color="939598"/>
            </w:tcBorders>
          </w:tcPr>
          <w:p>
            <w:pPr>
              <w:jc w:val="right"/>
              <w:spacing w:after="0"/>
              <w:rPr>
                <w:sz w:val="20"/>
                <w:szCs w:val="20"/>
                <w:color w:val="auto"/>
              </w:rPr>
            </w:pPr>
            <w:r>
              <w:rPr>
                <w:rFonts w:ascii="Arial" w:cs="Arial" w:eastAsia="Arial" w:hAnsi="Arial"/>
                <w:sz w:val="16"/>
                <w:szCs w:val="16"/>
                <w:b w:val="1"/>
                <w:bCs w:val="1"/>
                <w:color w:val="355675"/>
              </w:rPr>
              <w:t>Relative Operational Performance (50%)</w:t>
            </w:r>
          </w:p>
        </w:tc>
      </w:tr>
      <w:tr>
        <w:trPr>
          <w:trHeight w:val="243"/>
        </w:trPr>
        <w:tc>
          <w:tcPr>
            <w:tcW w:w="2260" w:type="dxa"/>
            <w:vAlign w:val="bottom"/>
            <w:tcBorders>
              <w:bottom w:val="single" w:sz="8" w:color="355675"/>
            </w:tcBorders>
          </w:tcPr>
          <w:p>
            <w:pPr>
              <w:ind w:left="60"/>
              <w:spacing w:after="0"/>
              <w:rPr>
                <w:sz w:val="20"/>
                <w:szCs w:val="20"/>
                <w:color w:val="auto"/>
              </w:rPr>
            </w:pPr>
            <w:r>
              <w:rPr>
                <w:rFonts w:ascii="Arial" w:cs="Arial" w:eastAsia="Arial" w:hAnsi="Arial"/>
                <w:sz w:val="16"/>
                <w:szCs w:val="16"/>
                <w:b w:val="1"/>
                <w:bCs w:val="1"/>
                <w:color w:val="355675"/>
              </w:rPr>
              <w:t>RSUs</w:t>
            </w:r>
          </w:p>
        </w:tc>
        <w:tc>
          <w:tcPr>
            <w:tcW w:w="240" w:type="dxa"/>
            <w:vAlign w:val="bottom"/>
          </w:tcPr>
          <w:p>
            <w:pPr>
              <w:spacing w:after="0"/>
              <w:rPr>
                <w:sz w:val="21"/>
                <w:szCs w:val="21"/>
                <w:color w:val="auto"/>
              </w:rPr>
            </w:pPr>
          </w:p>
        </w:tc>
        <w:tc>
          <w:tcPr>
            <w:tcW w:w="1340" w:type="dxa"/>
            <w:vAlign w:val="bottom"/>
            <w:tcBorders>
              <w:bottom w:val="single" w:sz="8" w:color="355675"/>
            </w:tcBorders>
          </w:tcPr>
          <w:p>
            <w:pPr>
              <w:jc w:val="right"/>
              <w:spacing w:after="0" w:line="236" w:lineRule="exact"/>
              <w:rPr>
                <w:sz w:val="20"/>
                <w:szCs w:val="20"/>
                <w:color w:val="auto"/>
              </w:rPr>
            </w:pPr>
            <w:r>
              <w:rPr>
                <w:rFonts w:ascii="Arial" w:cs="Arial" w:eastAsia="Arial" w:hAnsi="Arial"/>
                <w:sz w:val="27"/>
                <w:szCs w:val="27"/>
                <w:color w:val="auto"/>
                <w:vertAlign w:val="subscript"/>
              </w:rPr>
              <w:t>30</w:t>
            </w:r>
            <w:r>
              <w:rPr>
                <w:rFonts w:ascii="Arial" w:cs="Arial" w:eastAsia="Arial" w:hAnsi="Arial"/>
                <w:sz w:val="12"/>
                <w:szCs w:val="12"/>
                <w:color w:val="auto"/>
              </w:rPr>
              <w:t>(1)</w:t>
            </w:r>
          </w:p>
        </w:tc>
        <w:tc>
          <w:tcPr>
            <w:tcW w:w="240" w:type="dxa"/>
            <w:vAlign w:val="bottom"/>
          </w:tcPr>
          <w:p>
            <w:pPr>
              <w:spacing w:after="0"/>
              <w:rPr>
                <w:sz w:val="21"/>
                <w:szCs w:val="21"/>
                <w:color w:val="auto"/>
              </w:rPr>
            </w:pPr>
          </w:p>
        </w:tc>
        <w:tc>
          <w:tcPr>
            <w:tcW w:w="268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Vest ratably over 4 years</w:t>
            </w:r>
          </w:p>
        </w:tc>
        <w:tc>
          <w:tcPr>
            <w:tcW w:w="220" w:type="dxa"/>
            <w:vAlign w:val="bottom"/>
          </w:tcPr>
          <w:p>
            <w:pPr>
              <w:spacing w:after="0"/>
              <w:rPr>
                <w:sz w:val="21"/>
                <w:szCs w:val="21"/>
                <w:color w:val="auto"/>
              </w:rPr>
            </w:pPr>
          </w:p>
        </w:tc>
        <w:tc>
          <w:tcPr>
            <w:tcW w:w="4260" w:type="dxa"/>
            <w:vAlign w:val="bottom"/>
            <w:tcBorders>
              <w:bottom w:val="single" w:sz="8" w:color="355675"/>
            </w:tcBorders>
          </w:tcPr>
          <w:p>
            <w:pPr>
              <w:jc w:val="right"/>
              <w:spacing w:after="0"/>
              <w:rPr>
                <w:sz w:val="20"/>
                <w:szCs w:val="20"/>
                <w:color w:val="auto"/>
              </w:rPr>
            </w:pPr>
            <w:r>
              <w:rPr>
                <w:rFonts w:ascii="Arial" w:cs="Arial" w:eastAsia="Arial" w:hAnsi="Arial"/>
                <w:sz w:val="16"/>
                <w:szCs w:val="16"/>
                <w:b w:val="1"/>
                <w:bCs w:val="1"/>
                <w:color w:val="355675"/>
              </w:rPr>
              <w:t>Stock Price</w:t>
            </w:r>
          </w:p>
        </w:tc>
      </w:tr>
    </w:tbl>
    <w:p>
      <w:pPr>
        <w:spacing w:after="0" w:line="126" w:lineRule="exact"/>
        <w:rPr>
          <w:sz w:val="20"/>
          <w:szCs w:val="20"/>
          <w:color w:val="auto"/>
        </w:rPr>
      </w:pPr>
    </w:p>
    <w:p>
      <w:pPr>
        <w:ind w:left="300" w:right="220" w:hanging="292"/>
        <w:spacing w:after="0" w:line="185" w:lineRule="auto"/>
        <w:tabs>
          <w:tab w:leader="none" w:pos="300" w:val="left"/>
        </w:tabs>
        <w:numPr>
          <w:ilvl w:val="0"/>
          <w:numId w:val="80"/>
        </w:numPr>
        <w:rPr>
          <w:rFonts w:ascii="Arial" w:cs="Arial" w:eastAsia="Arial" w:hAnsi="Arial"/>
          <w:sz w:val="24"/>
          <w:szCs w:val="24"/>
          <w:color w:val="auto"/>
          <w:vertAlign w:val="superscript"/>
        </w:rPr>
      </w:pPr>
      <w:r>
        <w:rPr>
          <w:rFonts w:ascii="Arial" w:cs="Arial" w:eastAsia="Arial" w:hAnsi="Arial"/>
          <w:sz w:val="14"/>
          <w:szCs w:val="14"/>
          <w:color w:val="auto"/>
        </w:rPr>
        <w:t>For our 2021 annual long-term equity awards, all of our officers other than our CEO and our Executive Vice Presidents, were granted 60% Performance Shares and 40% RSUs.</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9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95675"/>
              </w:rPr>
              <w:t>73</w:t>
            </w:r>
          </w:p>
        </w:tc>
      </w:tr>
      <w:tr>
        <w:trPr>
          <w:trHeight w:val="79"/>
        </w:trPr>
        <w:tc>
          <w:tcPr>
            <w:tcW w:w="10940" w:type="dxa"/>
            <w:vAlign w:val="bottom"/>
            <w:tcBorders>
              <w:bottom w:val="single" w:sz="8" w:color="808080"/>
            </w:tcBorders>
          </w:tcPr>
          <w:p>
            <w:pPr>
              <w:spacing w:after="0"/>
              <w:rPr>
                <w:sz w:val="6"/>
                <w:szCs w:val="6"/>
                <w:color w:val="auto"/>
              </w:rPr>
            </w:pPr>
          </w:p>
        </w:tc>
        <w:tc>
          <w:tcPr>
            <w:tcW w:w="320" w:type="dxa"/>
            <w:vAlign w:val="bottom"/>
            <w:tcBorders>
              <w:bottom w:val="single" w:sz="8" w:color="808080"/>
            </w:tcBorders>
          </w:tcPr>
          <w:p>
            <w:pPr>
              <w:spacing w:after="0"/>
              <w:rPr>
                <w:sz w:val="6"/>
                <w:szCs w:val="6"/>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82" w:name="page83"/>
    <w:bookmarkEnd w:id="8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85" w:lineRule="exact"/>
        <w:rPr>
          <w:sz w:val="20"/>
          <w:szCs w:val="20"/>
          <w:color w:val="auto"/>
        </w:rPr>
      </w:pPr>
    </w:p>
    <w:p>
      <w:pPr>
        <w:ind w:right="40"/>
        <w:spacing w:after="0"/>
        <w:rPr>
          <w:sz w:val="20"/>
          <w:szCs w:val="20"/>
          <w:color w:val="auto"/>
        </w:rPr>
      </w:pPr>
      <w:r>
        <w:rPr>
          <w:rFonts w:ascii="Arial" w:cs="Arial" w:eastAsia="Arial" w:hAnsi="Arial"/>
          <w:sz w:val="18"/>
          <w:szCs w:val="18"/>
          <w:color w:val="auto"/>
        </w:rPr>
        <w:t>To determine the amount of performance share and RSU awards for the annual grants made in February of each year, the Committee first establishes a target compensation value for each officer that it wants to deliver through long-term equity award opportunities. The Committee considers various factors, including the retention value of the total compensation package, the long-term equity component in light of the competitive environment and individual performance. The Committee also considers target value taking into consideration the Company’s achievement of earnings targets and overall performance. Once the target value is established, the Committee determined the number of shares subject to the awards by reference to the then-current market value of the Company’s common stock and then allocated the 2021 awards 70% to performance shares and 30% to RSUs for the CEO and Executive Vice Presidents and 60% to performance shares and 40% to RSUs for all other officers.</w:t>
      </w:r>
    </w:p>
    <w:p>
      <w:pPr>
        <w:spacing w:after="0" w:line="140" w:lineRule="exact"/>
        <w:rPr>
          <w:sz w:val="20"/>
          <w:szCs w:val="20"/>
          <w:color w:val="auto"/>
        </w:rPr>
      </w:pPr>
    </w:p>
    <w:p>
      <w:pPr>
        <w:spacing w:after="0"/>
        <w:rPr>
          <w:sz w:val="20"/>
          <w:szCs w:val="20"/>
          <w:color w:val="auto"/>
        </w:rPr>
      </w:pPr>
      <w:r>
        <w:rPr>
          <w:rFonts w:ascii="Arial" w:cs="Arial" w:eastAsia="Arial" w:hAnsi="Arial"/>
          <w:sz w:val="18"/>
          <w:szCs w:val="18"/>
          <w:color w:val="auto"/>
        </w:rPr>
        <w:t>The 2021 awards to the NEOs were as follows:</w:t>
      </w:r>
    </w:p>
    <w:p>
      <w:pPr>
        <w:spacing w:after="0" w:line="181"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700" w:type="dxa"/>
            <w:vAlign w:val="bottom"/>
            <w:gridSpan w:val="2"/>
          </w:tcPr>
          <w:p>
            <w:pPr>
              <w:ind w:left="640"/>
              <w:spacing w:after="0"/>
              <w:rPr>
                <w:sz w:val="20"/>
                <w:szCs w:val="20"/>
                <w:color w:val="auto"/>
              </w:rPr>
            </w:pPr>
            <w:r>
              <w:rPr>
                <w:rFonts w:ascii="Arial" w:cs="Arial" w:eastAsia="Arial" w:hAnsi="Arial"/>
                <w:sz w:val="14"/>
                <w:szCs w:val="14"/>
                <w:b w:val="1"/>
                <w:bCs w:val="1"/>
                <w:color w:val="355675"/>
              </w:rPr>
              <w:t>Performance Shares – 70%</w:t>
            </w:r>
          </w:p>
        </w:tc>
        <w:tc>
          <w:tcPr>
            <w:tcW w:w="134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355675"/>
              </w:rPr>
              <w:t>RSUs – 30%</w:t>
            </w:r>
          </w:p>
        </w:tc>
        <w:tc>
          <w:tcPr>
            <w:tcW w:w="1800" w:type="dxa"/>
            <w:vAlign w:val="bottom"/>
          </w:tcPr>
          <w:p>
            <w:pPr>
              <w:jc w:val="right"/>
              <w:spacing w:after="0"/>
              <w:rPr>
                <w:sz w:val="20"/>
                <w:szCs w:val="20"/>
                <w:color w:val="auto"/>
              </w:rPr>
            </w:pPr>
            <w:r>
              <w:rPr>
                <w:rFonts w:ascii="Arial" w:cs="Arial" w:eastAsia="Arial" w:hAnsi="Arial"/>
                <w:sz w:val="14"/>
                <w:szCs w:val="14"/>
                <w:b w:val="1"/>
                <w:bCs w:val="1"/>
                <w:color w:val="355675"/>
              </w:rPr>
              <w:t>Grant Date Value</w:t>
            </w:r>
          </w:p>
        </w:tc>
      </w:tr>
      <w:tr>
        <w:trPr>
          <w:trHeight w:val="196"/>
        </w:trPr>
        <w:tc>
          <w:tcPr>
            <w:tcW w:w="5400" w:type="dxa"/>
            <w:vAlign w:val="bottom"/>
            <w:gridSpan w:val="2"/>
          </w:tcPr>
          <w:p>
            <w:pPr>
              <w:ind w:left="60"/>
              <w:spacing w:after="0"/>
              <w:rPr>
                <w:sz w:val="20"/>
                <w:szCs w:val="20"/>
                <w:color w:val="auto"/>
              </w:rPr>
            </w:pPr>
            <w:r>
              <w:rPr>
                <w:rFonts w:ascii="Arial" w:cs="Arial" w:eastAsia="Arial" w:hAnsi="Arial"/>
                <w:sz w:val="14"/>
                <w:szCs w:val="14"/>
                <w:b w:val="1"/>
                <w:bCs w:val="1"/>
                <w:color w:val="355675"/>
              </w:rPr>
              <w:t>Name</w:t>
            </w:r>
          </w:p>
        </w:tc>
        <w:tc>
          <w:tcPr>
            <w:tcW w:w="27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34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355675"/>
              </w:rPr>
              <w:t>(#)</w:t>
            </w:r>
          </w:p>
        </w:tc>
        <w:tc>
          <w:tcPr>
            <w:tcW w:w="1800" w:type="dxa"/>
            <w:vAlign w:val="bottom"/>
          </w:tcPr>
          <w:p>
            <w:pPr>
              <w:jc w:val="right"/>
              <w:spacing w:after="0" w:line="189" w:lineRule="exact"/>
              <w:rPr>
                <w:sz w:val="20"/>
                <w:szCs w:val="20"/>
                <w:color w:val="auto"/>
              </w:rPr>
            </w:pPr>
            <w:r>
              <w:rPr>
                <w:rFonts w:ascii="Arial" w:cs="Arial" w:eastAsia="Arial" w:hAnsi="Arial"/>
                <w:sz w:val="21"/>
                <w:szCs w:val="21"/>
                <w:b w:val="1"/>
                <w:bCs w:val="1"/>
                <w:color w:val="355675"/>
                <w:vertAlign w:val="subscript"/>
              </w:rPr>
              <w:t>($)</w:t>
            </w:r>
            <w:r>
              <w:rPr>
                <w:rFonts w:ascii="Arial" w:cs="Arial" w:eastAsia="Arial" w:hAnsi="Arial"/>
                <w:sz w:val="10"/>
                <w:szCs w:val="10"/>
                <w:b w:val="1"/>
                <w:bCs w:val="1"/>
                <w:color w:val="355675"/>
              </w:rPr>
              <w:t>(1)</w:t>
            </w:r>
          </w:p>
        </w:tc>
      </w:tr>
      <w:tr>
        <w:trPr>
          <w:trHeight w:val="203"/>
        </w:trPr>
        <w:tc>
          <w:tcPr>
            <w:tcW w:w="518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Guldner</w:t>
            </w:r>
          </w:p>
        </w:tc>
        <w:tc>
          <w:tcPr>
            <w:tcW w:w="220" w:type="dxa"/>
            <w:vAlign w:val="bottom"/>
          </w:tcPr>
          <w:p>
            <w:pPr>
              <w:spacing w:after="0"/>
              <w:rPr>
                <w:sz w:val="17"/>
                <w:szCs w:val="17"/>
                <w:color w:val="auto"/>
              </w:rPr>
            </w:pPr>
          </w:p>
        </w:tc>
        <w:tc>
          <w:tcPr>
            <w:tcW w:w="250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35,820</w:t>
            </w:r>
          </w:p>
        </w:tc>
        <w:tc>
          <w:tcPr>
            <w:tcW w:w="200" w:type="dxa"/>
            <w:vAlign w:val="bottom"/>
          </w:tcPr>
          <w:p>
            <w:pPr>
              <w:spacing w:after="0"/>
              <w:rPr>
                <w:sz w:val="17"/>
                <w:szCs w:val="17"/>
                <w:color w:val="auto"/>
              </w:rPr>
            </w:pPr>
          </w:p>
        </w:tc>
        <w:tc>
          <w:tcPr>
            <w:tcW w:w="112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15,352</w:t>
            </w:r>
          </w:p>
        </w:tc>
        <w:tc>
          <w:tcPr>
            <w:tcW w:w="220" w:type="dxa"/>
            <w:vAlign w:val="bottom"/>
          </w:tcPr>
          <w:p>
            <w:pPr>
              <w:spacing w:after="0"/>
              <w:rPr>
                <w:sz w:val="17"/>
                <w:szCs w:val="17"/>
                <w:color w:val="auto"/>
              </w:rPr>
            </w:pPr>
          </w:p>
        </w:tc>
        <w:tc>
          <w:tcPr>
            <w:tcW w:w="180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$3,890,095</w:t>
            </w:r>
          </w:p>
        </w:tc>
      </w:tr>
      <w:tr>
        <w:trPr>
          <w:trHeight w:val="237"/>
        </w:trPr>
        <w:tc>
          <w:tcPr>
            <w:tcW w:w="5180" w:type="dxa"/>
            <w:vAlign w:val="bottom"/>
          </w:tcPr>
          <w:p>
            <w:pPr>
              <w:ind w:left="60"/>
              <w:spacing w:after="0" w:line="236" w:lineRule="exact"/>
              <w:rPr>
                <w:sz w:val="20"/>
                <w:szCs w:val="20"/>
                <w:color w:val="auto"/>
              </w:rPr>
            </w:pPr>
            <w:r>
              <w:rPr>
                <w:rFonts w:ascii="Arial" w:cs="Arial" w:eastAsia="Arial" w:hAnsi="Arial"/>
                <w:sz w:val="16"/>
                <w:szCs w:val="16"/>
                <w:b w:val="1"/>
                <w:bCs w:val="1"/>
                <w:color w:val="355675"/>
              </w:rPr>
              <w:t>Mr. Geisler</w:t>
            </w:r>
            <w:r>
              <w:rPr>
                <w:rFonts w:ascii="Arial" w:cs="Arial" w:eastAsia="Arial" w:hAnsi="Arial"/>
                <w:sz w:val="26"/>
                <w:szCs w:val="26"/>
                <w:b w:val="1"/>
                <w:bCs w:val="1"/>
                <w:color w:val="355675"/>
                <w:vertAlign w:val="superscript"/>
              </w:rPr>
              <w:t>(2)</w:t>
            </w:r>
          </w:p>
        </w:tc>
        <w:tc>
          <w:tcPr>
            <w:tcW w:w="220" w:type="dxa"/>
            <w:vAlign w:val="bottom"/>
          </w:tcPr>
          <w:p>
            <w:pPr>
              <w:spacing w:after="0"/>
              <w:rPr>
                <w:sz w:val="20"/>
                <w:szCs w:val="20"/>
                <w:color w:val="auto"/>
              </w:rPr>
            </w:pPr>
          </w:p>
        </w:tc>
        <w:tc>
          <w:tcPr>
            <w:tcW w:w="2700" w:type="dxa"/>
            <w:vAlign w:val="bottom"/>
            <w:gridSpan w:val="2"/>
          </w:tcPr>
          <w:p>
            <w:pPr>
              <w:jc w:val="right"/>
              <w:ind w:right="200"/>
              <w:spacing w:after="0"/>
              <w:rPr>
                <w:sz w:val="20"/>
                <w:szCs w:val="20"/>
                <w:color w:val="auto"/>
              </w:rPr>
            </w:pPr>
            <w:r>
              <w:rPr>
                <w:rFonts w:ascii="Arial" w:cs="Arial" w:eastAsia="Arial" w:hAnsi="Arial"/>
                <w:sz w:val="16"/>
                <w:szCs w:val="16"/>
                <w:color w:val="auto"/>
              </w:rPr>
              <w:t>7,894</w:t>
            </w:r>
          </w:p>
        </w:tc>
        <w:tc>
          <w:tcPr>
            <w:tcW w:w="1340" w:type="dxa"/>
            <w:vAlign w:val="bottom"/>
            <w:gridSpan w:val="2"/>
          </w:tcPr>
          <w:p>
            <w:pPr>
              <w:ind w:left="720"/>
              <w:spacing w:after="0"/>
              <w:rPr>
                <w:sz w:val="20"/>
                <w:szCs w:val="20"/>
                <w:color w:val="auto"/>
              </w:rPr>
            </w:pPr>
            <w:r>
              <w:rPr>
                <w:rFonts w:ascii="Arial" w:cs="Arial" w:eastAsia="Arial" w:hAnsi="Arial"/>
                <w:sz w:val="16"/>
                <w:szCs w:val="16"/>
                <w:color w:val="auto"/>
              </w:rPr>
              <w:t>5,264</w:t>
            </w:r>
          </w:p>
        </w:tc>
        <w:tc>
          <w:tcPr>
            <w:tcW w:w="1800" w:type="dxa"/>
            <w:vAlign w:val="bottom"/>
          </w:tcPr>
          <w:p>
            <w:pPr>
              <w:jc w:val="right"/>
              <w:spacing w:after="0"/>
              <w:rPr>
                <w:sz w:val="20"/>
                <w:szCs w:val="20"/>
                <w:color w:val="auto"/>
              </w:rPr>
            </w:pPr>
            <w:r>
              <w:rPr>
                <w:rFonts w:ascii="Arial" w:cs="Arial" w:eastAsia="Arial" w:hAnsi="Arial"/>
                <w:sz w:val="16"/>
                <w:szCs w:val="16"/>
                <w:color w:val="auto"/>
              </w:rPr>
              <w:t>$1,000,271</w:t>
            </w:r>
          </w:p>
        </w:tc>
      </w:tr>
      <w:tr>
        <w:trPr>
          <w:trHeight w:val="196"/>
        </w:trPr>
        <w:tc>
          <w:tcPr>
            <w:tcW w:w="5180" w:type="dxa"/>
            <w:vAlign w:val="bottom"/>
            <w:tcBorders>
              <w:top w:val="single" w:sz="8" w:color="939598"/>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Mr. Hatfield</w:t>
            </w:r>
          </w:p>
        </w:tc>
        <w:tc>
          <w:tcPr>
            <w:tcW w:w="220" w:type="dxa"/>
            <w:vAlign w:val="bottom"/>
          </w:tcPr>
          <w:p>
            <w:pPr>
              <w:spacing w:after="0"/>
              <w:rPr>
                <w:sz w:val="17"/>
                <w:szCs w:val="17"/>
                <w:color w:val="auto"/>
              </w:rPr>
            </w:pPr>
          </w:p>
        </w:tc>
        <w:tc>
          <w:tcPr>
            <w:tcW w:w="250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11,050</w:t>
            </w:r>
          </w:p>
        </w:tc>
        <w:tc>
          <w:tcPr>
            <w:tcW w:w="200" w:type="dxa"/>
            <w:vAlign w:val="bottom"/>
          </w:tcPr>
          <w:p>
            <w:pPr>
              <w:spacing w:after="0"/>
              <w:rPr>
                <w:sz w:val="17"/>
                <w:szCs w:val="17"/>
                <w:color w:val="auto"/>
              </w:rPr>
            </w:pPr>
          </w:p>
        </w:tc>
        <w:tc>
          <w:tcPr>
            <w:tcW w:w="1120" w:type="dxa"/>
            <w:vAlign w:val="bottom"/>
            <w:tcBorders>
              <w:top w:val="single" w:sz="8" w:color="939598"/>
              <w:bottom w:val="single" w:sz="8" w:color="939598"/>
            </w:tcBorders>
          </w:tcPr>
          <w:p>
            <w:pPr>
              <w:ind w:left="720"/>
              <w:spacing w:after="0"/>
              <w:rPr>
                <w:sz w:val="20"/>
                <w:szCs w:val="20"/>
                <w:color w:val="auto"/>
              </w:rPr>
            </w:pPr>
            <w:r>
              <w:rPr>
                <w:rFonts w:ascii="Arial" w:cs="Arial" w:eastAsia="Arial" w:hAnsi="Arial"/>
                <w:sz w:val="16"/>
                <w:szCs w:val="16"/>
                <w:color w:val="auto"/>
                <w:w w:val="94"/>
              </w:rPr>
              <w:t>4,736</w:t>
            </w:r>
          </w:p>
        </w:tc>
        <w:tc>
          <w:tcPr>
            <w:tcW w:w="220" w:type="dxa"/>
            <w:vAlign w:val="bottom"/>
          </w:tcPr>
          <w:p>
            <w:pPr>
              <w:spacing w:after="0"/>
              <w:rPr>
                <w:sz w:val="17"/>
                <w:szCs w:val="17"/>
                <w:color w:val="auto"/>
              </w:rPr>
            </w:pPr>
          </w:p>
        </w:tc>
        <w:tc>
          <w:tcPr>
            <w:tcW w:w="180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$1,200,052</w:t>
            </w:r>
          </w:p>
        </w:tc>
      </w:tr>
      <w:tr>
        <w:trPr>
          <w:trHeight w:val="196"/>
        </w:trPr>
        <w:tc>
          <w:tcPr>
            <w:tcW w:w="518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Ms. Lacal</w:t>
            </w:r>
          </w:p>
        </w:tc>
        <w:tc>
          <w:tcPr>
            <w:tcW w:w="220" w:type="dxa"/>
            <w:vAlign w:val="bottom"/>
          </w:tcPr>
          <w:p>
            <w:pPr>
              <w:spacing w:after="0"/>
              <w:rPr>
                <w:sz w:val="17"/>
                <w:szCs w:val="17"/>
                <w:color w:val="auto"/>
              </w:rPr>
            </w:pPr>
          </w:p>
        </w:tc>
        <w:tc>
          <w:tcPr>
            <w:tcW w:w="25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7,368</w:t>
            </w:r>
          </w:p>
        </w:tc>
        <w:tc>
          <w:tcPr>
            <w:tcW w:w="200" w:type="dxa"/>
            <w:vAlign w:val="bottom"/>
          </w:tcPr>
          <w:p>
            <w:pPr>
              <w:spacing w:after="0"/>
              <w:rPr>
                <w:sz w:val="17"/>
                <w:szCs w:val="17"/>
                <w:color w:val="auto"/>
              </w:rPr>
            </w:pPr>
          </w:p>
        </w:tc>
        <w:tc>
          <w:tcPr>
            <w:tcW w:w="1120" w:type="dxa"/>
            <w:vAlign w:val="bottom"/>
            <w:tcBorders>
              <w:bottom w:val="single" w:sz="8" w:color="939598"/>
            </w:tcBorders>
          </w:tcPr>
          <w:p>
            <w:pPr>
              <w:ind w:left="720"/>
              <w:spacing w:after="0"/>
              <w:rPr>
                <w:sz w:val="20"/>
                <w:szCs w:val="20"/>
                <w:color w:val="auto"/>
              </w:rPr>
            </w:pPr>
            <w:r>
              <w:rPr>
                <w:rFonts w:ascii="Arial" w:cs="Arial" w:eastAsia="Arial" w:hAnsi="Arial"/>
                <w:sz w:val="16"/>
                <w:szCs w:val="16"/>
                <w:color w:val="auto"/>
                <w:w w:val="94"/>
              </w:rPr>
              <w:t>3,160</w:t>
            </w:r>
          </w:p>
        </w:tc>
        <w:tc>
          <w:tcPr>
            <w:tcW w:w="220" w:type="dxa"/>
            <w:vAlign w:val="bottom"/>
          </w:tcPr>
          <w:p>
            <w:pPr>
              <w:spacing w:after="0"/>
              <w:rPr>
                <w:sz w:val="17"/>
                <w:szCs w:val="17"/>
                <w:color w:val="auto"/>
              </w:rPr>
            </w:pPr>
          </w:p>
        </w:tc>
        <w:tc>
          <w:tcPr>
            <w:tcW w:w="1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$800,339</w:t>
            </w:r>
          </w:p>
        </w:tc>
      </w:tr>
      <w:tr>
        <w:trPr>
          <w:trHeight w:val="237"/>
        </w:trPr>
        <w:tc>
          <w:tcPr>
            <w:tcW w:w="5180" w:type="dxa"/>
            <w:vAlign w:val="bottom"/>
          </w:tcPr>
          <w:p>
            <w:pPr>
              <w:ind w:left="60"/>
              <w:spacing w:after="0" w:line="236" w:lineRule="exact"/>
              <w:rPr>
                <w:sz w:val="20"/>
                <w:szCs w:val="20"/>
                <w:color w:val="auto"/>
              </w:rPr>
            </w:pPr>
            <w:r>
              <w:rPr>
                <w:rFonts w:ascii="Arial" w:cs="Arial" w:eastAsia="Arial" w:hAnsi="Arial"/>
                <w:sz w:val="16"/>
                <w:szCs w:val="16"/>
                <w:b w:val="1"/>
                <w:bCs w:val="1"/>
                <w:color w:val="355675"/>
              </w:rPr>
              <w:t>Mr. Smith</w:t>
            </w:r>
            <w:r>
              <w:rPr>
                <w:rFonts w:ascii="Arial" w:cs="Arial" w:eastAsia="Arial" w:hAnsi="Arial"/>
                <w:sz w:val="26"/>
                <w:szCs w:val="26"/>
                <w:b w:val="1"/>
                <w:bCs w:val="1"/>
                <w:color w:val="355675"/>
                <w:vertAlign w:val="superscript"/>
              </w:rPr>
              <w:t>(2)</w:t>
            </w:r>
          </w:p>
        </w:tc>
        <w:tc>
          <w:tcPr>
            <w:tcW w:w="220" w:type="dxa"/>
            <w:vAlign w:val="bottom"/>
          </w:tcPr>
          <w:p>
            <w:pPr>
              <w:spacing w:after="0"/>
              <w:rPr>
                <w:sz w:val="20"/>
                <w:szCs w:val="20"/>
                <w:color w:val="auto"/>
              </w:rPr>
            </w:pPr>
          </w:p>
        </w:tc>
        <w:tc>
          <w:tcPr>
            <w:tcW w:w="2500" w:type="dxa"/>
            <w:vAlign w:val="bottom"/>
          </w:tcPr>
          <w:p>
            <w:pPr>
              <w:jc w:val="right"/>
              <w:spacing w:after="0"/>
              <w:rPr>
                <w:sz w:val="20"/>
                <w:szCs w:val="20"/>
                <w:color w:val="auto"/>
              </w:rPr>
            </w:pPr>
            <w:r>
              <w:rPr>
                <w:rFonts w:ascii="Arial" w:cs="Arial" w:eastAsia="Arial" w:hAnsi="Arial"/>
                <w:sz w:val="16"/>
                <w:szCs w:val="16"/>
                <w:color w:val="auto"/>
              </w:rPr>
              <w:t>5,724</w:t>
            </w:r>
          </w:p>
        </w:tc>
        <w:tc>
          <w:tcPr>
            <w:tcW w:w="200" w:type="dxa"/>
            <w:vAlign w:val="bottom"/>
          </w:tcPr>
          <w:p>
            <w:pPr>
              <w:spacing w:after="0"/>
              <w:rPr>
                <w:sz w:val="20"/>
                <w:szCs w:val="20"/>
                <w:color w:val="auto"/>
              </w:rPr>
            </w:pPr>
          </w:p>
        </w:tc>
        <w:tc>
          <w:tcPr>
            <w:tcW w:w="1340" w:type="dxa"/>
            <w:vAlign w:val="bottom"/>
            <w:gridSpan w:val="2"/>
          </w:tcPr>
          <w:p>
            <w:pPr>
              <w:ind w:left="720"/>
              <w:spacing w:after="0"/>
              <w:rPr>
                <w:sz w:val="20"/>
                <w:szCs w:val="20"/>
                <w:color w:val="auto"/>
              </w:rPr>
            </w:pPr>
            <w:r>
              <w:rPr>
                <w:rFonts w:ascii="Arial" w:cs="Arial" w:eastAsia="Arial" w:hAnsi="Arial"/>
                <w:sz w:val="16"/>
                <w:szCs w:val="16"/>
                <w:color w:val="auto"/>
              </w:rPr>
              <w:t>3,816</w:t>
            </w:r>
          </w:p>
        </w:tc>
        <w:tc>
          <w:tcPr>
            <w:tcW w:w="1800" w:type="dxa"/>
            <w:vAlign w:val="bottom"/>
          </w:tcPr>
          <w:p>
            <w:pPr>
              <w:jc w:val="right"/>
              <w:spacing w:after="0"/>
              <w:rPr>
                <w:sz w:val="20"/>
                <w:szCs w:val="20"/>
                <w:color w:val="auto"/>
              </w:rPr>
            </w:pPr>
            <w:r>
              <w:rPr>
                <w:rFonts w:ascii="Arial" w:cs="Arial" w:eastAsia="Arial" w:hAnsi="Arial"/>
                <w:sz w:val="16"/>
                <w:szCs w:val="16"/>
                <w:color w:val="auto"/>
              </w:rPr>
              <w:t>$725,231</w:t>
            </w:r>
          </w:p>
        </w:tc>
      </w:tr>
      <w:tr>
        <w:trPr>
          <w:trHeight w:val="27"/>
        </w:trPr>
        <w:tc>
          <w:tcPr>
            <w:tcW w:w="5180" w:type="dxa"/>
            <w:vAlign w:val="bottom"/>
            <w:shd w:val="clear" w:color="auto" w:fill="355675"/>
          </w:tcPr>
          <w:p>
            <w:pPr>
              <w:spacing w:after="0"/>
              <w:rPr>
                <w:sz w:val="2"/>
                <w:szCs w:val="2"/>
                <w:color w:val="auto"/>
              </w:rPr>
            </w:pPr>
          </w:p>
        </w:tc>
        <w:tc>
          <w:tcPr>
            <w:tcW w:w="220" w:type="dxa"/>
            <w:vAlign w:val="bottom"/>
          </w:tcPr>
          <w:p>
            <w:pPr>
              <w:spacing w:after="0"/>
              <w:rPr>
                <w:sz w:val="2"/>
                <w:szCs w:val="2"/>
                <w:color w:val="auto"/>
              </w:rPr>
            </w:pPr>
          </w:p>
        </w:tc>
        <w:tc>
          <w:tcPr>
            <w:tcW w:w="25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120" w:type="dxa"/>
            <w:vAlign w:val="bottom"/>
            <w:shd w:val="clear" w:color="auto" w:fill="355675"/>
          </w:tcPr>
          <w:p>
            <w:pPr>
              <w:spacing w:after="0"/>
              <w:rPr>
                <w:sz w:val="2"/>
                <w:szCs w:val="2"/>
                <w:color w:val="auto"/>
              </w:rPr>
            </w:pPr>
          </w:p>
        </w:tc>
        <w:tc>
          <w:tcPr>
            <w:tcW w:w="220" w:type="dxa"/>
            <w:vAlign w:val="bottom"/>
          </w:tcPr>
          <w:p>
            <w:pPr>
              <w:spacing w:after="0"/>
              <w:rPr>
                <w:sz w:val="2"/>
                <w:szCs w:val="2"/>
                <w:color w:val="auto"/>
              </w:rPr>
            </w:pPr>
          </w:p>
        </w:tc>
        <w:tc>
          <w:tcPr>
            <w:tcW w:w="1800" w:type="dxa"/>
            <w:vAlign w:val="bottom"/>
            <w:shd w:val="clear" w:color="auto" w:fill="355675"/>
          </w:tcPr>
          <w:p>
            <w:pPr>
              <w:spacing w:after="0"/>
              <w:rPr>
                <w:sz w:val="2"/>
                <w:szCs w:val="2"/>
                <w:color w:val="auto"/>
              </w:rPr>
            </w:pPr>
          </w:p>
        </w:tc>
      </w:tr>
    </w:tbl>
    <w:p>
      <w:pPr>
        <w:spacing w:after="0" w:line="40" w:lineRule="exact"/>
        <w:rPr>
          <w:sz w:val="20"/>
          <w:szCs w:val="20"/>
          <w:color w:val="auto"/>
        </w:rPr>
      </w:pPr>
    </w:p>
    <w:p>
      <w:pPr>
        <w:ind w:left="300" w:hanging="292"/>
        <w:spacing w:after="0"/>
        <w:tabs>
          <w:tab w:leader="none" w:pos="300" w:val="left"/>
        </w:tabs>
        <w:numPr>
          <w:ilvl w:val="0"/>
          <w:numId w:val="81"/>
        </w:numPr>
        <w:rPr>
          <w:rFonts w:ascii="Arial" w:cs="Arial" w:eastAsia="Arial" w:hAnsi="Arial"/>
          <w:sz w:val="24"/>
          <w:szCs w:val="24"/>
          <w:color w:val="auto"/>
          <w:vertAlign w:val="superscript"/>
        </w:rPr>
      </w:pPr>
      <w:r>
        <w:rPr>
          <w:rFonts w:ascii="Arial" w:cs="Arial" w:eastAsia="Arial" w:hAnsi="Arial"/>
          <w:sz w:val="14"/>
          <w:szCs w:val="14"/>
          <w:color w:val="auto"/>
        </w:rPr>
        <w:t>For purposes of this table, Grant Date Value is equal to the total number of shares multiplied by the Company’s closing stock price on the date of grant ($76.02).</w:t>
      </w:r>
    </w:p>
    <w:p>
      <w:pPr>
        <w:spacing w:after="0" w:line="120" w:lineRule="exact"/>
        <w:rPr>
          <w:rFonts w:ascii="Arial" w:cs="Arial" w:eastAsia="Arial" w:hAnsi="Arial"/>
          <w:sz w:val="24"/>
          <w:szCs w:val="24"/>
          <w:color w:val="auto"/>
          <w:vertAlign w:val="superscript"/>
        </w:rPr>
      </w:pPr>
    </w:p>
    <w:p>
      <w:pPr>
        <w:ind w:left="300" w:hanging="292"/>
        <w:spacing w:after="0" w:line="183" w:lineRule="auto"/>
        <w:tabs>
          <w:tab w:leader="none" w:pos="300" w:val="left"/>
        </w:tabs>
        <w:numPr>
          <w:ilvl w:val="0"/>
          <w:numId w:val="81"/>
        </w:numPr>
        <w:rPr>
          <w:rFonts w:ascii="Arial" w:cs="Arial" w:eastAsia="Arial" w:hAnsi="Arial"/>
          <w:sz w:val="20"/>
          <w:szCs w:val="20"/>
          <w:color w:val="auto"/>
          <w:vertAlign w:val="superscript"/>
        </w:rPr>
      </w:pPr>
      <w:r>
        <w:rPr>
          <w:rFonts w:ascii="Arial" w:cs="Arial" w:eastAsia="Arial" w:hAnsi="Arial"/>
          <w:sz w:val="12"/>
          <w:szCs w:val="12"/>
          <w:color w:val="auto"/>
        </w:rPr>
        <w:t>Messrs. Geisler’s and Smith’s 2021 awards were 60% performance shares and 40% RSUs.</w:t>
      </w:r>
    </w:p>
    <w:p>
      <w:pPr>
        <w:spacing w:after="0" w:line="214"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Performance Shares</w:t>
      </w:r>
    </w:p>
    <w:p>
      <w:pPr>
        <w:spacing w:after="0" w:line="267"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2021 Performance Shares</w:t>
      </w:r>
    </w:p>
    <w:p>
      <w:pPr>
        <w:spacing w:after="0" w:line="9" w:lineRule="exact"/>
        <w:rPr>
          <w:sz w:val="20"/>
          <w:szCs w:val="20"/>
          <w:color w:val="auto"/>
        </w:rPr>
      </w:pPr>
    </w:p>
    <w:p>
      <w:pPr>
        <w:ind w:right="260"/>
        <w:spacing w:after="0" w:line="250" w:lineRule="auto"/>
        <w:rPr>
          <w:sz w:val="20"/>
          <w:szCs w:val="20"/>
          <w:color w:val="auto"/>
        </w:rPr>
      </w:pPr>
      <w:r>
        <w:rPr>
          <w:rFonts w:ascii="Arial" w:cs="Arial" w:eastAsia="Arial" w:hAnsi="Arial"/>
          <w:sz w:val="18"/>
          <w:szCs w:val="18"/>
          <w:color w:val="auto"/>
        </w:rPr>
        <w:t>We granted performance shares to our NEOs in February 2021 for a three-year performance period (the “2021 Performance Shares”) with two distinct elements — relative TSR and relative operational performance against five metrics.</w:t>
      </w:r>
    </w:p>
    <w:p>
      <w:pPr>
        <w:sectPr>
          <w:pgSz w:w="11900" w:h="16838" w:orient="portrait"/>
          <w:cols w:equalWidth="0" w:num="1">
            <w:col w:w="11240"/>
          </w:cols>
          <w:pgMar w:left="320" w:top="125" w:right="339" w:bottom="1440" w:gutter="0" w:footer="0" w:header="0"/>
        </w:sectPr>
      </w:pPr>
    </w:p>
    <w:p>
      <w:pPr>
        <w:spacing w:after="0" w:line="141"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wp:posOffset>
            </wp:positionV>
            <wp:extent cx="3574415" cy="1714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3574415" cy="17145"/>
                    </a:xfrm>
                    <a:prstGeom prst="rect">
                      <a:avLst/>
                    </a:prstGeom>
                    <a:noFill/>
                  </pic:spPr>
                </pic:pic>
              </a:graphicData>
            </a:graphic>
          </wp:anchor>
        </w:drawing>
      </w:r>
    </w:p>
    <w:p>
      <w:pPr>
        <w:spacing w:after="0" w:line="17"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Relative TSR</w:t>
      </w:r>
    </w:p>
    <w:p>
      <w:pPr>
        <w:spacing w:after="0" w:line="61" w:lineRule="exact"/>
        <w:rPr>
          <w:sz w:val="20"/>
          <w:szCs w:val="20"/>
          <w:color w:val="auto"/>
        </w:rPr>
      </w:pPr>
    </w:p>
    <w:p>
      <w:pPr>
        <w:ind w:left="60"/>
        <w:spacing w:after="0"/>
        <w:rPr>
          <w:sz w:val="20"/>
          <w:szCs w:val="20"/>
          <w:color w:val="auto"/>
        </w:rPr>
      </w:pPr>
      <w:r>
        <w:rPr>
          <w:rFonts w:ascii="Arial" w:cs="Arial" w:eastAsia="Arial" w:hAnsi="Arial"/>
          <w:sz w:val="16"/>
          <w:szCs w:val="16"/>
          <w:i w:val="1"/>
          <w:iCs w:val="1"/>
          <w:color w:val="auto"/>
        </w:rPr>
        <w:t>Measures the Company’s TSR performance against:</w:t>
      </w:r>
    </w:p>
    <w:p>
      <w:pPr>
        <w:spacing w:after="0" w:line="19" w:lineRule="exact"/>
        <w:rPr>
          <w:sz w:val="20"/>
          <w:szCs w:val="20"/>
          <w:color w:val="auto"/>
        </w:rPr>
      </w:pPr>
    </w:p>
    <w:p>
      <w:pPr>
        <w:ind w:left="240" w:hanging="178"/>
        <w:spacing w:after="0"/>
        <w:tabs>
          <w:tab w:leader="none" w:pos="240" w:val="left"/>
        </w:tabs>
        <w:numPr>
          <w:ilvl w:val="0"/>
          <w:numId w:val="82"/>
        </w:numPr>
        <w:rPr>
          <w:rFonts w:ascii="Arial" w:cs="Arial" w:eastAsia="Arial" w:hAnsi="Arial"/>
          <w:sz w:val="16"/>
          <w:szCs w:val="16"/>
          <w:color w:val="355675"/>
        </w:rPr>
      </w:pPr>
      <w:r>
        <w:rPr>
          <w:rFonts w:ascii="Arial" w:cs="Arial" w:eastAsia="Arial" w:hAnsi="Arial"/>
          <w:sz w:val="16"/>
          <w:szCs w:val="16"/>
          <w:color w:val="auto"/>
        </w:rPr>
        <w:t>Edison Electric Institute Index (the “Index”)</w:t>
      </w:r>
    </w:p>
    <w:p>
      <w:pPr>
        <w:spacing w:after="0" w:line="14" w:lineRule="exact"/>
        <w:rPr>
          <w:rFonts w:ascii="Arial" w:cs="Arial" w:eastAsia="Arial" w:hAnsi="Arial"/>
          <w:sz w:val="16"/>
          <w:szCs w:val="16"/>
          <w:color w:val="355675"/>
        </w:rPr>
      </w:pPr>
    </w:p>
    <w:p>
      <w:pPr>
        <w:ind w:left="60"/>
        <w:spacing w:after="0"/>
        <w:rPr>
          <w:rFonts w:ascii="Arial" w:cs="Arial" w:eastAsia="Arial" w:hAnsi="Arial"/>
          <w:sz w:val="16"/>
          <w:szCs w:val="16"/>
          <w:color w:val="355675"/>
        </w:rPr>
      </w:pPr>
      <w:r>
        <w:rPr>
          <w:rFonts w:ascii="Arial" w:cs="Arial" w:eastAsia="Arial" w:hAnsi="Arial"/>
          <w:sz w:val="16"/>
          <w:szCs w:val="16"/>
          <w:b w:val="1"/>
          <w:bCs w:val="1"/>
          <w:color w:val="355675"/>
        </w:rPr>
        <w:t>Relative Operational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-123190</wp:posOffset>
            </wp:positionV>
            <wp:extent cx="3574415"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3574415" cy="8890"/>
                    </a:xfrm>
                    <a:prstGeom prst="rect">
                      <a:avLst/>
                    </a:prstGeom>
                    <a:noFill/>
                  </pic:spPr>
                </pic:pic>
              </a:graphicData>
            </a:graphic>
          </wp:anchor>
        </w:drawing>
      </w:r>
    </w:p>
    <w:p>
      <w:pPr>
        <w:spacing w:after="0" w:line="29" w:lineRule="exact"/>
        <w:rPr>
          <w:sz w:val="20"/>
          <w:szCs w:val="20"/>
          <w:color w:val="auto"/>
        </w:rPr>
      </w:pPr>
    </w:p>
    <w:p>
      <w:pPr>
        <w:ind w:left="60"/>
        <w:spacing w:after="0"/>
        <w:rPr>
          <w:sz w:val="20"/>
          <w:szCs w:val="20"/>
          <w:color w:val="auto"/>
        </w:rPr>
      </w:pPr>
      <w:r>
        <w:rPr>
          <w:rFonts w:ascii="Arial" w:cs="Arial" w:eastAsia="Arial" w:hAnsi="Arial"/>
          <w:sz w:val="16"/>
          <w:szCs w:val="16"/>
          <w:i w:val="1"/>
          <w:iCs w:val="1"/>
          <w:color w:val="auto"/>
        </w:rPr>
        <w:t>Measures the Company’s average percentile ranking in:</w:t>
      </w:r>
    </w:p>
    <w:p>
      <w:pPr>
        <w:spacing w:after="0" w:line="19" w:lineRule="exact"/>
        <w:rPr>
          <w:sz w:val="20"/>
          <w:szCs w:val="20"/>
          <w:color w:val="auto"/>
        </w:rPr>
      </w:pPr>
    </w:p>
    <w:p>
      <w:pPr>
        <w:ind w:left="240" w:hanging="178"/>
        <w:spacing w:after="0"/>
        <w:tabs>
          <w:tab w:leader="none" w:pos="240" w:val="left"/>
        </w:tabs>
        <w:numPr>
          <w:ilvl w:val="0"/>
          <w:numId w:val="83"/>
        </w:numPr>
        <w:rPr>
          <w:rFonts w:ascii="Arial" w:cs="Arial" w:eastAsia="Arial" w:hAnsi="Arial"/>
          <w:sz w:val="16"/>
          <w:szCs w:val="16"/>
          <w:color w:val="355675"/>
        </w:rPr>
      </w:pPr>
      <w:r>
        <w:rPr>
          <w:rFonts w:ascii="Arial" w:cs="Arial" w:eastAsia="Arial" w:hAnsi="Arial"/>
          <w:sz w:val="16"/>
          <w:szCs w:val="16"/>
          <w:color w:val="auto"/>
        </w:rPr>
        <w:t>Customer reliability</w:t>
      </w:r>
    </w:p>
    <w:p>
      <w:pPr>
        <w:spacing w:after="0" w:line="151" w:lineRule="exact"/>
        <w:rPr>
          <w:rFonts w:ascii="Arial" w:cs="Arial" w:eastAsia="Arial" w:hAnsi="Arial"/>
          <w:sz w:val="16"/>
          <w:szCs w:val="16"/>
          <w:color w:val="355675"/>
        </w:rPr>
      </w:pPr>
    </w:p>
    <w:p>
      <w:pPr>
        <w:ind w:left="240" w:hanging="178"/>
        <w:spacing w:after="0"/>
        <w:tabs>
          <w:tab w:leader="none" w:pos="240" w:val="left"/>
        </w:tabs>
        <w:numPr>
          <w:ilvl w:val="0"/>
          <w:numId w:val="83"/>
        </w:numPr>
        <w:rPr>
          <w:rFonts w:ascii="Arial" w:cs="Arial" w:eastAsia="Arial" w:hAnsi="Arial"/>
          <w:sz w:val="16"/>
          <w:szCs w:val="16"/>
          <w:color w:val="355675"/>
        </w:rPr>
      </w:pPr>
      <w:r>
        <w:rPr>
          <w:rFonts w:ascii="Arial" w:cs="Arial" w:eastAsia="Arial" w:hAnsi="Arial"/>
          <w:sz w:val="16"/>
          <w:szCs w:val="16"/>
          <w:color w:val="auto"/>
        </w:rPr>
        <w:t>Customer-to-employee improvement ratio</w:t>
      </w:r>
    </w:p>
    <w:p>
      <w:pPr>
        <w:spacing w:after="0" w:line="167" w:lineRule="exact"/>
        <w:rPr>
          <w:rFonts w:ascii="Arial" w:cs="Arial" w:eastAsia="Arial" w:hAnsi="Arial"/>
          <w:sz w:val="16"/>
          <w:szCs w:val="16"/>
          <w:color w:val="355675"/>
        </w:rPr>
      </w:pPr>
    </w:p>
    <w:p>
      <w:pPr>
        <w:ind w:left="240" w:hanging="178"/>
        <w:spacing w:after="0"/>
        <w:tabs>
          <w:tab w:leader="none" w:pos="240" w:val="left"/>
        </w:tabs>
        <w:numPr>
          <w:ilvl w:val="0"/>
          <w:numId w:val="83"/>
        </w:numPr>
        <w:rPr>
          <w:rFonts w:ascii="Arial" w:cs="Arial" w:eastAsia="Arial" w:hAnsi="Arial"/>
          <w:sz w:val="16"/>
          <w:szCs w:val="16"/>
          <w:color w:val="355675"/>
        </w:rPr>
      </w:pPr>
      <w:r>
        <w:rPr>
          <w:rFonts w:ascii="Arial" w:cs="Arial" w:eastAsia="Arial" w:hAnsi="Arial"/>
          <w:sz w:val="16"/>
          <w:szCs w:val="16"/>
          <w:color w:val="auto"/>
        </w:rPr>
        <w:t>OSHA all incident injury rate</w:t>
      </w:r>
    </w:p>
    <w:p>
      <w:pPr>
        <w:spacing w:after="0" w:line="167" w:lineRule="exact"/>
        <w:rPr>
          <w:rFonts w:ascii="Arial" w:cs="Arial" w:eastAsia="Arial" w:hAnsi="Arial"/>
          <w:sz w:val="16"/>
          <w:szCs w:val="16"/>
          <w:color w:val="355675"/>
        </w:rPr>
      </w:pPr>
    </w:p>
    <w:p>
      <w:pPr>
        <w:ind w:left="240" w:hanging="178"/>
        <w:spacing w:after="0"/>
        <w:tabs>
          <w:tab w:leader="none" w:pos="240" w:val="left"/>
        </w:tabs>
        <w:numPr>
          <w:ilvl w:val="0"/>
          <w:numId w:val="83"/>
        </w:numPr>
        <w:rPr>
          <w:rFonts w:ascii="Arial" w:cs="Arial" w:eastAsia="Arial" w:hAnsi="Arial"/>
          <w:sz w:val="16"/>
          <w:szCs w:val="16"/>
          <w:color w:val="355675"/>
        </w:rPr>
      </w:pPr>
      <w:r>
        <w:rPr>
          <w:rFonts w:ascii="Arial" w:cs="Arial" w:eastAsia="Arial" w:hAnsi="Arial"/>
          <w:sz w:val="16"/>
          <w:szCs w:val="16"/>
          <w:color w:val="auto"/>
        </w:rPr>
        <w:t>Nuclear capacity factor</w:t>
      </w:r>
    </w:p>
    <w:p>
      <w:pPr>
        <w:spacing w:after="0" w:line="167" w:lineRule="exact"/>
        <w:rPr>
          <w:rFonts w:ascii="Arial" w:cs="Arial" w:eastAsia="Arial" w:hAnsi="Arial"/>
          <w:sz w:val="16"/>
          <w:szCs w:val="16"/>
          <w:color w:val="355675"/>
        </w:rPr>
      </w:pPr>
    </w:p>
    <w:p>
      <w:pPr>
        <w:ind w:left="240" w:hanging="178"/>
        <w:spacing w:after="0"/>
        <w:tabs>
          <w:tab w:leader="none" w:pos="240" w:val="left"/>
        </w:tabs>
        <w:numPr>
          <w:ilvl w:val="0"/>
          <w:numId w:val="83"/>
        </w:numPr>
        <w:rPr>
          <w:rFonts w:ascii="Arial" w:cs="Arial" w:eastAsia="Arial" w:hAnsi="Arial"/>
          <w:sz w:val="16"/>
          <w:szCs w:val="16"/>
          <w:color w:val="355675"/>
        </w:rPr>
      </w:pPr>
      <w:r>
        <w:rPr>
          <w:rFonts w:ascii="Arial" w:cs="Arial" w:eastAsia="Arial" w:hAnsi="Arial"/>
          <w:sz w:val="16"/>
          <w:szCs w:val="16"/>
          <w:color w:val="auto"/>
        </w:rPr>
        <w:t>J.D. Power Residential Customer Satisfaction Rating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wp:posOffset>
            </wp:positionV>
            <wp:extent cx="3574415" cy="1714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357441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355675"/>
        </w:rPr>
        <w:t>Weighting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-134620</wp:posOffset>
            </wp:positionH>
            <wp:positionV relativeFrom="paragraph">
              <wp:posOffset>15240</wp:posOffset>
            </wp:positionV>
            <wp:extent cx="711200" cy="1714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11200" cy="17145"/>
                    </a:xfrm>
                    <a:prstGeom prst="rect">
                      <a:avLst/>
                    </a:prstGeom>
                    <a:noFill/>
                  </pic:spPr>
                </pic:pic>
              </a:graphicData>
            </a:graphic>
          </wp:anchor>
        </w:drawing>
      </w:r>
    </w:p>
    <w:p>
      <w:pPr>
        <w:spacing w:after="0" w:line="17" w:lineRule="exact"/>
        <w:rPr>
          <w:sz w:val="20"/>
          <w:szCs w:val="20"/>
          <w:color w:val="auto"/>
        </w:rPr>
      </w:pPr>
    </w:p>
    <w:p>
      <w:pPr>
        <w:ind w:left="180"/>
        <w:spacing w:after="0"/>
        <w:rPr>
          <w:sz w:val="20"/>
          <w:szCs w:val="20"/>
          <w:color w:val="auto"/>
        </w:rPr>
      </w:pPr>
      <w:r>
        <w:rPr>
          <w:rFonts w:ascii="Arial" w:cs="Arial" w:eastAsia="Arial" w:hAnsi="Arial"/>
          <w:sz w:val="16"/>
          <w:szCs w:val="16"/>
          <w:color w:val="auto"/>
        </w:rPr>
        <w:t>50%</w:t>
      </w:r>
    </w:p>
    <w:p>
      <w:pPr>
        <w:spacing w:after="0" w:line="200" w:lineRule="exact"/>
        <w:rPr>
          <w:sz w:val="20"/>
          <w:szCs w:val="20"/>
          <w:color w:val="auto"/>
        </w:rPr>
      </w:pPr>
    </w:p>
    <w:p>
      <w:pPr>
        <w:spacing w:after="0" w:line="251" w:lineRule="exact"/>
        <w:rPr>
          <w:sz w:val="20"/>
          <w:szCs w:val="20"/>
          <w:color w:val="auto"/>
        </w:rPr>
      </w:pPr>
    </w:p>
    <w:p>
      <w:pPr>
        <w:ind w:left="180"/>
        <w:spacing w:after="0"/>
        <w:rPr>
          <w:sz w:val="20"/>
          <w:szCs w:val="20"/>
          <w:color w:val="auto"/>
        </w:rPr>
      </w:pPr>
      <w:r>
        <w:rPr>
          <w:rFonts w:ascii="Arial" w:cs="Arial" w:eastAsia="Arial" w:hAnsi="Arial"/>
          <w:sz w:val="16"/>
          <w:szCs w:val="16"/>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-134620</wp:posOffset>
            </wp:positionH>
            <wp:positionV relativeFrom="paragraph">
              <wp:posOffset>1177925</wp:posOffset>
            </wp:positionV>
            <wp:extent cx="711200" cy="1714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11200" cy="17145"/>
                    </a:xfrm>
                    <a:prstGeom prst="rect">
                      <a:avLst/>
                    </a:prstGeom>
                    <a:noFill/>
                  </pic:spPr>
                </pic:pic>
              </a:graphicData>
            </a:graphic>
          </wp:anchor>
        </w:drawing>
        <w:drawing>
          <wp:anchor simplePos="0" relativeHeight="251657728" behindDoc="1" locked="0" layoutInCell="0" allowOverlap="1">
            <wp:simplePos x="0" y="0"/>
            <wp:positionH relativeFrom="column">
              <wp:posOffset>-134620</wp:posOffset>
            </wp:positionH>
            <wp:positionV relativeFrom="paragraph">
              <wp:posOffset>-115570</wp:posOffset>
            </wp:positionV>
            <wp:extent cx="711200"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1120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1"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Rationale &amp; Performance Link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1714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2562860" cy="17145"/>
                    </a:xfrm>
                    <a:prstGeom prst="rect">
                      <a:avLst/>
                    </a:prstGeom>
                    <a:noFill/>
                  </pic:spPr>
                </pic:pic>
              </a:graphicData>
            </a:graphic>
          </wp:anchor>
        </w:drawing>
      </w:r>
    </w:p>
    <w:p>
      <w:pPr>
        <w:spacing w:after="0" w:line="17" w:lineRule="exact"/>
        <w:rPr>
          <w:sz w:val="20"/>
          <w:szCs w:val="20"/>
          <w:color w:val="auto"/>
        </w:rPr>
      </w:pPr>
    </w:p>
    <w:p>
      <w:pPr>
        <w:ind w:right="60"/>
        <w:spacing w:after="0" w:line="286" w:lineRule="auto"/>
        <w:rPr>
          <w:sz w:val="20"/>
          <w:szCs w:val="20"/>
          <w:color w:val="auto"/>
        </w:rPr>
      </w:pPr>
      <w:r>
        <w:rPr>
          <w:rFonts w:ascii="Arial" w:cs="Arial" w:eastAsia="Arial" w:hAnsi="Arial"/>
          <w:sz w:val="16"/>
          <w:szCs w:val="16"/>
          <w:color w:val="auto"/>
        </w:rPr>
        <w:t>Links pay to key measure generating shareholder value relative to others in the industry</w:t>
      </w:r>
    </w:p>
    <w:p>
      <w:pPr>
        <w:spacing w:after="0" w:line="196" w:lineRule="exact"/>
        <w:rPr>
          <w:sz w:val="20"/>
          <w:szCs w:val="20"/>
          <w:color w:val="auto"/>
        </w:rPr>
      </w:pPr>
    </w:p>
    <w:p>
      <w:pPr>
        <w:ind w:right="80"/>
        <w:spacing w:after="0" w:line="266" w:lineRule="auto"/>
        <w:rPr>
          <w:sz w:val="20"/>
          <w:szCs w:val="20"/>
          <w:color w:val="auto"/>
        </w:rPr>
      </w:pPr>
      <w:r>
        <w:rPr>
          <w:rFonts w:ascii="Arial" w:cs="Arial" w:eastAsia="Arial" w:hAnsi="Arial"/>
          <w:sz w:val="16"/>
          <w:szCs w:val="16"/>
          <w:color w:val="auto"/>
        </w:rPr>
        <w:t>Metrics are direct indicators of operational performance and provide a clear barometer of performance versus external benchmarks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906145</wp:posOffset>
            </wp:positionV>
            <wp:extent cx="2562860" cy="1714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2562860" cy="1714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-387350</wp:posOffset>
            </wp:positionV>
            <wp:extent cx="2562860"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1608" w:lineRule="exact"/>
        <w:rPr>
          <w:sz w:val="20"/>
          <w:szCs w:val="20"/>
          <w:color w:val="auto"/>
        </w:rPr>
      </w:pPr>
    </w:p>
    <w:p>
      <w:pPr>
        <w:sectPr>
          <w:pgSz w:w="11900" w:h="16838" w:orient="portrait"/>
          <w:cols w:equalWidth="0" w:num="3">
            <w:col w:w="5360" w:space="720"/>
            <w:col w:w="700" w:space="420"/>
            <w:col w:w="4040"/>
          </w:cols>
          <w:pgMar w:left="320" w:top="125" w:right="339" w:bottom="1440" w:gutter="0" w:footer="0" w:header="0"/>
          <w:type w:val="continuous"/>
        </w:sectPr>
      </w:pPr>
    </w:p>
    <w:p>
      <w:pPr>
        <w:spacing w:after="0" w:line="3"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The Committee grants each award recipient a specified number of performance shares, which is considered the “Base Grant.” Under each of the two performance elements, up to 100% of the Base Grant may be earned based on performance. The maximum award opportunity is 200% of the Base Grant, which reflects the sum of the maximum opportunities for performance against the two elements: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102235</wp:posOffset>
            </wp:positionV>
            <wp:extent cx="1191260" cy="23177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61"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83" w:name="page84"/>
    <w:bookmarkEnd w:id="8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TSR</w:t>
      </w:r>
    </w:p>
    <w:p>
      <w:pPr>
        <w:spacing w:after="0" w:line="171" w:lineRule="exact"/>
        <w:rPr>
          <w:sz w:val="20"/>
          <w:szCs w:val="20"/>
          <w:color w:val="auto"/>
        </w:rPr>
      </w:pPr>
    </w:p>
    <w:p>
      <w:pPr>
        <w:ind w:right="60"/>
        <w:spacing w:after="0" w:line="247" w:lineRule="auto"/>
        <w:rPr>
          <w:sz w:val="20"/>
          <w:szCs w:val="20"/>
          <w:color w:val="auto"/>
        </w:rPr>
      </w:pPr>
      <w:r>
        <w:rPr>
          <w:rFonts w:ascii="Arial" w:cs="Arial" w:eastAsia="Arial" w:hAnsi="Arial"/>
          <w:sz w:val="18"/>
          <w:szCs w:val="18"/>
          <w:color w:val="auto"/>
        </w:rPr>
        <w:t>TSR is the measure of a company’s stock price appreciation plus dividends during the three-year performance period. We believe using TSR strengthens the link between officer performance and shareholder return. We anticipate that the common stock payout, if any, related to this element will be made in February 2024. For our CEO and Executive Vice Presidents, the portion of the performance shares that are TSR based will vest at target only if the Company’s three-year relative TSR performance equals or exceeds the 55th percentile of the Index.</w:t>
      </w:r>
    </w:p>
    <w:p>
      <w:pPr>
        <w:sectPr>
          <w:pgSz w:w="11900" w:h="16838" w:orient="portrait"/>
          <w:cols w:equalWidth="0" w:num="1">
            <w:col w:w="11260"/>
          </w:cols>
          <w:pgMar w:left="320" w:top="125" w:right="319" w:bottom="1440" w:gutter="0" w:footer="0" w:header="0"/>
        </w:sectPr>
      </w:pPr>
    </w:p>
    <w:p>
      <w:pPr>
        <w:spacing w:after="0" w:line="143"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Relative Performance</w:t>
      </w:r>
    </w:p>
    <w:p>
      <w:pPr>
        <w:spacing w:after="0" w:line="1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Scale for Each Element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wp:posOffset>
            </wp:positionV>
            <wp:extent cx="2211705" cy="171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2211705" cy="17145"/>
                    </a:xfrm>
                    <a:prstGeom prst="rect">
                      <a:avLst/>
                    </a:prstGeom>
                    <a:noFill/>
                  </pic:spPr>
                </pic:pic>
              </a:graphicData>
            </a:graphic>
          </wp:anchor>
        </w:drawing>
      </w:r>
    </w:p>
    <w:p>
      <w:pPr>
        <w:ind w:left="60"/>
        <w:spacing w:after="0"/>
        <w:rPr>
          <w:sz w:val="20"/>
          <w:szCs w:val="20"/>
          <w:color w:val="auto"/>
        </w:rPr>
      </w:pPr>
      <w:r>
        <w:rPr>
          <w:rFonts w:ascii="Arial" w:cs="Arial" w:eastAsia="Arial" w:hAnsi="Arial"/>
          <w:sz w:val="15"/>
          <w:szCs w:val="15"/>
          <w:color w:val="auto"/>
        </w:rPr>
        <w:t>90</w:t>
      </w:r>
      <w:r>
        <w:rPr>
          <w:rFonts w:ascii="Arial" w:cs="Arial" w:eastAsia="Arial" w:hAnsi="Arial"/>
          <w:sz w:val="24"/>
          <w:szCs w:val="24"/>
          <w:color w:val="auto"/>
          <w:vertAlign w:val="superscript"/>
        </w:rPr>
        <w:t>th</w:t>
      </w:r>
      <w:r>
        <w:rPr>
          <w:rFonts w:ascii="Arial" w:cs="Arial" w:eastAsia="Arial" w:hAnsi="Arial"/>
          <w:sz w:val="15"/>
          <w:szCs w:val="15"/>
          <w:color w:val="auto"/>
        </w:rPr>
        <w:t xml:space="preserve"> Percentile or Greater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2211705" cy="825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ind w:left="60"/>
        <w:spacing w:after="0" w:line="205" w:lineRule="auto"/>
        <w:rPr>
          <w:sz w:val="20"/>
          <w:szCs w:val="20"/>
          <w:color w:val="auto"/>
        </w:rPr>
      </w:pPr>
      <w:r>
        <w:rPr>
          <w:rFonts w:ascii="Arial" w:cs="Arial" w:eastAsia="Arial" w:hAnsi="Arial"/>
          <w:sz w:val="16"/>
          <w:szCs w:val="16"/>
          <w:color w:val="auto"/>
        </w:rPr>
        <w:t>75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211705"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2211705" cy="8890"/>
                    </a:xfrm>
                    <a:prstGeom prst="rect">
                      <a:avLst/>
                    </a:prstGeom>
                    <a:noFill/>
                  </pic:spPr>
                </pic:pic>
              </a:graphicData>
            </a:graphic>
          </wp:anchor>
        </w:drawing>
      </w:r>
    </w:p>
    <w:p>
      <w:pPr>
        <w:ind w:left="60"/>
        <w:spacing w:after="0" w:line="195" w:lineRule="auto"/>
        <w:rPr>
          <w:sz w:val="20"/>
          <w:szCs w:val="20"/>
          <w:color w:val="auto"/>
        </w:rPr>
      </w:pPr>
      <w:r>
        <w:rPr>
          <w:rFonts w:ascii="Arial" w:cs="Arial" w:eastAsia="Arial" w:hAnsi="Arial"/>
          <w:sz w:val="16"/>
          <w:szCs w:val="16"/>
          <w:color w:val="auto"/>
        </w:rPr>
        <w:t>55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r>
        <w:rPr>
          <w:rFonts w:ascii="Arial" w:cs="Arial" w:eastAsia="Arial" w:hAnsi="Arial"/>
          <w:sz w:val="26"/>
          <w:szCs w:val="26"/>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211705" cy="825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ind w:left="60"/>
        <w:spacing w:after="0" w:line="206" w:lineRule="auto"/>
        <w:rPr>
          <w:sz w:val="20"/>
          <w:szCs w:val="20"/>
          <w:color w:val="auto"/>
        </w:rPr>
      </w:pPr>
      <w:r>
        <w:rPr>
          <w:rFonts w:ascii="Arial" w:cs="Arial" w:eastAsia="Arial" w:hAnsi="Arial"/>
          <w:sz w:val="16"/>
          <w:szCs w:val="16"/>
          <w:color w:val="auto"/>
        </w:rPr>
        <w:t>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211705" cy="825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ind w:left="60"/>
        <w:spacing w:after="0"/>
        <w:rPr>
          <w:sz w:val="20"/>
          <w:szCs w:val="20"/>
          <w:color w:val="auto"/>
        </w:rPr>
      </w:pPr>
      <w:r>
        <w:rPr>
          <w:rFonts w:ascii="Arial" w:cs="Arial" w:eastAsia="Arial" w:hAnsi="Arial"/>
          <w:sz w:val="16"/>
          <w:szCs w:val="16"/>
          <w:color w:val="auto"/>
        </w:rPr>
        <w:t>Less than 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2211705" cy="1714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221170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Performance Share</w:t>
      </w:r>
    </w:p>
    <w:p>
      <w:pPr>
        <w:spacing w:after="0" w:line="1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Payout for Each Element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-1905</wp:posOffset>
            </wp:positionV>
            <wp:extent cx="2288540" cy="1714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2288540" cy="17145"/>
                    </a:xfrm>
                    <a:prstGeom prst="rect">
                      <a:avLst/>
                    </a:prstGeom>
                    <a:noFill/>
                  </pic:spPr>
                </pic:pic>
              </a:graphicData>
            </a:graphic>
          </wp:anchor>
        </w:drawing>
      </w:r>
    </w:p>
    <w:p>
      <w:pPr>
        <w:spacing w:after="0" w:line="30" w:lineRule="exact"/>
        <w:rPr>
          <w:sz w:val="20"/>
          <w:szCs w:val="20"/>
          <w:color w:val="auto"/>
        </w:rPr>
      </w:pPr>
    </w:p>
    <w:p>
      <w:pPr>
        <w:spacing w:after="0"/>
        <w:rPr>
          <w:sz w:val="20"/>
          <w:szCs w:val="20"/>
          <w:color w:val="auto"/>
        </w:rPr>
      </w:pPr>
      <w:r>
        <w:rPr>
          <w:rFonts w:ascii="Arial" w:cs="Arial" w:eastAsia="Arial" w:hAnsi="Arial"/>
          <w:sz w:val="16"/>
          <w:szCs w:val="16"/>
          <w:color w:val="auto"/>
        </w:rPr>
        <w:t>100%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20955</wp:posOffset>
            </wp:positionV>
            <wp:extent cx="2288540" cy="825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53" w:lineRule="exact"/>
        <w:rPr>
          <w:sz w:val="20"/>
          <w:szCs w:val="20"/>
          <w:color w:val="auto"/>
        </w:rPr>
      </w:pPr>
    </w:p>
    <w:p>
      <w:pPr>
        <w:spacing w:after="0"/>
        <w:rPr>
          <w:sz w:val="20"/>
          <w:szCs w:val="20"/>
          <w:color w:val="auto"/>
        </w:rPr>
      </w:pPr>
      <w:r>
        <w:rPr>
          <w:rFonts w:ascii="Arial" w:cs="Arial" w:eastAsia="Arial" w:hAnsi="Arial"/>
          <w:sz w:val="16"/>
          <w:szCs w:val="16"/>
          <w:color w:val="auto"/>
        </w:rPr>
        <w:t>75%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20955</wp:posOffset>
            </wp:positionV>
            <wp:extent cx="2288540"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2288540" cy="8890"/>
                    </a:xfrm>
                    <a:prstGeom prst="rect">
                      <a:avLst/>
                    </a:prstGeom>
                    <a:noFill/>
                  </pic:spPr>
                </pic:pic>
              </a:graphicData>
            </a:graphic>
          </wp:anchor>
        </w:drawing>
      </w:r>
    </w:p>
    <w:p>
      <w:pPr>
        <w:spacing w:after="0" w:line="53" w:lineRule="exact"/>
        <w:rPr>
          <w:sz w:val="20"/>
          <w:szCs w:val="20"/>
          <w:color w:val="auto"/>
        </w:rPr>
      </w:pPr>
    </w:p>
    <w:p>
      <w:pPr>
        <w:spacing w:after="0"/>
        <w:rPr>
          <w:sz w:val="20"/>
          <w:szCs w:val="20"/>
          <w:color w:val="auto"/>
        </w:rPr>
      </w:pPr>
      <w:r>
        <w:rPr>
          <w:rFonts w:ascii="Arial" w:cs="Arial" w:eastAsia="Arial" w:hAnsi="Arial"/>
          <w:sz w:val="16"/>
          <w:szCs w:val="16"/>
          <w:color w:val="auto"/>
        </w:rPr>
        <w:t>50%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12065</wp:posOffset>
            </wp:positionV>
            <wp:extent cx="2288540" cy="825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25%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20955</wp:posOffset>
            </wp:positionV>
            <wp:extent cx="2288540" cy="825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53" w:lineRule="exact"/>
        <w:rPr>
          <w:sz w:val="20"/>
          <w:szCs w:val="20"/>
          <w:color w:val="auto"/>
        </w:rPr>
      </w:pPr>
    </w:p>
    <w:p>
      <w:pPr>
        <w:spacing w:after="0"/>
        <w:rPr>
          <w:sz w:val="20"/>
          <w:szCs w:val="20"/>
          <w:color w:val="auto"/>
        </w:rPr>
      </w:pPr>
      <w:r>
        <w:rPr>
          <w:rFonts w:ascii="Arial" w:cs="Arial" w:eastAsia="Arial" w:hAnsi="Arial"/>
          <w:sz w:val="16"/>
          <w:szCs w:val="16"/>
          <w:color w:val="auto"/>
        </w:rPr>
        <w:t>None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20955</wp:posOffset>
            </wp:positionV>
            <wp:extent cx="2288540" cy="1714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228854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Total Maximum</w:t>
      </w:r>
    </w:p>
    <w:p>
      <w:pPr>
        <w:spacing w:after="0" w:line="1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Award Opportunity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-1905</wp:posOffset>
            </wp:positionV>
            <wp:extent cx="2280285" cy="1714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2280285" cy="17145"/>
                    </a:xfrm>
                    <a:prstGeom prst="rect">
                      <a:avLst/>
                    </a:prstGeom>
                    <a:noFill/>
                  </pic:spPr>
                </pic:pic>
              </a:graphicData>
            </a:graphic>
          </wp:anchor>
        </w:drawing>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355675"/>
        </w:rPr>
        <w:t>200% of Base Grant</w:t>
      </w:r>
    </w:p>
    <w:p>
      <w:pPr>
        <w:spacing w:after="0" w:line="6" w:lineRule="exact"/>
        <w:rPr>
          <w:sz w:val="20"/>
          <w:szCs w:val="20"/>
          <w:color w:val="auto"/>
        </w:rPr>
      </w:pPr>
    </w:p>
    <w:p>
      <w:pPr>
        <w:ind w:right="980"/>
        <w:spacing w:after="0" w:line="228" w:lineRule="auto"/>
        <w:rPr>
          <w:sz w:val="20"/>
          <w:szCs w:val="20"/>
          <w:color w:val="auto"/>
        </w:rPr>
      </w:pPr>
      <w:r>
        <w:rPr>
          <w:rFonts w:ascii="Arial" w:cs="Arial" w:eastAsia="Arial" w:hAnsi="Arial"/>
          <w:sz w:val="16"/>
          <w:szCs w:val="16"/>
          <w:color w:val="auto"/>
        </w:rPr>
        <w:t>(Would require 90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 or greater performance for both relative TSR and operational performance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-122555</wp:posOffset>
            </wp:positionH>
            <wp:positionV relativeFrom="paragraph">
              <wp:posOffset>-314960</wp:posOffset>
            </wp:positionV>
            <wp:extent cx="60325" cy="14541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60325" cy="145415"/>
                    </a:xfrm>
                    <a:prstGeom prst="rect">
                      <a:avLst/>
                    </a:prstGeom>
                    <a:noFill/>
                  </pic:spPr>
                </pic:pic>
              </a:graphicData>
            </a:graphic>
          </wp:anchor>
        </w:drawing>
      </w:r>
    </w:p>
    <w:p>
      <w:pPr>
        <w:spacing w:after="0" w:line="339" w:lineRule="exact"/>
        <w:rPr>
          <w:sz w:val="20"/>
          <w:szCs w:val="20"/>
          <w:color w:val="auto"/>
        </w:rPr>
      </w:pPr>
    </w:p>
    <w:p>
      <w:pPr>
        <w:sectPr>
          <w:pgSz w:w="11900" w:h="16838" w:orient="portrait"/>
          <w:cols w:equalWidth="0" w:num="3">
            <w:col w:w="3000" w:space="720"/>
            <w:col w:w="3200" w:space="720"/>
            <w:col w:w="3620"/>
          </w:cols>
          <w:pgMar w:left="320" w:top="125" w:right="319" w:bottom="1440" w:gutter="0" w:footer="0" w:header="0"/>
          <w:type w:val="continuous"/>
        </w:sectPr>
      </w:pPr>
    </w:p>
    <w:p>
      <w:pPr>
        <w:ind w:left="300" w:right="160" w:hanging="292"/>
        <w:spacing w:after="0" w:line="203" w:lineRule="auto"/>
        <w:tabs>
          <w:tab w:leader="none" w:pos="300" w:val="left"/>
        </w:tabs>
        <w:numPr>
          <w:ilvl w:val="0"/>
          <w:numId w:val="84"/>
        </w:numPr>
        <w:rPr>
          <w:rFonts w:ascii="Arial" w:cs="Arial" w:eastAsia="Arial" w:hAnsi="Arial"/>
          <w:sz w:val="24"/>
          <w:szCs w:val="24"/>
          <w:color w:val="auto"/>
          <w:vertAlign w:val="superscript"/>
        </w:rPr>
      </w:pPr>
      <w:r>
        <w:rPr>
          <w:rFonts w:ascii="Arial" w:cs="Arial" w:eastAsia="Arial" w:hAnsi="Arial"/>
          <w:sz w:val="14"/>
          <w:szCs w:val="14"/>
          <w:color w:val="auto"/>
        </w:rPr>
        <w:t>For Messrs. Geisler’s and Smith’s 2021 Performance Shares, 50% of the Base Grant will pay out if the relative performance scale equals or exceeds the 50</w:t>
      </w:r>
      <w:r>
        <w:rPr>
          <w:rFonts w:ascii="Arial" w:cs="Arial" w:eastAsia="Arial" w:hAnsi="Arial"/>
          <w:sz w:val="23"/>
          <w:szCs w:val="23"/>
          <w:color w:val="auto"/>
          <w:vertAlign w:val="superscript"/>
        </w:rPr>
        <w:t>th</w:t>
      </w:r>
      <w:r>
        <w:rPr>
          <w:rFonts w:ascii="Arial" w:cs="Arial" w:eastAsia="Arial" w:hAnsi="Arial"/>
          <w:sz w:val="14"/>
          <w:szCs w:val="14"/>
          <w:color w:val="auto"/>
        </w:rPr>
        <w:t xml:space="preserve"> percentile of the Index.</w:t>
      </w:r>
    </w:p>
    <w:p>
      <w:pPr>
        <w:spacing w:after="0" w:line="161"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OPERATIONAL PERFORMANCE</w:t>
      </w:r>
    </w:p>
    <w:p>
      <w:pPr>
        <w:spacing w:after="0" w:line="193" w:lineRule="exact"/>
        <w:rPr>
          <w:sz w:val="20"/>
          <w:szCs w:val="20"/>
          <w:color w:val="auto"/>
        </w:rPr>
      </w:pPr>
    </w:p>
    <w:p>
      <w:pPr>
        <w:ind w:right="260"/>
        <w:spacing w:after="0" w:line="271" w:lineRule="auto"/>
        <w:rPr>
          <w:sz w:val="20"/>
          <w:szCs w:val="20"/>
          <w:color w:val="auto"/>
        </w:rPr>
      </w:pPr>
      <w:r>
        <w:rPr>
          <w:rFonts w:ascii="Arial" w:cs="Arial" w:eastAsia="Arial" w:hAnsi="Arial"/>
          <w:sz w:val="18"/>
          <w:szCs w:val="18"/>
          <w:color w:val="auto"/>
        </w:rPr>
        <w:t>The Company’s “average performance” with respect to the metrics listed below will be the average of the Company’s percentile ranking for each of these metrics during each of the three years of the performance period:</w:t>
      </w:r>
    </w:p>
    <w:p>
      <w:pPr>
        <w:spacing w:after="0" w:line="118" w:lineRule="exact"/>
        <w:rPr>
          <w:sz w:val="20"/>
          <w:szCs w:val="20"/>
          <w:color w:val="auto"/>
        </w:rPr>
      </w:pPr>
    </w:p>
    <w:p>
      <w:pPr>
        <w:ind w:left="260" w:hanging="252"/>
        <w:spacing w:after="0"/>
        <w:tabs>
          <w:tab w:leader="none" w:pos="260" w:val="left"/>
        </w:tabs>
        <w:numPr>
          <w:ilvl w:val="0"/>
          <w:numId w:val="85"/>
        </w:numPr>
        <w:rPr>
          <w:rFonts w:ascii="Arial" w:cs="Arial" w:eastAsia="Arial" w:hAnsi="Arial"/>
          <w:sz w:val="16"/>
          <w:szCs w:val="16"/>
          <w:color w:val="355675"/>
        </w:rPr>
      </w:pPr>
      <w:r>
        <w:rPr>
          <w:rFonts w:ascii="Arial" w:cs="Arial" w:eastAsia="Arial" w:hAnsi="Arial"/>
          <w:sz w:val="16"/>
          <w:szCs w:val="16"/>
          <w:color w:val="auto"/>
        </w:rPr>
        <w:t>The Company’s percentile ranking based on customer reliability results relative to other companies reported in the Edison Electric Institute (“EEI”) data;</w:t>
      </w:r>
    </w:p>
    <w:p>
      <w:pPr>
        <w:spacing w:after="0" w:line="140" w:lineRule="exact"/>
        <w:rPr>
          <w:rFonts w:ascii="Arial" w:cs="Arial" w:eastAsia="Arial" w:hAnsi="Arial"/>
          <w:sz w:val="16"/>
          <w:szCs w:val="16"/>
          <w:color w:val="355675"/>
        </w:rPr>
      </w:pPr>
    </w:p>
    <w:p>
      <w:pPr>
        <w:ind w:left="260" w:right="1000" w:hanging="252"/>
        <w:spacing w:after="0" w:line="286" w:lineRule="auto"/>
        <w:tabs>
          <w:tab w:leader="none" w:pos="260" w:val="left"/>
        </w:tabs>
        <w:numPr>
          <w:ilvl w:val="0"/>
          <w:numId w:val="85"/>
        </w:numPr>
        <w:rPr>
          <w:rFonts w:ascii="Arial" w:cs="Arial" w:eastAsia="Arial" w:hAnsi="Arial"/>
          <w:sz w:val="16"/>
          <w:szCs w:val="16"/>
          <w:color w:val="355675"/>
        </w:rPr>
      </w:pPr>
      <w:r>
        <w:rPr>
          <w:rFonts w:ascii="Arial" w:cs="Arial" w:eastAsia="Arial" w:hAnsi="Arial"/>
          <w:sz w:val="16"/>
          <w:szCs w:val="16"/>
          <w:color w:val="auto"/>
        </w:rPr>
        <w:t>The Company’s ranking for a customer-to-employee improvement ratio, based on data provided by S&amp;P Global Market Intelligence (“Market Intelligence”), an independent third-party data system, relative to other companies reported in the Market Intelligence data;</w:t>
      </w:r>
    </w:p>
    <w:p>
      <w:pPr>
        <w:spacing w:after="0" w:line="74" w:lineRule="exact"/>
        <w:rPr>
          <w:rFonts w:ascii="Arial" w:cs="Arial" w:eastAsia="Arial" w:hAnsi="Arial"/>
          <w:sz w:val="16"/>
          <w:szCs w:val="16"/>
          <w:color w:val="355675"/>
        </w:rPr>
      </w:pPr>
    </w:p>
    <w:p>
      <w:pPr>
        <w:ind w:left="260" w:hanging="252"/>
        <w:spacing w:after="0"/>
        <w:tabs>
          <w:tab w:leader="none" w:pos="260" w:val="left"/>
        </w:tabs>
        <w:numPr>
          <w:ilvl w:val="0"/>
          <w:numId w:val="85"/>
        </w:numPr>
        <w:rPr>
          <w:rFonts w:ascii="Arial" w:cs="Arial" w:eastAsia="Arial" w:hAnsi="Arial"/>
          <w:sz w:val="16"/>
          <w:szCs w:val="16"/>
          <w:color w:val="355675"/>
        </w:rPr>
      </w:pPr>
      <w:r>
        <w:rPr>
          <w:rFonts w:ascii="Arial" w:cs="Arial" w:eastAsia="Arial" w:hAnsi="Arial"/>
          <w:sz w:val="16"/>
          <w:szCs w:val="16"/>
          <w:color w:val="auto"/>
        </w:rPr>
        <w:t>The Company’s percentile ranking based on the OSHA rate (All Incident Injury Rate) relative to other companies reported in the EEI data;</w:t>
      </w:r>
    </w:p>
    <w:p>
      <w:pPr>
        <w:spacing w:after="0" w:line="140" w:lineRule="exact"/>
        <w:rPr>
          <w:rFonts w:ascii="Arial" w:cs="Arial" w:eastAsia="Arial" w:hAnsi="Arial"/>
          <w:sz w:val="16"/>
          <w:szCs w:val="16"/>
          <w:color w:val="355675"/>
        </w:rPr>
      </w:pPr>
    </w:p>
    <w:p>
      <w:pPr>
        <w:ind w:left="260" w:hanging="252"/>
        <w:spacing w:after="0"/>
        <w:tabs>
          <w:tab w:leader="none" w:pos="260" w:val="left"/>
        </w:tabs>
        <w:numPr>
          <w:ilvl w:val="0"/>
          <w:numId w:val="85"/>
        </w:numPr>
        <w:rPr>
          <w:rFonts w:ascii="Arial" w:cs="Arial" w:eastAsia="Arial" w:hAnsi="Arial"/>
          <w:sz w:val="16"/>
          <w:szCs w:val="16"/>
          <w:color w:val="355675"/>
        </w:rPr>
      </w:pPr>
      <w:r>
        <w:rPr>
          <w:rFonts w:ascii="Arial" w:cs="Arial" w:eastAsia="Arial" w:hAnsi="Arial"/>
          <w:sz w:val="16"/>
          <w:szCs w:val="16"/>
          <w:color w:val="auto"/>
        </w:rPr>
        <w:t>The Company’s percentile ranking based on nuclear capacity factor relative to other companies reported in the Market Intelligence data; and</w:t>
      </w:r>
    </w:p>
    <w:p>
      <w:pPr>
        <w:spacing w:after="0" w:line="140" w:lineRule="exact"/>
        <w:rPr>
          <w:rFonts w:ascii="Arial" w:cs="Arial" w:eastAsia="Arial" w:hAnsi="Arial"/>
          <w:sz w:val="16"/>
          <w:szCs w:val="16"/>
          <w:color w:val="355675"/>
        </w:rPr>
      </w:pPr>
    </w:p>
    <w:p>
      <w:pPr>
        <w:ind w:left="260" w:right="580" w:hanging="252"/>
        <w:spacing w:after="0" w:line="286" w:lineRule="auto"/>
        <w:tabs>
          <w:tab w:leader="none" w:pos="260" w:val="left"/>
        </w:tabs>
        <w:numPr>
          <w:ilvl w:val="0"/>
          <w:numId w:val="85"/>
        </w:numPr>
        <w:rPr>
          <w:rFonts w:ascii="Arial" w:cs="Arial" w:eastAsia="Arial" w:hAnsi="Arial"/>
          <w:sz w:val="16"/>
          <w:szCs w:val="16"/>
          <w:color w:val="355675"/>
        </w:rPr>
      </w:pPr>
      <w:r>
        <w:rPr>
          <w:rFonts w:ascii="Arial" w:cs="Arial" w:eastAsia="Arial" w:hAnsi="Arial"/>
          <w:sz w:val="16"/>
          <w:szCs w:val="16"/>
          <w:color w:val="auto"/>
        </w:rPr>
        <w:t>The Company’s percentile ranking based on the J.D. Power Residential Customer Satisfaction Rating relative to other large, investor-owned utility participating companies reported in the study.</w:t>
      </w:r>
    </w:p>
    <w:p>
      <w:pPr>
        <w:sectPr>
          <w:pgSz w:w="11900" w:h="16838" w:orient="portrait"/>
          <w:cols w:equalWidth="0" w:num="1">
            <w:col w:w="11260"/>
          </w:cols>
          <w:pgMar w:left="320" w:top="125" w:right="319" w:bottom="1440" w:gutter="0" w:footer="0" w:header="0"/>
          <w:type w:val="continuous"/>
        </w:sectPr>
      </w:pPr>
    </w:p>
    <w:p>
      <w:pPr>
        <w:spacing w:after="0" w:line="133"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Relative Performance</w:t>
      </w:r>
    </w:p>
    <w:p>
      <w:pPr>
        <w:spacing w:after="0" w:line="1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Scale for Each Element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wp:posOffset>
            </wp:positionV>
            <wp:extent cx="2211705" cy="1714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2211705" cy="17145"/>
                    </a:xfrm>
                    <a:prstGeom prst="rect">
                      <a:avLst/>
                    </a:prstGeom>
                    <a:noFill/>
                  </pic:spPr>
                </pic:pic>
              </a:graphicData>
            </a:graphic>
          </wp:anchor>
        </w:drawing>
      </w:r>
    </w:p>
    <w:p>
      <w:pPr>
        <w:ind w:left="60"/>
        <w:spacing w:after="0"/>
        <w:rPr>
          <w:sz w:val="20"/>
          <w:szCs w:val="20"/>
          <w:color w:val="auto"/>
        </w:rPr>
      </w:pPr>
      <w:r>
        <w:rPr>
          <w:rFonts w:ascii="Arial" w:cs="Arial" w:eastAsia="Arial" w:hAnsi="Arial"/>
          <w:sz w:val="15"/>
          <w:szCs w:val="15"/>
          <w:color w:val="auto"/>
        </w:rPr>
        <w:t>90</w:t>
      </w:r>
      <w:r>
        <w:rPr>
          <w:rFonts w:ascii="Arial" w:cs="Arial" w:eastAsia="Arial" w:hAnsi="Arial"/>
          <w:sz w:val="24"/>
          <w:szCs w:val="24"/>
          <w:color w:val="auto"/>
          <w:vertAlign w:val="superscript"/>
        </w:rPr>
        <w:t>th</w:t>
      </w:r>
      <w:r>
        <w:rPr>
          <w:rFonts w:ascii="Arial" w:cs="Arial" w:eastAsia="Arial" w:hAnsi="Arial"/>
          <w:sz w:val="15"/>
          <w:szCs w:val="15"/>
          <w:color w:val="auto"/>
        </w:rPr>
        <w:t xml:space="preserve"> Percentile or Greater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2211705" cy="825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ind w:left="60"/>
        <w:spacing w:after="0" w:line="205" w:lineRule="auto"/>
        <w:rPr>
          <w:sz w:val="20"/>
          <w:szCs w:val="20"/>
          <w:color w:val="auto"/>
        </w:rPr>
      </w:pPr>
      <w:r>
        <w:rPr>
          <w:rFonts w:ascii="Arial" w:cs="Arial" w:eastAsia="Arial" w:hAnsi="Arial"/>
          <w:sz w:val="16"/>
          <w:szCs w:val="16"/>
          <w:color w:val="auto"/>
        </w:rPr>
        <w:t>75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211705" cy="825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ind w:left="60"/>
        <w:spacing w:after="0" w:line="195" w:lineRule="auto"/>
        <w:rPr>
          <w:sz w:val="20"/>
          <w:szCs w:val="20"/>
          <w:color w:val="auto"/>
        </w:rPr>
      </w:pPr>
      <w:r>
        <w:rPr>
          <w:rFonts w:ascii="Arial" w:cs="Arial" w:eastAsia="Arial" w:hAnsi="Arial"/>
          <w:sz w:val="16"/>
          <w:szCs w:val="16"/>
          <w:color w:val="auto"/>
        </w:rPr>
        <w:t>55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r>
        <w:rPr>
          <w:rFonts w:ascii="Arial" w:cs="Arial" w:eastAsia="Arial" w:hAnsi="Arial"/>
          <w:sz w:val="26"/>
          <w:szCs w:val="26"/>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211705" cy="825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2211705" cy="8255"/>
                    </a:xfrm>
                    <a:prstGeom prst="rect">
                      <a:avLst/>
                    </a:prstGeom>
                    <a:noFill/>
                  </pic:spPr>
                </pic:pic>
              </a:graphicData>
            </a:graphic>
          </wp:anchor>
        </w:drawing>
      </w:r>
    </w:p>
    <w:p>
      <w:pPr>
        <w:ind w:left="60"/>
        <w:spacing w:after="0" w:line="206" w:lineRule="auto"/>
        <w:rPr>
          <w:sz w:val="20"/>
          <w:szCs w:val="20"/>
          <w:color w:val="auto"/>
        </w:rPr>
      </w:pPr>
      <w:r>
        <w:rPr>
          <w:rFonts w:ascii="Arial" w:cs="Arial" w:eastAsia="Arial" w:hAnsi="Arial"/>
          <w:sz w:val="16"/>
          <w:szCs w:val="16"/>
          <w:color w:val="auto"/>
        </w:rPr>
        <w:t>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2211705"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2211705" cy="8890"/>
                    </a:xfrm>
                    <a:prstGeom prst="rect">
                      <a:avLst/>
                    </a:prstGeom>
                    <a:noFill/>
                  </pic:spPr>
                </pic:pic>
              </a:graphicData>
            </a:graphic>
          </wp:anchor>
        </w:drawing>
      </w:r>
    </w:p>
    <w:p>
      <w:pPr>
        <w:ind w:left="60"/>
        <w:spacing w:after="0"/>
        <w:rPr>
          <w:sz w:val="20"/>
          <w:szCs w:val="20"/>
          <w:color w:val="auto"/>
        </w:rPr>
      </w:pPr>
      <w:r>
        <w:rPr>
          <w:rFonts w:ascii="Arial" w:cs="Arial" w:eastAsia="Arial" w:hAnsi="Arial"/>
          <w:sz w:val="16"/>
          <w:szCs w:val="16"/>
          <w:color w:val="auto"/>
        </w:rPr>
        <w:t>Less than 25</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-34290</wp:posOffset>
            </wp:positionV>
            <wp:extent cx="2211705" cy="1714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2211705"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1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Performance Share</w:t>
      </w:r>
    </w:p>
    <w:p>
      <w:pPr>
        <w:spacing w:after="0" w:line="1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Payout for Each Element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-1905</wp:posOffset>
            </wp:positionV>
            <wp:extent cx="2288540" cy="171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2288540" cy="17145"/>
                    </a:xfrm>
                    <a:prstGeom prst="rect">
                      <a:avLst/>
                    </a:prstGeom>
                    <a:noFill/>
                  </pic:spPr>
                </pic:pic>
              </a:graphicData>
            </a:graphic>
          </wp:anchor>
        </w:drawing>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100% of the Base Grant</w:t>
      </w:r>
    </w:p>
    <w:p>
      <w:pPr>
        <w:spacing w:after="0" w:line="60" w:lineRule="exact"/>
        <w:rPr>
          <w:sz w:val="20"/>
          <w:szCs w:val="20"/>
          <w:color w:val="auto"/>
        </w:rPr>
      </w:pPr>
    </w:p>
    <w:p>
      <w:pPr>
        <w:spacing w:after="0"/>
        <w:rPr>
          <w:sz w:val="20"/>
          <w:szCs w:val="20"/>
          <w:color w:val="auto"/>
        </w:rPr>
      </w:pPr>
      <w:r>
        <w:rPr>
          <w:rFonts w:ascii="Arial" w:cs="Arial" w:eastAsia="Arial" w:hAnsi="Arial"/>
          <w:sz w:val="16"/>
          <w:szCs w:val="16"/>
          <w:color w:val="auto"/>
        </w:rPr>
        <w:t>75%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-115570</wp:posOffset>
            </wp:positionV>
            <wp:extent cx="2288540" cy="825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53" w:lineRule="exact"/>
        <w:rPr>
          <w:sz w:val="20"/>
          <w:szCs w:val="20"/>
          <w:color w:val="auto"/>
        </w:rPr>
      </w:pPr>
    </w:p>
    <w:p>
      <w:pPr>
        <w:spacing w:after="0"/>
        <w:rPr>
          <w:sz w:val="20"/>
          <w:szCs w:val="20"/>
          <w:color w:val="auto"/>
        </w:rPr>
      </w:pPr>
      <w:r>
        <w:rPr>
          <w:rFonts w:ascii="Arial" w:cs="Arial" w:eastAsia="Arial" w:hAnsi="Arial"/>
          <w:sz w:val="16"/>
          <w:szCs w:val="16"/>
          <w:color w:val="auto"/>
        </w:rPr>
        <w:t>50%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-115570</wp:posOffset>
            </wp:positionV>
            <wp:extent cx="2288540" cy="825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39" w:lineRule="exact"/>
        <w:rPr>
          <w:sz w:val="20"/>
          <w:szCs w:val="20"/>
          <w:color w:val="auto"/>
        </w:rPr>
      </w:pPr>
    </w:p>
    <w:p>
      <w:pPr>
        <w:spacing w:after="0"/>
        <w:rPr>
          <w:sz w:val="20"/>
          <w:szCs w:val="20"/>
          <w:color w:val="auto"/>
        </w:rPr>
      </w:pPr>
      <w:r>
        <w:rPr>
          <w:rFonts w:ascii="Arial" w:cs="Arial" w:eastAsia="Arial" w:hAnsi="Arial"/>
          <w:sz w:val="16"/>
          <w:szCs w:val="16"/>
          <w:color w:val="auto"/>
        </w:rPr>
        <w:t>25% of the Base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-115570</wp:posOffset>
            </wp:positionV>
            <wp:extent cx="2288540" cy="825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2288540" cy="8255"/>
                    </a:xfrm>
                    <a:prstGeom prst="rect">
                      <a:avLst/>
                    </a:prstGeom>
                    <a:noFill/>
                  </pic:spPr>
                </pic:pic>
              </a:graphicData>
            </a:graphic>
          </wp:anchor>
        </w:drawing>
      </w:r>
    </w:p>
    <w:p>
      <w:pPr>
        <w:spacing w:after="0" w:line="53" w:lineRule="exact"/>
        <w:rPr>
          <w:sz w:val="20"/>
          <w:szCs w:val="20"/>
          <w:color w:val="auto"/>
        </w:rPr>
      </w:pPr>
    </w:p>
    <w:p>
      <w:pPr>
        <w:spacing w:after="0"/>
        <w:rPr>
          <w:sz w:val="20"/>
          <w:szCs w:val="20"/>
          <w:color w:val="auto"/>
        </w:rPr>
      </w:pPr>
      <w:r>
        <w:rPr>
          <w:rFonts w:ascii="Arial" w:cs="Arial" w:eastAsia="Arial" w:hAnsi="Arial"/>
          <w:sz w:val="16"/>
          <w:szCs w:val="16"/>
          <w:color w:val="auto"/>
        </w:rPr>
        <w:t>None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46355</wp:posOffset>
            </wp:positionV>
            <wp:extent cx="2288540" cy="1714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2288540" cy="1714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-115570</wp:posOffset>
            </wp:positionV>
            <wp:extent cx="2288540" cy="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228854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1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Total Maximum</w:t>
      </w:r>
    </w:p>
    <w:p>
      <w:pPr>
        <w:spacing w:after="0" w:line="1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Award Opportunity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-1905</wp:posOffset>
            </wp:positionV>
            <wp:extent cx="2280285" cy="1714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2280285" cy="17145"/>
                    </a:xfrm>
                    <a:prstGeom prst="rect">
                      <a:avLst/>
                    </a:prstGeom>
                    <a:noFill/>
                  </pic:spPr>
                </pic:pic>
              </a:graphicData>
            </a:graphic>
          </wp:anchor>
        </w:drawing>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355675"/>
        </w:rPr>
        <w:t>200% of Base Grant</w:t>
      </w:r>
    </w:p>
    <w:p>
      <w:pPr>
        <w:spacing w:after="0" w:line="6" w:lineRule="exact"/>
        <w:rPr>
          <w:sz w:val="20"/>
          <w:szCs w:val="20"/>
          <w:color w:val="auto"/>
        </w:rPr>
      </w:pPr>
    </w:p>
    <w:p>
      <w:pPr>
        <w:ind w:right="980"/>
        <w:spacing w:after="0" w:line="228" w:lineRule="auto"/>
        <w:rPr>
          <w:sz w:val="20"/>
          <w:szCs w:val="20"/>
          <w:color w:val="auto"/>
        </w:rPr>
      </w:pPr>
      <w:r>
        <w:rPr>
          <w:rFonts w:ascii="Arial" w:cs="Arial" w:eastAsia="Arial" w:hAnsi="Arial"/>
          <w:sz w:val="16"/>
          <w:szCs w:val="16"/>
          <w:color w:val="auto"/>
        </w:rPr>
        <w:t>(would require 90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percentile or greater performance for both relative TSR and operational performance 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164465</wp:posOffset>
            </wp:positionV>
            <wp:extent cx="2280285" cy="1714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2280285" cy="17145"/>
                    </a:xfrm>
                    <a:prstGeom prst="rect">
                      <a:avLst/>
                    </a:prstGeom>
                    <a:noFill/>
                  </pic:spPr>
                </pic:pic>
              </a:graphicData>
            </a:graphic>
          </wp:anchor>
        </w:drawing>
        <w:drawing>
          <wp:anchor simplePos="0" relativeHeight="251657728" behindDoc="1" locked="0" layoutInCell="0" allowOverlap="1">
            <wp:simplePos x="0" y="0"/>
            <wp:positionH relativeFrom="column">
              <wp:posOffset>-122555</wp:posOffset>
            </wp:positionH>
            <wp:positionV relativeFrom="paragraph">
              <wp:posOffset>-314960</wp:posOffset>
            </wp:positionV>
            <wp:extent cx="60325" cy="14605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60325" cy="146050"/>
                    </a:xfrm>
                    <a:prstGeom prst="rect">
                      <a:avLst/>
                    </a:prstGeom>
                    <a:noFill/>
                  </pic:spPr>
                </pic:pic>
              </a:graphicData>
            </a:graphic>
          </wp:anchor>
        </w:drawing>
      </w:r>
    </w:p>
    <w:p>
      <w:pPr>
        <w:spacing w:after="0" w:line="408" w:lineRule="exact"/>
        <w:rPr>
          <w:sz w:val="20"/>
          <w:szCs w:val="20"/>
          <w:color w:val="auto"/>
        </w:rPr>
      </w:pPr>
    </w:p>
    <w:p>
      <w:pPr>
        <w:sectPr>
          <w:pgSz w:w="11900" w:h="16838" w:orient="portrait"/>
          <w:cols w:equalWidth="0" w:num="3">
            <w:col w:w="3000" w:space="720"/>
            <w:col w:w="3200" w:space="720"/>
            <w:col w:w="3620"/>
          </w:cols>
          <w:pgMar w:left="320" w:top="125" w:right="319" w:bottom="1440" w:gutter="0" w:footer="0" w:header="0"/>
          <w:type w:val="continuous"/>
        </w:sectPr>
      </w:pPr>
    </w:p>
    <w:p>
      <w:pPr>
        <w:ind w:left="300" w:right="140" w:hanging="292"/>
        <w:spacing w:after="0" w:line="210" w:lineRule="auto"/>
        <w:tabs>
          <w:tab w:leader="none" w:pos="300" w:val="left"/>
        </w:tabs>
        <w:numPr>
          <w:ilvl w:val="0"/>
          <w:numId w:val="86"/>
        </w:numPr>
        <w:rPr>
          <w:rFonts w:ascii="Arial" w:cs="Arial" w:eastAsia="Arial" w:hAnsi="Arial"/>
          <w:sz w:val="24"/>
          <w:szCs w:val="24"/>
          <w:color w:val="auto"/>
          <w:vertAlign w:val="superscript"/>
        </w:rPr>
      </w:pPr>
      <w:r>
        <w:rPr>
          <w:rFonts w:ascii="Arial" w:cs="Arial" w:eastAsia="Arial" w:hAnsi="Arial"/>
          <w:sz w:val="14"/>
          <w:szCs w:val="14"/>
          <w:color w:val="auto"/>
        </w:rPr>
        <w:t>For Messrs. Geisler’s and Smith’s 2021 Performance Shares, 50% of the Base Grant will pay out if the relative performance scale equals or exceeds the 50</w:t>
      </w:r>
      <w:r>
        <w:rPr>
          <w:rFonts w:ascii="Arial" w:cs="Arial" w:eastAsia="Arial" w:hAnsi="Arial"/>
          <w:sz w:val="23"/>
          <w:szCs w:val="23"/>
          <w:color w:val="auto"/>
          <w:vertAlign w:val="superscript"/>
        </w:rPr>
        <w:t>th</w:t>
      </w:r>
      <w:r>
        <w:rPr>
          <w:rFonts w:ascii="Arial" w:cs="Arial" w:eastAsia="Arial" w:hAnsi="Arial"/>
          <w:sz w:val="14"/>
          <w:szCs w:val="14"/>
          <w:color w:val="auto"/>
        </w:rPr>
        <w:t xml:space="preserve"> Percentile of the Index.</w:t>
      </w:r>
    </w:p>
    <w:p>
      <w:pPr>
        <w:spacing w:after="0" w:line="138" w:lineRule="exact"/>
        <w:rPr>
          <w:sz w:val="20"/>
          <w:szCs w:val="20"/>
          <w:color w:val="auto"/>
        </w:rPr>
      </w:pPr>
    </w:p>
    <w:p>
      <w:pPr>
        <w:ind w:right="240"/>
        <w:spacing w:after="0" w:line="253" w:lineRule="auto"/>
        <w:rPr>
          <w:sz w:val="20"/>
          <w:szCs w:val="20"/>
          <w:color w:val="auto"/>
        </w:rPr>
      </w:pPr>
      <w:r>
        <w:rPr>
          <w:rFonts w:ascii="Arial" w:cs="Arial" w:eastAsia="Arial" w:hAnsi="Arial"/>
          <w:sz w:val="18"/>
          <w:szCs w:val="18"/>
          <w:color w:val="auto"/>
        </w:rPr>
        <w:t>The metrics selected are direct indicators of key business performance success. The metrics can be readily benchmarked and provide a clear barometer of top-tier performance excellence. We believe a focus on these performance metrics over a three-year period aligns long-term compensation with key operational goals, thereby enhancing overall Company performance.</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color w:val="auto"/>
        </w:rPr>
        <w:t>We anticipate that the common stock payout, if any, related to this performance element will be made in October 2024.</w:t>
      </w:r>
    </w:p>
    <w:p>
      <w:pPr>
        <w:spacing w:after="0" w:line="181"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9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95675"/>
              </w:rPr>
              <w:t>75</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84" w:name="page85"/>
    <w:bookmarkEnd w:id="8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85" w:lineRule="exact"/>
        <w:rPr>
          <w:sz w:val="20"/>
          <w:szCs w:val="20"/>
          <w:color w:val="auto"/>
        </w:rPr>
      </w:pPr>
    </w:p>
    <w:p>
      <w:pPr>
        <w:ind w:right="40"/>
        <w:spacing w:after="0" w:line="242" w:lineRule="auto"/>
        <w:rPr>
          <w:sz w:val="20"/>
          <w:szCs w:val="20"/>
          <w:color w:val="auto"/>
        </w:rPr>
      </w:pPr>
      <w:r>
        <w:rPr>
          <w:rFonts w:ascii="Arial" w:cs="Arial" w:eastAsia="Arial" w:hAnsi="Arial"/>
          <w:sz w:val="18"/>
          <w:szCs w:val="18"/>
          <w:color w:val="auto"/>
        </w:rPr>
        <w:t>The recipient must remain employed with the Company throughout the performance period, unless the recipient meets any of the exceptions described under “Potential Payments upon Termination or Change of Control.” A recipient of performance shares will receive additional shares of common stock equal to the amount of dividends that the recipient would have received had the recipient directly owned the shares from the date of grant to the date of payment, plus interest on such dividends at the rate of 5% per annum, compounded quarterly, divided by the fair market value of one share of stock on the date of the stock payout. This common stock is paid out only if the related common stock payout is made. The 2021 Performance Shares are not included in calculating pension benefits.</w:t>
      </w:r>
    </w:p>
    <w:p>
      <w:pPr>
        <w:spacing w:after="0" w:line="138" w:lineRule="exact"/>
        <w:rPr>
          <w:sz w:val="20"/>
          <w:szCs w:val="20"/>
          <w:color w:val="auto"/>
        </w:rPr>
      </w:pPr>
    </w:p>
    <w:p>
      <w:pPr>
        <w:ind w:right="220"/>
        <w:spacing w:after="0" w:line="271" w:lineRule="auto"/>
        <w:rPr>
          <w:sz w:val="20"/>
          <w:szCs w:val="20"/>
          <w:color w:val="auto"/>
        </w:rPr>
      </w:pPr>
      <w:r>
        <w:rPr>
          <w:rFonts w:ascii="Arial" w:cs="Arial" w:eastAsia="Arial" w:hAnsi="Arial"/>
          <w:sz w:val="18"/>
          <w:szCs w:val="18"/>
          <w:color w:val="auto"/>
        </w:rPr>
        <w:t>The 2021 Performance Shares are included in the Summary Compensation Table in the column under “Stock Awards” and in the Grants of Plan-Based Awards table.</w:t>
      </w:r>
    </w:p>
    <w:p>
      <w:pPr>
        <w:spacing w:after="0" w:line="135"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LOOKING AHEAD: 2022 PERFORMANCE SHARES</w:t>
      </w:r>
    </w:p>
    <w:p>
      <w:pPr>
        <w:spacing w:after="0" w:line="180" w:lineRule="exact"/>
        <w:rPr>
          <w:sz w:val="20"/>
          <w:szCs w:val="20"/>
          <w:color w:val="auto"/>
        </w:rPr>
      </w:pPr>
    </w:p>
    <w:p>
      <w:pPr>
        <w:ind w:right="20"/>
        <w:spacing w:after="0" w:line="244" w:lineRule="auto"/>
        <w:rPr>
          <w:sz w:val="20"/>
          <w:szCs w:val="20"/>
          <w:color w:val="auto"/>
        </w:rPr>
      </w:pPr>
      <w:r>
        <w:rPr>
          <w:rFonts w:ascii="Arial" w:cs="Arial" w:eastAsia="Arial" w:hAnsi="Arial"/>
          <w:sz w:val="18"/>
          <w:szCs w:val="18"/>
          <w:color w:val="auto"/>
        </w:rPr>
        <w:t>In 2022, we made substantial changes to our performance share metrics to enhance alignment to shareholder value and our strategic priority of ensuring long-term financial health and to execute on our Clean Energy Commitment. These changes went into effect beginning with the February 2022 grants to our NEOs. For the three-year performance period beginning January 1, 2022, there are three distinct elements — relative TSR, EPS performance and clean megawatts installed. The relative operational performance metrics in the prior 2021 Performance Shares were removed.</w:t>
      </w:r>
    </w:p>
    <w:p>
      <w:pPr>
        <w:sectPr>
          <w:pgSz w:w="11900" w:h="16838" w:orient="portrait"/>
          <w:cols w:equalWidth="0" w:num="1">
            <w:col w:w="11240"/>
          </w:cols>
          <w:pgMar w:left="320" w:top="125" w:right="339" w:bottom="1440" w:gutter="0" w:footer="0" w:header="0"/>
        </w:sectPr>
      </w:pPr>
    </w:p>
    <w:p>
      <w:pPr>
        <w:spacing w:after="0" w:line="159"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Metrics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wp:posOffset>
            </wp:positionV>
            <wp:extent cx="3574415" cy="1714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3574415" cy="17145"/>
                    </a:xfrm>
                    <a:prstGeom prst="rect">
                      <a:avLst/>
                    </a:prstGeom>
                    <a:noFill/>
                  </pic:spPr>
                </pic:pic>
              </a:graphicData>
            </a:graphic>
          </wp:anchor>
        </w:drawing>
      </w:r>
    </w:p>
    <w:p>
      <w:pPr>
        <w:spacing w:after="0" w:line="17"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Relative TSR</w:t>
      </w:r>
    </w:p>
    <w:p>
      <w:pPr>
        <w:spacing w:after="0" w:line="61" w:lineRule="exact"/>
        <w:rPr>
          <w:sz w:val="20"/>
          <w:szCs w:val="20"/>
          <w:color w:val="auto"/>
        </w:rPr>
      </w:pPr>
    </w:p>
    <w:p>
      <w:pPr>
        <w:ind w:left="60"/>
        <w:spacing w:after="0"/>
        <w:rPr>
          <w:sz w:val="20"/>
          <w:szCs w:val="20"/>
          <w:color w:val="auto"/>
        </w:rPr>
      </w:pPr>
      <w:r>
        <w:rPr>
          <w:rFonts w:ascii="Arial" w:cs="Arial" w:eastAsia="Arial" w:hAnsi="Arial"/>
          <w:sz w:val="16"/>
          <w:szCs w:val="16"/>
          <w:i w:val="1"/>
          <w:iCs w:val="1"/>
          <w:color w:val="auto"/>
        </w:rPr>
        <w:t>Measures the Company’s TSR performance against:</w:t>
      </w:r>
    </w:p>
    <w:p>
      <w:pPr>
        <w:spacing w:after="0" w:line="19" w:lineRule="exact"/>
        <w:rPr>
          <w:sz w:val="20"/>
          <w:szCs w:val="20"/>
          <w:color w:val="auto"/>
        </w:rPr>
      </w:pPr>
    </w:p>
    <w:p>
      <w:pPr>
        <w:ind w:left="240" w:hanging="178"/>
        <w:spacing w:after="0"/>
        <w:tabs>
          <w:tab w:leader="none" w:pos="240" w:val="left"/>
        </w:tabs>
        <w:numPr>
          <w:ilvl w:val="0"/>
          <w:numId w:val="87"/>
        </w:numPr>
        <w:rPr>
          <w:rFonts w:ascii="Arial" w:cs="Arial" w:eastAsia="Arial" w:hAnsi="Arial"/>
          <w:sz w:val="16"/>
          <w:szCs w:val="16"/>
          <w:color w:val="355675"/>
        </w:rPr>
      </w:pPr>
      <w:r>
        <w:rPr>
          <w:rFonts w:ascii="Arial" w:cs="Arial" w:eastAsia="Arial" w:hAnsi="Arial"/>
          <w:sz w:val="16"/>
          <w:szCs w:val="16"/>
          <w:color w:val="auto"/>
        </w:rPr>
        <w:t>Edison Electric Institute Index (the “Index”)</w:t>
      </w:r>
    </w:p>
    <w:p>
      <w:pPr>
        <w:spacing w:after="0" w:line="14" w:lineRule="exact"/>
        <w:rPr>
          <w:rFonts w:ascii="Arial" w:cs="Arial" w:eastAsia="Arial" w:hAnsi="Arial"/>
          <w:sz w:val="16"/>
          <w:szCs w:val="16"/>
          <w:color w:val="355675"/>
        </w:rPr>
      </w:pPr>
    </w:p>
    <w:p>
      <w:pPr>
        <w:ind w:left="60"/>
        <w:spacing w:after="0"/>
        <w:rPr>
          <w:rFonts w:ascii="Arial" w:cs="Arial" w:eastAsia="Arial" w:hAnsi="Arial"/>
          <w:sz w:val="16"/>
          <w:szCs w:val="16"/>
          <w:color w:val="355675"/>
        </w:rPr>
      </w:pPr>
      <w:r>
        <w:rPr>
          <w:rFonts w:ascii="Arial" w:cs="Arial" w:eastAsia="Arial" w:hAnsi="Arial"/>
          <w:sz w:val="16"/>
          <w:szCs w:val="16"/>
          <w:b w:val="1"/>
          <w:bCs w:val="1"/>
          <w:color w:val="355675"/>
        </w:rPr>
        <w:t>EPS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-123190</wp:posOffset>
            </wp:positionV>
            <wp:extent cx="3574415" cy="825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3574415" cy="8255"/>
                    </a:xfrm>
                    <a:prstGeom prst="rect">
                      <a:avLst/>
                    </a:prstGeom>
                    <a:noFill/>
                  </pic:spPr>
                </pic:pic>
              </a:graphicData>
            </a:graphic>
          </wp:anchor>
        </w:drawing>
      </w:r>
    </w:p>
    <w:p>
      <w:pPr>
        <w:spacing w:after="0" w:line="29" w:lineRule="exact"/>
        <w:rPr>
          <w:sz w:val="20"/>
          <w:szCs w:val="20"/>
          <w:color w:val="auto"/>
        </w:rPr>
      </w:pPr>
    </w:p>
    <w:p>
      <w:pPr>
        <w:ind w:left="60"/>
        <w:spacing w:after="0"/>
        <w:rPr>
          <w:sz w:val="20"/>
          <w:szCs w:val="20"/>
          <w:color w:val="auto"/>
        </w:rPr>
      </w:pPr>
      <w:r>
        <w:rPr>
          <w:rFonts w:ascii="Arial" w:cs="Arial" w:eastAsia="Arial" w:hAnsi="Arial"/>
          <w:sz w:val="16"/>
          <w:szCs w:val="16"/>
          <w:i w:val="1"/>
          <w:iCs w:val="1"/>
          <w:color w:val="auto"/>
        </w:rPr>
        <w:t>Measures the Company’s actual EPS to our EPS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wp:posOffset>
            </wp:positionV>
            <wp:extent cx="3574415" cy="825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3574415" cy="8255"/>
                    </a:xfrm>
                    <a:prstGeom prst="rect">
                      <a:avLst/>
                    </a:prstGeom>
                    <a:noFill/>
                  </pic:spPr>
                </pic:pic>
              </a:graphicData>
            </a:graphic>
          </wp:anchor>
        </w:drawing>
      </w:r>
    </w:p>
    <w:p>
      <w:pPr>
        <w:spacing w:after="0" w:line="9"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Clean Megawatts Installed</w:t>
      </w:r>
    </w:p>
    <w:p>
      <w:pPr>
        <w:spacing w:after="0" w:line="20" w:lineRule="exact"/>
        <w:rPr>
          <w:sz w:val="20"/>
          <w:szCs w:val="20"/>
          <w:color w:val="auto"/>
        </w:rPr>
      </w:pPr>
      <w:r>
        <w:rPr>
          <w:sz w:val="20"/>
          <w:szCs w:val="20"/>
          <w:color w:val="auto"/>
        </w:rPr>
        <w:br w:type="column"/>
      </w:r>
    </w:p>
    <w:p>
      <w:pPr>
        <w:spacing w:after="0" w:line="13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92"/>
        </w:trPr>
        <w:tc>
          <w:tcPr>
            <w:tcW w:w="13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355675"/>
              </w:rPr>
              <w:t>Weighting</w:t>
            </w:r>
          </w:p>
        </w:tc>
        <w:tc>
          <w:tcPr>
            <w:tcW w:w="4040" w:type="dxa"/>
            <w:vAlign w:val="bottom"/>
          </w:tcPr>
          <w:p>
            <w:pPr>
              <w:spacing w:after="0"/>
              <w:rPr>
                <w:sz w:val="20"/>
                <w:szCs w:val="20"/>
                <w:color w:val="auto"/>
              </w:rPr>
            </w:pPr>
            <w:r>
              <w:rPr>
                <w:rFonts w:ascii="Arial" w:cs="Arial" w:eastAsia="Arial" w:hAnsi="Arial"/>
                <w:sz w:val="14"/>
                <w:szCs w:val="14"/>
                <w:b w:val="1"/>
                <w:bCs w:val="1"/>
                <w:color w:val="355675"/>
              </w:rPr>
              <w:t>Rationale &amp; Performance Link</w:t>
            </w:r>
          </w:p>
        </w:tc>
        <w:tc>
          <w:tcPr>
            <w:tcW w:w="0" w:type="dxa"/>
            <w:vAlign w:val="bottom"/>
          </w:tcPr>
          <w:p>
            <w:pPr>
              <w:spacing w:after="0"/>
              <w:rPr>
                <w:sz w:val="1"/>
                <w:szCs w:val="1"/>
                <w:color w:val="auto"/>
              </w:rPr>
            </w:pPr>
          </w:p>
        </w:tc>
      </w:tr>
      <w:tr>
        <w:trPr>
          <w:trHeight w:val="175"/>
        </w:trPr>
        <w:tc>
          <w:tcPr>
            <w:tcW w:w="1120" w:type="dxa"/>
            <w:vAlign w:val="bottom"/>
            <w:tcBorders>
              <w:top w:val="single" w:sz="8" w:color="355675"/>
            </w:tcBorders>
          </w:tcPr>
          <w:p>
            <w:pPr>
              <w:jc w:val="center"/>
              <w:spacing w:after="0" w:line="175" w:lineRule="exact"/>
              <w:rPr>
                <w:sz w:val="20"/>
                <w:szCs w:val="20"/>
                <w:color w:val="auto"/>
              </w:rPr>
            </w:pPr>
            <w:r>
              <w:rPr>
                <w:rFonts w:ascii="Arial" w:cs="Arial" w:eastAsia="Arial" w:hAnsi="Arial"/>
                <w:sz w:val="16"/>
                <w:szCs w:val="16"/>
                <w:color w:val="auto"/>
                <w:w w:val="99"/>
              </w:rPr>
              <w:t>40%</w:t>
            </w:r>
          </w:p>
        </w:tc>
        <w:tc>
          <w:tcPr>
            <w:tcW w:w="220" w:type="dxa"/>
            <w:vAlign w:val="bottom"/>
          </w:tcPr>
          <w:p>
            <w:pPr>
              <w:spacing w:after="0"/>
              <w:rPr>
                <w:sz w:val="15"/>
                <w:szCs w:val="15"/>
                <w:color w:val="auto"/>
              </w:rPr>
            </w:pPr>
          </w:p>
        </w:tc>
        <w:tc>
          <w:tcPr>
            <w:tcW w:w="4040" w:type="dxa"/>
            <w:vAlign w:val="bottom"/>
            <w:tcBorders>
              <w:top w:val="single" w:sz="8" w:color="355675"/>
            </w:tcBorders>
          </w:tcPr>
          <w:p>
            <w:pPr>
              <w:spacing w:after="0" w:line="175" w:lineRule="exact"/>
              <w:rPr>
                <w:sz w:val="20"/>
                <w:szCs w:val="20"/>
                <w:color w:val="auto"/>
              </w:rPr>
            </w:pPr>
            <w:r>
              <w:rPr>
                <w:rFonts w:ascii="Arial" w:cs="Arial" w:eastAsia="Arial" w:hAnsi="Arial"/>
                <w:sz w:val="16"/>
                <w:szCs w:val="16"/>
                <w:color w:val="auto"/>
              </w:rPr>
              <w:t>Links pay to key measure generating shareholder value</w:t>
            </w:r>
          </w:p>
        </w:tc>
        <w:tc>
          <w:tcPr>
            <w:tcW w:w="0" w:type="dxa"/>
            <w:vAlign w:val="bottom"/>
          </w:tcPr>
          <w:p>
            <w:pPr>
              <w:spacing w:after="0"/>
              <w:rPr>
                <w:sz w:val="1"/>
                <w:szCs w:val="1"/>
                <w:color w:val="auto"/>
              </w:rPr>
            </w:pPr>
          </w:p>
        </w:tc>
      </w:tr>
      <w:tr>
        <w:trPr>
          <w:trHeight w:val="215"/>
        </w:trPr>
        <w:tc>
          <w:tcPr>
            <w:tcW w:w="1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40" w:type="dxa"/>
            <w:vAlign w:val="bottom"/>
          </w:tcPr>
          <w:p>
            <w:pPr>
              <w:spacing w:after="0"/>
              <w:rPr>
                <w:sz w:val="20"/>
                <w:szCs w:val="20"/>
                <w:color w:val="auto"/>
              </w:rPr>
            </w:pPr>
            <w:r>
              <w:rPr>
                <w:rFonts w:ascii="Arial" w:cs="Arial" w:eastAsia="Arial" w:hAnsi="Arial"/>
                <w:sz w:val="16"/>
                <w:szCs w:val="16"/>
                <w:color w:val="auto"/>
              </w:rPr>
              <w:t>relative to others in the industry</w:t>
            </w:r>
          </w:p>
        </w:tc>
        <w:tc>
          <w:tcPr>
            <w:tcW w:w="0" w:type="dxa"/>
            <w:vAlign w:val="bottom"/>
          </w:tcPr>
          <w:p>
            <w:pPr>
              <w:spacing w:after="0"/>
              <w:rPr>
                <w:sz w:val="1"/>
                <w:szCs w:val="1"/>
                <w:color w:val="auto"/>
              </w:rPr>
            </w:pPr>
          </w:p>
        </w:tc>
      </w:tr>
      <w:tr>
        <w:trPr>
          <w:trHeight w:val="232"/>
        </w:trPr>
        <w:tc>
          <w:tcPr>
            <w:tcW w:w="1120" w:type="dxa"/>
            <w:vAlign w:val="bottom"/>
            <w:tcBorders>
              <w:bottom w:val="single" w:sz="8" w:color="939598"/>
            </w:tcBorders>
          </w:tcPr>
          <w:p>
            <w:pPr>
              <w:spacing w:after="0"/>
              <w:rPr>
                <w:sz w:val="20"/>
                <w:szCs w:val="20"/>
                <w:color w:val="auto"/>
              </w:rPr>
            </w:pPr>
          </w:p>
        </w:tc>
        <w:tc>
          <w:tcPr>
            <w:tcW w:w="220" w:type="dxa"/>
            <w:vAlign w:val="bottom"/>
          </w:tcPr>
          <w:p>
            <w:pPr>
              <w:spacing w:after="0"/>
              <w:rPr>
                <w:sz w:val="20"/>
                <w:szCs w:val="20"/>
                <w:color w:val="auto"/>
              </w:rPr>
            </w:pPr>
          </w:p>
        </w:tc>
        <w:tc>
          <w:tcPr>
            <w:tcW w:w="4040" w:type="dxa"/>
            <w:vAlign w:val="bottom"/>
            <w:tcBorders>
              <w:bottom w:val="single" w:sz="8" w:color="939598"/>
            </w:tcBorders>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1120" w:type="dxa"/>
            <w:vAlign w:val="bottom"/>
          </w:tcPr>
          <w:p>
            <w:pPr>
              <w:jc w:val="center"/>
              <w:spacing w:after="0" w:line="168" w:lineRule="exact"/>
              <w:rPr>
                <w:sz w:val="20"/>
                <w:szCs w:val="20"/>
                <w:color w:val="auto"/>
              </w:rPr>
            </w:pPr>
            <w:r>
              <w:rPr>
                <w:rFonts w:ascii="Arial" w:cs="Arial" w:eastAsia="Arial" w:hAnsi="Arial"/>
                <w:sz w:val="16"/>
                <w:szCs w:val="16"/>
                <w:color w:val="auto"/>
                <w:w w:val="99"/>
              </w:rPr>
              <w:t>40%</w:t>
            </w:r>
          </w:p>
        </w:tc>
        <w:tc>
          <w:tcPr>
            <w:tcW w:w="220" w:type="dxa"/>
            <w:vAlign w:val="bottom"/>
          </w:tcPr>
          <w:p>
            <w:pPr>
              <w:spacing w:after="0"/>
              <w:rPr>
                <w:sz w:val="14"/>
                <w:szCs w:val="14"/>
                <w:color w:val="auto"/>
              </w:rPr>
            </w:pPr>
          </w:p>
        </w:tc>
        <w:tc>
          <w:tcPr>
            <w:tcW w:w="4040" w:type="dxa"/>
            <w:vAlign w:val="bottom"/>
          </w:tcPr>
          <w:p>
            <w:pPr>
              <w:spacing w:after="0" w:line="168" w:lineRule="exact"/>
              <w:rPr>
                <w:sz w:val="20"/>
                <w:szCs w:val="20"/>
                <w:color w:val="auto"/>
              </w:rPr>
            </w:pPr>
            <w:r>
              <w:rPr>
                <w:rFonts w:ascii="Arial" w:cs="Arial" w:eastAsia="Arial" w:hAnsi="Arial"/>
                <w:sz w:val="16"/>
                <w:szCs w:val="16"/>
                <w:color w:val="auto"/>
              </w:rPr>
              <w:t>Links pay to key measure generating shareholder value</w:t>
            </w:r>
          </w:p>
        </w:tc>
        <w:tc>
          <w:tcPr>
            <w:tcW w:w="0" w:type="dxa"/>
            <w:vAlign w:val="bottom"/>
          </w:tcPr>
          <w:p>
            <w:pPr>
              <w:spacing w:after="0"/>
              <w:rPr>
                <w:sz w:val="1"/>
                <w:szCs w:val="1"/>
                <w:color w:val="auto"/>
              </w:rPr>
            </w:pPr>
          </w:p>
        </w:tc>
      </w:tr>
      <w:tr>
        <w:trPr>
          <w:trHeight w:val="215"/>
        </w:trPr>
        <w:tc>
          <w:tcPr>
            <w:tcW w:w="1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40" w:type="dxa"/>
            <w:vAlign w:val="bottom"/>
          </w:tcPr>
          <w:p>
            <w:pPr>
              <w:spacing w:after="0"/>
              <w:rPr>
                <w:sz w:val="20"/>
                <w:szCs w:val="20"/>
                <w:color w:val="auto"/>
              </w:rPr>
            </w:pPr>
            <w:r>
              <w:rPr>
                <w:rFonts w:ascii="Arial" w:cs="Arial" w:eastAsia="Arial" w:hAnsi="Arial"/>
                <w:sz w:val="16"/>
                <w:szCs w:val="16"/>
                <w:color w:val="auto"/>
              </w:rPr>
              <w:t>and financial targets</w:t>
            </w:r>
          </w:p>
        </w:tc>
        <w:tc>
          <w:tcPr>
            <w:tcW w:w="0" w:type="dxa"/>
            <w:vAlign w:val="bottom"/>
          </w:tcPr>
          <w:p>
            <w:pPr>
              <w:spacing w:after="0"/>
              <w:rPr>
                <w:sz w:val="1"/>
                <w:szCs w:val="1"/>
                <w:color w:val="auto"/>
              </w:rPr>
            </w:pPr>
          </w:p>
        </w:tc>
      </w:tr>
      <w:tr>
        <w:trPr>
          <w:trHeight w:val="43"/>
        </w:trPr>
        <w:tc>
          <w:tcPr>
            <w:tcW w:w="1120" w:type="dxa"/>
            <w:vAlign w:val="bottom"/>
            <w:tcBorders>
              <w:bottom w:val="single" w:sz="8" w:color="939598"/>
            </w:tcBorders>
          </w:tcPr>
          <w:p>
            <w:pPr>
              <w:spacing w:after="0"/>
              <w:rPr>
                <w:sz w:val="3"/>
                <w:szCs w:val="3"/>
                <w:color w:val="auto"/>
              </w:rPr>
            </w:pPr>
          </w:p>
        </w:tc>
        <w:tc>
          <w:tcPr>
            <w:tcW w:w="220" w:type="dxa"/>
            <w:vAlign w:val="bottom"/>
            <w:vMerge w:val="restart"/>
          </w:tcPr>
          <w:p>
            <w:pPr>
              <w:spacing w:after="0"/>
              <w:rPr>
                <w:sz w:val="3"/>
                <w:szCs w:val="3"/>
                <w:color w:val="auto"/>
              </w:rPr>
            </w:pPr>
          </w:p>
        </w:tc>
        <w:tc>
          <w:tcPr>
            <w:tcW w:w="4040" w:type="dxa"/>
            <w:vAlign w:val="bottom"/>
            <w:tcBorders>
              <w:bottom w:val="single" w:sz="8" w:color="939598"/>
            </w:tcBorders>
          </w:tcPr>
          <w:p>
            <w:pPr>
              <w:spacing w:after="0"/>
              <w:rPr>
                <w:sz w:val="3"/>
                <w:szCs w:val="3"/>
                <w:color w:val="auto"/>
              </w:rPr>
            </w:pPr>
          </w:p>
        </w:tc>
        <w:tc>
          <w:tcPr>
            <w:tcW w:w="0" w:type="dxa"/>
            <w:vAlign w:val="bottom"/>
          </w:tcPr>
          <w:p>
            <w:pPr>
              <w:spacing w:after="0"/>
              <w:rPr>
                <w:sz w:val="1"/>
                <w:szCs w:val="1"/>
                <w:color w:val="auto"/>
              </w:rPr>
            </w:pPr>
          </w:p>
        </w:tc>
      </w:tr>
      <w:tr>
        <w:trPr>
          <w:trHeight w:val="208"/>
        </w:trPr>
        <w:tc>
          <w:tcPr>
            <w:tcW w:w="1120" w:type="dxa"/>
            <w:vAlign w:val="bottom"/>
          </w:tcPr>
          <w:p>
            <w:pPr>
              <w:jc w:val="center"/>
              <w:spacing w:after="0"/>
              <w:rPr>
                <w:sz w:val="20"/>
                <w:szCs w:val="20"/>
                <w:color w:val="auto"/>
              </w:rPr>
            </w:pPr>
            <w:r>
              <w:rPr>
                <w:rFonts w:ascii="Arial" w:cs="Arial" w:eastAsia="Arial" w:hAnsi="Arial"/>
                <w:sz w:val="16"/>
                <w:szCs w:val="16"/>
                <w:color w:val="auto"/>
                <w:w w:val="99"/>
              </w:rPr>
              <w:t>20%</w:t>
            </w:r>
          </w:p>
        </w:tc>
        <w:tc>
          <w:tcPr>
            <w:tcW w:w="220" w:type="dxa"/>
            <w:vAlign w:val="bottom"/>
            <w:vMerge w:val="continue"/>
          </w:tcPr>
          <w:p>
            <w:pPr>
              <w:spacing w:after="0"/>
              <w:rPr>
                <w:sz w:val="18"/>
                <w:szCs w:val="18"/>
                <w:color w:val="auto"/>
              </w:rPr>
            </w:pPr>
          </w:p>
        </w:tc>
        <w:tc>
          <w:tcPr>
            <w:tcW w:w="4040" w:type="dxa"/>
            <w:vAlign w:val="bottom"/>
          </w:tcPr>
          <w:p>
            <w:pPr>
              <w:spacing w:after="0"/>
              <w:rPr>
                <w:sz w:val="20"/>
                <w:szCs w:val="20"/>
                <w:color w:val="auto"/>
              </w:rPr>
            </w:pPr>
            <w:r>
              <w:rPr>
                <w:rFonts w:ascii="Arial" w:cs="Arial" w:eastAsia="Arial" w:hAnsi="Arial"/>
                <w:sz w:val="16"/>
                <w:szCs w:val="16"/>
                <w:color w:val="auto"/>
              </w:rPr>
              <w:t>Links pay to Clean Energy Commitment</w:t>
            </w:r>
          </w:p>
        </w:tc>
        <w:tc>
          <w:tcPr>
            <w:tcW w:w="0" w:type="dxa"/>
            <w:vAlign w:val="bottom"/>
          </w:tcPr>
          <w:p>
            <w:pPr>
              <w:spacing w:after="0"/>
              <w:rPr>
                <w:sz w:val="1"/>
                <w:szCs w:val="1"/>
                <w:color w:val="auto"/>
              </w:rPr>
            </w:pPr>
          </w:p>
        </w:tc>
      </w:tr>
    </w:tbl>
    <w:p>
      <w:pPr>
        <w:spacing w:after="0" w:line="16" w:lineRule="exact"/>
        <w:rPr>
          <w:sz w:val="20"/>
          <w:szCs w:val="20"/>
          <w:color w:val="auto"/>
        </w:rPr>
      </w:pPr>
    </w:p>
    <w:p>
      <w:pPr>
        <w:sectPr>
          <w:pgSz w:w="11900" w:h="16838" w:orient="portrait"/>
          <w:cols w:equalWidth="0" w:num="2">
            <w:col w:w="5140" w:space="720"/>
            <w:col w:w="5380"/>
          </w:cols>
          <w:pgMar w:left="320" w:top="125" w:right="339" w:bottom="1440" w:gutter="0" w:footer="0" w:header="0"/>
          <w:type w:val="continuous"/>
        </w:sectPr>
      </w:pPr>
    </w:p>
    <w:p>
      <w:pPr>
        <w:ind w:left="60"/>
        <w:spacing w:after="0"/>
        <w:rPr>
          <w:sz w:val="20"/>
          <w:szCs w:val="20"/>
          <w:color w:val="auto"/>
        </w:rPr>
      </w:pPr>
      <w:r>
        <w:rPr>
          <w:rFonts w:ascii="Arial" w:cs="Arial" w:eastAsia="Arial" w:hAnsi="Arial"/>
          <w:sz w:val="16"/>
          <w:szCs w:val="16"/>
          <w:i w:val="1"/>
          <w:iCs w:val="1"/>
          <w:color w:val="auto"/>
        </w:rPr>
        <w:t>Measures the Company’s actual clean megawatts installed to our clean</w:t>
      </w:r>
    </w:p>
    <w:p>
      <w:pPr>
        <w:spacing w:after="0" w:line="19" w:lineRule="exact"/>
        <w:rPr>
          <w:sz w:val="20"/>
          <w:szCs w:val="20"/>
          <w:color w:val="auto"/>
        </w:rPr>
      </w:pPr>
    </w:p>
    <w:p>
      <w:pPr>
        <w:ind w:left="60"/>
        <w:spacing w:after="0"/>
        <w:rPr>
          <w:sz w:val="20"/>
          <w:szCs w:val="20"/>
          <w:color w:val="auto"/>
        </w:rPr>
      </w:pPr>
      <w:r>
        <w:rPr>
          <w:rFonts w:ascii="Arial" w:cs="Arial" w:eastAsia="Arial" w:hAnsi="Arial"/>
          <w:sz w:val="16"/>
          <w:szCs w:val="16"/>
          <w:i w:val="1"/>
          <w:iCs w:val="1"/>
          <w:color w:val="auto"/>
        </w:rPr>
        <w:t>megawatts installed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wp:posOffset>
            </wp:positionV>
            <wp:extent cx="7132320" cy="1714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76"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PAYOUTS OF 2018 PLAN AWARDS</w:t>
      </w:r>
    </w:p>
    <w:p>
      <w:pPr>
        <w:spacing w:after="0" w:line="193" w:lineRule="exact"/>
        <w:rPr>
          <w:sz w:val="20"/>
          <w:szCs w:val="20"/>
          <w:color w:val="auto"/>
        </w:rPr>
      </w:pPr>
    </w:p>
    <w:p>
      <w:pPr>
        <w:jc w:val="both"/>
        <w:ind w:right="380"/>
        <w:spacing w:after="0" w:line="259" w:lineRule="auto"/>
        <w:rPr>
          <w:sz w:val="20"/>
          <w:szCs w:val="20"/>
          <w:color w:val="auto"/>
        </w:rPr>
      </w:pPr>
      <w:r>
        <w:rPr>
          <w:rFonts w:ascii="Arial" w:cs="Arial" w:eastAsia="Arial" w:hAnsi="Arial"/>
          <w:sz w:val="17"/>
          <w:szCs w:val="17"/>
          <w:color w:val="auto"/>
        </w:rPr>
        <w:t>In 2018, the Committee granted performance shares to the NEOs, based on relative TSR and relative operational performance. For the three-year period ended December 31, 2020, our TSR percentile was 5.8% compared to the companies in the Index. This was below the</w:t>
      </w:r>
    </w:p>
    <w:p>
      <w:pPr>
        <w:spacing w:after="0" w:line="1" w:lineRule="exact"/>
        <w:rPr>
          <w:sz w:val="20"/>
          <w:szCs w:val="20"/>
          <w:color w:val="auto"/>
        </w:rPr>
      </w:pPr>
    </w:p>
    <w:p>
      <w:pPr>
        <w:jc w:val="both"/>
        <w:ind w:right="380"/>
        <w:spacing w:after="0" w:line="213" w:lineRule="auto"/>
        <w:rPr>
          <w:sz w:val="20"/>
          <w:szCs w:val="20"/>
          <w:color w:val="auto"/>
        </w:rPr>
      </w:pPr>
      <w:r>
        <w:rPr>
          <w:rFonts w:ascii="Arial" w:cs="Arial" w:eastAsia="Arial" w:hAnsi="Arial"/>
          <w:sz w:val="18"/>
          <w:szCs w:val="18"/>
          <w:color w:val="auto"/>
        </w:rPr>
        <w:t>25</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percentile so the NEOs did not receive a payout for the TSR portion of these performance shares. For the same period, our average performance percentile with respect to the 2018 performance metrics was 66.5% compared to the companies included in the operational performance metrics. The actual payout to each NEO is identified in the Option Exercises and Stock Vested table.</w:t>
      </w:r>
    </w:p>
    <w:p>
      <w:pPr>
        <w:spacing w:after="0" w:line="164" w:lineRule="exact"/>
        <w:rPr>
          <w:sz w:val="20"/>
          <w:szCs w:val="20"/>
          <w:color w:val="auto"/>
        </w:rPr>
      </w:pPr>
    </w:p>
    <w:p>
      <w:pPr>
        <w:spacing w:after="0"/>
        <w:rPr>
          <w:sz w:val="20"/>
          <w:szCs w:val="20"/>
          <w:color w:val="auto"/>
        </w:rPr>
      </w:pPr>
      <w:r>
        <w:rPr>
          <w:rFonts w:ascii="Arial" w:cs="Arial" w:eastAsia="Arial" w:hAnsi="Arial"/>
          <w:sz w:val="20"/>
          <w:szCs w:val="20"/>
          <w:b w:val="1"/>
          <w:bCs w:val="1"/>
          <w:color w:val="355675"/>
        </w:rPr>
        <w:t>RSUs</w:t>
      </w:r>
    </w:p>
    <w:p>
      <w:pPr>
        <w:spacing w:after="0" w:line="180" w:lineRule="exact"/>
        <w:rPr>
          <w:sz w:val="20"/>
          <w:szCs w:val="20"/>
          <w:color w:val="auto"/>
        </w:rPr>
      </w:pPr>
    </w:p>
    <w:p>
      <w:pPr>
        <w:ind w:right="220"/>
        <w:spacing w:after="0" w:line="253" w:lineRule="auto"/>
        <w:rPr>
          <w:sz w:val="20"/>
          <w:szCs w:val="20"/>
          <w:color w:val="auto"/>
        </w:rPr>
      </w:pPr>
      <w:r>
        <w:rPr>
          <w:rFonts w:ascii="Arial" w:cs="Arial" w:eastAsia="Arial" w:hAnsi="Arial"/>
          <w:sz w:val="18"/>
          <w:szCs w:val="18"/>
          <w:color w:val="auto"/>
        </w:rPr>
        <w:t>We granted RSUs to our NEOs in February 2021. RSUs vest in equal 25% installments over four years if the award recipient remains employed by the Company or one of its subsidiaries unless the recipient meets any of the exceptions described under “Potential Payments upon Termination or Change of Control”.</w:t>
      </w:r>
    </w:p>
    <w:p>
      <w:pPr>
        <w:spacing w:after="0" w:line="142" w:lineRule="exact"/>
        <w:rPr>
          <w:sz w:val="20"/>
          <w:szCs w:val="20"/>
          <w:color w:val="auto"/>
        </w:rPr>
      </w:pPr>
    </w:p>
    <w:p>
      <w:pPr>
        <w:ind w:right="280"/>
        <w:spacing w:after="0" w:line="271" w:lineRule="auto"/>
        <w:rPr>
          <w:sz w:val="20"/>
          <w:szCs w:val="20"/>
          <w:color w:val="auto"/>
        </w:rPr>
      </w:pPr>
      <w:r>
        <w:rPr>
          <w:rFonts w:ascii="Arial" w:cs="Arial" w:eastAsia="Arial" w:hAnsi="Arial"/>
          <w:sz w:val="18"/>
          <w:szCs w:val="18"/>
          <w:color w:val="auto"/>
        </w:rPr>
        <w:t>Each RSU represents the fair market value of one share of our common stock on the applicable vesting date, and the value rises and falls with the Company’s stock price.</w:t>
      </w:r>
    </w:p>
    <w:p>
      <w:pPr>
        <w:spacing w:after="0" w:line="113"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The 2021 RSUs are payable at the election of the participant made shortly after the date of the initial grant, either 100% in stock, 50% in cash and 50% in stock, or 100% in cash, and will vest each February 20 in an amount equal to the number of RSUs vesting on such date multiplied by the closing price of a share of our common stock on that date.</w:t>
      </w:r>
    </w:p>
    <w:p>
      <w:pPr>
        <w:spacing w:after="0" w:line="128"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The RSUs accrue dividend rights on the vested RSUs, equal to the amount of dividends that the participant would have received had the participant directly owned stock equal to the number of vested RSUs from the date of grant to the date of payment, plus interest at the rate of 5% per annum, compounded quarterly,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102235</wp:posOffset>
            </wp:positionV>
            <wp:extent cx="1191260" cy="23114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61"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85" w:name="page86"/>
    <w:bookmarkEnd w:id="8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ind w:left="9100"/>
        <w:spacing w:after="0"/>
        <w:rPr>
          <w:sz w:val="20"/>
          <w:szCs w:val="20"/>
          <w:color w:val="auto"/>
        </w:rPr>
      </w:pPr>
      <w:r>
        <w:rPr>
          <w:rFonts w:ascii="Arial" w:cs="Arial" w:eastAsia="Arial" w:hAnsi="Arial"/>
          <w:sz w:val="18"/>
          <w:szCs w:val="18"/>
          <w:b w:val="1"/>
          <w:bCs w:val="1"/>
          <w:color w:val="355675"/>
        </w:rPr>
        <w:t>Executive Compensation</w:t>
      </w:r>
    </w:p>
    <w:p>
      <w:pPr>
        <w:spacing w:after="0" w:line="185" w:lineRule="exact"/>
        <w:rPr>
          <w:sz w:val="20"/>
          <w:szCs w:val="20"/>
          <w:color w:val="auto"/>
        </w:rPr>
      </w:pPr>
    </w:p>
    <w:p>
      <w:pPr>
        <w:ind w:right="40"/>
        <w:spacing w:after="0" w:line="271" w:lineRule="auto"/>
        <w:rPr>
          <w:sz w:val="20"/>
          <w:szCs w:val="20"/>
          <w:color w:val="auto"/>
        </w:rPr>
      </w:pPr>
      <w:r>
        <w:rPr>
          <w:rFonts w:ascii="Arial" w:cs="Arial" w:eastAsia="Arial" w:hAnsi="Arial"/>
          <w:sz w:val="18"/>
          <w:szCs w:val="18"/>
          <w:color w:val="auto"/>
        </w:rPr>
        <w:t>with such amount paid either 100% in stock, 50% in cash and 50% in stock, or 100% in cash based on the participant’s election as discussed above.</w:t>
      </w:r>
    </w:p>
    <w:p>
      <w:pPr>
        <w:spacing w:after="0" w:line="113" w:lineRule="exact"/>
        <w:rPr>
          <w:sz w:val="20"/>
          <w:szCs w:val="20"/>
          <w:color w:val="auto"/>
        </w:rPr>
      </w:pPr>
    </w:p>
    <w:p>
      <w:pPr>
        <w:ind w:right="440"/>
        <w:spacing w:after="0" w:line="271" w:lineRule="auto"/>
        <w:rPr>
          <w:sz w:val="20"/>
          <w:szCs w:val="20"/>
          <w:color w:val="auto"/>
        </w:rPr>
      </w:pPr>
      <w:r>
        <w:rPr>
          <w:rFonts w:ascii="Arial" w:cs="Arial" w:eastAsia="Arial" w:hAnsi="Arial"/>
          <w:sz w:val="18"/>
          <w:szCs w:val="18"/>
          <w:color w:val="auto"/>
        </w:rPr>
        <w:t>The 2021 RSUs are included in the Summary Compensation Table in the column under “Stock Awards” and in the Grants of Plan-Based Awards table. RSUs granted in previous years that vested in 2021 are identified in the Option Exercises and Stock Vested table.</w:t>
      </w:r>
    </w:p>
    <w:p>
      <w:pPr>
        <w:spacing w:after="0" w:line="138"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Benefits</w:t>
      </w:r>
    </w:p>
    <w:p>
      <w:pPr>
        <w:spacing w:after="0" w:line="230"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Pension Programs</w:t>
      </w:r>
    </w:p>
    <w:p>
      <w:pPr>
        <w:spacing w:after="0" w:line="231" w:lineRule="exact"/>
        <w:rPr>
          <w:sz w:val="20"/>
          <w:szCs w:val="20"/>
          <w:color w:val="auto"/>
        </w:rPr>
      </w:pPr>
    </w:p>
    <w:p>
      <w:pPr>
        <w:ind w:right="500"/>
        <w:spacing w:after="0" w:line="253" w:lineRule="auto"/>
        <w:rPr>
          <w:sz w:val="20"/>
          <w:szCs w:val="20"/>
          <w:color w:val="auto"/>
        </w:rPr>
      </w:pPr>
      <w:r>
        <w:rPr>
          <w:rFonts w:ascii="Arial" w:cs="Arial" w:eastAsia="Arial" w:hAnsi="Arial"/>
          <w:sz w:val="18"/>
          <w:szCs w:val="18"/>
          <w:color w:val="auto"/>
        </w:rPr>
        <w:t>The NEOs participate in the Pinnacle West Capital Corporation Retirement Plan (the “Retirement Plan”) and the Supplemental Excess Benefit Retirement Plan (the “Supplemental Plan”). We describe these plans in more detail under “Discussion of Pension Benefits”. The Company believes that the pension programs are important recruitment and retention tools.</w:t>
      </w:r>
    </w:p>
    <w:p>
      <w:pPr>
        <w:spacing w:after="0" w:line="163"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Deferred Compensation Program</w:t>
      </w:r>
    </w:p>
    <w:p>
      <w:pPr>
        <w:spacing w:after="0" w:line="231" w:lineRule="exact"/>
        <w:rPr>
          <w:sz w:val="20"/>
          <w:szCs w:val="20"/>
          <w:color w:val="auto"/>
        </w:rPr>
      </w:pPr>
    </w:p>
    <w:p>
      <w:pPr>
        <w:ind w:right="180"/>
        <w:spacing w:after="0" w:line="242" w:lineRule="auto"/>
        <w:rPr>
          <w:sz w:val="20"/>
          <w:szCs w:val="20"/>
          <w:color w:val="auto"/>
        </w:rPr>
      </w:pPr>
      <w:r>
        <w:rPr>
          <w:rFonts w:ascii="Arial" w:cs="Arial" w:eastAsia="Arial" w:hAnsi="Arial"/>
          <w:sz w:val="18"/>
          <w:szCs w:val="18"/>
          <w:color w:val="auto"/>
        </w:rPr>
        <w:t>The Company offers to its executive officers the ability, if the officer so chooses, to participate in a deferred compensation program. We describe our deferred compensation program in more detail under “Discussion of Nonqualified Deferred Compensation”. We offer our deferred compensation program because the Committee believes that it is standard market practice to permit officers to defer some portion of their cash compensation. However, we generally consider the value in the deferred compensation plan to be the participant’s own money and do not give this amount significant weight in making compensation decisions. Discretionary credit awards under the deferred compensation plan for Mr. Geisler and Ms. Lacal are discussed under the heading “Discussion of Nonqualified Deferred Compensation”.</w:t>
      </w:r>
    </w:p>
    <w:p>
      <w:pPr>
        <w:spacing w:after="0" w:line="173"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Change of Control Agreements</w:t>
      </w:r>
    </w:p>
    <w:p>
      <w:pPr>
        <w:spacing w:after="0" w:line="231"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The Company maintains Key Executive Employment and Severance Agreements (the “Change of Control Agreements”) for our officers, including the NEOs. Similar to our deferred compensation programs, Change of Control Agreements do not have a significant impact on compensation design. We discuss our Change of Control Agreements in more detail under “Potential Payments upon Termination or Change of Control.” Our Change of Control Agreements are “double trigger” agreements that provide severance benefits if, during a specified period following a change of control, the Company terminates an employee without “cause” or the employee terminates employment “for good reason.” We believe that the possibility of strategic transactions or unsolicited offers creates job uncertainty for executives, and that the Change of Control Agreements are effective tools to provide incentives for executives to stay with the Company in light of these uncertainties. In addition, we believe that if the agreements are appropriately structured, they do not deter takeovers or disadvantage shareholders. Each agreement is terminable on notice given six months prior to each anniversary of the agreement.</w:t>
      </w:r>
    </w:p>
    <w:p>
      <w:pPr>
        <w:spacing w:after="0" w:line="143" w:lineRule="exact"/>
        <w:rPr>
          <w:sz w:val="20"/>
          <w:szCs w:val="20"/>
          <w:color w:val="auto"/>
        </w:rPr>
      </w:pPr>
    </w:p>
    <w:p>
      <w:pPr>
        <w:ind w:right="100"/>
        <w:spacing w:after="0" w:line="247" w:lineRule="auto"/>
        <w:rPr>
          <w:sz w:val="20"/>
          <w:szCs w:val="20"/>
          <w:color w:val="auto"/>
        </w:rPr>
      </w:pPr>
      <w:r>
        <w:rPr>
          <w:rFonts w:ascii="Arial" w:cs="Arial" w:eastAsia="Arial" w:hAnsi="Arial"/>
          <w:sz w:val="18"/>
          <w:szCs w:val="18"/>
          <w:color w:val="auto"/>
        </w:rPr>
        <w:t>In May 2009, in connection with a review of its executive compensation practices, the Company determined that, on a going-forward basis, it would no longer provide excise tax gross-up payments in new and materially amended Change of Control Agreements with its NEOs, but provided for an exception that gave the Company the ability to include a limited excise tax gross-up provision in connection with recruiting a new executive to the Company. In 2018, the Committee removed this exception.</w:t>
      </w:r>
    </w:p>
    <w:p>
      <w:pPr>
        <w:spacing w:after="0" w:line="147" w:lineRule="exact"/>
        <w:rPr>
          <w:sz w:val="20"/>
          <w:szCs w:val="20"/>
          <w:color w:val="auto"/>
        </w:rPr>
      </w:pPr>
    </w:p>
    <w:p>
      <w:pPr>
        <w:ind w:right="60"/>
        <w:spacing w:after="0" w:line="244" w:lineRule="auto"/>
        <w:rPr>
          <w:sz w:val="20"/>
          <w:szCs w:val="20"/>
          <w:color w:val="auto"/>
        </w:rPr>
      </w:pPr>
      <w:r>
        <w:rPr>
          <w:rFonts w:ascii="Arial" w:cs="Arial" w:eastAsia="Arial" w:hAnsi="Arial"/>
          <w:sz w:val="18"/>
          <w:szCs w:val="18"/>
          <w:color w:val="auto"/>
        </w:rPr>
        <w:t>In addition to the Change of Control Agreements described above, under the terms of our 2012 Plan and 2021 LTIP awards are accelerated upon a change of control unless the Board chooses to override such provisions. In exercising its override authority, the Board must conclude, in good faith, that participants’ awards will remain outstanding, be assumed, or be exchanged for new awards pursuant to a change of control, and that there will be no material impairment to either the value of the awards or the opportunity for future appreciation in respect of the awards.</w:t>
      </w:r>
    </w:p>
    <w:p>
      <w:pPr>
        <w:spacing w:after="0" w:line="171" w:lineRule="exact"/>
        <w:rPr>
          <w:sz w:val="20"/>
          <w:szCs w:val="20"/>
          <w:color w:val="auto"/>
        </w:rPr>
      </w:pPr>
    </w:p>
    <w:p>
      <w:pPr>
        <w:spacing w:after="0"/>
        <w:rPr>
          <w:sz w:val="20"/>
          <w:szCs w:val="20"/>
          <w:color w:val="auto"/>
        </w:rPr>
      </w:pPr>
      <w:r>
        <w:rPr>
          <w:rFonts w:ascii="Arial" w:cs="Arial" w:eastAsia="Arial" w:hAnsi="Arial"/>
          <w:sz w:val="25"/>
          <w:szCs w:val="25"/>
          <w:b w:val="1"/>
          <w:bCs w:val="1"/>
          <w:color w:val="355675"/>
        </w:rPr>
        <w:t>Perquisites</w:t>
      </w:r>
    </w:p>
    <w:p>
      <w:pPr>
        <w:spacing w:after="0" w:line="231" w:lineRule="exact"/>
        <w:rPr>
          <w:sz w:val="20"/>
          <w:szCs w:val="20"/>
          <w:color w:val="auto"/>
        </w:rPr>
      </w:pPr>
    </w:p>
    <w:p>
      <w:pPr>
        <w:ind w:right="80"/>
        <w:spacing w:after="0" w:line="271" w:lineRule="auto"/>
        <w:rPr>
          <w:sz w:val="20"/>
          <w:szCs w:val="20"/>
          <w:color w:val="auto"/>
        </w:rPr>
      </w:pPr>
      <w:r>
        <w:rPr>
          <w:rFonts w:ascii="Arial" w:cs="Arial" w:eastAsia="Arial" w:hAnsi="Arial"/>
          <w:sz w:val="18"/>
          <w:szCs w:val="18"/>
          <w:color w:val="auto"/>
        </w:rPr>
        <w:t>We have had a long-standing practice of providing only limited perquisites to our executive officers. We describe our perquisites paid to each of the NEOs in footnote 4 to the Summary Compensation Table on page 81.</w:t>
      </w:r>
    </w:p>
    <w:p>
      <w:pPr>
        <w:spacing w:after="0" w:line="12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9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95675"/>
              </w:rPr>
              <w:t>77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86" w:name="page87"/>
    <w:bookmarkEnd w:id="8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Other Considerations</w:t>
      </w:r>
    </w:p>
    <w:p>
      <w:pPr>
        <w:spacing w:after="0" w:line="303"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Stock Ownership and Retention Guidelines</w:t>
      </w:r>
    </w:p>
    <w:p>
      <w:pPr>
        <w:spacing w:after="0" w:line="303"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We believe that linking a significant portion of an officer’s current and potential future net worth to the Company’s success, as reflected in our stock price, helps to ensure that officers have a stake similar to that of our shareholders. Stock ownership guidelines also encourage the long-term management of the Company for the benefit of the shareholders.</w:t>
      </w:r>
    </w:p>
    <w:p>
      <w:pPr>
        <w:spacing w:after="0" w:line="128" w:lineRule="exact"/>
        <w:rPr>
          <w:sz w:val="20"/>
          <w:szCs w:val="20"/>
          <w:color w:val="auto"/>
        </w:rPr>
      </w:pPr>
    </w:p>
    <w:p>
      <w:pPr>
        <w:ind w:right="220"/>
        <w:spacing w:after="0" w:line="271" w:lineRule="auto"/>
        <w:rPr>
          <w:sz w:val="20"/>
          <w:szCs w:val="20"/>
          <w:color w:val="auto"/>
        </w:rPr>
      </w:pPr>
      <w:r>
        <w:rPr>
          <w:rFonts w:ascii="Arial" w:cs="Arial" w:eastAsia="Arial" w:hAnsi="Arial"/>
          <w:sz w:val="18"/>
          <w:szCs w:val="18"/>
          <w:color w:val="auto"/>
        </w:rPr>
        <w:t>The Company’s Guidelines are based on the officer’s position and his or her base salary. The ownership requirements are shown below in respect of the indicated officer position:</w:t>
      </w:r>
    </w:p>
    <w:p>
      <w:pPr>
        <w:sectPr>
          <w:pgSz w:w="11900" w:h="16838" w:orient="portrait"/>
          <w:cols w:equalWidth="0" w:num="1">
            <w:col w:w="11200"/>
          </w:cols>
          <w:pgMar w:left="320" w:top="125" w:right="379" w:bottom="1440" w:gutter="0" w:footer="0" w:header="0"/>
        </w:sectPr>
      </w:pPr>
    </w:p>
    <w:p>
      <w:pPr>
        <w:spacing w:after="0" w:line="163"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wp:posOffset>
            </wp:positionV>
            <wp:extent cx="5426075" cy="1714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5426075" cy="17145"/>
                    </a:xfrm>
                    <a:prstGeom prst="rect">
                      <a:avLst/>
                    </a:prstGeom>
                    <a:noFill/>
                  </pic:spPr>
                </pic:pic>
              </a:graphicData>
            </a:graphic>
          </wp:anchor>
        </w:drawing>
      </w:r>
    </w:p>
    <w:p>
      <w:pPr>
        <w:spacing w:after="0" w:line="17" w:lineRule="exact"/>
        <w:rPr>
          <w:sz w:val="20"/>
          <w:szCs w:val="20"/>
          <w:color w:val="auto"/>
        </w:rPr>
      </w:pPr>
    </w:p>
    <w:p>
      <w:pPr>
        <w:ind w:left="60"/>
        <w:spacing w:after="0"/>
        <w:rPr>
          <w:sz w:val="20"/>
          <w:szCs w:val="20"/>
          <w:color w:val="auto"/>
        </w:rPr>
      </w:pPr>
      <w:r>
        <w:rPr>
          <w:rFonts w:ascii="Arial" w:cs="Arial" w:eastAsia="Arial" w:hAnsi="Arial"/>
          <w:sz w:val="16"/>
          <w:szCs w:val="16"/>
          <w:color w:val="auto"/>
        </w:rPr>
        <w:t>Chief Executive Officer</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APS President and all Executive and Senior Vice Presidents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-115570</wp:posOffset>
            </wp:positionV>
            <wp:extent cx="5426075" cy="825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12" w:lineRule="exact"/>
        <w:rPr>
          <w:sz w:val="20"/>
          <w:szCs w:val="20"/>
          <w:color w:val="auto"/>
        </w:rPr>
      </w:pPr>
    </w:p>
    <w:p>
      <w:pPr>
        <w:ind w:left="60"/>
        <w:spacing w:after="0"/>
        <w:rPr>
          <w:sz w:val="20"/>
          <w:szCs w:val="20"/>
          <w:color w:val="auto"/>
        </w:rPr>
      </w:pPr>
      <w:r>
        <w:rPr>
          <w:rFonts w:ascii="Arial" w:cs="Arial" w:eastAsia="Arial" w:hAnsi="Arial"/>
          <w:sz w:val="16"/>
          <w:szCs w:val="16"/>
          <w:color w:val="auto"/>
        </w:rPr>
        <w:t>All other Vice Presidents and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20955</wp:posOffset>
            </wp:positionV>
            <wp:extent cx="5426075" cy="1714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5426075"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-115570</wp:posOffset>
            </wp:positionV>
            <wp:extent cx="5426075" cy="825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92"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Multiple of Base Salary</w:t>
      </w:r>
      <w:r>
        <w:rPr>
          <w:rFonts w:ascii="Arial" w:cs="Arial" w:eastAsia="Arial" w:hAnsi="Arial"/>
          <w:sz w:val="23"/>
          <w:szCs w:val="23"/>
          <w:b w:val="1"/>
          <w:bCs w:val="1"/>
          <w:color w:val="355675"/>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-17780</wp:posOffset>
            </wp:positionV>
            <wp:extent cx="1568450" cy="171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1568450" cy="17145"/>
                    </a:xfrm>
                    <a:prstGeom prst="rect">
                      <a:avLst/>
                    </a:prstGeom>
                    <a:noFill/>
                  </pic:spPr>
                </pic:pic>
              </a:graphicData>
            </a:graphic>
          </wp:anchor>
        </w:drawing>
      </w:r>
    </w:p>
    <w:p>
      <w:pPr>
        <w:spacing w:after="0"/>
        <w:rPr>
          <w:sz w:val="20"/>
          <w:szCs w:val="20"/>
          <w:color w:val="auto"/>
        </w:rPr>
      </w:pPr>
      <w:r>
        <w:rPr>
          <w:rFonts w:ascii="Arial" w:cs="Arial" w:eastAsia="Arial" w:hAnsi="Arial"/>
          <w:sz w:val="16"/>
          <w:szCs w:val="16"/>
          <w:color w:val="auto"/>
        </w:rPr>
        <w:t>5 times Base Salary</w:t>
      </w:r>
    </w:p>
    <w:p>
      <w:pPr>
        <w:spacing w:after="0" w:line="16" w:lineRule="exact"/>
        <w:rPr>
          <w:sz w:val="20"/>
          <w:szCs w:val="20"/>
          <w:color w:val="auto"/>
        </w:rPr>
      </w:pPr>
    </w:p>
    <w:p>
      <w:pPr>
        <w:spacing w:after="0"/>
        <w:rPr>
          <w:sz w:val="20"/>
          <w:szCs w:val="20"/>
          <w:color w:val="auto"/>
        </w:rPr>
      </w:pPr>
      <w:r>
        <w:rPr>
          <w:rFonts w:ascii="Arial" w:cs="Arial" w:eastAsia="Arial" w:hAnsi="Arial"/>
          <w:sz w:val="16"/>
          <w:szCs w:val="16"/>
          <w:color w:val="auto"/>
        </w:rPr>
        <w:t>2 times Base Salary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-115570</wp:posOffset>
            </wp:positionV>
            <wp:extent cx="1568450" cy="825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1568450" cy="8255"/>
                    </a:xfrm>
                    <a:prstGeom prst="rect">
                      <a:avLst/>
                    </a:prstGeom>
                    <a:noFill/>
                  </pic:spPr>
                </pic:pic>
              </a:graphicData>
            </a:graphic>
          </wp:anchor>
        </w:drawing>
      </w:r>
    </w:p>
    <w:p>
      <w:pPr>
        <w:spacing w:after="0" w:line="12" w:lineRule="exact"/>
        <w:rPr>
          <w:sz w:val="20"/>
          <w:szCs w:val="20"/>
          <w:color w:val="auto"/>
        </w:rPr>
      </w:pPr>
    </w:p>
    <w:p>
      <w:pPr>
        <w:spacing w:after="0"/>
        <w:rPr>
          <w:sz w:val="20"/>
          <w:szCs w:val="20"/>
          <w:color w:val="auto"/>
        </w:rPr>
      </w:pPr>
      <w:r>
        <w:rPr>
          <w:rFonts w:ascii="Arial" w:cs="Arial" w:eastAsia="Arial" w:hAnsi="Arial"/>
          <w:sz w:val="16"/>
          <w:szCs w:val="16"/>
          <w:color w:val="auto"/>
        </w:rPr>
        <w:t>1 times Base Salary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20955</wp:posOffset>
            </wp:positionV>
            <wp:extent cx="1568450" cy="1714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1568450" cy="17145"/>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-115570</wp:posOffset>
            </wp:positionV>
            <wp:extent cx="1568450" cy="825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1568450" cy="8255"/>
                    </a:xfrm>
                    <a:prstGeom prst="rect">
                      <a:avLst/>
                    </a:prstGeom>
                    <a:noFill/>
                  </pic:spPr>
                </pic:pic>
              </a:graphicData>
            </a:graphic>
          </wp:anchor>
        </w:drawing>
      </w:r>
    </w:p>
    <w:p>
      <w:pPr>
        <w:spacing w:after="0" w:line="185" w:lineRule="exact"/>
        <w:rPr>
          <w:sz w:val="20"/>
          <w:szCs w:val="20"/>
          <w:color w:val="auto"/>
        </w:rPr>
      </w:pPr>
    </w:p>
    <w:p>
      <w:pPr>
        <w:sectPr>
          <w:pgSz w:w="11900" w:h="16838" w:orient="portrait"/>
          <w:cols w:equalWidth="0" w:num="2">
            <w:col w:w="8040" w:space="720"/>
            <w:col w:w="2440"/>
          </w:cols>
          <w:pgMar w:left="320" w:top="125" w:right="379" w:bottom="1440" w:gutter="0" w:footer="0" w:header="0"/>
          <w:type w:val="continuous"/>
        </w:sectPr>
      </w:pPr>
    </w:p>
    <w:p>
      <w:pPr>
        <w:ind w:left="300" w:right="120" w:hanging="292"/>
        <w:spacing w:after="0" w:line="224" w:lineRule="auto"/>
        <w:tabs>
          <w:tab w:leader="none" w:pos="300" w:val="left"/>
        </w:tabs>
        <w:numPr>
          <w:ilvl w:val="0"/>
          <w:numId w:val="88"/>
        </w:numPr>
        <w:rPr>
          <w:rFonts w:ascii="Arial" w:cs="Arial" w:eastAsia="Arial" w:hAnsi="Arial"/>
          <w:sz w:val="24"/>
          <w:szCs w:val="24"/>
          <w:color w:val="auto"/>
          <w:vertAlign w:val="superscript"/>
        </w:rPr>
      </w:pPr>
      <w:r>
        <w:rPr>
          <w:rFonts w:ascii="Arial" w:cs="Arial" w:eastAsia="Arial" w:hAnsi="Arial"/>
          <w:sz w:val="14"/>
          <w:szCs w:val="14"/>
          <w:color w:val="auto"/>
        </w:rPr>
        <w:t>Each officer is expected to meet his or her ownership requirement within five years following such officer’s election (the “Phase-in Period”). In the event of (1) a promotion or a change in the Guidelines that would cause the officer to move into a higher multiple level or (2) a base salary increase of more than 20% over the officer’s previous base salary, an officer will have an additional three years to meet his or her applicable ownership requirement. If the officer does not attain compliance with his or her ownership requirement by the end of the Phase-in Period, any subsequent grants of equity compensation to such officer will be payable solely in shares of stock until the ownership requirement is met. Under the Guidelines, the CEO may grant exceptions for hardship and other special circumstances. The types of ownership arrangements counted toward the Guidelines are: common stock, whether held individually, jointly, or in trust with or for the benefit of an immediate family member; shares issued upon the vesting of RSUs or the payout of performance shares; and unvested RSUs to the extent they will result in the issuance of common stock to the officer.</w:t>
      </w:r>
    </w:p>
    <w:p>
      <w:pPr>
        <w:spacing w:after="0" w:line="141" w:lineRule="exact"/>
        <w:rPr>
          <w:sz w:val="20"/>
          <w:szCs w:val="20"/>
          <w:color w:val="auto"/>
        </w:rPr>
      </w:pPr>
    </w:p>
    <w:p>
      <w:pPr>
        <w:ind w:right="360"/>
        <w:spacing w:after="0" w:line="253" w:lineRule="auto"/>
        <w:rPr>
          <w:sz w:val="20"/>
          <w:szCs w:val="20"/>
          <w:color w:val="auto"/>
        </w:rPr>
      </w:pPr>
      <w:r>
        <w:rPr>
          <w:rFonts w:ascii="Arial" w:cs="Arial" w:eastAsia="Arial" w:hAnsi="Arial"/>
          <w:sz w:val="18"/>
          <w:szCs w:val="18"/>
          <w:color w:val="auto"/>
        </w:rPr>
        <w:t>Officers may not sell or otherwise transfer (“Dispose”) any shares of Company stock received by them pursuant to any of the Company’s compensation or benefit programs (net of shares sold or surrendered to meet tax withholding or exercise requirements) until his or her ownership requirement has been met. All NEOs are in compliance with the Guidelines.</w:t>
      </w:r>
    </w:p>
    <w:p>
      <w:pPr>
        <w:spacing w:after="0" w:line="221"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Prohibition on Hedging and Pledging</w:t>
      </w:r>
    </w:p>
    <w:p>
      <w:pPr>
        <w:spacing w:after="0" w:line="316" w:lineRule="exact"/>
        <w:rPr>
          <w:sz w:val="20"/>
          <w:szCs w:val="20"/>
          <w:color w:val="auto"/>
        </w:rPr>
      </w:pPr>
    </w:p>
    <w:p>
      <w:pPr>
        <w:ind w:right="320"/>
        <w:spacing w:after="0" w:line="247" w:lineRule="auto"/>
        <w:rPr>
          <w:sz w:val="20"/>
          <w:szCs w:val="20"/>
          <w:color w:val="auto"/>
        </w:rPr>
      </w:pPr>
      <w:r>
        <w:rPr>
          <w:rFonts w:ascii="Arial" w:cs="Arial" w:eastAsia="Arial" w:hAnsi="Arial"/>
          <w:sz w:val="18"/>
          <w:szCs w:val="18"/>
          <w:color w:val="auto"/>
        </w:rPr>
        <w:t>Directors, officers, and employees of the Company may not engage in any speculative trading, hedging, or derivative security transaction (including any financial instrument such as a prepaid variable forward contract, equity swap, collar, short-sales, or exchange fund) that involves or references Company securities. In addition, Directors and officers may not pledge, margin or otherwise grant an economic interest in any shares of Company stock.</w:t>
      </w:r>
    </w:p>
    <w:p>
      <w:pPr>
        <w:spacing w:after="0" w:line="226"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Clawback Policy</w:t>
      </w:r>
    </w:p>
    <w:p>
      <w:pPr>
        <w:spacing w:after="0" w:line="303"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Pinnacle West has a clawback policy that applies to specified current or former executive officers, including our NEOs. Under the policy, in the event of any material restatement of the consolidated financial statements of the Company and its subsidiaries within three years of the first public release or filing with the SEC, the Committee may, within 12 months after the material restatement, require forfeiture and/or return to the Company of all or a portion of the compensation vested, awarded or received under any bonus award, short-term incentive award, equity award (including any award of restricted stock, performance shares, phantom stock, deferred stock units or RSUs) or other award during the period subject to restatement and the 12-month period following the first public issuance or filing with the SEC of the financial statements that were restated, by any executive that the Committee determines has personally engaged in intentional misconduct that caused or partially caused the need for such restatement. Any forfeiture and/or return of compensation by an executive under the policy will be limited to the portion that the executive would not have received if the consolidated financial statements had been reported properly at the time of first public release or filing with the SEC. By accepting any award as to which this policy applies, each executive agrees to forfeit and/or return compensation to the Company as provided by the policy. The policy does not limit the ability of the Company to pursue forfeiture or reclaim payments under other legal 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111125</wp:posOffset>
            </wp:positionV>
            <wp:extent cx="1191260" cy="23114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75"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type w:val="continuous"/>
        </w:sectPr>
      </w:pPr>
    </w:p>
    <w:bookmarkStart w:id="87" w:name="page88"/>
    <w:bookmarkEnd w:id="8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77"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Taxation Considerations Regarding</w:t>
      </w:r>
    </w:p>
    <w:p>
      <w:pPr>
        <w:spacing w:after="0" w:line="34"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Executive Compensation</w:t>
      </w:r>
    </w:p>
    <w:p>
      <w:pPr>
        <w:spacing w:after="0" w:line="273" w:lineRule="exact"/>
        <w:rPr>
          <w:sz w:val="20"/>
          <w:szCs w:val="20"/>
          <w:color w:val="auto"/>
        </w:rPr>
      </w:pPr>
    </w:p>
    <w:p>
      <w:pPr>
        <w:ind w:right="140"/>
        <w:spacing w:after="0" w:line="244" w:lineRule="auto"/>
        <w:rPr>
          <w:sz w:val="20"/>
          <w:szCs w:val="20"/>
          <w:color w:val="auto"/>
        </w:rPr>
      </w:pPr>
      <w:r>
        <w:rPr>
          <w:rFonts w:ascii="Arial" w:cs="Arial" w:eastAsia="Arial" w:hAnsi="Arial"/>
          <w:sz w:val="18"/>
          <w:szCs w:val="18"/>
          <w:color w:val="auto"/>
        </w:rPr>
        <w:t>Pursuant to Section 162(m) of the Internal Revenue Code (the “Code”), for federal income tax purposes, publicly traded corporations generally are not permitted to deduct annual compensation in excess of $1 million paid to any of certain top executives. The Committee and the Board may weigh the tax consequences of the total compensation program when setting the total compensation package for an officer. However, the Committee and the Board do not routinely apply the tax-deductibility rules to limit what they determine otherwise to be necessary and appropriate compensation awards or as a justification for awarding compensation below $1 million.</w:t>
      </w:r>
    </w:p>
    <w:p>
      <w:pPr>
        <w:spacing w:after="0" w:line="136" w:lineRule="exact"/>
        <w:rPr>
          <w:sz w:val="20"/>
          <w:szCs w:val="20"/>
          <w:color w:val="auto"/>
        </w:rPr>
      </w:pPr>
    </w:p>
    <w:p>
      <w:pPr>
        <w:ind w:right="120"/>
        <w:spacing w:after="0"/>
        <w:rPr>
          <w:sz w:val="20"/>
          <w:szCs w:val="20"/>
          <w:color w:val="auto"/>
        </w:rPr>
      </w:pPr>
      <w:r>
        <w:rPr>
          <w:rFonts w:ascii="Arial" w:cs="Arial" w:eastAsia="Arial" w:hAnsi="Arial"/>
          <w:sz w:val="18"/>
          <w:szCs w:val="18"/>
          <w:color w:val="auto"/>
        </w:rPr>
        <w:t>As a result of changes made by the 2017 Tax Cuts and Jobs Act, certain “performance-based” compensation, which was excludible from the scope of Section 162(m) under prior law, must now be included in determining the $1 million limitation unless it qualifies under a transition rule applicable to certain compensation arrangements in place as of November 2, 2017. In December 2020, the Internal Revenue Service released final regulations which provide additional guidance related to this transition rule. The Company continues to believe that performance-based awards granted to our executive officers, and in place as of November 2, 2017, are deductible under this transition rule. Further, the Committee reserves the right to modify compensation that was initially intended to be exempt from Section 162(m) if it determines that such modifications are consistent with the Company’s business needs.</w:t>
      </w:r>
    </w:p>
    <w:p>
      <w:pPr>
        <w:spacing w:after="0" w:line="167"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9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95675"/>
              </w:rPr>
              <w:t>79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88" w:name="page89"/>
    <w:bookmarkEnd w:id="8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308"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NEO Pay Summaries</w:t>
      </w:r>
    </w:p>
    <w:p>
      <w:pPr>
        <w:spacing w:after="0" w:line="345" w:lineRule="exact"/>
        <w:rPr>
          <w:sz w:val="20"/>
          <w:szCs w:val="20"/>
          <w:color w:val="auto"/>
        </w:rPr>
      </w:pPr>
    </w:p>
    <w:p>
      <w:pPr>
        <w:spacing w:after="0"/>
        <w:rPr>
          <w:sz w:val="20"/>
          <w:szCs w:val="20"/>
          <w:color w:val="auto"/>
        </w:rPr>
      </w:pPr>
      <w:r>
        <w:rPr>
          <w:rFonts w:ascii="Arial" w:cs="Arial" w:eastAsia="Arial" w:hAnsi="Arial"/>
          <w:sz w:val="17"/>
          <w:szCs w:val="17"/>
          <w:color w:val="auto"/>
        </w:rPr>
        <w:t>The charts below illustrate the strong emphasis that we place on performance-based, shareholder-aligned incentive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136525</wp:posOffset>
            </wp:positionV>
            <wp:extent cx="6249035" cy="711517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6249035" cy="7115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spacing w:after="0"/>
        <w:rPr>
          <w:sz w:val="20"/>
          <w:szCs w:val="20"/>
          <w:color w:val="auto"/>
        </w:rPr>
      </w:pPr>
      <w:r>
        <w:rPr>
          <w:rFonts w:ascii="Arial" w:cs="Arial" w:eastAsia="Arial" w:hAnsi="Arial"/>
          <w:sz w:val="14"/>
          <w:szCs w:val="14"/>
          <w:b w:val="1"/>
          <w:bCs w:val="1"/>
          <w:color w:val="395675"/>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0400"/>
          </w:cols>
          <w:pgMar w:left="320" w:top="125" w:right="1179" w:bottom="1440" w:gutter="0" w:footer="0" w:header="0"/>
        </w:sectPr>
      </w:pPr>
    </w:p>
    <w:bookmarkStart w:id="89" w:name="page90"/>
    <w:bookmarkEnd w:id="8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97"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Executive Compensation Tables</w:t>
      </w:r>
    </w:p>
    <w:p>
      <w:pPr>
        <w:spacing w:after="0" w:line="21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Summary Compensation Table</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provides information concerning the total compensation earned or paid to the Company’s NEOs:</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4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Change in</w:t>
            </w:r>
          </w:p>
        </w:tc>
        <w:tc>
          <w:tcPr>
            <w:tcW w:w="1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Pension</w:t>
            </w:r>
          </w:p>
        </w:tc>
        <w:tc>
          <w:tcPr>
            <w:tcW w:w="1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Value and</w:t>
            </w:r>
          </w:p>
        </w:tc>
        <w:tc>
          <w:tcPr>
            <w:tcW w:w="1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Nonqualified</w:t>
            </w:r>
          </w:p>
        </w:tc>
        <w:tc>
          <w:tcPr>
            <w:tcW w:w="1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Non-Equity</w:t>
            </w: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Deferred</w:t>
            </w:r>
          </w:p>
        </w:tc>
        <w:tc>
          <w:tcPr>
            <w:tcW w:w="1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Stock</w:t>
            </w: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Incentive Plan</w:t>
            </w: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Compensation</w:t>
            </w:r>
          </w:p>
        </w:tc>
        <w:tc>
          <w:tcPr>
            <w:tcW w:w="11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All Other</w:t>
            </w: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00" w:type="dxa"/>
            <w:vAlign w:val="bottom"/>
          </w:tcPr>
          <w:p>
            <w:pPr>
              <w:ind w:left="60"/>
              <w:spacing w:after="0"/>
              <w:rPr>
                <w:sz w:val="20"/>
                <w:szCs w:val="20"/>
                <w:color w:val="auto"/>
              </w:rPr>
            </w:pPr>
            <w:r>
              <w:rPr>
                <w:rFonts w:ascii="Arial" w:cs="Arial" w:eastAsia="Arial" w:hAnsi="Arial"/>
                <w:sz w:val="14"/>
                <w:szCs w:val="14"/>
                <w:b w:val="1"/>
                <w:bCs w:val="1"/>
                <w:color w:val="355675"/>
              </w:rPr>
              <w:t>Name and</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Salary</w:t>
            </w:r>
          </w:p>
        </w:tc>
        <w:tc>
          <w:tcPr>
            <w:tcW w:w="70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Bonus</w:t>
            </w:r>
          </w:p>
        </w:tc>
        <w:tc>
          <w:tcPr>
            <w:tcW w:w="8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Awards</w:t>
            </w: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Compensation</w:t>
            </w:r>
          </w:p>
        </w:tc>
        <w:tc>
          <w:tcPr>
            <w:tcW w:w="11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Earnings</w:t>
            </w:r>
          </w:p>
        </w:tc>
        <w:tc>
          <w:tcPr>
            <w:tcW w:w="11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Compensation</w:t>
            </w:r>
          </w:p>
        </w:tc>
        <w:tc>
          <w:tcPr>
            <w:tcW w:w="780" w:type="dxa"/>
            <w:vAlign w:val="bottom"/>
          </w:tcPr>
          <w:p>
            <w:pPr>
              <w:jc w:val="right"/>
              <w:spacing w:after="0"/>
              <w:rPr>
                <w:sz w:val="20"/>
                <w:szCs w:val="20"/>
                <w:color w:val="auto"/>
              </w:rPr>
            </w:pPr>
            <w:r>
              <w:rPr>
                <w:rFonts w:ascii="Arial" w:cs="Arial" w:eastAsia="Arial" w:hAnsi="Arial"/>
                <w:sz w:val="14"/>
                <w:szCs w:val="14"/>
                <w:b w:val="1"/>
                <w:bCs w:val="1"/>
                <w:color w:val="355675"/>
              </w:rPr>
              <w:t>Total</w:t>
            </w:r>
          </w:p>
        </w:tc>
        <w:tc>
          <w:tcPr>
            <w:tcW w:w="0" w:type="dxa"/>
            <w:vAlign w:val="bottom"/>
          </w:tcPr>
          <w:p>
            <w:pPr>
              <w:spacing w:after="0"/>
              <w:rPr>
                <w:sz w:val="1"/>
                <w:szCs w:val="1"/>
                <w:color w:val="auto"/>
              </w:rPr>
            </w:pPr>
          </w:p>
        </w:tc>
      </w:tr>
      <w:tr>
        <w:trPr>
          <w:trHeight w:val="216"/>
        </w:trPr>
        <w:tc>
          <w:tcPr>
            <w:tcW w:w="4000" w:type="dxa"/>
            <w:vAlign w:val="bottom"/>
          </w:tcPr>
          <w:p>
            <w:pPr>
              <w:ind w:left="60"/>
              <w:spacing w:after="0"/>
              <w:rPr>
                <w:sz w:val="20"/>
                <w:szCs w:val="20"/>
                <w:color w:val="auto"/>
              </w:rPr>
            </w:pPr>
            <w:r>
              <w:rPr>
                <w:rFonts w:ascii="Arial" w:cs="Arial" w:eastAsia="Arial" w:hAnsi="Arial"/>
                <w:sz w:val="14"/>
                <w:szCs w:val="14"/>
                <w:b w:val="1"/>
                <w:bCs w:val="1"/>
                <w:color w:val="355675"/>
              </w:rPr>
              <w:t>Principal Position</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4"/>
                <w:szCs w:val="14"/>
                <w:b w:val="1"/>
                <w:bCs w:val="1"/>
                <w:color w:val="355675"/>
              </w:rPr>
              <w:t>Year</w:t>
            </w: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w:t>
            </w:r>
          </w:p>
        </w:tc>
        <w:tc>
          <w:tcPr>
            <w:tcW w:w="70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w:t>
            </w:r>
          </w:p>
        </w:tc>
        <w:tc>
          <w:tcPr>
            <w:tcW w:w="840" w:type="dxa"/>
            <w:vAlign w:val="bottom"/>
            <w:gridSpan w:val="2"/>
          </w:tcPr>
          <w:p>
            <w:pPr>
              <w:jc w:val="right"/>
              <w:ind w:right="12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(1)</w:t>
            </w:r>
          </w:p>
        </w:tc>
        <w:tc>
          <w:tcPr>
            <w:tcW w:w="1140" w:type="dxa"/>
            <w:vAlign w:val="bottom"/>
            <w:gridSpan w:val="2"/>
          </w:tcPr>
          <w:p>
            <w:pPr>
              <w:jc w:val="right"/>
              <w:ind w:right="10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(2)</w:t>
            </w:r>
          </w:p>
        </w:tc>
        <w:tc>
          <w:tcPr>
            <w:tcW w:w="1140" w:type="dxa"/>
            <w:vAlign w:val="bottom"/>
            <w:gridSpan w:val="2"/>
          </w:tcPr>
          <w:p>
            <w:pPr>
              <w:jc w:val="right"/>
              <w:ind w:right="10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(3)</w:t>
            </w:r>
          </w:p>
        </w:tc>
        <w:tc>
          <w:tcPr>
            <w:tcW w:w="1160" w:type="dxa"/>
            <w:vAlign w:val="bottom"/>
            <w:gridSpan w:val="2"/>
          </w:tcPr>
          <w:p>
            <w:pPr>
              <w:jc w:val="right"/>
              <w:ind w:right="12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(4)</w:t>
            </w:r>
          </w:p>
        </w:tc>
        <w:tc>
          <w:tcPr>
            <w:tcW w:w="780" w:type="dxa"/>
            <w:vAlign w:val="bottom"/>
          </w:tcPr>
          <w:p>
            <w:pPr>
              <w:jc w:val="right"/>
              <w:spacing w:after="0"/>
              <w:rPr>
                <w:sz w:val="20"/>
                <w:szCs w:val="20"/>
                <w:color w:val="auto"/>
              </w:rPr>
            </w:pPr>
            <w:r>
              <w:rPr>
                <w:rFonts w:ascii="Arial" w:cs="Arial" w:eastAsia="Arial" w:hAnsi="Arial"/>
                <w:sz w:val="14"/>
                <w:szCs w:val="14"/>
                <w:b w:val="1"/>
                <w:bCs w:val="1"/>
                <w:color w:val="355675"/>
              </w:rPr>
              <w:t>($)</w:t>
            </w:r>
          </w:p>
        </w:tc>
        <w:tc>
          <w:tcPr>
            <w:tcW w:w="0" w:type="dxa"/>
            <w:vAlign w:val="bottom"/>
          </w:tcPr>
          <w:p>
            <w:pPr>
              <w:spacing w:after="0"/>
              <w:rPr>
                <w:sz w:val="1"/>
                <w:szCs w:val="1"/>
                <w:color w:val="auto"/>
              </w:rPr>
            </w:pPr>
          </w:p>
        </w:tc>
      </w:tr>
      <w:tr>
        <w:trPr>
          <w:trHeight w:val="54"/>
        </w:trPr>
        <w:tc>
          <w:tcPr>
            <w:tcW w:w="400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4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58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80" w:type="dxa"/>
            <w:vAlign w:val="bottom"/>
            <w:shd w:val="clear" w:color="auto" w:fill="355675"/>
          </w:tcPr>
          <w:p>
            <w:pPr>
              <w:spacing w:after="0"/>
              <w:rPr>
                <w:sz w:val="4"/>
                <w:szCs w:val="4"/>
                <w:color w:val="auto"/>
              </w:rPr>
            </w:pPr>
          </w:p>
        </w:tc>
        <w:tc>
          <w:tcPr>
            <w:tcW w:w="0" w:type="dxa"/>
            <w:vAlign w:val="bottom"/>
          </w:tcPr>
          <w:p>
            <w:pPr>
              <w:spacing w:after="0"/>
              <w:rPr>
                <w:sz w:val="1"/>
                <w:szCs w:val="1"/>
                <w:color w:val="auto"/>
              </w:rPr>
            </w:pPr>
          </w:p>
        </w:tc>
      </w:tr>
      <w:tr>
        <w:trPr>
          <w:trHeight w:val="172"/>
        </w:trPr>
        <w:tc>
          <w:tcPr>
            <w:tcW w:w="4000" w:type="dxa"/>
            <w:vAlign w:val="bottom"/>
          </w:tcPr>
          <w:p>
            <w:pPr>
              <w:ind w:left="60"/>
              <w:spacing w:after="0"/>
              <w:rPr>
                <w:sz w:val="20"/>
                <w:szCs w:val="20"/>
                <w:color w:val="auto"/>
              </w:rPr>
            </w:pPr>
            <w:r>
              <w:rPr>
                <w:rFonts w:ascii="Arial" w:cs="Arial" w:eastAsia="Arial" w:hAnsi="Arial"/>
                <w:sz w:val="15"/>
                <w:szCs w:val="15"/>
                <w:b w:val="1"/>
                <w:bCs w:val="1"/>
                <w:color w:val="355675"/>
              </w:rPr>
              <w:t>Jeffrey B. Guldner,</w:t>
            </w:r>
          </w:p>
        </w:tc>
        <w:tc>
          <w:tcPr>
            <w:tcW w:w="10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2021</w:t>
            </w:r>
          </w:p>
        </w:tc>
        <w:tc>
          <w:tcPr>
            <w:tcW w:w="10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1,100,000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4,079,762</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1,790,074</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1,099,555</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30,766</w:t>
            </w:r>
          </w:p>
        </w:tc>
        <w:tc>
          <w:tcPr>
            <w:tcW w:w="780" w:type="dxa"/>
            <w:vAlign w:val="bottom"/>
          </w:tcPr>
          <w:p>
            <w:pPr>
              <w:jc w:val="right"/>
              <w:spacing w:after="0"/>
              <w:rPr>
                <w:sz w:val="20"/>
                <w:szCs w:val="20"/>
                <w:color w:val="auto"/>
              </w:rPr>
            </w:pPr>
            <w:r>
              <w:rPr>
                <w:rFonts w:ascii="Arial" w:cs="Arial" w:eastAsia="Arial" w:hAnsi="Arial"/>
                <w:sz w:val="15"/>
                <w:szCs w:val="15"/>
                <w:color w:val="auto"/>
              </w:rPr>
              <w:t>8,100,157</w:t>
            </w:r>
          </w:p>
        </w:tc>
        <w:tc>
          <w:tcPr>
            <w:tcW w:w="0" w:type="dxa"/>
            <w:vAlign w:val="bottom"/>
          </w:tcPr>
          <w:p>
            <w:pPr>
              <w:spacing w:after="0"/>
              <w:rPr>
                <w:sz w:val="1"/>
                <w:szCs w:val="1"/>
                <w:color w:val="auto"/>
              </w:rPr>
            </w:pPr>
          </w:p>
        </w:tc>
      </w:tr>
      <w:tr>
        <w:trPr>
          <w:trHeight w:val="44"/>
        </w:trPr>
        <w:tc>
          <w:tcPr>
            <w:tcW w:w="4000" w:type="dxa"/>
            <w:vAlign w:val="bottom"/>
            <w:vMerge w:val="restart"/>
          </w:tcPr>
          <w:p>
            <w:pPr>
              <w:ind w:left="60"/>
              <w:spacing w:after="0" w:line="162" w:lineRule="exact"/>
              <w:rPr>
                <w:sz w:val="20"/>
                <w:szCs w:val="20"/>
                <w:color w:val="auto"/>
              </w:rPr>
            </w:pPr>
            <w:r>
              <w:rPr>
                <w:rFonts w:ascii="Arial" w:cs="Arial" w:eastAsia="Arial" w:hAnsi="Arial"/>
                <w:sz w:val="15"/>
                <w:szCs w:val="15"/>
                <w:color w:val="auto"/>
              </w:rPr>
              <w:t>Chairman of the Board, President and Chief Executive</w:t>
            </w:r>
          </w:p>
        </w:tc>
        <w:tc>
          <w:tcPr>
            <w:tcW w:w="100" w:type="dxa"/>
            <w:vAlign w:val="bottom"/>
          </w:tcPr>
          <w:p>
            <w:pPr>
              <w:spacing w:after="0"/>
              <w:rPr>
                <w:sz w:val="3"/>
                <w:szCs w:val="3"/>
                <w:color w:val="auto"/>
              </w:rPr>
            </w:pPr>
          </w:p>
        </w:tc>
        <w:tc>
          <w:tcPr>
            <w:tcW w:w="440" w:type="dxa"/>
            <w:vAlign w:val="bottom"/>
            <w:tcBorders>
              <w:bottom w:val="single" w:sz="8" w:color="939598"/>
            </w:tcBorders>
          </w:tcPr>
          <w:p>
            <w:pPr>
              <w:spacing w:after="0"/>
              <w:rPr>
                <w:sz w:val="3"/>
                <w:szCs w:val="3"/>
                <w:color w:val="auto"/>
              </w:rPr>
            </w:pPr>
          </w:p>
        </w:tc>
        <w:tc>
          <w:tcPr>
            <w:tcW w:w="100" w:type="dxa"/>
            <w:vAlign w:val="bottom"/>
          </w:tcPr>
          <w:p>
            <w:pPr>
              <w:spacing w:after="0"/>
              <w:rPr>
                <w:sz w:val="3"/>
                <w:szCs w:val="3"/>
                <w:color w:val="auto"/>
              </w:rPr>
            </w:pPr>
          </w:p>
        </w:tc>
        <w:tc>
          <w:tcPr>
            <w:tcW w:w="720" w:type="dxa"/>
            <w:vAlign w:val="bottom"/>
            <w:tcBorders>
              <w:bottom w:val="single" w:sz="8" w:color="939598"/>
            </w:tcBorders>
          </w:tcPr>
          <w:p>
            <w:pPr>
              <w:spacing w:after="0"/>
              <w:rPr>
                <w:sz w:val="3"/>
                <w:szCs w:val="3"/>
                <w:color w:val="auto"/>
              </w:rPr>
            </w:pPr>
          </w:p>
        </w:tc>
        <w:tc>
          <w:tcPr>
            <w:tcW w:w="120" w:type="dxa"/>
            <w:vAlign w:val="bottom"/>
          </w:tcPr>
          <w:p>
            <w:pPr>
              <w:spacing w:after="0"/>
              <w:rPr>
                <w:sz w:val="3"/>
                <w:szCs w:val="3"/>
                <w:color w:val="auto"/>
              </w:rPr>
            </w:pPr>
          </w:p>
        </w:tc>
        <w:tc>
          <w:tcPr>
            <w:tcW w:w="580" w:type="dxa"/>
            <w:vAlign w:val="bottom"/>
            <w:tcBorders>
              <w:bottom w:val="single" w:sz="8" w:color="939598"/>
            </w:tcBorders>
          </w:tcPr>
          <w:p>
            <w:pPr>
              <w:spacing w:after="0"/>
              <w:rPr>
                <w:sz w:val="3"/>
                <w:szCs w:val="3"/>
                <w:color w:val="auto"/>
              </w:rPr>
            </w:pPr>
          </w:p>
        </w:tc>
        <w:tc>
          <w:tcPr>
            <w:tcW w:w="120" w:type="dxa"/>
            <w:vAlign w:val="bottom"/>
          </w:tcPr>
          <w:p>
            <w:pPr>
              <w:spacing w:after="0"/>
              <w:rPr>
                <w:sz w:val="3"/>
                <w:szCs w:val="3"/>
                <w:color w:val="auto"/>
              </w:rPr>
            </w:pPr>
          </w:p>
        </w:tc>
        <w:tc>
          <w:tcPr>
            <w:tcW w:w="720" w:type="dxa"/>
            <w:vAlign w:val="bottom"/>
            <w:tcBorders>
              <w:bottom w:val="single" w:sz="8" w:color="939598"/>
            </w:tcBorders>
          </w:tcPr>
          <w:p>
            <w:pPr>
              <w:spacing w:after="0"/>
              <w:rPr>
                <w:sz w:val="3"/>
                <w:szCs w:val="3"/>
                <w:color w:val="auto"/>
              </w:rPr>
            </w:pPr>
          </w:p>
        </w:tc>
        <w:tc>
          <w:tcPr>
            <w:tcW w:w="120" w:type="dxa"/>
            <w:vAlign w:val="bottom"/>
          </w:tcPr>
          <w:p>
            <w:pPr>
              <w:spacing w:after="0"/>
              <w:rPr>
                <w:sz w:val="3"/>
                <w:szCs w:val="3"/>
                <w:color w:val="auto"/>
              </w:rPr>
            </w:pPr>
          </w:p>
        </w:tc>
        <w:tc>
          <w:tcPr>
            <w:tcW w:w="1040" w:type="dxa"/>
            <w:vAlign w:val="bottom"/>
            <w:tcBorders>
              <w:bottom w:val="single" w:sz="8" w:color="939598"/>
            </w:tcBorders>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Borders>
              <w:bottom w:val="single" w:sz="8" w:color="939598"/>
            </w:tcBorders>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Borders>
              <w:bottom w:val="single" w:sz="8" w:color="939598"/>
            </w:tcBorders>
          </w:tcPr>
          <w:p>
            <w:pPr>
              <w:spacing w:after="0"/>
              <w:rPr>
                <w:sz w:val="3"/>
                <w:szCs w:val="3"/>
                <w:color w:val="auto"/>
              </w:rPr>
            </w:pPr>
          </w:p>
        </w:tc>
        <w:tc>
          <w:tcPr>
            <w:tcW w:w="120" w:type="dxa"/>
            <w:vAlign w:val="bottom"/>
          </w:tcPr>
          <w:p>
            <w:pPr>
              <w:spacing w:after="0"/>
              <w:rPr>
                <w:sz w:val="3"/>
                <w:szCs w:val="3"/>
                <w:color w:val="auto"/>
              </w:rPr>
            </w:pPr>
          </w:p>
        </w:tc>
        <w:tc>
          <w:tcPr>
            <w:tcW w:w="780" w:type="dxa"/>
            <w:vAlign w:val="bottom"/>
            <w:tcBorders>
              <w:bottom w:val="single" w:sz="8" w:color="939598"/>
            </w:tcBorders>
          </w:tcPr>
          <w:p>
            <w:pPr>
              <w:spacing w:after="0"/>
              <w:rPr>
                <w:sz w:val="3"/>
                <w:szCs w:val="3"/>
                <w:color w:val="auto"/>
              </w:rPr>
            </w:pPr>
          </w:p>
        </w:tc>
        <w:tc>
          <w:tcPr>
            <w:tcW w:w="0" w:type="dxa"/>
            <w:vAlign w:val="bottom"/>
          </w:tcPr>
          <w:p>
            <w:pPr>
              <w:spacing w:after="0"/>
              <w:rPr>
                <w:sz w:val="1"/>
                <w:szCs w:val="1"/>
                <w:color w:val="auto"/>
              </w:rPr>
            </w:pPr>
          </w:p>
        </w:tc>
      </w:tr>
      <w:tr>
        <w:trPr>
          <w:trHeight w:val="98"/>
        </w:trPr>
        <w:tc>
          <w:tcPr>
            <w:tcW w:w="4000" w:type="dxa"/>
            <w:vAlign w:val="bottom"/>
            <w:vMerge w:val="continue"/>
          </w:tcPr>
          <w:p>
            <w:pPr>
              <w:spacing w:after="0"/>
              <w:rPr>
                <w:sz w:val="8"/>
                <w:szCs w:val="8"/>
                <w:color w:val="auto"/>
              </w:rPr>
            </w:pPr>
          </w:p>
        </w:tc>
        <w:tc>
          <w:tcPr>
            <w:tcW w:w="100" w:type="dxa"/>
            <w:vAlign w:val="bottom"/>
            <w:vMerge w:val="restart"/>
          </w:tcPr>
          <w:p>
            <w:pPr>
              <w:spacing w:after="0"/>
              <w:rPr>
                <w:sz w:val="8"/>
                <w:szCs w:val="8"/>
                <w:color w:val="auto"/>
              </w:rPr>
            </w:pPr>
          </w:p>
        </w:tc>
        <w:tc>
          <w:tcPr>
            <w:tcW w:w="440" w:type="dxa"/>
            <w:vAlign w:val="bottom"/>
            <w:vMerge w:val="restart"/>
          </w:tcPr>
          <w:p>
            <w:pPr>
              <w:jc w:val="right"/>
              <w:spacing w:after="0"/>
              <w:rPr>
                <w:sz w:val="20"/>
                <w:szCs w:val="20"/>
                <w:color w:val="auto"/>
              </w:rPr>
            </w:pPr>
            <w:r>
              <w:rPr>
                <w:rFonts w:ascii="Arial" w:cs="Arial" w:eastAsia="Arial" w:hAnsi="Arial"/>
                <w:sz w:val="15"/>
                <w:szCs w:val="15"/>
                <w:color w:val="auto"/>
              </w:rPr>
              <w:t>2020</w:t>
            </w:r>
          </w:p>
        </w:tc>
        <w:tc>
          <w:tcPr>
            <w:tcW w:w="100" w:type="dxa"/>
            <w:vAlign w:val="bottom"/>
          </w:tcPr>
          <w:p>
            <w:pPr>
              <w:spacing w:after="0"/>
              <w:rPr>
                <w:sz w:val="8"/>
                <w:szCs w:val="8"/>
                <w:color w:val="auto"/>
              </w:rPr>
            </w:pP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1,100,000</w:t>
            </w:r>
          </w:p>
        </w:tc>
        <w:tc>
          <w:tcPr>
            <w:tcW w:w="70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3,316,740</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1,551,946</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856,971</w:t>
            </w:r>
          </w:p>
        </w:tc>
        <w:tc>
          <w:tcPr>
            <w:tcW w:w="116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23,798</w:t>
            </w:r>
          </w:p>
        </w:tc>
        <w:tc>
          <w:tcPr>
            <w:tcW w:w="780" w:type="dxa"/>
            <w:vAlign w:val="bottom"/>
            <w:vMerge w:val="restart"/>
          </w:tcPr>
          <w:p>
            <w:pPr>
              <w:jc w:val="right"/>
              <w:spacing w:after="0"/>
              <w:rPr>
                <w:sz w:val="20"/>
                <w:szCs w:val="20"/>
                <w:color w:val="auto"/>
              </w:rPr>
            </w:pPr>
            <w:r>
              <w:rPr>
                <w:rFonts w:ascii="Arial" w:cs="Arial" w:eastAsia="Arial" w:hAnsi="Arial"/>
                <w:sz w:val="15"/>
                <w:szCs w:val="15"/>
                <w:color w:val="auto"/>
              </w:rPr>
              <w:t>6,849,455</w:t>
            </w:r>
          </w:p>
        </w:tc>
        <w:tc>
          <w:tcPr>
            <w:tcW w:w="0" w:type="dxa"/>
            <w:vAlign w:val="bottom"/>
          </w:tcPr>
          <w:p>
            <w:pPr>
              <w:spacing w:after="0"/>
              <w:rPr>
                <w:sz w:val="1"/>
                <w:szCs w:val="1"/>
                <w:color w:val="auto"/>
              </w:rPr>
            </w:pPr>
          </w:p>
        </w:tc>
      </w:tr>
      <w:tr>
        <w:trPr>
          <w:trHeight w:val="109"/>
        </w:trPr>
        <w:tc>
          <w:tcPr>
            <w:tcW w:w="4000" w:type="dxa"/>
            <w:vAlign w:val="bottom"/>
            <w:vMerge w:val="restart"/>
          </w:tcPr>
          <w:p>
            <w:pPr>
              <w:ind w:left="60"/>
              <w:spacing w:after="0"/>
              <w:rPr>
                <w:sz w:val="20"/>
                <w:szCs w:val="20"/>
                <w:color w:val="auto"/>
              </w:rPr>
            </w:pPr>
            <w:r>
              <w:rPr>
                <w:rFonts w:ascii="Arial" w:cs="Arial" w:eastAsia="Arial" w:hAnsi="Arial"/>
                <w:sz w:val="15"/>
                <w:szCs w:val="15"/>
                <w:color w:val="auto"/>
              </w:rPr>
              <w:t>Officer of PNW and APS</w:t>
            </w:r>
          </w:p>
        </w:tc>
        <w:tc>
          <w:tcPr>
            <w:tcW w:w="100" w:type="dxa"/>
            <w:vAlign w:val="bottom"/>
            <w:vMerge w:val="continue"/>
          </w:tcPr>
          <w:p>
            <w:pPr>
              <w:spacing w:after="0"/>
              <w:rPr>
                <w:sz w:val="9"/>
                <w:szCs w:val="9"/>
                <w:color w:val="auto"/>
              </w:rPr>
            </w:pPr>
          </w:p>
        </w:tc>
        <w:tc>
          <w:tcPr>
            <w:tcW w:w="44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840" w:type="dxa"/>
            <w:vAlign w:val="bottom"/>
            <w:gridSpan w:val="2"/>
            <w:vMerge w:val="continue"/>
          </w:tcPr>
          <w:p>
            <w:pPr>
              <w:spacing w:after="0"/>
              <w:rPr>
                <w:sz w:val="9"/>
                <w:szCs w:val="9"/>
                <w:color w:val="auto"/>
              </w:rPr>
            </w:pPr>
          </w:p>
        </w:tc>
        <w:tc>
          <w:tcPr>
            <w:tcW w:w="700" w:type="dxa"/>
            <w:vAlign w:val="bottom"/>
            <w:gridSpan w:val="2"/>
            <w:vMerge w:val="continue"/>
          </w:tcPr>
          <w:p>
            <w:pPr>
              <w:spacing w:after="0"/>
              <w:rPr>
                <w:sz w:val="9"/>
                <w:szCs w:val="9"/>
                <w:color w:val="auto"/>
              </w:rPr>
            </w:pPr>
          </w:p>
        </w:tc>
        <w:tc>
          <w:tcPr>
            <w:tcW w:w="840" w:type="dxa"/>
            <w:vAlign w:val="bottom"/>
            <w:gridSpan w:val="2"/>
            <w:vMerge w:val="continue"/>
          </w:tcPr>
          <w:p>
            <w:pPr>
              <w:spacing w:after="0"/>
              <w:rPr>
                <w:sz w:val="9"/>
                <w:szCs w:val="9"/>
                <w:color w:val="auto"/>
              </w:rPr>
            </w:pPr>
          </w:p>
        </w:tc>
        <w:tc>
          <w:tcPr>
            <w:tcW w:w="1140" w:type="dxa"/>
            <w:vAlign w:val="bottom"/>
            <w:gridSpan w:val="2"/>
            <w:vMerge w:val="continue"/>
          </w:tcPr>
          <w:p>
            <w:pPr>
              <w:spacing w:after="0"/>
              <w:rPr>
                <w:sz w:val="9"/>
                <w:szCs w:val="9"/>
                <w:color w:val="auto"/>
              </w:rPr>
            </w:pPr>
          </w:p>
        </w:tc>
        <w:tc>
          <w:tcPr>
            <w:tcW w:w="1140" w:type="dxa"/>
            <w:vAlign w:val="bottom"/>
            <w:gridSpan w:val="2"/>
            <w:vMerge w:val="continue"/>
          </w:tcPr>
          <w:p>
            <w:pPr>
              <w:spacing w:after="0"/>
              <w:rPr>
                <w:sz w:val="9"/>
                <w:szCs w:val="9"/>
                <w:color w:val="auto"/>
              </w:rPr>
            </w:pPr>
          </w:p>
        </w:tc>
        <w:tc>
          <w:tcPr>
            <w:tcW w:w="1160" w:type="dxa"/>
            <w:vAlign w:val="bottom"/>
            <w:gridSpan w:val="2"/>
            <w:vMerge w:val="continue"/>
          </w:tcPr>
          <w:p>
            <w:pPr>
              <w:spacing w:after="0"/>
              <w:rPr>
                <w:sz w:val="9"/>
                <w:szCs w:val="9"/>
                <w:color w:val="auto"/>
              </w:rPr>
            </w:pPr>
          </w:p>
        </w:tc>
        <w:tc>
          <w:tcPr>
            <w:tcW w:w="7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0"/>
        </w:trPr>
        <w:tc>
          <w:tcPr>
            <w:tcW w:w="4000" w:type="dxa"/>
            <w:vAlign w:val="bottom"/>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8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2"/>
        </w:trPr>
        <w:tc>
          <w:tcPr>
            <w:tcW w:w="4000" w:type="dxa"/>
            <w:vAlign w:val="bottom"/>
            <w:vMerge w:val="continue"/>
          </w:tcPr>
          <w:p>
            <w:pPr>
              <w:spacing w:after="0"/>
              <w:rPr>
                <w:sz w:val="6"/>
                <w:szCs w:val="6"/>
                <w:color w:val="auto"/>
              </w:rPr>
            </w:pPr>
          </w:p>
        </w:tc>
        <w:tc>
          <w:tcPr>
            <w:tcW w:w="100" w:type="dxa"/>
            <w:vAlign w:val="bottom"/>
            <w:vMerge w:val="restart"/>
          </w:tcPr>
          <w:p>
            <w:pPr>
              <w:spacing w:after="0"/>
              <w:rPr>
                <w:sz w:val="6"/>
                <w:szCs w:val="6"/>
                <w:color w:val="auto"/>
              </w:rPr>
            </w:pPr>
          </w:p>
        </w:tc>
        <w:tc>
          <w:tcPr>
            <w:tcW w:w="440" w:type="dxa"/>
            <w:vAlign w:val="bottom"/>
            <w:vMerge w:val="restart"/>
          </w:tcPr>
          <w:p>
            <w:pPr>
              <w:jc w:val="right"/>
              <w:spacing w:after="0"/>
              <w:rPr>
                <w:sz w:val="20"/>
                <w:szCs w:val="20"/>
                <w:color w:val="auto"/>
              </w:rPr>
            </w:pPr>
            <w:r>
              <w:rPr>
                <w:rFonts w:ascii="Arial" w:cs="Arial" w:eastAsia="Arial" w:hAnsi="Arial"/>
                <w:sz w:val="15"/>
                <w:szCs w:val="15"/>
                <w:color w:val="auto"/>
              </w:rPr>
              <w:t>2019</w:t>
            </w:r>
          </w:p>
        </w:tc>
        <w:tc>
          <w:tcPr>
            <w:tcW w:w="100" w:type="dxa"/>
            <w:vAlign w:val="bottom"/>
          </w:tcPr>
          <w:p>
            <w:pPr>
              <w:spacing w:after="0"/>
              <w:rPr>
                <w:sz w:val="6"/>
                <w:szCs w:val="6"/>
                <w:color w:val="auto"/>
              </w:rPr>
            </w:pP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777,644</w:t>
            </w:r>
          </w:p>
        </w:tc>
        <w:tc>
          <w:tcPr>
            <w:tcW w:w="70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1,821,229</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716,247</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551,217</w:t>
            </w:r>
          </w:p>
        </w:tc>
        <w:tc>
          <w:tcPr>
            <w:tcW w:w="116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26,711</w:t>
            </w:r>
          </w:p>
        </w:tc>
        <w:tc>
          <w:tcPr>
            <w:tcW w:w="780" w:type="dxa"/>
            <w:vAlign w:val="bottom"/>
            <w:vMerge w:val="restart"/>
          </w:tcPr>
          <w:p>
            <w:pPr>
              <w:jc w:val="right"/>
              <w:spacing w:after="0"/>
              <w:rPr>
                <w:sz w:val="20"/>
                <w:szCs w:val="20"/>
                <w:color w:val="auto"/>
              </w:rPr>
            </w:pPr>
            <w:r>
              <w:rPr>
                <w:rFonts w:ascii="Arial" w:cs="Arial" w:eastAsia="Arial" w:hAnsi="Arial"/>
                <w:sz w:val="15"/>
                <w:szCs w:val="15"/>
                <w:color w:val="auto"/>
              </w:rPr>
              <w:t>3,893,048</w:t>
            </w:r>
          </w:p>
        </w:tc>
        <w:tc>
          <w:tcPr>
            <w:tcW w:w="0" w:type="dxa"/>
            <w:vAlign w:val="bottom"/>
          </w:tcPr>
          <w:p>
            <w:pPr>
              <w:spacing w:after="0"/>
              <w:rPr>
                <w:sz w:val="1"/>
                <w:szCs w:val="1"/>
                <w:color w:val="auto"/>
              </w:rPr>
            </w:pPr>
          </w:p>
        </w:tc>
      </w:tr>
      <w:tr>
        <w:trPr>
          <w:trHeight w:val="138"/>
        </w:trPr>
        <w:tc>
          <w:tcPr>
            <w:tcW w:w="4000" w:type="dxa"/>
            <w:vAlign w:val="bottom"/>
          </w:tcPr>
          <w:p>
            <w:pPr>
              <w:spacing w:after="0"/>
              <w:rPr>
                <w:sz w:val="12"/>
                <w:szCs w:val="12"/>
                <w:color w:val="auto"/>
              </w:rPr>
            </w:pPr>
          </w:p>
        </w:tc>
        <w:tc>
          <w:tcPr>
            <w:tcW w:w="100" w:type="dxa"/>
            <w:vAlign w:val="bottom"/>
            <w:vMerge w:val="continue"/>
          </w:tcPr>
          <w:p>
            <w:pPr>
              <w:spacing w:after="0"/>
              <w:rPr>
                <w:sz w:val="12"/>
                <w:szCs w:val="12"/>
                <w:color w:val="auto"/>
              </w:rPr>
            </w:pPr>
          </w:p>
        </w:tc>
        <w:tc>
          <w:tcPr>
            <w:tcW w:w="44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60" w:type="dxa"/>
            <w:vAlign w:val="bottom"/>
            <w:gridSpan w:val="2"/>
            <w:vMerge w:val="continue"/>
          </w:tcPr>
          <w:p>
            <w:pPr>
              <w:spacing w:after="0"/>
              <w:rPr>
                <w:sz w:val="12"/>
                <w:szCs w:val="12"/>
                <w:color w:val="auto"/>
              </w:rPr>
            </w:pPr>
          </w:p>
        </w:tc>
        <w:tc>
          <w:tcPr>
            <w:tcW w:w="7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57"/>
        </w:trPr>
        <w:tc>
          <w:tcPr>
            <w:tcW w:w="400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4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58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80" w:type="dxa"/>
            <w:vAlign w:val="bottom"/>
            <w:shd w:val="clear" w:color="auto" w:fill="355675"/>
          </w:tcPr>
          <w:p>
            <w:pPr>
              <w:spacing w:after="0"/>
              <w:rPr>
                <w:sz w:val="4"/>
                <w:szCs w:val="4"/>
                <w:color w:val="auto"/>
              </w:rPr>
            </w:pPr>
          </w:p>
        </w:tc>
        <w:tc>
          <w:tcPr>
            <w:tcW w:w="0" w:type="dxa"/>
            <w:vAlign w:val="bottom"/>
          </w:tcPr>
          <w:p>
            <w:pPr>
              <w:spacing w:after="0"/>
              <w:rPr>
                <w:sz w:val="1"/>
                <w:szCs w:val="1"/>
                <w:color w:val="auto"/>
              </w:rPr>
            </w:pPr>
          </w:p>
        </w:tc>
      </w:tr>
      <w:tr>
        <w:trPr>
          <w:trHeight w:val="172"/>
        </w:trPr>
        <w:tc>
          <w:tcPr>
            <w:tcW w:w="4000" w:type="dxa"/>
            <w:vAlign w:val="bottom"/>
          </w:tcPr>
          <w:p>
            <w:pPr>
              <w:ind w:left="60"/>
              <w:spacing w:after="0"/>
              <w:rPr>
                <w:sz w:val="20"/>
                <w:szCs w:val="20"/>
                <w:color w:val="auto"/>
              </w:rPr>
            </w:pPr>
            <w:r>
              <w:rPr>
                <w:rFonts w:ascii="Arial" w:cs="Arial" w:eastAsia="Arial" w:hAnsi="Arial"/>
                <w:sz w:val="15"/>
                <w:szCs w:val="15"/>
                <w:b w:val="1"/>
                <w:bCs w:val="1"/>
                <w:color w:val="355675"/>
              </w:rPr>
              <w:t>Theodore N. Geisler,</w:t>
            </w:r>
          </w:p>
        </w:tc>
        <w:tc>
          <w:tcPr>
            <w:tcW w:w="10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2021</w:t>
            </w:r>
          </w:p>
        </w:tc>
        <w:tc>
          <w:tcPr>
            <w:tcW w:w="10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450,000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1,051,582</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447,757</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93,957</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28,489</w:t>
            </w:r>
          </w:p>
        </w:tc>
        <w:tc>
          <w:tcPr>
            <w:tcW w:w="780" w:type="dxa"/>
            <w:vAlign w:val="bottom"/>
          </w:tcPr>
          <w:p>
            <w:pPr>
              <w:jc w:val="right"/>
              <w:spacing w:after="0"/>
              <w:rPr>
                <w:sz w:val="20"/>
                <w:szCs w:val="20"/>
                <w:color w:val="auto"/>
              </w:rPr>
            </w:pPr>
            <w:r>
              <w:rPr>
                <w:rFonts w:ascii="Arial" w:cs="Arial" w:eastAsia="Arial" w:hAnsi="Arial"/>
                <w:sz w:val="15"/>
                <w:szCs w:val="15"/>
                <w:color w:val="auto"/>
              </w:rPr>
              <w:t>2,071,785</w:t>
            </w:r>
          </w:p>
        </w:tc>
        <w:tc>
          <w:tcPr>
            <w:tcW w:w="0" w:type="dxa"/>
            <w:vAlign w:val="bottom"/>
          </w:tcPr>
          <w:p>
            <w:pPr>
              <w:spacing w:after="0"/>
              <w:rPr>
                <w:sz w:val="1"/>
                <w:szCs w:val="1"/>
                <w:color w:val="auto"/>
              </w:rPr>
            </w:pPr>
          </w:p>
        </w:tc>
      </w:tr>
      <w:tr>
        <w:trPr>
          <w:trHeight w:val="85"/>
        </w:trPr>
        <w:tc>
          <w:tcPr>
            <w:tcW w:w="4000" w:type="dxa"/>
            <w:vAlign w:val="bottom"/>
            <w:vMerge w:val="restart"/>
          </w:tcPr>
          <w:p>
            <w:pPr>
              <w:ind w:left="60"/>
              <w:spacing w:after="0" w:line="162" w:lineRule="exact"/>
              <w:rPr>
                <w:sz w:val="20"/>
                <w:szCs w:val="20"/>
                <w:color w:val="auto"/>
              </w:rPr>
            </w:pPr>
            <w:r>
              <w:rPr>
                <w:rFonts w:ascii="Arial" w:cs="Arial" w:eastAsia="Arial" w:hAnsi="Arial"/>
                <w:sz w:val="15"/>
                <w:szCs w:val="15"/>
                <w:color w:val="auto"/>
              </w:rPr>
              <w:t>Senior Vice President and Chief Financial Officer of PNW</w:t>
            </w:r>
          </w:p>
        </w:tc>
        <w:tc>
          <w:tcPr>
            <w:tcW w:w="100" w:type="dxa"/>
            <w:vAlign w:val="bottom"/>
          </w:tcPr>
          <w:p>
            <w:pPr>
              <w:spacing w:after="0"/>
              <w:rPr>
                <w:sz w:val="7"/>
                <w:szCs w:val="7"/>
                <w:color w:val="auto"/>
              </w:rPr>
            </w:pPr>
          </w:p>
        </w:tc>
        <w:tc>
          <w:tcPr>
            <w:tcW w:w="440" w:type="dxa"/>
            <w:vAlign w:val="bottom"/>
            <w:tcBorders>
              <w:bottom w:val="single" w:sz="8" w:color="939598"/>
            </w:tcBorders>
          </w:tcPr>
          <w:p>
            <w:pPr>
              <w:spacing w:after="0"/>
              <w:rPr>
                <w:sz w:val="7"/>
                <w:szCs w:val="7"/>
                <w:color w:val="auto"/>
              </w:rPr>
            </w:pPr>
          </w:p>
        </w:tc>
        <w:tc>
          <w:tcPr>
            <w:tcW w:w="100" w:type="dxa"/>
            <w:vAlign w:val="bottom"/>
          </w:tcPr>
          <w:p>
            <w:pPr>
              <w:spacing w:after="0"/>
              <w:rPr>
                <w:sz w:val="7"/>
                <w:szCs w:val="7"/>
                <w:color w:val="auto"/>
              </w:rPr>
            </w:pPr>
          </w:p>
        </w:tc>
        <w:tc>
          <w:tcPr>
            <w:tcW w:w="72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58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72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tcBorders>
              <w:bottom w:val="single" w:sz="8" w:color="939598"/>
            </w:tcBorders>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Borders>
              <w:bottom w:val="single" w:sz="8" w:color="939598"/>
            </w:tcBorders>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780" w:type="dxa"/>
            <w:vAlign w:val="bottom"/>
            <w:tcBorders>
              <w:bottom w:val="single" w:sz="8" w:color="939598"/>
            </w:tcBorders>
          </w:tcPr>
          <w:p>
            <w:pPr>
              <w:spacing w:after="0"/>
              <w:rPr>
                <w:sz w:val="7"/>
                <w:szCs w:val="7"/>
                <w:color w:val="auto"/>
              </w:rPr>
            </w:pPr>
          </w:p>
        </w:tc>
        <w:tc>
          <w:tcPr>
            <w:tcW w:w="0" w:type="dxa"/>
            <w:vAlign w:val="bottom"/>
          </w:tcPr>
          <w:p>
            <w:pPr>
              <w:spacing w:after="0"/>
              <w:rPr>
                <w:sz w:val="1"/>
                <w:szCs w:val="1"/>
                <w:color w:val="auto"/>
              </w:rPr>
            </w:pPr>
          </w:p>
        </w:tc>
      </w:tr>
      <w:tr>
        <w:trPr>
          <w:trHeight w:val="57"/>
        </w:trPr>
        <w:tc>
          <w:tcPr>
            <w:tcW w:w="4000" w:type="dxa"/>
            <w:vAlign w:val="bottom"/>
            <w:vMerge w:val="continue"/>
          </w:tcPr>
          <w:p>
            <w:pPr>
              <w:spacing w:after="0"/>
              <w:rPr>
                <w:sz w:val="4"/>
                <w:szCs w:val="4"/>
                <w:color w:val="auto"/>
              </w:rPr>
            </w:pPr>
          </w:p>
        </w:tc>
        <w:tc>
          <w:tcPr>
            <w:tcW w:w="540" w:type="dxa"/>
            <w:vAlign w:val="bottom"/>
            <w:gridSpan w:val="2"/>
            <w:vMerge w:val="restart"/>
          </w:tcPr>
          <w:p>
            <w:pPr>
              <w:jc w:val="right"/>
              <w:spacing w:after="0"/>
              <w:rPr>
                <w:sz w:val="20"/>
                <w:szCs w:val="20"/>
                <w:color w:val="auto"/>
              </w:rPr>
            </w:pPr>
            <w:r>
              <w:rPr>
                <w:rFonts w:ascii="Arial" w:cs="Arial" w:eastAsia="Arial" w:hAnsi="Arial"/>
                <w:sz w:val="15"/>
                <w:szCs w:val="15"/>
                <w:color w:val="auto"/>
              </w:rPr>
              <w:t>2020</w:t>
            </w:r>
          </w:p>
        </w:tc>
        <w:tc>
          <w:tcPr>
            <w:tcW w:w="100" w:type="dxa"/>
            <w:vAlign w:val="bottom"/>
          </w:tcPr>
          <w:p>
            <w:pPr>
              <w:spacing w:after="0"/>
              <w:rPr>
                <w:sz w:val="4"/>
                <w:szCs w:val="4"/>
                <w:color w:val="auto"/>
              </w:rPr>
            </w:pP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380,109</w:t>
            </w:r>
          </w:p>
        </w:tc>
        <w:tc>
          <w:tcPr>
            <w:tcW w:w="70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512,791</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318,840</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78,194</w:t>
            </w:r>
          </w:p>
        </w:tc>
        <w:tc>
          <w:tcPr>
            <w:tcW w:w="116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23,388</w:t>
            </w:r>
          </w:p>
        </w:tc>
        <w:tc>
          <w:tcPr>
            <w:tcW w:w="780" w:type="dxa"/>
            <w:vAlign w:val="bottom"/>
            <w:vMerge w:val="restart"/>
          </w:tcPr>
          <w:p>
            <w:pPr>
              <w:jc w:val="right"/>
              <w:spacing w:after="0"/>
              <w:rPr>
                <w:sz w:val="20"/>
                <w:szCs w:val="20"/>
                <w:color w:val="auto"/>
              </w:rPr>
            </w:pPr>
            <w:r>
              <w:rPr>
                <w:rFonts w:ascii="Arial" w:cs="Arial" w:eastAsia="Arial" w:hAnsi="Arial"/>
                <w:sz w:val="15"/>
                <w:szCs w:val="15"/>
                <w:color w:val="auto"/>
              </w:rPr>
              <w:t>1,313,322</w:t>
            </w:r>
          </w:p>
        </w:tc>
        <w:tc>
          <w:tcPr>
            <w:tcW w:w="0" w:type="dxa"/>
            <w:vAlign w:val="bottom"/>
          </w:tcPr>
          <w:p>
            <w:pPr>
              <w:spacing w:after="0"/>
              <w:rPr>
                <w:sz w:val="1"/>
                <w:szCs w:val="1"/>
                <w:color w:val="auto"/>
              </w:rPr>
            </w:pPr>
          </w:p>
        </w:tc>
      </w:tr>
      <w:tr>
        <w:trPr>
          <w:trHeight w:val="146"/>
        </w:trPr>
        <w:tc>
          <w:tcPr>
            <w:tcW w:w="4000" w:type="dxa"/>
            <w:vAlign w:val="bottom"/>
            <w:vMerge w:val="restart"/>
          </w:tcPr>
          <w:p>
            <w:pPr>
              <w:ind w:left="60"/>
              <w:spacing w:after="0"/>
              <w:rPr>
                <w:sz w:val="20"/>
                <w:szCs w:val="20"/>
                <w:color w:val="auto"/>
              </w:rPr>
            </w:pPr>
            <w:r>
              <w:rPr>
                <w:rFonts w:ascii="Arial" w:cs="Arial" w:eastAsia="Arial" w:hAnsi="Arial"/>
                <w:sz w:val="15"/>
                <w:szCs w:val="15"/>
                <w:color w:val="auto"/>
              </w:rPr>
              <w:t>and APS</w:t>
            </w:r>
          </w:p>
        </w:tc>
        <w:tc>
          <w:tcPr>
            <w:tcW w:w="540" w:type="dxa"/>
            <w:vAlign w:val="bottom"/>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60" w:type="dxa"/>
            <w:vAlign w:val="bottom"/>
            <w:gridSpan w:val="2"/>
            <w:vMerge w:val="continue"/>
          </w:tcPr>
          <w:p>
            <w:pPr>
              <w:spacing w:after="0"/>
              <w:rPr>
                <w:sz w:val="12"/>
                <w:szCs w:val="12"/>
                <w:color w:val="auto"/>
              </w:rPr>
            </w:pPr>
          </w:p>
        </w:tc>
        <w:tc>
          <w:tcPr>
            <w:tcW w:w="7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94"/>
        </w:trPr>
        <w:tc>
          <w:tcPr>
            <w:tcW w:w="4000" w:type="dxa"/>
            <w:vAlign w:val="bottom"/>
            <w:tcBorders>
              <w:bottom w:val="single" w:sz="8" w:color="355675"/>
            </w:tcBorders>
            <w:vMerge w:val="continue"/>
          </w:tcPr>
          <w:p>
            <w:pPr>
              <w:spacing w:after="0"/>
              <w:rPr>
                <w:sz w:val="8"/>
                <w:szCs w:val="8"/>
                <w:color w:val="auto"/>
              </w:rPr>
            </w:pPr>
          </w:p>
        </w:tc>
        <w:tc>
          <w:tcPr>
            <w:tcW w:w="100" w:type="dxa"/>
            <w:vAlign w:val="bottom"/>
          </w:tcPr>
          <w:p>
            <w:pPr>
              <w:spacing w:after="0"/>
              <w:rPr>
                <w:sz w:val="8"/>
                <w:szCs w:val="8"/>
                <w:color w:val="auto"/>
              </w:rPr>
            </w:pPr>
          </w:p>
        </w:tc>
        <w:tc>
          <w:tcPr>
            <w:tcW w:w="440" w:type="dxa"/>
            <w:vAlign w:val="bottom"/>
            <w:tcBorders>
              <w:bottom w:val="single" w:sz="8" w:color="355675"/>
            </w:tcBorders>
          </w:tcPr>
          <w:p>
            <w:pPr>
              <w:spacing w:after="0"/>
              <w:rPr>
                <w:sz w:val="8"/>
                <w:szCs w:val="8"/>
                <w:color w:val="auto"/>
              </w:rPr>
            </w:pPr>
          </w:p>
        </w:tc>
        <w:tc>
          <w:tcPr>
            <w:tcW w:w="100" w:type="dxa"/>
            <w:vAlign w:val="bottom"/>
          </w:tcPr>
          <w:p>
            <w:pPr>
              <w:spacing w:after="0"/>
              <w:rPr>
                <w:sz w:val="8"/>
                <w:szCs w:val="8"/>
                <w:color w:val="auto"/>
              </w:rPr>
            </w:pPr>
          </w:p>
        </w:tc>
        <w:tc>
          <w:tcPr>
            <w:tcW w:w="72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58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72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1040" w:type="dxa"/>
            <w:vAlign w:val="bottom"/>
            <w:tcBorders>
              <w:bottom w:val="single" w:sz="8" w:color="355675"/>
            </w:tcBorders>
          </w:tcPr>
          <w:p>
            <w:pPr>
              <w:spacing w:after="0"/>
              <w:rPr>
                <w:sz w:val="8"/>
                <w:szCs w:val="8"/>
                <w:color w:val="auto"/>
              </w:rPr>
            </w:pPr>
          </w:p>
        </w:tc>
        <w:tc>
          <w:tcPr>
            <w:tcW w:w="100" w:type="dxa"/>
            <w:vAlign w:val="bottom"/>
          </w:tcPr>
          <w:p>
            <w:pPr>
              <w:spacing w:after="0"/>
              <w:rPr>
                <w:sz w:val="8"/>
                <w:szCs w:val="8"/>
                <w:color w:val="auto"/>
              </w:rPr>
            </w:pPr>
          </w:p>
        </w:tc>
        <w:tc>
          <w:tcPr>
            <w:tcW w:w="1040" w:type="dxa"/>
            <w:vAlign w:val="bottom"/>
            <w:tcBorders>
              <w:bottom w:val="single" w:sz="8" w:color="355675"/>
            </w:tcBorders>
          </w:tcPr>
          <w:p>
            <w:pPr>
              <w:spacing w:after="0"/>
              <w:rPr>
                <w:sz w:val="8"/>
                <w:szCs w:val="8"/>
                <w:color w:val="auto"/>
              </w:rPr>
            </w:pPr>
          </w:p>
        </w:tc>
        <w:tc>
          <w:tcPr>
            <w:tcW w:w="100" w:type="dxa"/>
            <w:vAlign w:val="bottom"/>
          </w:tcPr>
          <w:p>
            <w:pPr>
              <w:spacing w:after="0"/>
              <w:rPr>
                <w:sz w:val="8"/>
                <w:szCs w:val="8"/>
                <w:color w:val="auto"/>
              </w:rPr>
            </w:pPr>
          </w:p>
        </w:tc>
        <w:tc>
          <w:tcPr>
            <w:tcW w:w="104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780" w:type="dxa"/>
            <w:vAlign w:val="bottom"/>
            <w:tcBorders>
              <w:bottom w:val="single" w:sz="8" w:color="355675"/>
            </w:tcBorders>
          </w:tcPr>
          <w:p>
            <w:pPr>
              <w:spacing w:after="0"/>
              <w:rPr>
                <w:sz w:val="8"/>
                <w:szCs w:val="8"/>
                <w:color w:val="auto"/>
              </w:rPr>
            </w:pPr>
          </w:p>
        </w:tc>
        <w:tc>
          <w:tcPr>
            <w:tcW w:w="0" w:type="dxa"/>
            <w:vAlign w:val="bottom"/>
          </w:tcPr>
          <w:p>
            <w:pPr>
              <w:spacing w:after="0"/>
              <w:rPr>
                <w:sz w:val="1"/>
                <w:szCs w:val="1"/>
                <w:color w:val="auto"/>
              </w:rPr>
            </w:pPr>
          </w:p>
        </w:tc>
      </w:tr>
      <w:tr>
        <w:trPr>
          <w:trHeight w:val="216"/>
        </w:trPr>
        <w:tc>
          <w:tcPr>
            <w:tcW w:w="4000" w:type="dxa"/>
            <w:vAlign w:val="bottom"/>
          </w:tcPr>
          <w:p>
            <w:pPr>
              <w:ind w:left="60"/>
              <w:spacing w:after="0" w:line="216" w:lineRule="exact"/>
              <w:rPr>
                <w:sz w:val="20"/>
                <w:szCs w:val="20"/>
                <w:color w:val="auto"/>
              </w:rPr>
            </w:pPr>
            <w:r>
              <w:rPr>
                <w:rFonts w:ascii="Arial" w:cs="Arial" w:eastAsia="Arial" w:hAnsi="Arial"/>
                <w:sz w:val="15"/>
                <w:szCs w:val="15"/>
                <w:b w:val="1"/>
                <w:bCs w:val="1"/>
                <w:color w:val="355675"/>
              </w:rPr>
              <w:t>James R. Hatfield,</w:t>
            </w:r>
            <w:r>
              <w:rPr>
                <w:rFonts w:ascii="Arial" w:cs="Arial" w:eastAsia="Arial" w:hAnsi="Arial"/>
                <w:sz w:val="25"/>
                <w:szCs w:val="25"/>
                <w:b w:val="1"/>
                <w:bCs w:val="1"/>
                <w:color w:val="355675"/>
                <w:vertAlign w:val="superscript"/>
              </w:rPr>
              <w:t>(5)</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2021</w:t>
            </w: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700,000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1,258,562</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741,701</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782,368</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785,962</w:t>
            </w:r>
          </w:p>
        </w:tc>
        <w:tc>
          <w:tcPr>
            <w:tcW w:w="780" w:type="dxa"/>
            <w:vAlign w:val="bottom"/>
          </w:tcPr>
          <w:p>
            <w:pPr>
              <w:jc w:val="right"/>
              <w:spacing w:after="0"/>
              <w:rPr>
                <w:sz w:val="20"/>
                <w:szCs w:val="20"/>
                <w:color w:val="auto"/>
              </w:rPr>
            </w:pPr>
            <w:r>
              <w:rPr>
                <w:rFonts w:ascii="Arial" w:cs="Arial" w:eastAsia="Arial" w:hAnsi="Arial"/>
                <w:sz w:val="15"/>
                <w:szCs w:val="15"/>
                <w:color w:val="auto"/>
              </w:rPr>
              <w:t>4,268,593</w:t>
            </w:r>
          </w:p>
        </w:tc>
        <w:tc>
          <w:tcPr>
            <w:tcW w:w="0" w:type="dxa"/>
            <w:vAlign w:val="bottom"/>
          </w:tcPr>
          <w:p>
            <w:pPr>
              <w:spacing w:after="0"/>
              <w:rPr>
                <w:sz w:val="1"/>
                <w:szCs w:val="1"/>
                <w:color w:val="auto"/>
              </w:rPr>
            </w:pPr>
          </w:p>
        </w:tc>
      </w:tr>
      <w:tr>
        <w:trPr>
          <w:trHeight w:val="20"/>
        </w:trPr>
        <w:tc>
          <w:tcPr>
            <w:tcW w:w="4000" w:type="dxa"/>
            <w:vAlign w:val="bottom"/>
            <w:vMerge w:val="restart"/>
          </w:tcPr>
          <w:p>
            <w:pPr>
              <w:ind w:left="60"/>
              <w:spacing w:after="0"/>
              <w:rPr>
                <w:sz w:val="20"/>
                <w:szCs w:val="20"/>
                <w:color w:val="auto"/>
              </w:rPr>
            </w:pPr>
            <w:r>
              <w:rPr>
                <w:rFonts w:ascii="Arial" w:cs="Arial" w:eastAsia="Arial" w:hAnsi="Arial"/>
                <w:sz w:val="15"/>
                <w:szCs w:val="15"/>
                <w:color w:val="auto"/>
              </w:rPr>
              <w:t>Advisor to the Chief Executive Officer of PNW</w:t>
            </w:r>
          </w:p>
        </w:tc>
        <w:tc>
          <w:tcPr>
            <w:tcW w:w="100" w:type="dxa"/>
            <w:vAlign w:val="bottom"/>
          </w:tcPr>
          <w:p>
            <w:pPr>
              <w:spacing w:after="0" w:line="20" w:lineRule="exact"/>
              <w:rPr>
                <w:sz w:val="1"/>
                <w:szCs w:val="1"/>
                <w:color w:val="auto"/>
              </w:rPr>
            </w:pPr>
          </w:p>
        </w:tc>
        <w:tc>
          <w:tcPr>
            <w:tcW w:w="4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8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6"/>
        </w:trPr>
        <w:tc>
          <w:tcPr>
            <w:tcW w:w="400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2020</w:t>
            </w:r>
          </w:p>
        </w:tc>
        <w:tc>
          <w:tcPr>
            <w:tcW w:w="100" w:type="dxa"/>
            <w:vAlign w:val="bottom"/>
          </w:tcPr>
          <w:p>
            <w:pPr>
              <w:spacing w:after="0"/>
              <w:rPr>
                <w:sz w:val="17"/>
                <w:szCs w:val="17"/>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700,000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1,224,562</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699,090</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835,020</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23,210</w:t>
            </w:r>
          </w:p>
        </w:tc>
        <w:tc>
          <w:tcPr>
            <w:tcW w:w="780" w:type="dxa"/>
            <w:vAlign w:val="bottom"/>
          </w:tcPr>
          <w:p>
            <w:pPr>
              <w:jc w:val="right"/>
              <w:spacing w:after="0"/>
              <w:rPr>
                <w:sz w:val="20"/>
                <w:szCs w:val="20"/>
                <w:color w:val="auto"/>
              </w:rPr>
            </w:pPr>
            <w:r>
              <w:rPr>
                <w:rFonts w:ascii="Arial" w:cs="Arial" w:eastAsia="Arial" w:hAnsi="Arial"/>
                <w:sz w:val="15"/>
                <w:szCs w:val="15"/>
                <w:color w:val="auto"/>
              </w:rPr>
              <w:t>3,481,882</w:t>
            </w:r>
          </w:p>
        </w:tc>
        <w:tc>
          <w:tcPr>
            <w:tcW w:w="0" w:type="dxa"/>
            <w:vAlign w:val="bottom"/>
          </w:tcPr>
          <w:p>
            <w:pPr>
              <w:spacing w:after="0"/>
              <w:rPr>
                <w:sz w:val="1"/>
                <w:szCs w:val="1"/>
                <w:color w:val="auto"/>
              </w:rPr>
            </w:pPr>
          </w:p>
        </w:tc>
      </w:tr>
      <w:tr>
        <w:trPr>
          <w:trHeight w:val="20"/>
        </w:trPr>
        <w:tc>
          <w:tcPr>
            <w:tcW w:w="40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8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2019</w:t>
            </w: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686,000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1,012,038</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534,128</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814,347</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27,718</w:t>
            </w:r>
          </w:p>
        </w:tc>
        <w:tc>
          <w:tcPr>
            <w:tcW w:w="780" w:type="dxa"/>
            <w:vAlign w:val="bottom"/>
          </w:tcPr>
          <w:p>
            <w:pPr>
              <w:jc w:val="right"/>
              <w:spacing w:after="0"/>
              <w:rPr>
                <w:sz w:val="20"/>
                <w:szCs w:val="20"/>
                <w:color w:val="auto"/>
              </w:rPr>
            </w:pPr>
            <w:r>
              <w:rPr>
                <w:rFonts w:ascii="Arial" w:cs="Arial" w:eastAsia="Arial" w:hAnsi="Arial"/>
                <w:sz w:val="15"/>
                <w:szCs w:val="15"/>
                <w:color w:val="auto"/>
              </w:rPr>
              <w:t>3,074,231</w:t>
            </w:r>
          </w:p>
        </w:tc>
        <w:tc>
          <w:tcPr>
            <w:tcW w:w="0" w:type="dxa"/>
            <w:vAlign w:val="bottom"/>
          </w:tcPr>
          <w:p>
            <w:pPr>
              <w:spacing w:after="0"/>
              <w:rPr>
                <w:sz w:val="1"/>
                <w:szCs w:val="1"/>
                <w:color w:val="auto"/>
              </w:rPr>
            </w:pPr>
          </w:p>
        </w:tc>
      </w:tr>
      <w:tr>
        <w:trPr>
          <w:trHeight w:val="57"/>
        </w:trPr>
        <w:tc>
          <w:tcPr>
            <w:tcW w:w="400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4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58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80" w:type="dxa"/>
            <w:vAlign w:val="bottom"/>
            <w:shd w:val="clear" w:color="auto" w:fill="355675"/>
          </w:tcPr>
          <w:p>
            <w:pPr>
              <w:spacing w:after="0"/>
              <w:rPr>
                <w:sz w:val="4"/>
                <w:szCs w:val="4"/>
                <w:color w:val="auto"/>
              </w:rPr>
            </w:pPr>
          </w:p>
        </w:tc>
        <w:tc>
          <w:tcPr>
            <w:tcW w:w="0" w:type="dxa"/>
            <w:vAlign w:val="bottom"/>
          </w:tcPr>
          <w:p>
            <w:pPr>
              <w:spacing w:after="0"/>
              <w:rPr>
                <w:sz w:val="1"/>
                <w:szCs w:val="1"/>
                <w:color w:val="auto"/>
              </w:rPr>
            </w:pPr>
          </w:p>
        </w:tc>
      </w:tr>
      <w:tr>
        <w:trPr>
          <w:trHeight w:val="172"/>
        </w:trPr>
        <w:tc>
          <w:tcPr>
            <w:tcW w:w="4000" w:type="dxa"/>
            <w:vAlign w:val="bottom"/>
          </w:tcPr>
          <w:p>
            <w:pPr>
              <w:ind w:left="60"/>
              <w:spacing w:after="0"/>
              <w:rPr>
                <w:sz w:val="20"/>
                <w:szCs w:val="20"/>
                <w:color w:val="auto"/>
              </w:rPr>
            </w:pPr>
            <w:r>
              <w:rPr>
                <w:rFonts w:ascii="Arial" w:cs="Arial" w:eastAsia="Arial" w:hAnsi="Arial"/>
                <w:sz w:val="15"/>
                <w:szCs w:val="15"/>
                <w:b w:val="1"/>
                <w:bCs w:val="1"/>
                <w:color w:val="355675"/>
              </w:rPr>
              <w:t>Maria L. Lacal,</w:t>
            </w:r>
          </w:p>
        </w:tc>
        <w:tc>
          <w:tcPr>
            <w:tcW w:w="10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2021</w:t>
            </w:r>
          </w:p>
        </w:tc>
        <w:tc>
          <w:tcPr>
            <w:tcW w:w="10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600,000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839,352</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796,545</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483,567</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34,821</w:t>
            </w:r>
          </w:p>
        </w:tc>
        <w:tc>
          <w:tcPr>
            <w:tcW w:w="780" w:type="dxa"/>
            <w:vAlign w:val="bottom"/>
          </w:tcPr>
          <w:p>
            <w:pPr>
              <w:jc w:val="right"/>
              <w:spacing w:after="0"/>
              <w:rPr>
                <w:sz w:val="20"/>
                <w:szCs w:val="20"/>
                <w:color w:val="auto"/>
              </w:rPr>
            </w:pPr>
            <w:r>
              <w:rPr>
                <w:rFonts w:ascii="Arial" w:cs="Arial" w:eastAsia="Arial" w:hAnsi="Arial"/>
                <w:sz w:val="15"/>
                <w:szCs w:val="15"/>
                <w:color w:val="auto"/>
              </w:rPr>
              <w:t>2,754,285</w:t>
            </w:r>
          </w:p>
        </w:tc>
        <w:tc>
          <w:tcPr>
            <w:tcW w:w="0" w:type="dxa"/>
            <w:vAlign w:val="bottom"/>
          </w:tcPr>
          <w:p>
            <w:pPr>
              <w:spacing w:after="0"/>
              <w:rPr>
                <w:sz w:val="1"/>
                <w:szCs w:val="1"/>
                <w:color w:val="auto"/>
              </w:rPr>
            </w:pPr>
          </w:p>
        </w:tc>
      </w:tr>
      <w:tr>
        <w:trPr>
          <w:trHeight w:val="85"/>
        </w:trPr>
        <w:tc>
          <w:tcPr>
            <w:tcW w:w="4000" w:type="dxa"/>
            <w:vAlign w:val="bottom"/>
            <w:vMerge w:val="restart"/>
          </w:tcPr>
          <w:p>
            <w:pPr>
              <w:ind w:left="60"/>
              <w:spacing w:after="0" w:line="162" w:lineRule="exact"/>
              <w:rPr>
                <w:sz w:val="20"/>
                <w:szCs w:val="20"/>
                <w:color w:val="auto"/>
              </w:rPr>
            </w:pPr>
            <w:r>
              <w:rPr>
                <w:rFonts w:ascii="Arial" w:cs="Arial" w:eastAsia="Arial" w:hAnsi="Arial"/>
                <w:sz w:val="15"/>
                <w:szCs w:val="15"/>
                <w:color w:val="auto"/>
              </w:rPr>
              <w:t>Executive Vice President, Chief Nuclear Officer Palo</w:t>
            </w:r>
          </w:p>
        </w:tc>
        <w:tc>
          <w:tcPr>
            <w:tcW w:w="100" w:type="dxa"/>
            <w:vAlign w:val="bottom"/>
          </w:tcPr>
          <w:p>
            <w:pPr>
              <w:spacing w:after="0"/>
              <w:rPr>
                <w:sz w:val="7"/>
                <w:szCs w:val="7"/>
                <w:color w:val="auto"/>
              </w:rPr>
            </w:pPr>
          </w:p>
        </w:tc>
        <w:tc>
          <w:tcPr>
            <w:tcW w:w="440" w:type="dxa"/>
            <w:vAlign w:val="bottom"/>
            <w:tcBorders>
              <w:bottom w:val="single" w:sz="8" w:color="939598"/>
            </w:tcBorders>
          </w:tcPr>
          <w:p>
            <w:pPr>
              <w:spacing w:after="0"/>
              <w:rPr>
                <w:sz w:val="7"/>
                <w:szCs w:val="7"/>
                <w:color w:val="auto"/>
              </w:rPr>
            </w:pPr>
          </w:p>
        </w:tc>
        <w:tc>
          <w:tcPr>
            <w:tcW w:w="100" w:type="dxa"/>
            <w:vAlign w:val="bottom"/>
          </w:tcPr>
          <w:p>
            <w:pPr>
              <w:spacing w:after="0"/>
              <w:rPr>
                <w:sz w:val="7"/>
                <w:szCs w:val="7"/>
                <w:color w:val="auto"/>
              </w:rPr>
            </w:pPr>
          </w:p>
        </w:tc>
        <w:tc>
          <w:tcPr>
            <w:tcW w:w="72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58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72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tcBorders>
              <w:bottom w:val="single" w:sz="8" w:color="939598"/>
            </w:tcBorders>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Borders>
              <w:bottom w:val="single" w:sz="8" w:color="939598"/>
            </w:tcBorders>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Borders>
              <w:bottom w:val="single" w:sz="8" w:color="939598"/>
            </w:tcBorders>
          </w:tcPr>
          <w:p>
            <w:pPr>
              <w:spacing w:after="0"/>
              <w:rPr>
                <w:sz w:val="7"/>
                <w:szCs w:val="7"/>
                <w:color w:val="auto"/>
              </w:rPr>
            </w:pPr>
          </w:p>
        </w:tc>
        <w:tc>
          <w:tcPr>
            <w:tcW w:w="120" w:type="dxa"/>
            <w:vAlign w:val="bottom"/>
          </w:tcPr>
          <w:p>
            <w:pPr>
              <w:spacing w:after="0"/>
              <w:rPr>
                <w:sz w:val="7"/>
                <w:szCs w:val="7"/>
                <w:color w:val="auto"/>
              </w:rPr>
            </w:pPr>
          </w:p>
        </w:tc>
        <w:tc>
          <w:tcPr>
            <w:tcW w:w="780" w:type="dxa"/>
            <w:vAlign w:val="bottom"/>
            <w:tcBorders>
              <w:bottom w:val="single" w:sz="8" w:color="939598"/>
            </w:tcBorders>
          </w:tcPr>
          <w:p>
            <w:pPr>
              <w:spacing w:after="0"/>
              <w:rPr>
                <w:sz w:val="7"/>
                <w:szCs w:val="7"/>
                <w:color w:val="auto"/>
              </w:rPr>
            </w:pPr>
          </w:p>
        </w:tc>
        <w:tc>
          <w:tcPr>
            <w:tcW w:w="0" w:type="dxa"/>
            <w:vAlign w:val="bottom"/>
          </w:tcPr>
          <w:p>
            <w:pPr>
              <w:spacing w:after="0"/>
              <w:rPr>
                <w:sz w:val="1"/>
                <w:szCs w:val="1"/>
                <w:color w:val="auto"/>
              </w:rPr>
            </w:pPr>
          </w:p>
        </w:tc>
      </w:tr>
      <w:tr>
        <w:trPr>
          <w:trHeight w:val="57"/>
        </w:trPr>
        <w:tc>
          <w:tcPr>
            <w:tcW w:w="4000" w:type="dxa"/>
            <w:vAlign w:val="bottom"/>
            <w:vMerge w:val="continue"/>
          </w:tcPr>
          <w:p>
            <w:pPr>
              <w:spacing w:after="0"/>
              <w:rPr>
                <w:sz w:val="4"/>
                <w:szCs w:val="4"/>
                <w:color w:val="auto"/>
              </w:rPr>
            </w:pPr>
          </w:p>
        </w:tc>
        <w:tc>
          <w:tcPr>
            <w:tcW w:w="540" w:type="dxa"/>
            <w:vAlign w:val="bottom"/>
            <w:gridSpan w:val="2"/>
            <w:vMerge w:val="restart"/>
          </w:tcPr>
          <w:p>
            <w:pPr>
              <w:jc w:val="right"/>
              <w:spacing w:after="0"/>
              <w:rPr>
                <w:sz w:val="20"/>
                <w:szCs w:val="20"/>
                <w:color w:val="auto"/>
              </w:rPr>
            </w:pPr>
            <w:r>
              <w:rPr>
                <w:rFonts w:ascii="Arial" w:cs="Arial" w:eastAsia="Arial" w:hAnsi="Arial"/>
                <w:sz w:val="15"/>
                <w:szCs w:val="15"/>
                <w:color w:val="auto"/>
              </w:rPr>
              <w:t>2020</w:t>
            </w:r>
          </w:p>
        </w:tc>
        <w:tc>
          <w:tcPr>
            <w:tcW w:w="100" w:type="dxa"/>
            <w:vAlign w:val="bottom"/>
          </w:tcPr>
          <w:p>
            <w:pPr>
              <w:spacing w:after="0"/>
              <w:rPr>
                <w:sz w:val="4"/>
                <w:szCs w:val="4"/>
                <w:color w:val="auto"/>
              </w:rPr>
            </w:pP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570,710</w:t>
            </w:r>
          </w:p>
        </w:tc>
        <w:tc>
          <w:tcPr>
            <w:tcW w:w="70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714,708</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563,394</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479,883</w:t>
            </w:r>
          </w:p>
        </w:tc>
        <w:tc>
          <w:tcPr>
            <w:tcW w:w="116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23,210</w:t>
            </w:r>
          </w:p>
        </w:tc>
        <w:tc>
          <w:tcPr>
            <w:tcW w:w="780" w:type="dxa"/>
            <w:vAlign w:val="bottom"/>
            <w:vMerge w:val="restart"/>
          </w:tcPr>
          <w:p>
            <w:pPr>
              <w:jc w:val="right"/>
              <w:spacing w:after="0"/>
              <w:rPr>
                <w:sz w:val="20"/>
                <w:szCs w:val="20"/>
                <w:color w:val="auto"/>
              </w:rPr>
            </w:pPr>
            <w:r>
              <w:rPr>
                <w:rFonts w:ascii="Arial" w:cs="Arial" w:eastAsia="Arial" w:hAnsi="Arial"/>
                <w:sz w:val="15"/>
                <w:szCs w:val="15"/>
                <w:color w:val="auto"/>
              </w:rPr>
              <w:t>2,351,905</w:t>
            </w:r>
          </w:p>
        </w:tc>
        <w:tc>
          <w:tcPr>
            <w:tcW w:w="0" w:type="dxa"/>
            <w:vAlign w:val="bottom"/>
          </w:tcPr>
          <w:p>
            <w:pPr>
              <w:spacing w:after="0"/>
              <w:rPr>
                <w:sz w:val="1"/>
                <w:szCs w:val="1"/>
                <w:color w:val="auto"/>
              </w:rPr>
            </w:pPr>
          </w:p>
        </w:tc>
      </w:tr>
      <w:tr>
        <w:trPr>
          <w:trHeight w:val="146"/>
        </w:trPr>
        <w:tc>
          <w:tcPr>
            <w:tcW w:w="4000" w:type="dxa"/>
            <w:vAlign w:val="bottom"/>
            <w:vMerge w:val="restart"/>
          </w:tcPr>
          <w:p>
            <w:pPr>
              <w:ind w:left="60"/>
              <w:spacing w:after="0"/>
              <w:rPr>
                <w:sz w:val="20"/>
                <w:szCs w:val="20"/>
                <w:color w:val="auto"/>
              </w:rPr>
            </w:pPr>
            <w:r>
              <w:rPr>
                <w:rFonts w:ascii="Arial" w:cs="Arial" w:eastAsia="Arial" w:hAnsi="Arial"/>
                <w:sz w:val="15"/>
                <w:szCs w:val="15"/>
                <w:color w:val="auto"/>
              </w:rPr>
              <w:t>Verde Generating Station, APS</w:t>
            </w:r>
          </w:p>
        </w:tc>
        <w:tc>
          <w:tcPr>
            <w:tcW w:w="540" w:type="dxa"/>
            <w:vAlign w:val="bottom"/>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840" w:type="dxa"/>
            <w:vAlign w:val="bottom"/>
            <w:gridSpan w:val="2"/>
            <w:vMerge w:val="continue"/>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60" w:type="dxa"/>
            <w:vAlign w:val="bottom"/>
            <w:gridSpan w:val="2"/>
            <w:vMerge w:val="continue"/>
          </w:tcPr>
          <w:p>
            <w:pPr>
              <w:spacing w:after="0"/>
              <w:rPr>
                <w:sz w:val="12"/>
                <w:szCs w:val="12"/>
                <w:color w:val="auto"/>
              </w:rPr>
            </w:pPr>
          </w:p>
        </w:tc>
        <w:tc>
          <w:tcPr>
            <w:tcW w:w="7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94"/>
        </w:trPr>
        <w:tc>
          <w:tcPr>
            <w:tcW w:w="4000" w:type="dxa"/>
            <w:vAlign w:val="bottom"/>
            <w:tcBorders>
              <w:bottom w:val="single" w:sz="8" w:color="355675"/>
            </w:tcBorders>
            <w:vMerge w:val="continue"/>
          </w:tcPr>
          <w:p>
            <w:pPr>
              <w:spacing w:after="0"/>
              <w:rPr>
                <w:sz w:val="8"/>
                <w:szCs w:val="8"/>
                <w:color w:val="auto"/>
              </w:rPr>
            </w:pPr>
          </w:p>
        </w:tc>
        <w:tc>
          <w:tcPr>
            <w:tcW w:w="100" w:type="dxa"/>
            <w:vAlign w:val="bottom"/>
          </w:tcPr>
          <w:p>
            <w:pPr>
              <w:spacing w:after="0"/>
              <w:rPr>
                <w:sz w:val="8"/>
                <w:szCs w:val="8"/>
                <w:color w:val="auto"/>
              </w:rPr>
            </w:pPr>
          </w:p>
        </w:tc>
        <w:tc>
          <w:tcPr>
            <w:tcW w:w="440" w:type="dxa"/>
            <w:vAlign w:val="bottom"/>
            <w:tcBorders>
              <w:bottom w:val="single" w:sz="8" w:color="355675"/>
            </w:tcBorders>
          </w:tcPr>
          <w:p>
            <w:pPr>
              <w:spacing w:after="0"/>
              <w:rPr>
                <w:sz w:val="8"/>
                <w:szCs w:val="8"/>
                <w:color w:val="auto"/>
              </w:rPr>
            </w:pPr>
          </w:p>
        </w:tc>
        <w:tc>
          <w:tcPr>
            <w:tcW w:w="100" w:type="dxa"/>
            <w:vAlign w:val="bottom"/>
          </w:tcPr>
          <w:p>
            <w:pPr>
              <w:spacing w:after="0"/>
              <w:rPr>
                <w:sz w:val="8"/>
                <w:szCs w:val="8"/>
                <w:color w:val="auto"/>
              </w:rPr>
            </w:pPr>
          </w:p>
        </w:tc>
        <w:tc>
          <w:tcPr>
            <w:tcW w:w="72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58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72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1040" w:type="dxa"/>
            <w:vAlign w:val="bottom"/>
            <w:tcBorders>
              <w:bottom w:val="single" w:sz="8" w:color="355675"/>
            </w:tcBorders>
          </w:tcPr>
          <w:p>
            <w:pPr>
              <w:spacing w:after="0"/>
              <w:rPr>
                <w:sz w:val="8"/>
                <w:szCs w:val="8"/>
                <w:color w:val="auto"/>
              </w:rPr>
            </w:pPr>
          </w:p>
        </w:tc>
        <w:tc>
          <w:tcPr>
            <w:tcW w:w="100" w:type="dxa"/>
            <w:vAlign w:val="bottom"/>
          </w:tcPr>
          <w:p>
            <w:pPr>
              <w:spacing w:after="0"/>
              <w:rPr>
                <w:sz w:val="8"/>
                <w:szCs w:val="8"/>
                <w:color w:val="auto"/>
              </w:rPr>
            </w:pPr>
          </w:p>
        </w:tc>
        <w:tc>
          <w:tcPr>
            <w:tcW w:w="1040" w:type="dxa"/>
            <w:vAlign w:val="bottom"/>
            <w:tcBorders>
              <w:bottom w:val="single" w:sz="8" w:color="355675"/>
            </w:tcBorders>
          </w:tcPr>
          <w:p>
            <w:pPr>
              <w:spacing w:after="0"/>
              <w:rPr>
                <w:sz w:val="8"/>
                <w:szCs w:val="8"/>
                <w:color w:val="auto"/>
              </w:rPr>
            </w:pPr>
          </w:p>
        </w:tc>
        <w:tc>
          <w:tcPr>
            <w:tcW w:w="100" w:type="dxa"/>
            <w:vAlign w:val="bottom"/>
          </w:tcPr>
          <w:p>
            <w:pPr>
              <w:spacing w:after="0"/>
              <w:rPr>
                <w:sz w:val="8"/>
                <w:szCs w:val="8"/>
                <w:color w:val="auto"/>
              </w:rPr>
            </w:pPr>
          </w:p>
        </w:tc>
        <w:tc>
          <w:tcPr>
            <w:tcW w:w="1040" w:type="dxa"/>
            <w:vAlign w:val="bottom"/>
            <w:tcBorders>
              <w:bottom w:val="single" w:sz="8" w:color="355675"/>
            </w:tcBorders>
          </w:tcPr>
          <w:p>
            <w:pPr>
              <w:spacing w:after="0"/>
              <w:rPr>
                <w:sz w:val="8"/>
                <w:szCs w:val="8"/>
                <w:color w:val="auto"/>
              </w:rPr>
            </w:pPr>
          </w:p>
        </w:tc>
        <w:tc>
          <w:tcPr>
            <w:tcW w:w="120" w:type="dxa"/>
            <w:vAlign w:val="bottom"/>
          </w:tcPr>
          <w:p>
            <w:pPr>
              <w:spacing w:after="0"/>
              <w:rPr>
                <w:sz w:val="8"/>
                <w:szCs w:val="8"/>
                <w:color w:val="auto"/>
              </w:rPr>
            </w:pPr>
          </w:p>
        </w:tc>
        <w:tc>
          <w:tcPr>
            <w:tcW w:w="780" w:type="dxa"/>
            <w:vAlign w:val="bottom"/>
            <w:tcBorders>
              <w:bottom w:val="single" w:sz="8" w:color="355675"/>
            </w:tcBorders>
          </w:tcPr>
          <w:p>
            <w:pPr>
              <w:spacing w:after="0"/>
              <w:rPr>
                <w:sz w:val="8"/>
                <w:szCs w:val="8"/>
                <w:color w:val="auto"/>
              </w:rPr>
            </w:pPr>
          </w:p>
        </w:tc>
        <w:tc>
          <w:tcPr>
            <w:tcW w:w="0" w:type="dxa"/>
            <w:vAlign w:val="bottom"/>
          </w:tcPr>
          <w:p>
            <w:pPr>
              <w:spacing w:after="0"/>
              <w:rPr>
                <w:sz w:val="1"/>
                <w:szCs w:val="1"/>
                <w:color w:val="auto"/>
              </w:rPr>
            </w:pPr>
          </w:p>
        </w:tc>
      </w:tr>
      <w:tr>
        <w:trPr>
          <w:trHeight w:val="216"/>
        </w:trPr>
        <w:tc>
          <w:tcPr>
            <w:tcW w:w="4000" w:type="dxa"/>
            <w:vAlign w:val="bottom"/>
          </w:tcPr>
          <w:p>
            <w:pPr>
              <w:ind w:left="60"/>
              <w:spacing w:after="0" w:line="216" w:lineRule="exact"/>
              <w:rPr>
                <w:sz w:val="20"/>
                <w:szCs w:val="20"/>
                <w:color w:val="auto"/>
              </w:rPr>
            </w:pPr>
            <w:r>
              <w:rPr>
                <w:rFonts w:ascii="Arial" w:cs="Arial" w:eastAsia="Arial" w:hAnsi="Arial"/>
                <w:sz w:val="15"/>
                <w:szCs w:val="15"/>
                <w:b w:val="1"/>
                <w:bCs w:val="1"/>
                <w:color w:val="355675"/>
              </w:rPr>
              <w:t>Robert E. Smith,</w:t>
            </w:r>
            <w:r>
              <w:rPr>
                <w:rFonts w:ascii="Arial" w:cs="Arial" w:eastAsia="Arial" w:hAnsi="Arial"/>
                <w:sz w:val="25"/>
                <w:szCs w:val="25"/>
                <w:b w:val="1"/>
                <w:bCs w:val="1"/>
                <w:color w:val="355675"/>
                <w:vertAlign w:val="superscript"/>
              </w:rPr>
              <w:t>(6)</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5"/>
                <w:szCs w:val="15"/>
                <w:color w:val="auto"/>
              </w:rPr>
              <w:t>2021</w:t>
            </w: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610,000</w:t>
            </w:r>
          </w:p>
        </w:tc>
        <w:tc>
          <w:tcPr>
            <w:tcW w:w="700" w:type="dxa"/>
            <w:vAlign w:val="bottom"/>
            <w:gridSpan w:val="2"/>
          </w:tcPr>
          <w:p>
            <w:pPr>
              <w:jc w:val="right"/>
              <w:ind w:right="120"/>
              <w:spacing w:after="0"/>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rPr>
                <w:sz w:val="20"/>
                <w:szCs w:val="20"/>
                <w:color w:val="auto"/>
              </w:rPr>
            </w:pPr>
            <w:r>
              <w:rPr>
                <w:rFonts w:ascii="Arial" w:cs="Arial" w:eastAsia="Arial" w:hAnsi="Arial"/>
                <w:sz w:val="15"/>
                <w:szCs w:val="15"/>
                <w:color w:val="auto"/>
              </w:rPr>
              <w:t>762,436</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646,333</w:t>
            </w:r>
          </w:p>
        </w:tc>
        <w:tc>
          <w:tcPr>
            <w:tcW w:w="1140" w:type="dxa"/>
            <w:vAlign w:val="bottom"/>
            <w:gridSpan w:val="2"/>
          </w:tcPr>
          <w:p>
            <w:pPr>
              <w:jc w:val="right"/>
              <w:ind w:right="100"/>
              <w:spacing w:after="0"/>
              <w:rPr>
                <w:sz w:val="20"/>
                <w:szCs w:val="20"/>
                <w:color w:val="auto"/>
              </w:rPr>
            </w:pPr>
            <w:r>
              <w:rPr>
                <w:rFonts w:ascii="Arial" w:cs="Arial" w:eastAsia="Arial" w:hAnsi="Arial"/>
                <w:sz w:val="15"/>
                <w:szCs w:val="15"/>
                <w:color w:val="auto"/>
              </w:rPr>
              <w:t>229,176</w:t>
            </w:r>
          </w:p>
        </w:tc>
        <w:tc>
          <w:tcPr>
            <w:tcW w:w="1160" w:type="dxa"/>
            <w:vAlign w:val="bottom"/>
            <w:gridSpan w:val="2"/>
          </w:tcPr>
          <w:p>
            <w:pPr>
              <w:jc w:val="right"/>
              <w:ind w:right="120"/>
              <w:spacing w:after="0"/>
              <w:rPr>
                <w:sz w:val="20"/>
                <w:szCs w:val="20"/>
                <w:color w:val="auto"/>
              </w:rPr>
            </w:pPr>
            <w:r>
              <w:rPr>
                <w:rFonts w:ascii="Arial" w:cs="Arial" w:eastAsia="Arial" w:hAnsi="Arial"/>
                <w:sz w:val="15"/>
                <w:szCs w:val="15"/>
                <w:color w:val="auto"/>
              </w:rPr>
              <w:t>26,800</w:t>
            </w:r>
          </w:p>
        </w:tc>
        <w:tc>
          <w:tcPr>
            <w:tcW w:w="780" w:type="dxa"/>
            <w:vAlign w:val="bottom"/>
          </w:tcPr>
          <w:p>
            <w:pPr>
              <w:jc w:val="right"/>
              <w:spacing w:after="0"/>
              <w:rPr>
                <w:sz w:val="20"/>
                <w:szCs w:val="20"/>
                <w:color w:val="auto"/>
              </w:rPr>
            </w:pPr>
            <w:r>
              <w:rPr>
                <w:rFonts w:ascii="Arial" w:cs="Arial" w:eastAsia="Arial" w:hAnsi="Arial"/>
                <w:sz w:val="15"/>
                <w:szCs w:val="15"/>
                <w:color w:val="auto"/>
              </w:rPr>
              <w:t>2,274,745</w:t>
            </w:r>
          </w:p>
        </w:tc>
        <w:tc>
          <w:tcPr>
            <w:tcW w:w="0" w:type="dxa"/>
            <w:vAlign w:val="bottom"/>
          </w:tcPr>
          <w:p>
            <w:pPr>
              <w:spacing w:after="0"/>
              <w:rPr>
                <w:sz w:val="1"/>
                <w:szCs w:val="1"/>
                <w:color w:val="auto"/>
              </w:rPr>
            </w:pPr>
          </w:p>
        </w:tc>
      </w:tr>
      <w:tr>
        <w:trPr>
          <w:trHeight w:val="20"/>
        </w:trPr>
        <w:tc>
          <w:tcPr>
            <w:tcW w:w="4000" w:type="dxa"/>
            <w:vAlign w:val="bottom"/>
            <w:vMerge w:val="restart"/>
          </w:tcPr>
          <w:p>
            <w:pPr>
              <w:ind w:left="60"/>
              <w:spacing w:after="0"/>
              <w:rPr>
                <w:sz w:val="20"/>
                <w:szCs w:val="20"/>
                <w:color w:val="auto"/>
              </w:rPr>
            </w:pPr>
            <w:r>
              <w:rPr>
                <w:rFonts w:ascii="Arial" w:cs="Arial" w:eastAsia="Arial" w:hAnsi="Arial"/>
                <w:sz w:val="15"/>
                <w:szCs w:val="15"/>
                <w:color w:val="auto"/>
              </w:rPr>
              <w:t>Executive Vice President, General Counsel and Chief</w:t>
            </w:r>
          </w:p>
        </w:tc>
        <w:tc>
          <w:tcPr>
            <w:tcW w:w="100" w:type="dxa"/>
            <w:vAlign w:val="bottom"/>
          </w:tcPr>
          <w:p>
            <w:pPr>
              <w:spacing w:after="0" w:line="20" w:lineRule="exact"/>
              <w:rPr>
                <w:sz w:val="1"/>
                <w:szCs w:val="1"/>
                <w:color w:val="auto"/>
              </w:rPr>
            </w:pPr>
          </w:p>
        </w:tc>
        <w:tc>
          <w:tcPr>
            <w:tcW w:w="4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8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5"/>
        </w:trPr>
        <w:tc>
          <w:tcPr>
            <w:tcW w:w="4000" w:type="dxa"/>
            <w:vAlign w:val="bottom"/>
            <w:vMerge w:val="continue"/>
          </w:tcPr>
          <w:p>
            <w:pPr>
              <w:spacing w:after="0"/>
              <w:rPr>
                <w:sz w:val="13"/>
                <w:szCs w:val="13"/>
                <w:color w:val="auto"/>
              </w:rPr>
            </w:pPr>
          </w:p>
        </w:tc>
        <w:tc>
          <w:tcPr>
            <w:tcW w:w="100" w:type="dxa"/>
            <w:vAlign w:val="bottom"/>
          </w:tcPr>
          <w:p>
            <w:pPr>
              <w:spacing w:after="0"/>
              <w:rPr>
                <w:sz w:val="13"/>
                <w:szCs w:val="13"/>
                <w:color w:val="auto"/>
              </w:rPr>
            </w:pPr>
          </w:p>
        </w:tc>
        <w:tc>
          <w:tcPr>
            <w:tcW w:w="440" w:type="dxa"/>
            <w:vAlign w:val="bottom"/>
          </w:tcPr>
          <w:p>
            <w:pPr>
              <w:jc w:val="right"/>
              <w:spacing w:after="0" w:line="156" w:lineRule="exact"/>
              <w:rPr>
                <w:sz w:val="20"/>
                <w:szCs w:val="20"/>
                <w:color w:val="auto"/>
              </w:rPr>
            </w:pPr>
            <w:r>
              <w:rPr>
                <w:rFonts w:ascii="Arial" w:cs="Arial" w:eastAsia="Arial" w:hAnsi="Arial"/>
                <w:sz w:val="15"/>
                <w:szCs w:val="15"/>
                <w:color w:val="auto"/>
              </w:rPr>
              <w:t>2020</w:t>
            </w:r>
          </w:p>
        </w:tc>
        <w:tc>
          <w:tcPr>
            <w:tcW w:w="100" w:type="dxa"/>
            <w:vAlign w:val="bottom"/>
          </w:tcPr>
          <w:p>
            <w:pPr>
              <w:spacing w:after="0"/>
              <w:rPr>
                <w:sz w:val="13"/>
                <w:szCs w:val="13"/>
                <w:color w:val="auto"/>
              </w:rPr>
            </w:pPr>
          </w:p>
        </w:tc>
        <w:tc>
          <w:tcPr>
            <w:tcW w:w="840" w:type="dxa"/>
            <w:vAlign w:val="bottom"/>
            <w:gridSpan w:val="2"/>
          </w:tcPr>
          <w:p>
            <w:pPr>
              <w:jc w:val="right"/>
              <w:ind w:right="120"/>
              <w:spacing w:after="0" w:line="156" w:lineRule="exact"/>
              <w:rPr>
                <w:sz w:val="20"/>
                <w:szCs w:val="20"/>
                <w:color w:val="auto"/>
              </w:rPr>
            </w:pPr>
            <w:r>
              <w:rPr>
                <w:rFonts w:ascii="Arial" w:cs="Arial" w:eastAsia="Arial" w:hAnsi="Arial"/>
                <w:sz w:val="15"/>
                <w:szCs w:val="15"/>
                <w:color w:val="auto"/>
              </w:rPr>
              <w:t>610,000</w:t>
            </w:r>
          </w:p>
        </w:tc>
        <w:tc>
          <w:tcPr>
            <w:tcW w:w="700" w:type="dxa"/>
            <w:vAlign w:val="bottom"/>
            <w:gridSpan w:val="2"/>
          </w:tcPr>
          <w:p>
            <w:pPr>
              <w:jc w:val="right"/>
              <w:ind w:right="120"/>
              <w:spacing w:after="0" w:line="156" w:lineRule="exact"/>
              <w:rPr>
                <w:sz w:val="20"/>
                <w:szCs w:val="20"/>
                <w:color w:val="auto"/>
              </w:rPr>
            </w:pPr>
            <w:r>
              <w:rPr>
                <w:rFonts w:ascii="Arial" w:cs="Arial" w:eastAsia="Arial" w:hAnsi="Arial"/>
                <w:sz w:val="15"/>
                <w:szCs w:val="15"/>
                <w:color w:val="auto"/>
              </w:rPr>
              <w:t>0</w:t>
            </w:r>
          </w:p>
        </w:tc>
        <w:tc>
          <w:tcPr>
            <w:tcW w:w="840" w:type="dxa"/>
            <w:vAlign w:val="bottom"/>
            <w:gridSpan w:val="2"/>
          </w:tcPr>
          <w:p>
            <w:pPr>
              <w:jc w:val="right"/>
              <w:ind w:right="120"/>
              <w:spacing w:after="0" w:line="156" w:lineRule="exact"/>
              <w:rPr>
                <w:sz w:val="20"/>
                <w:szCs w:val="20"/>
                <w:color w:val="auto"/>
              </w:rPr>
            </w:pPr>
            <w:r>
              <w:rPr>
                <w:rFonts w:ascii="Arial" w:cs="Arial" w:eastAsia="Arial" w:hAnsi="Arial"/>
                <w:sz w:val="15"/>
                <w:szCs w:val="15"/>
                <w:color w:val="auto"/>
              </w:rPr>
              <w:t>717,454</w:t>
            </w:r>
          </w:p>
        </w:tc>
        <w:tc>
          <w:tcPr>
            <w:tcW w:w="1140" w:type="dxa"/>
            <w:vAlign w:val="bottom"/>
            <w:gridSpan w:val="2"/>
          </w:tcPr>
          <w:p>
            <w:pPr>
              <w:jc w:val="right"/>
              <w:ind w:right="100"/>
              <w:spacing w:after="0" w:line="156" w:lineRule="exact"/>
              <w:rPr>
                <w:sz w:val="20"/>
                <w:szCs w:val="20"/>
                <w:color w:val="auto"/>
              </w:rPr>
            </w:pPr>
            <w:r>
              <w:rPr>
                <w:rFonts w:ascii="Arial" w:cs="Arial" w:eastAsia="Arial" w:hAnsi="Arial"/>
                <w:sz w:val="15"/>
                <w:szCs w:val="15"/>
                <w:color w:val="auto"/>
              </w:rPr>
              <w:t>528,812</w:t>
            </w:r>
          </w:p>
        </w:tc>
        <w:tc>
          <w:tcPr>
            <w:tcW w:w="1140" w:type="dxa"/>
            <w:vAlign w:val="bottom"/>
            <w:gridSpan w:val="2"/>
          </w:tcPr>
          <w:p>
            <w:pPr>
              <w:jc w:val="right"/>
              <w:ind w:right="100"/>
              <w:spacing w:after="0" w:line="156" w:lineRule="exact"/>
              <w:rPr>
                <w:sz w:val="20"/>
                <w:szCs w:val="20"/>
                <w:color w:val="auto"/>
              </w:rPr>
            </w:pPr>
            <w:r>
              <w:rPr>
                <w:rFonts w:ascii="Arial" w:cs="Arial" w:eastAsia="Arial" w:hAnsi="Arial"/>
                <w:sz w:val="15"/>
                <w:szCs w:val="15"/>
                <w:color w:val="auto"/>
              </w:rPr>
              <w:t>194,742</w:t>
            </w:r>
          </w:p>
        </w:tc>
        <w:tc>
          <w:tcPr>
            <w:tcW w:w="1160" w:type="dxa"/>
            <w:vAlign w:val="bottom"/>
            <w:gridSpan w:val="2"/>
          </w:tcPr>
          <w:p>
            <w:pPr>
              <w:jc w:val="right"/>
              <w:ind w:right="120"/>
              <w:spacing w:after="0" w:line="156" w:lineRule="exact"/>
              <w:rPr>
                <w:sz w:val="20"/>
                <w:szCs w:val="20"/>
                <w:color w:val="auto"/>
              </w:rPr>
            </w:pPr>
            <w:r>
              <w:rPr>
                <w:rFonts w:ascii="Arial" w:cs="Arial" w:eastAsia="Arial" w:hAnsi="Arial"/>
                <w:sz w:val="15"/>
                <w:szCs w:val="15"/>
                <w:color w:val="auto"/>
              </w:rPr>
              <w:t>115,813</w:t>
            </w:r>
          </w:p>
        </w:tc>
        <w:tc>
          <w:tcPr>
            <w:tcW w:w="780" w:type="dxa"/>
            <w:vAlign w:val="bottom"/>
          </w:tcPr>
          <w:p>
            <w:pPr>
              <w:jc w:val="right"/>
              <w:spacing w:after="0" w:line="156" w:lineRule="exact"/>
              <w:rPr>
                <w:sz w:val="20"/>
                <w:szCs w:val="20"/>
                <w:color w:val="auto"/>
              </w:rPr>
            </w:pPr>
            <w:r>
              <w:rPr>
                <w:rFonts w:ascii="Arial" w:cs="Arial" w:eastAsia="Arial" w:hAnsi="Arial"/>
                <w:sz w:val="15"/>
                <w:szCs w:val="15"/>
                <w:color w:val="auto"/>
              </w:rPr>
              <w:t>2,166,821</w:t>
            </w:r>
          </w:p>
        </w:tc>
        <w:tc>
          <w:tcPr>
            <w:tcW w:w="0" w:type="dxa"/>
            <w:vAlign w:val="bottom"/>
          </w:tcPr>
          <w:p>
            <w:pPr>
              <w:spacing w:after="0"/>
              <w:rPr>
                <w:sz w:val="1"/>
                <w:szCs w:val="1"/>
                <w:color w:val="auto"/>
              </w:rPr>
            </w:pPr>
          </w:p>
        </w:tc>
      </w:tr>
      <w:tr>
        <w:trPr>
          <w:trHeight w:val="54"/>
        </w:trPr>
        <w:tc>
          <w:tcPr>
            <w:tcW w:w="4000" w:type="dxa"/>
            <w:vAlign w:val="bottom"/>
            <w:vMerge w:val="restart"/>
          </w:tcPr>
          <w:p>
            <w:pPr>
              <w:ind w:left="60"/>
              <w:spacing w:after="0"/>
              <w:rPr>
                <w:sz w:val="20"/>
                <w:szCs w:val="20"/>
                <w:color w:val="auto"/>
              </w:rPr>
            </w:pPr>
            <w:r>
              <w:rPr>
                <w:rFonts w:ascii="Arial" w:cs="Arial" w:eastAsia="Arial" w:hAnsi="Arial"/>
                <w:sz w:val="15"/>
                <w:szCs w:val="15"/>
                <w:color w:val="auto"/>
              </w:rPr>
              <w:t>Development Officer of PNW and APS</w:t>
            </w:r>
          </w:p>
        </w:tc>
        <w:tc>
          <w:tcPr>
            <w:tcW w:w="100" w:type="dxa"/>
            <w:vAlign w:val="bottom"/>
          </w:tcPr>
          <w:p>
            <w:pPr>
              <w:spacing w:after="0"/>
              <w:rPr>
                <w:sz w:val="4"/>
                <w:szCs w:val="4"/>
                <w:color w:val="auto"/>
              </w:rPr>
            </w:pPr>
          </w:p>
        </w:tc>
        <w:tc>
          <w:tcPr>
            <w:tcW w:w="440" w:type="dxa"/>
            <w:vAlign w:val="bottom"/>
            <w:tcBorders>
              <w:bottom w:val="single" w:sz="8" w:color="939598"/>
            </w:tcBorders>
          </w:tcPr>
          <w:p>
            <w:pPr>
              <w:spacing w:after="0"/>
              <w:rPr>
                <w:sz w:val="4"/>
                <w:szCs w:val="4"/>
                <w:color w:val="auto"/>
              </w:rPr>
            </w:pPr>
          </w:p>
        </w:tc>
        <w:tc>
          <w:tcPr>
            <w:tcW w:w="100" w:type="dxa"/>
            <w:vAlign w:val="bottom"/>
          </w:tcPr>
          <w:p>
            <w:pPr>
              <w:spacing w:after="0"/>
              <w:rPr>
                <w:sz w:val="4"/>
                <w:szCs w:val="4"/>
                <w:color w:val="auto"/>
              </w:rPr>
            </w:pPr>
          </w:p>
        </w:tc>
        <w:tc>
          <w:tcPr>
            <w:tcW w:w="720" w:type="dxa"/>
            <w:vAlign w:val="bottom"/>
            <w:tcBorders>
              <w:bottom w:val="single" w:sz="8" w:color="939598"/>
            </w:tcBorders>
          </w:tcPr>
          <w:p>
            <w:pPr>
              <w:spacing w:after="0"/>
              <w:rPr>
                <w:sz w:val="4"/>
                <w:szCs w:val="4"/>
                <w:color w:val="auto"/>
              </w:rPr>
            </w:pPr>
          </w:p>
        </w:tc>
        <w:tc>
          <w:tcPr>
            <w:tcW w:w="120" w:type="dxa"/>
            <w:vAlign w:val="bottom"/>
          </w:tcPr>
          <w:p>
            <w:pPr>
              <w:spacing w:after="0"/>
              <w:rPr>
                <w:sz w:val="4"/>
                <w:szCs w:val="4"/>
                <w:color w:val="auto"/>
              </w:rPr>
            </w:pPr>
          </w:p>
        </w:tc>
        <w:tc>
          <w:tcPr>
            <w:tcW w:w="580" w:type="dxa"/>
            <w:vAlign w:val="bottom"/>
            <w:tcBorders>
              <w:bottom w:val="single" w:sz="8" w:color="939598"/>
            </w:tcBorders>
          </w:tcPr>
          <w:p>
            <w:pPr>
              <w:spacing w:after="0"/>
              <w:rPr>
                <w:sz w:val="4"/>
                <w:szCs w:val="4"/>
                <w:color w:val="auto"/>
              </w:rPr>
            </w:pPr>
          </w:p>
        </w:tc>
        <w:tc>
          <w:tcPr>
            <w:tcW w:w="120" w:type="dxa"/>
            <w:vAlign w:val="bottom"/>
          </w:tcPr>
          <w:p>
            <w:pPr>
              <w:spacing w:after="0"/>
              <w:rPr>
                <w:sz w:val="4"/>
                <w:szCs w:val="4"/>
                <w:color w:val="auto"/>
              </w:rPr>
            </w:pPr>
          </w:p>
        </w:tc>
        <w:tc>
          <w:tcPr>
            <w:tcW w:w="720" w:type="dxa"/>
            <w:vAlign w:val="bottom"/>
            <w:tcBorders>
              <w:bottom w:val="single" w:sz="8" w:color="939598"/>
            </w:tcBorders>
          </w:tcPr>
          <w:p>
            <w:pPr>
              <w:spacing w:after="0"/>
              <w:rPr>
                <w:sz w:val="4"/>
                <w:szCs w:val="4"/>
                <w:color w:val="auto"/>
              </w:rPr>
            </w:pPr>
          </w:p>
        </w:tc>
        <w:tc>
          <w:tcPr>
            <w:tcW w:w="120" w:type="dxa"/>
            <w:vAlign w:val="bottom"/>
          </w:tcPr>
          <w:p>
            <w:pPr>
              <w:spacing w:after="0"/>
              <w:rPr>
                <w:sz w:val="4"/>
                <w:szCs w:val="4"/>
                <w:color w:val="auto"/>
              </w:rPr>
            </w:pPr>
          </w:p>
        </w:tc>
        <w:tc>
          <w:tcPr>
            <w:tcW w:w="1040" w:type="dxa"/>
            <w:vAlign w:val="bottom"/>
            <w:tcBorders>
              <w:bottom w:val="single" w:sz="8" w:color="939598"/>
            </w:tcBorders>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tcBorders>
              <w:bottom w:val="single" w:sz="8" w:color="939598"/>
            </w:tcBorders>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tcBorders>
              <w:bottom w:val="single" w:sz="8" w:color="939598"/>
            </w:tcBorders>
          </w:tcPr>
          <w:p>
            <w:pPr>
              <w:spacing w:after="0"/>
              <w:rPr>
                <w:sz w:val="4"/>
                <w:szCs w:val="4"/>
                <w:color w:val="auto"/>
              </w:rPr>
            </w:pPr>
          </w:p>
        </w:tc>
        <w:tc>
          <w:tcPr>
            <w:tcW w:w="120" w:type="dxa"/>
            <w:vAlign w:val="bottom"/>
          </w:tcPr>
          <w:p>
            <w:pPr>
              <w:spacing w:after="0"/>
              <w:rPr>
                <w:sz w:val="4"/>
                <w:szCs w:val="4"/>
                <w:color w:val="auto"/>
              </w:rPr>
            </w:pPr>
          </w:p>
        </w:tc>
        <w:tc>
          <w:tcPr>
            <w:tcW w:w="780" w:type="dxa"/>
            <w:vAlign w:val="bottom"/>
            <w:tcBorders>
              <w:bottom w:val="single" w:sz="8" w:color="939598"/>
            </w:tcBorders>
          </w:tcPr>
          <w:p>
            <w:pPr>
              <w:spacing w:after="0"/>
              <w:rPr>
                <w:sz w:val="4"/>
                <w:szCs w:val="4"/>
                <w:color w:val="auto"/>
              </w:rPr>
            </w:pPr>
          </w:p>
        </w:tc>
        <w:tc>
          <w:tcPr>
            <w:tcW w:w="0" w:type="dxa"/>
            <w:vAlign w:val="bottom"/>
          </w:tcPr>
          <w:p>
            <w:pPr>
              <w:spacing w:after="0"/>
              <w:rPr>
                <w:sz w:val="1"/>
                <w:szCs w:val="1"/>
                <w:color w:val="auto"/>
              </w:rPr>
            </w:pPr>
          </w:p>
        </w:tc>
      </w:tr>
      <w:tr>
        <w:trPr>
          <w:trHeight w:val="126"/>
        </w:trPr>
        <w:tc>
          <w:tcPr>
            <w:tcW w:w="4000" w:type="dxa"/>
            <w:vAlign w:val="bottom"/>
            <w:vMerge w:val="continue"/>
          </w:tcPr>
          <w:p>
            <w:pPr>
              <w:spacing w:after="0"/>
              <w:rPr>
                <w:sz w:val="10"/>
                <w:szCs w:val="10"/>
                <w:color w:val="auto"/>
              </w:rPr>
            </w:pPr>
          </w:p>
        </w:tc>
        <w:tc>
          <w:tcPr>
            <w:tcW w:w="100" w:type="dxa"/>
            <w:vAlign w:val="bottom"/>
            <w:vMerge w:val="restart"/>
          </w:tcPr>
          <w:p>
            <w:pPr>
              <w:spacing w:after="0"/>
              <w:rPr>
                <w:sz w:val="10"/>
                <w:szCs w:val="10"/>
                <w:color w:val="auto"/>
              </w:rPr>
            </w:pPr>
          </w:p>
        </w:tc>
        <w:tc>
          <w:tcPr>
            <w:tcW w:w="440" w:type="dxa"/>
            <w:vAlign w:val="bottom"/>
            <w:vMerge w:val="restart"/>
          </w:tcPr>
          <w:p>
            <w:pPr>
              <w:jc w:val="right"/>
              <w:spacing w:after="0"/>
              <w:rPr>
                <w:sz w:val="20"/>
                <w:szCs w:val="20"/>
                <w:color w:val="auto"/>
              </w:rPr>
            </w:pPr>
            <w:r>
              <w:rPr>
                <w:rFonts w:ascii="Arial" w:cs="Arial" w:eastAsia="Arial" w:hAnsi="Arial"/>
                <w:sz w:val="15"/>
                <w:szCs w:val="15"/>
                <w:color w:val="auto"/>
              </w:rPr>
              <w:t>2019</w:t>
            </w:r>
          </w:p>
        </w:tc>
        <w:tc>
          <w:tcPr>
            <w:tcW w:w="100" w:type="dxa"/>
            <w:vAlign w:val="bottom"/>
          </w:tcPr>
          <w:p>
            <w:pPr>
              <w:spacing w:after="0"/>
              <w:rPr>
                <w:sz w:val="10"/>
                <w:szCs w:val="10"/>
                <w:color w:val="auto"/>
              </w:rPr>
            </w:pP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600,000</w:t>
            </w:r>
          </w:p>
        </w:tc>
        <w:tc>
          <w:tcPr>
            <w:tcW w:w="70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150,000</w:t>
            </w:r>
          </w:p>
        </w:tc>
        <w:tc>
          <w:tcPr>
            <w:tcW w:w="84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656,982</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408,330</w:t>
            </w:r>
          </w:p>
        </w:tc>
        <w:tc>
          <w:tcPr>
            <w:tcW w:w="1140" w:type="dxa"/>
            <w:vAlign w:val="bottom"/>
            <w:gridSpan w:val="2"/>
            <w:vMerge w:val="restart"/>
          </w:tcPr>
          <w:p>
            <w:pPr>
              <w:jc w:val="right"/>
              <w:ind w:right="100"/>
              <w:spacing w:after="0"/>
              <w:rPr>
                <w:sz w:val="20"/>
                <w:szCs w:val="20"/>
                <w:color w:val="auto"/>
              </w:rPr>
            </w:pPr>
            <w:r>
              <w:rPr>
                <w:rFonts w:ascii="Arial" w:cs="Arial" w:eastAsia="Arial" w:hAnsi="Arial"/>
                <w:sz w:val="15"/>
                <w:szCs w:val="15"/>
                <w:color w:val="auto"/>
              </w:rPr>
              <w:t>129,434</w:t>
            </w:r>
          </w:p>
        </w:tc>
        <w:tc>
          <w:tcPr>
            <w:tcW w:w="1160" w:type="dxa"/>
            <w:vAlign w:val="bottom"/>
            <w:gridSpan w:val="2"/>
            <w:vMerge w:val="restart"/>
          </w:tcPr>
          <w:p>
            <w:pPr>
              <w:jc w:val="right"/>
              <w:ind w:right="120"/>
              <w:spacing w:after="0"/>
              <w:rPr>
                <w:sz w:val="20"/>
                <w:szCs w:val="20"/>
                <w:color w:val="auto"/>
              </w:rPr>
            </w:pPr>
            <w:r>
              <w:rPr>
                <w:rFonts w:ascii="Arial" w:cs="Arial" w:eastAsia="Arial" w:hAnsi="Arial"/>
                <w:sz w:val="15"/>
                <w:szCs w:val="15"/>
                <w:color w:val="auto"/>
              </w:rPr>
              <w:t>205,241</w:t>
            </w:r>
          </w:p>
        </w:tc>
        <w:tc>
          <w:tcPr>
            <w:tcW w:w="780" w:type="dxa"/>
            <w:vAlign w:val="bottom"/>
            <w:vMerge w:val="restart"/>
          </w:tcPr>
          <w:p>
            <w:pPr>
              <w:jc w:val="right"/>
              <w:spacing w:after="0"/>
              <w:rPr>
                <w:sz w:val="20"/>
                <w:szCs w:val="20"/>
                <w:color w:val="auto"/>
              </w:rPr>
            </w:pPr>
            <w:r>
              <w:rPr>
                <w:rFonts w:ascii="Arial" w:cs="Arial" w:eastAsia="Arial" w:hAnsi="Arial"/>
                <w:sz w:val="15"/>
                <w:szCs w:val="15"/>
                <w:color w:val="auto"/>
              </w:rPr>
              <w:t>2,149,987</w:t>
            </w:r>
          </w:p>
        </w:tc>
        <w:tc>
          <w:tcPr>
            <w:tcW w:w="0" w:type="dxa"/>
            <w:vAlign w:val="bottom"/>
          </w:tcPr>
          <w:p>
            <w:pPr>
              <w:spacing w:after="0"/>
              <w:rPr>
                <w:sz w:val="1"/>
                <w:szCs w:val="1"/>
                <w:color w:val="auto"/>
              </w:rPr>
            </w:pPr>
          </w:p>
        </w:tc>
      </w:tr>
      <w:tr>
        <w:trPr>
          <w:trHeight w:val="80"/>
        </w:trPr>
        <w:tc>
          <w:tcPr>
            <w:tcW w:w="400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840" w:type="dxa"/>
            <w:vAlign w:val="bottom"/>
            <w:gridSpan w:val="2"/>
            <w:vMerge w:val="continue"/>
          </w:tcPr>
          <w:p>
            <w:pPr>
              <w:spacing w:after="0"/>
              <w:rPr>
                <w:sz w:val="6"/>
                <w:szCs w:val="6"/>
                <w:color w:val="auto"/>
              </w:rPr>
            </w:pPr>
          </w:p>
        </w:tc>
        <w:tc>
          <w:tcPr>
            <w:tcW w:w="700" w:type="dxa"/>
            <w:vAlign w:val="bottom"/>
            <w:gridSpan w:val="2"/>
            <w:vMerge w:val="continue"/>
          </w:tcPr>
          <w:p>
            <w:pPr>
              <w:spacing w:after="0"/>
              <w:rPr>
                <w:sz w:val="6"/>
                <w:szCs w:val="6"/>
                <w:color w:val="auto"/>
              </w:rPr>
            </w:pPr>
          </w:p>
        </w:tc>
        <w:tc>
          <w:tcPr>
            <w:tcW w:w="840" w:type="dxa"/>
            <w:vAlign w:val="bottom"/>
            <w:gridSpan w:val="2"/>
            <w:vMerge w:val="continue"/>
          </w:tcPr>
          <w:p>
            <w:pPr>
              <w:spacing w:after="0"/>
              <w:rPr>
                <w:sz w:val="6"/>
                <w:szCs w:val="6"/>
                <w:color w:val="auto"/>
              </w:rPr>
            </w:pPr>
          </w:p>
        </w:tc>
        <w:tc>
          <w:tcPr>
            <w:tcW w:w="1140" w:type="dxa"/>
            <w:vAlign w:val="bottom"/>
            <w:gridSpan w:val="2"/>
            <w:vMerge w:val="continue"/>
          </w:tcPr>
          <w:p>
            <w:pPr>
              <w:spacing w:after="0"/>
              <w:rPr>
                <w:sz w:val="6"/>
                <w:szCs w:val="6"/>
                <w:color w:val="auto"/>
              </w:rPr>
            </w:pPr>
          </w:p>
        </w:tc>
        <w:tc>
          <w:tcPr>
            <w:tcW w:w="1140" w:type="dxa"/>
            <w:vAlign w:val="bottom"/>
            <w:gridSpan w:val="2"/>
            <w:vMerge w:val="continue"/>
          </w:tcPr>
          <w:p>
            <w:pPr>
              <w:spacing w:after="0"/>
              <w:rPr>
                <w:sz w:val="6"/>
                <w:szCs w:val="6"/>
                <w:color w:val="auto"/>
              </w:rPr>
            </w:pPr>
          </w:p>
        </w:tc>
        <w:tc>
          <w:tcPr>
            <w:tcW w:w="1160" w:type="dxa"/>
            <w:vAlign w:val="bottom"/>
            <w:gridSpan w:val="2"/>
            <w:vMerge w:val="continue"/>
          </w:tcPr>
          <w:p>
            <w:pPr>
              <w:spacing w:after="0"/>
              <w:rPr>
                <w:sz w:val="6"/>
                <w:szCs w:val="6"/>
                <w:color w:val="auto"/>
              </w:rPr>
            </w:pPr>
          </w:p>
        </w:tc>
        <w:tc>
          <w:tcPr>
            <w:tcW w:w="7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57"/>
        </w:trPr>
        <w:tc>
          <w:tcPr>
            <w:tcW w:w="400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4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58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2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00" w:type="dxa"/>
            <w:vAlign w:val="bottom"/>
          </w:tcPr>
          <w:p>
            <w:pPr>
              <w:spacing w:after="0"/>
              <w:rPr>
                <w:sz w:val="4"/>
                <w:szCs w:val="4"/>
                <w:color w:val="auto"/>
              </w:rPr>
            </w:pPr>
          </w:p>
        </w:tc>
        <w:tc>
          <w:tcPr>
            <w:tcW w:w="104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80" w:type="dxa"/>
            <w:vAlign w:val="bottom"/>
            <w:shd w:val="clear" w:color="auto" w:fill="355675"/>
          </w:tcPr>
          <w:p>
            <w:pPr>
              <w:spacing w:after="0"/>
              <w:rPr>
                <w:sz w:val="4"/>
                <w:szCs w:val="4"/>
                <w:color w:val="auto"/>
              </w:rPr>
            </w:pPr>
          </w:p>
        </w:tc>
        <w:tc>
          <w:tcPr>
            <w:tcW w:w="0" w:type="dxa"/>
            <w:vAlign w:val="bottom"/>
          </w:tcPr>
          <w:p>
            <w:pPr>
              <w:spacing w:after="0"/>
              <w:rPr>
                <w:sz w:val="1"/>
                <w:szCs w:val="1"/>
                <w:color w:val="auto"/>
              </w:rPr>
            </w:pPr>
          </w:p>
        </w:tc>
      </w:tr>
    </w:tbl>
    <w:p>
      <w:pPr>
        <w:spacing w:after="0" w:line="126" w:lineRule="exact"/>
        <w:rPr>
          <w:sz w:val="20"/>
          <w:szCs w:val="20"/>
          <w:color w:val="auto"/>
        </w:rPr>
      </w:pPr>
    </w:p>
    <w:p>
      <w:pPr>
        <w:ind w:left="300" w:right="40" w:hanging="292"/>
        <w:spacing w:after="0" w:line="213" w:lineRule="auto"/>
        <w:tabs>
          <w:tab w:leader="none" w:pos="300" w:val="left"/>
        </w:tabs>
        <w:numPr>
          <w:ilvl w:val="0"/>
          <w:numId w:val="89"/>
        </w:numPr>
        <w:rPr>
          <w:rFonts w:ascii="Arial" w:cs="Arial" w:eastAsia="Arial" w:hAnsi="Arial"/>
          <w:sz w:val="24"/>
          <w:szCs w:val="24"/>
          <w:color w:val="auto"/>
          <w:vertAlign w:val="superscript"/>
        </w:rPr>
      </w:pPr>
      <w:r>
        <w:rPr>
          <w:rFonts w:ascii="Arial" w:cs="Arial" w:eastAsia="Arial" w:hAnsi="Arial"/>
          <w:sz w:val="14"/>
          <w:szCs w:val="14"/>
          <w:color w:val="auto"/>
        </w:rPr>
        <w:t>The amounts in this column reflect the aggregate grant date fair value of performance shares and RSUs computed in accordance with FASB ASC Topic 718. For performance shares, 50% of the value reported is based on the probable outcome of the performance conditions as of the grant date using a Monte Carlo simulation model: ($86.61 for Messrs. Guldner and Hatfield, and Ms. Lacal; and $89.02 for Messrs. Geisler and Smith) and 50% is based on the closing price on the date of grant ($76.02). The amounts in the column are allocated between the various equity grants as follows:</w:t>
      </w:r>
    </w:p>
    <w:p>
      <w:pPr>
        <w:spacing w:after="0" w:line="163" w:lineRule="exact"/>
        <w:rPr>
          <w:sz w:val="20"/>
          <w:szCs w:val="20"/>
          <w:color w:val="auto"/>
        </w:rPr>
      </w:pPr>
    </w:p>
    <w:tbl>
      <w:tblPr>
        <w:tblLayout w:type="fixed"/>
        <w:tblInd w:w="300" w:type="dxa"/>
        <w:tblCellMar>
          <w:top w:w="0" w:type="dxa"/>
          <w:left w:w="0" w:type="dxa"/>
          <w:bottom w:w="0" w:type="dxa"/>
          <w:right w:w="0" w:type="dxa"/>
        </w:tblCellMar>
      </w:tblPr>
      <w:tr>
        <w:trPr>
          <w:trHeight w:val="162"/>
        </w:trPr>
        <w:tc>
          <w:tcPr>
            <w:tcW w:w="88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80" w:type="dxa"/>
            <w:vAlign w:val="bottom"/>
          </w:tcPr>
          <w:p>
            <w:pPr>
              <w:jc w:val="right"/>
              <w:spacing w:after="0"/>
              <w:rPr>
                <w:sz w:val="20"/>
                <w:szCs w:val="20"/>
                <w:color w:val="auto"/>
              </w:rPr>
            </w:pPr>
            <w:r>
              <w:rPr>
                <w:rFonts w:ascii="Arial" w:cs="Arial" w:eastAsia="Arial" w:hAnsi="Arial"/>
                <w:sz w:val="14"/>
                <w:szCs w:val="14"/>
                <w:b w:val="1"/>
                <w:bCs w:val="1"/>
                <w:color w:val="355675"/>
              </w:rPr>
              <w:t>Performance</w:t>
            </w:r>
          </w:p>
        </w:tc>
      </w:tr>
      <w:tr>
        <w:trPr>
          <w:trHeight w:val="162"/>
        </w:trPr>
        <w:tc>
          <w:tcPr>
            <w:tcW w:w="88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RSUs</w:t>
            </w:r>
          </w:p>
        </w:tc>
        <w:tc>
          <w:tcPr>
            <w:tcW w:w="980" w:type="dxa"/>
            <w:vAlign w:val="bottom"/>
          </w:tcPr>
          <w:p>
            <w:pPr>
              <w:jc w:val="right"/>
              <w:spacing w:after="0"/>
              <w:rPr>
                <w:sz w:val="20"/>
                <w:szCs w:val="20"/>
                <w:color w:val="auto"/>
              </w:rPr>
            </w:pPr>
            <w:r>
              <w:rPr>
                <w:rFonts w:ascii="Arial" w:cs="Arial" w:eastAsia="Arial" w:hAnsi="Arial"/>
                <w:sz w:val="14"/>
                <w:szCs w:val="14"/>
                <w:b w:val="1"/>
                <w:bCs w:val="1"/>
                <w:color w:val="355675"/>
              </w:rPr>
              <w:t>Shares</w:t>
            </w:r>
          </w:p>
        </w:tc>
      </w:tr>
      <w:tr>
        <w:trPr>
          <w:trHeight w:val="197"/>
        </w:trPr>
        <w:tc>
          <w:tcPr>
            <w:tcW w:w="8880" w:type="dxa"/>
            <w:vAlign w:val="bottom"/>
          </w:tcPr>
          <w:p>
            <w:pPr>
              <w:ind w:left="60"/>
              <w:spacing w:after="0"/>
              <w:rPr>
                <w:sz w:val="20"/>
                <w:szCs w:val="20"/>
                <w:color w:val="auto"/>
              </w:rPr>
            </w:pPr>
            <w:r>
              <w:rPr>
                <w:rFonts w:ascii="Arial" w:cs="Arial" w:eastAsia="Arial" w:hAnsi="Arial"/>
                <w:sz w:val="14"/>
                <w:szCs w:val="14"/>
                <w:b w:val="1"/>
                <w:bCs w:val="1"/>
                <w:color w:val="355675"/>
              </w:rPr>
              <w:t>Name</w:t>
            </w:r>
          </w:p>
        </w:tc>
        <w:tc>
          <w:tcPr>
            <w:tcW w:w="200" w:type="dxa"/>
            <w:vAlign w:val="bottom"/>
          </w:tcPr>
          <w:p>
            <w:pPr>
              <w:spacing w:after="0"/>
              <w:rPr>
                <w:sz w:val="17"/>
                <w:szCs w:val="17"/>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98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55"/>
        </w:trPr>
        <w:tc>
          <w:tcPr>
            <w:tcW w:w="888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68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980" w:type="dxa"/>
            <w:vAlign w:val="bottom"/>
            <w:shd w:val="clear" w:color="auto" w:fill="355675"/>
          </w:tcPr>
          <w:p>
            <w:pPr>
              <w:spacing w:after="0"/>
              <w:rPr>
                <w:sz w:val="4"/>
                <w:szCs w:val="4"/>
                <w:color w:val="auto"/>
              </w:rPr>
            </w:pPr>
          </w:p>
        </w:tc>
      </w:tr>
      <w:tr>
        <w:trPr>
          <w:trHeight w:val="215"/>
        </w:trPr>
        <w:tc>
          <w:tcPr>
            <w:tcW w:w="8880" w:type="dxa"/>
            <w:vAlign w:val="bottom"/>
          </w:tcPr>
          <w:p>
            <w:pPr>
              <w:ind w:left="60"/>
              <w:spacing w:after="0"/>
              <w:rPr>
                <w:sz w:val="20"/>
                <w:szCs w:val="20"/>
                <w:color w:val="auto"/>
              </w:rPr>
            </w:pPr>
            <w:r>
              <w:rPr>
                <w:rFonts w:ascii="Arial" w:cs="Arial" w:eastAsia="Arial" w:hAnsi="Arial"/>
                <w:sz w:val="14"/>
                <w:szCs w:val="14"/>
                <w:b w:val="1"/>
                <w:bCs w:val="1"/>
                <w:color w:val="355675"/>
              </w:rPr>
              <w:t>Mr. Guldner</w:t>
            </w:r>
          </w:p>
        </w:tc>
        <w:tc>
          <w:tcPr>
            <w:tcW w:w="200" w:type="dxa"/>
            <w:vAlign w:val="bottom"/>
          </w:tcPr>
          <w:p>
            <w:pPr>
              <w:spacing w:after="0"/>
              <w:rPr>
                <w:sz w:val="18"/>
                <w:szCs w:val="18"/>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color w:val="auto"/>
              </w:rPr>
              <w:t>1,167,059</w:t>
            </w:r>
          </w:p>
        </w:tc>
        <w:tc>
          <w:tcPr>
            <w:tcW w:w="980" w:type="dxa"/>
            <w:vAlign w:val="bottom"/>
          </w:tcPr>
          <w:p>
            <w:pPr>
              <w:jc w:val="right"/>
              <w:spacing w:after="0"/>
              <w:rPr>
                <w:sz w:val="20"/>
                <w:szCs w:val="20"/>
                <w:color w:val="auto"/>
              </w:rPr>
            </w:pPr>
            <w:r>
              <w:rPr>
                <w:rFonts w:ascii="Arial" w:cs="Arial" w:eastAsia="Arial" w:hAnsi="Arial"/>
                <w:sz w:val="14"/>
                <w:szCs w:val="14"/>
                <w:color w:val="auto"/>
              </w:rPr>
              <w:t>2,912,703</w:t>
            </w:r>
          </w:p>
        </w:tc>
      </w:tr>
      <w:tr>
        <w:trPr>
          <w:trHeight w:val="20"/>
        </w:trPr>
        <w:tc>
          <w:tcPr>
            <w:tcW w:w="8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r>
      <w:tr>
        <w:trPr>
          <w:trHeight w:val="210"/>
        </w:trPr>
        <w:tc>
          <w:tcPr>
            <w:tcW w:w="8880" w:type="dxa"/>
            <w:vAlign w:val="bottom"/>
          </w:tcPr>
          <w:p>
            <w:pPr>
              <w:ind w:left="60"/>
              <w:spacing w:after="0"/>
              <w:rPr>
                <w:sz w:val="20"/>
                <w:szCs w:val="20"/>
                <w:color w:val="auto"/>
              </w:rPr>
            </w:pPr>
            <w:r>
              <w:rPr>
                <w:rFonts w:ascii="Arial" w:cs="Arial" w:eastAsia="Arial" w:hAnsi="Arial"/>
                <w:sz w:val="14"/>
                <w:szCs w:val="14"/>
                <w:b w:val="1"/>
                <w:bCs w:val="1"/>
                <w:color w:val="355675"/>
              </w:rPr>
              <w:t>Mr. Geisler</w:t>
            </w:r>
          </w:p>
        </w:tc>
        <w:tc>
          <w:tcPr>
            <w:tcW w:w="200" w:type="dxa"/>
            <w:vAlign w:val="bottom"/>
          </w:tcPr>
          <w:p>
            <w:pPr>
              <w:spacing w:after="0"/>
              <w:rPr>
                <w:sz w:val="18"/>
                <w:szCs w:val="18"/>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color w:val="auto"/>
              </w:rPr>
              <w:t>400,169</w:t>
            </w:r>
          </w:p>
        </w:tc>
        <w:tc>
          <w:tcPr>
            <w:tcW w:w="980" w:type="dxa"/>
            <w:vAlign w:val="bottom"/>
          </w:tcPr>
          <w:p>
            <w:pPr>
              <w:jc w:val="right"/>
              <w:spacing w:after="0"/>
              <w:rPr>
                <w:sz w:val="20"/>
                <w:szCs w:val="20"/>
                <w:color w:val="auto"/>
              </w:rPr>
            </w:pPr>
            <w:r>
              <w:rPr>
                <w:rFonts w:ascii="Arial" w:cs="Arial" w:eastAsia="Arial" w:hAnsi="Arial"/>
                <w:sz w:val="14"/>
                <w:szCs w:val="14"/>
                <w:color w:val="auto"/>
              </w:rPr>
              <w:t>651,413</w:t>
            </w:r>
          </w:p>
        </w:tc>
      </w:tr>
      <w:tr>
        <w:trPr>
          <w:trHeight w:val="20"/>
        </w:trPr>
        <w:tc>
          <w:tcPr>
            <w:tcW w:w="8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r>
      <w:tr>
        <w:trPr>
          <w:trHeight w:val="209"/>
        </w:trPr>
        <w:tc>
          <w:tcPr>
            <w:tcW w:w="8880" w:type="dxa"/>
            <w:vAlign w:val="bottom"/>
          </w:tcPr>
          <w:p>
            <w:pPr>
              <w:ind w:left="60"/>
              <w:spacing w:after="0"/>
              <w:rPr>
                <w:sz w:val="20"/>
                <w:szCs w:val="20"/>
                <w:color w:val="auto"/>
              </w:rPr>
            </w:pPr>
            <w:r>
              <w:rPr>
                <w:rFonts w:ascii="Arial" w:cs="Arial" w:eastAsia="Arial" w:hAnsi="Arial"/>
                <w:sz w:val="14"/>
                <w:szCs w:val="14"/>
                <w:b w:val="1"/>
                <w:bCs w:val="1"/>
                <w:color w:val="355675"/>
              </w:rPr>
              <w:t>Mr. Hatfield</w:t>
            </w:r>
          </w:p>
        </w:tc>
        <w:tc>
          <w:tcPr>
            <w:tcW w:w="200" w:type="dxa"/>
            <w:vAlign w:val="bottom"/>
          </w:tcPr>
          <w:p>
            <w:pPr>
              <w:spacing w:after="0"/>
              <w:rPr>
                <w:sz w:val="18"/>
                <w:szCs w:val="18"/>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color w:val="auto"/>
              </w:rPr>
              <w:t>360,031</w:t>
            </w:r>
          </w:p>
        </w:tc>
        <w:tc>
          <w:tcPr>
            <w:tcW w:w="980" w:type="dxa"/>
            <w:vAlign w:val="bottom"/>
          </w:tcPr>
          <w:p>
            <w:pPr>
              <w:jc w:val="right"/>
              <w:spacing w:after="0"/>
              <w:rPr>
                <w:sz w:val="20"/>
                <w:szCs w:val="20"/>
                <w:color w:val="auto"/>
              </w:rPr>
            </w:pPr>
            <w:r>
              <w:rPr>
                <w:rFonts w:ascii="Arial" w:cs="Arial" w:eastAsia="Arial" w:hAnsi="Arial"/>
                <w:sz w:val="14"/>
                <w:szCs w:val="14"/>
                <w:color w:val="auto"/>
              </w:rPr>
              <w:t>898,531</w:t>
            </w:r>
          </w:p>
        </w:tc>
      </w:tr>
      <w:tr>
        <w:trPr>
          <w:trHeight w:val="20"/>
        </w:trPr>
        <w:tc>
          <w:tcPr>
            <w:tcW w:w="8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r>
      <w:tr>
        <w:trPr>
          <w:trHeight w:val="210"/>
        </w:trPr>
        <w:tc>
          <w:tcPr>
            <w:tcW w:w="8880" w:type="dxa"/>
            <w:vAlign w:val="bottom"/>
          </w:tcPr>
          <w:p>
            <w:pPr>
              <w:ind w:left="60"/>
              <w:spacing w:after="0"/>
              <w:rPr>
                <w:sz w:val="20"/>
                <w:szCs w:val="20"/>
                <w:color w:val="auto"/>
              </w:rPr>
            </w:pPr>
            <w:r>
              <w:rPr>
                <w:rFonts w:ascii="Arial" w:cs="Arial" w:eastAsia="Arial" w:hAnsi="Arial"/>
                <w:sz w:val="14"/>
                <w:szCs w:val="14"/>
                <w:b w:val="1"/>
                <w:bCs w:val="1"/>
                <w:color w:val="355675"/>
              </w:rPr>
              <w:t>Mrs. Lacal</w:t>
            </w:r>
          </w:p>
        </w:tc>
        <w:tc>
          <w:tcPr>
            <w:tcW w:w="200" w:type="dxa"/>
            <w:vAlign w:val="bottom"/>
          </w:tcPr>
          <w:p>
            <w:pPr>
              <w:spacing w:after="0"/>
              <w:rPr>
                <w:sz w:val="18"/>
                <w:szCs w:val="18"/>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color w:val="auto"/>
              </w:rPr>
              <w:t>240,223</w:t>
            </w:r>
          </w:p>
        </w:tc>
        <w:tc>
          <w:tcPr>
            <w:tcW w:w="980" w:type="dxa"/>
            <w:vAlign w:val="bottom"/>
          </w:tcPr>
          <w:p>
            <w:pPr>
              <w:jc w:val="right"/>
              <w:spacing w:after="0"/>
              <w:rPr>
                <w:sz w:val="20"/>
                <w:szCs w:val="20"/>
                <w:color w:val="auto"/>
              </w:rPr>
            </w:pPr>
            <w:r>
              <w:rPr>
                <w:rFonts w:ascii="Arial" w:cs="Arial" w:eastAsia="Arial" w:hAnsi="Arial"/>
                <w:sz w:val="14"/>
                <w:szCs w:val="14"/>
                <w:color w:val="auto"/>
              </w:rPr>
              <w:t>599,129</w:t>
            </w:r>
          </w:p>
        </w:tc>
      </w:tr>
      <w:tr>
        <w:trPr>
          <w:trHeight w:val="20"/>
        </w:trPr>
        <w:tc>
          <w:tcPr>
            <w:tcW w:w="8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r>
      <w:tr>
        <w:trPr>
          <w:trHeight w:val="210"/>
        </w:trPr>
        <w:tc>
          <w:tcPr>
            <w:tcW w:w="8880" w:type="dxa"/>
            <w:vAlign w:val="bottom"/>
          </w:tcPr>
          <w:p>
            <w:pPr>
              <w:ind w:left="60"/>
              <w:spacing w:after="0"/>
              <w:rPr>
                <w:sz w:val="20"/>
                <w:szCs w:val="20"/>
                <w:color w:val="auto"/>
              </w:rPr>
            </w:pPr>
            <w:r>
              <w:rPr>
                <w:rFonts w:ascii="Arial" w:cs="Arial" w:eastAsia="Arial" w:hAnsi="Arial"/>
                <w:sz w:val="14"/>
                <w:szCs w:val="14"/>
                <w:b w:val="1"/>
                <w:bCs w:val="1"/>
                <w:color w:val="355675"/>
              </w:rPr>
              <w:t>Mr. Smith</w:t>
            </w:r>
          </w:p>
        </w:tc>
        <w:tc>
          <w:tcPr>
            <w:tcW w:w="200" w:type="dxa"/>
            <w:vAlign w:val="bottom"/>
          </w:tcPr>
          <w:p>
            <w:pPr>
              <w:spacing w:after="0"/>
              <w:rPr>
                <w:sz w:val="18"/>
                <w:szCs w:val="18"/>
                <w:color w:val="auto"/>
              </w:rPr>
            </w:pPr>
          </w:p>
        </w:tc>
        <w:tc>
          <w:tcPr>
            <w:tcW w:w="880" w:type="dxa"/>
            <w:vAlign w:val="bottom"/>
            <w:gridSpan w:val="2"/>
          </w:tcPr>
          <w:p>
            <w:pPr>
              <w:jc w:val="right"/>
              <w:ind w:right="200"/>
              <w:spacing w:after="0"/>
              <w:rPr>
                <w:sz w:val="20"/>
                <w:szCs w:val="20"/>
                <w:color w:val="auto"/>
              </w:rPr>
            </w:pPr>
            <w:r>
              <w:rPr>
                <w:rFonts w:ascii="Arial" w:cs="Arial" w:eastAsia="Arial" w:hAnsi="Arial"/>
                <w:sz w:val="14"/>
                <w:szCs w:val="14"/>
                <w:color w:val="auto"/>
              </w:rPr>
              <w:t>290,092</w:t>
            </w:r>
          </w:p>
        </w:tc>
        <w:tc>
          <w:tcPr>
            <w:tcW w:w="980" w:type="dxa"/>
            <w:vAlign w:val="bottom"/>
          </w:tcPr>
          <w:p>
            <w:pPr>
              <w:jc w:val="right"/>
              <w:spacing w:after="0"/>
              <w:rPr>
                <w:sz w:val="20"/>
                <w:szCs w:val="20"/>
                <w:color w:val="auto"/>
              </w:rPr>
            </w:pPr>
            <w:r>
              <w:rPr>
                <w:rFonts w:ascii="Arial" w:cs="Arial" w:eastAsia="Arial" w:hAnsi="Arial"/>
                <w:sz w:val="14"/>
                <w:szCs w:val="14"/>
                <w:color w:val="auto"/>
              </w:rPr>
              <w:t>472,344</w:t>
            </w:r>
          </w:p>
        </w:tc>
      </w:tr>
      <w:tr>
        <w:trPr>
          <w:trHeight w:val="55"/>
        </w:trPr>
        <w:tc>
          <w:tcPr>
            <w:tcW w:w="888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68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980" w:type="dxa"/>
            <w:vAlign w:val="bottom"/>
            <w:shd w:val="clear" w:color="auto" w:fill="355675"/>
          </w:tcPr>
          <w:p>
            <w:pPr>
              <w:spacing w:after="0"/>
              <w:rPr>
                <w:sz w:val="4"/>
                <w:szCs w:val="4"/>
                <w:color w:val="auto"/>
              </w:rPr>
            </w:pPr>
          </w:p>
        </w:tc>
      </w:tr>
    </w:tbl>
    <w:p>
      <w:pPr>
        <w:spacing w:after="0" w:line="126" w:lineRule="exact"/>
        <w:rPr>
          <w:sz w:val="20"/>
          <w:szCs w:val="20"/>
          <w:color w:val="auto"/>
        </w:rPr>
      </w:pPr>
    </w:p>
    <w:p>
      <w:pPr>
        <w:ind w:left="280" w:right="640"/>
        <w:spacing w:after="0" w:line="285" w:lineRule="auto"/>
        <w:rPr>
          <w:sz w:val="20"/>
          <w:szCs w:val="20"/>
          <w:color w:val="auto"/>
        </w:rPr>
      </w:pPr>
      <w:r>
        <w:rPr>
          <w:rFonts w:ascii="Arial" w:cs="Arial" w:eastAsia="Arial" w:hAnsi="Arial"/>
          <w:sz w:val="14"/>
          <w:szCs w:val="14"/>
          <w:color w:val="auto"/>
        </w:rPr>
        <w:t>The aggregate grant date fair value of the performance shares granted in 2021 assuming the highest level of performance is achieved is as follows: Mr. Guldner — $5,825,406; Mr. Geisler — $1,302,826; Mr. Hatfield — $1,797,062; Ms. Lacal — $1,198,257; and Mr. Smith — $944,688. There were no forfeitures in 2021.</w:t>
      </w:r>
    </w:p>
    <w:p>
      <w:pPr>
        <w:spacing w:after="0" w:line="4" w:lineRule="exact"/>
        <w:rPr>
          <w:sz w:val="20"/>
          <w:szCs w:val="20"/>
          <w:color w:val="auto"/>
        </w:rPr>
      </w:pPr>
    </w:p>
    <w:p>
      <w:pPr>
        <w:ind w:left="300" w:hanging="292"/>
        <w:spacing w:after="0"/>
        <w:tabs>
          <w:tab w:leader="none" w:pos="300" w:val="left"/>
        </w:tabs>
        <w:numPr>
          <w:ilvl w:val="0"/>
          <w:numId w:val="90"/>
        </w:numPr>
        <w:rPr>
          <w:rFonts w:ascii="Arial" w:cs="Arial" w:eastAsia="Arial" w:hAnsi="Arial"/>
          <w:sz w:val="24"/>
          <w:szCs w:val="24"/>
          <w:color w:val="auto"/>
          <w:vertAlign w:val="superscript"/>
        </w:rPr>
      </w:pPr>
      <w:r>
        <w:rPr>
          <w:rFonts w:ascii="Arial" w:cs="Arial" w:eastAsia="Arial" w:hAnsi="Arial"/>
          <w:sz w:val="14"/>
          <w:szCs w:val="14"/>
          <w:color w:val="auto"/>
        </w:rPr>
        <w:t>These amounts represent the payments described under “Executive Compensation Components — Annual Cash Incentives” in the CD&amp;A.</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81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90" w:name="page91"/>
    <w:bookmarkEnd w:id="9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94" w:lineRule="exact"/>
        <w:rPr>
          <w:sz w:val="20"/>
          <w:szCs w:val="20"/>
          <w:color w:val="auto"/>
        </w:rPr>
      </w:pPr>
    </w:p>
    <w:p>
      <w:pPr>
        <w:ind w:left="300" w:hanging="292"/>
        <w:spacing w:after="0"/>
        <w:tabs>
          <w:tab w:leader="none" w:pos="300" w:val="left"/>
        </w:tabs>
        <w:numPr>
          <w:ilvl w:val="0"/>
          <w:numId w:val="91"/>
        </w:numPr>
        <w:rPr>
          <w:rFonts w:ascii="Arial" w:cs="Arial" w:eastAsia="Arial" w:hAnsi="Arial"/>
          <w:sz w:val="24"/>
          <w:szCs w:val="24"/>
          <w:color w:val="auto"/>
          <w:vertAlign w:val="superscript"/>
        </w:rPr>
      </w:pPr>
      <w:r>
        <w:rPr>
          <w:rFonts w:ascii="Arial" w:cs="Arial" w:eastAsia="Arial" w:hAnsi="Arial"/>
          <w:sz w:val="14"/>
          <w:szCs w:val="14"/>
          <w:color w:val="auto"/>
        </w:rPr>
        <w:t>The amounts in this column for 2021 consist of: (i) the estimated aggregate change in the actuarial present value from December 31, 2020 to December 31, 2021 of each of</w:t>
      </w:r>
    </w:p>
    <w:p>
      <w:pPr>
        <w:ind w:left="300" w:right="80"/>
        <w:spacing w:after="0" w:line="249" w:lineRule="auto"/>
        <w:rPr>
          <w:rFonts w:ascii="Arial" w:cs="Arial" w:eastAsia="Arial" w:hAnsi="Arial"/>
          <w:sz w:val="24"/>
          <w:szCs w:val="24"/>
          <w:color w:val="auto"/>
          <w:vertAlign w:val="superscript"/>
        </w:rPr>
      </w:pPr>
      <w:r>
        <w:rPr>
          <w:rFonts w:ascii="Arial" w:cs="Arial" w:eastAsia="Arial" w:hAnsi="Arial"/>
          <w:sz w:val="14"/>
          <w:szCs w:val="14"/>
          <w:color w:val="auto"/>
        </w:rPr>
        <w:t>the NEO’s accumulated benefits payable under all defined benefit and actuarial pension plans (including supplemental plans and employment agreements) as follows: Mr. Guldner — $1,021,838; Mr. Geisler — $79,310; Mr. Hatfield — $760,633; Ms. Lacal — $401,148 and Mr. Smith — $202,572; and (ii) the above-market portion of interest accrued under the deferred compensation plan as follows: Mr. Guldner — $77,717; Mr. Geisler — $14,647; Mr. Hatfield — $21,735; Ms. Lacal — $82,419 and Mr. Smith — $26,604. The actuarial present value provided in this footnote is driven by certain assumptions, including the discount rate and the mortality assumption.</w:t>
      </w:r>
    </w:p>
    <w:p>
      <w:pPr>
        <w:spacing w:after="0" w:line="15" w:lineRule="exact"/>
        <w:rPr>
          <w:rFonts w:ascii="Arial" w:cs="Arial" w:eastAsia="Arial" w:hAnsi="Arial"/>
          <w:sz w:val="24"/>
          <w:szCs w:val="24"/>
          <w:color w:val="auto"/>
          <w:vertAlign w:val="superscript"/>
        </w:rPr>
      </w:pPr>
    </w:p>
    <w:p>
      <w:pPr>
        <w:ind w:left="300" w:hanging="292"/>
        <w:spacing w:after="0"/>
        <w:tabs>
          <w:tab w:leader="none" w:pos="300" w:val="left"/>
        </w:tabs>
        <w:numPr>
          <w:ilvl w:val="0"/>
          <w:numId w:val="91"/>
        </w:numPr>
        <w:rPr>
          <w:rFonts w:ascii="Arial" w:cs="Arial" w:eastAsia="Arial" w:hAnsi="Arial"/>
          <w:sz w:val="24"/>
          <w:szCs w:val="24"/>
          <w:color w:val="auto"/>
          <w:vertAlign w:val="superscript"/>
        </w:rPr>
      </w:pPr>
      <w:r>
        <w:rPr>
          <w:rFonts w:ascii="Arial" w:cs="Arial" w:eastAsia="Arial" w:hAnsi="Arial"/>
          <w:sz w:val="14"/>
          <w:szCs w:val="14"/>
          <w:color w:val="auto"/>
        </w:rPr>
        <w:t>The amounts in this column include the following amounts for each of the NEOs for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wp:posOffset>
            </wp:positionH>
            <wp:positionV relativeFrom="paragraph">
              <wp:posOffset>90805</wp:posOffset>
            </wp:positionV>
            <wp:extent cx="6943725" cy="342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6943725" cy="34290"/>
                    </a:xfrm>
                    <a:prstGeom prst="rect">
                      <a:avLst/>
                    </a:prstGeom>
                    <a:noFill/>
                  </pic:spPr>
                </pic:pic>
              </a:graphicData>
            </a:graphic>
          </wp:anchor>
        </w:drawing>
      </w:r>
    </w:p>
    <w:p>
      <w:pPr>
        <w:spacing w:after="0" w:line="195" w:lineRule="exact"/>
        <w:rPr>
          <w:sz w:val="20"/>
          <w:szCs w:val="20"/>
          <w:color w:val="auto"/>
        </w:rPr>
      </w:pPr>
    </w:p>
    <w:p>
      <w:pPr>
        <w:ind w:left="360"/>
        <w:spacing w:after="0"/>
        <w:rPr>
          <w:sz w:val="20"/>
          <w:szCs w:val="20"/>
          <w:color w:val="auto"/>
        </w:rPr>
      </w:pPr>
      <w:r>
        <w:rPr>
          <w:rFonts w:ascii="Arial" w:cs="Arial" w:eastAsia="Arial" w:hAnsi="Arial"/>
          <w:sz w:val="14"/>
          <w:szCs w:val="14"/>
          <w:b w:val="1"/>
          <w:bCs w:val="1"/>
          <w:color w:val="355675"/>
        </w:rPr>
        <w:t>Mr. Guldner: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wp:posOffset>
            </wp:positionH>
            <wp:positionV relativeFrom="paragraph">
              <wp:posOffset>23495</wp:posOffset>
            </wp:positionV>
            <wp:extent cx="6943725" cy="825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6943725" cy="8255"/>
                    </a:xfrm>
                    <a:prstGeom prst="rect">
                      <a:avLst/>
                    </a:prstGeom>
                    <a:noFill/>
                  </pic:spPr>
                </pic:pic>
              </a:graphicData>
            </a:graphic>
          </wp:anchor>
        </w:drawing>
      </w:r>
    </w:p>
    <w:p>
      <w:pPr>
        <w:spacing w:after="0" w:line="49" w:lineRule="exact"/>
        <w:rPr>
          <w:sz w:val="20"/>
          <w:szCs w:val="20"/>
          <w:color w:val="auto"/>
        </w:rPr>
      </w:pPr>
    </w:p>
    <w:tbl>
      <w:tblPr>
        <w:tblLayout w:type="fixed"/>
        <w:tblInd w:w="300" w:type="dxa"/>
        <w:tblCellMar>
          <w:top w:w="0" w:type="dxa"/>
          <w:left w:w="0" w:type="dxa"/>
          <w:bottom w:w="0" w:type="dxa"/>
          <w:right w:w="0" w:type="dxa"/>
        </w:tblCellMar>
      </w:tblPr>
      <w:tr>
        <w:trPr>
          <w:trHeight w:val="197"/>
        </w:trPr>
        <w:tc>
          <w:tcPr>
            <w:tcW w:w="140" w:type="dxa"/>
            <w:vAlign w:val="bottom"/>
            <w:tcBorders>
              <w:bottom w:val="single" w:sz="8" w:color="939598"/>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939598"/>
            </w:tcBorders>
          </w:tcPr>
          <w:p>
            <w:pPr>
              <w:ind w:left="40"/>
              <w:spacing w:after="0"/>
              <w:rPr>
                <w:sz w:val="20"/>
                <w:szCs w:val="20"/>
                <w:color w:val="auto"/>
              </w:rPr>
            </w:pPr>
            <w:r>
              <w:rPr>
                <w:rFonts w:ascii="Arial" w:cs="Arial" w:eastAsia="Arial" w:hAnsi="Arial"/>
                <w:sz w:val="14"/>
                <w:szCs w:val="14"/>
                <w:color w:val="auto"/>
              </w:rPr>
              <w:t>Company’s contribution under the 401(k) plan</w:t>
            </w:r>
          </w:p>
        </w:tc>
        <w:tc>
          <w:tcPr>
            <w:tcW w:w="2320" w:type="dxa"/>
            <w:vAlign w:val="bottom"/>
            <w:tcBorders>
              <w:bottom w:val="single" w:sz="8" w:color="939598"/>
            </w:tcBorders>
          </w:tcPr>
          <w:p>
            <w:pPr>
              <w:jc w:val="right"/>
              <w:spacing w:after="0"/>
              <w:rPr>
                <w:sz w:val="20"/>
                <w:szCs w:val="20"/>
                <w:color w:val="auto"/>
              </w:rPr>
            </w:pPr>
            <w:r>
              <w:rPr>
                <w:rFonts w:ascii="Arial" w:cs="Arial" w:eastAsia="Arial" w:hAnsi="Arial"/>
                <w:sz w:val="14"/>
                <w:szCs w:val="14"/>
                <w:color w:val="auto"/>
              </w:rPr>
              <w:t>13,050</w:t>
            </w:r>
          </w:p>
        </w:tc>
      </w:tr>
      <w:tr>
        <w:trPr>
          <w:trHeight w:val="245"/>
        </w:trPr>
        <w:tc>
          <w:tcPr>
            <w:tcW w:w="1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355675"/>
            </w:tcBorders>
          </w:tcPr>
          <w:p>
            <w:pPr>
              <w:ind w:left="40"/>
              <w:spacing w:after="0"/>
              <w:rPr>
                <w:sz w:val="20"/>
                <w:szCs w:val="20"/>
                <w:color w:val="auto"/>
              </w:rPr>
            </w:pPr>
            <w:r>
              <w:rPr>
                <w:rFonts w:ascii="Arial" w:cs="Arial" w:eastAsia="Arial" w:hAnsi="Arial"/>
                <w:sz w:val="14"/>
                <w:szCs w:val="14"/>
                <w:color w:val="auto"/>
              </w:rPr>
              <w:t>Perquisites and personal benefits consisting of a car allowance, executive physical and financial planning</w:t>
            </w:r>
          </w:p>
        </w:tc>
        <w:tc>
          <w:tcPr>
            <w:tcW w:w="2320" w:type="dxa"/>
            <w:vAlign w:val="bottom"/>
            <w:tcBorders>
              <w:bottom w:val="single" w:sz="8" w:color="355675"/>
            </w:tcBorders>
          </w:tcPr>
          <w:p>
            <w:pPr>
              <w:jc w:val="right"/>
              <w:spacing w:after="0"/>
              <w:rPr>
                <w:sz w:val="20"/>
                <w:szCs w:val="20"/>
                <w:color w:val="auto"/>
              </w:rPr>
            </w:pPr>
            <w:r>
              <w:rPr>
                <w:rFonts w:ascii="Arial" w:cs="Arial" w:eastAsia="Arial" w:hAnsi="Arial"/>
                <w:sz w:val="14"/>
                <w:szCs w:val="14"/>
                <w:color w:val="auto"/>
              </w:rPr>
              <w:t>17,716</w:t>
            </w:r>
          </w:p>
        </w:tc>
      </w:tr>
      <w:tr>
        <w:trPr>
          <w:trHeight w:val="215"/>
        </w:trPr>
        <w:tc>
          <w:tcPr>
            <w:tcW w:w="8620" w:type="dxa"/>
            <w:vAlign w:val="bottom"/>
            <w:tcBorders>
              <w:bottom w:val="single" w:sz="8" w:color="939598"/>
            </w:tcBorders>
            <w:gridSpan w:val="2"/>
          </w:tcPr>
          <w:p>
            <w:pPr>
              <w:ind w:left="60"/>
              <w:spacing w:after="0"/>
              <w:rPr>
                <w:sz w:val="20"/>
                <w:szCs w:val="20"/>
                <w:color w:val="auto"/>
              </w:rPr>
            </w:pPr>
            <w:r>
              <w:rPr>
                <w:rFonts w:ascii="Arial" w:cs="Arial" w:eastAsia="Arial" w:hAnsi="Arial"/>
                <w:sz w:val="14"/>
                <w:szCs w:val="14"/>
                <w:b w:val="1"/>
                <w:bCs w:val="1"/>
                <w:color w:val="355675"/>
              </w:rPr>
              <w:t>Mr. Geisler:</w:t>
            </w:r>
          </w:p>
        </w:tc>
        <w:tc>
          <w:tcPr>
            <w:tcW w:w="2320" w:type="dxa"/>
            <w:vAlign w:val="bottom"/>
            <w:tcBorders>
              <w:bottom w:val="single" w:sz="8" w:color="939598"/>
            </w:tcBorders>
          </w:tcPr>
          <w:p>
            <w:pPr>
              <w:spacing w:after="0"/>
              <w:rPr>
                <w:sz w:val="18"/>
                <w:szCs w:val="18"/>
                <w:color w:val="auto"/>
              </w:rPr>
            </w:pPr>
          </w:p>
        </w:tc>
      </w:tr>
      <w:tr>
        <w:trPr>
          <w:trHeight w:val="210"/>
        </w:trPr>
        <w:tc>
          <w:tcPr>
            <w:tcW w:w="140" w:type="dxa"/>
            <w:vAlign w:val="bottom"/>
            <w:tcBorders>
              <w:bottom w:val="single" w:sz="8" w:color="939598"/>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939598"/>
            </w:tcBorders>
          </w:tcPr>
          <w:p>
            <w:pPr>
              <w:ind w:left="40"/>
              <w:spacing w:after="0"/>
              <w:rPr>
                <w:sz w:val="20"/>
                <w:szCs w:val="20"/>
                <w:color w:val="auto"/>
              </w:rPr>
            </w:pPr>
            <w:r>
              <w:rPr>
                <w:rFonts w:ascii="Arial" w:cs="Arial" w:eastAsia="Arial" w:hAnsi="Arial"/>
                <w:sz w:val="14"/>
                <w:szCs w:val="14"/>
                <w:color w:val="auto"/>
              </w:rPr>
              <w:t>Company’s contribution under the 401(k) plan</w:t>
            </w:r>
          </w:p>
        </w:tc>
        <w:tc>
          <w:tcPr>
            <w:tcW w:w="2320" w:type="dxa"/>
            <w:vAlign w:val="bottom"/>
            <w:tcBorders>
              <w:bottom w:val="single" w:sz="8" w:color="939598"/>
            </w:tcBorders>
          </w:tcPr>
          <w:p>
            <w:pPr>
              <w:jc w:val="right"/>
              <w:spacing w:after="0"/>
              <w:rPr>
                <w:sz w:val="20"/>
                <w:szCs w:val="20"/>
                <w:color w:val="auto"/>
              </w:rPr>
            </w:pPr>
            <w:r>
              <w:rPr>
                <w:rFonts w:ascii="Arial" w:cs="Arial" w:eastAsia="Arial" w:hAnsi="Arial"/>
                <w:sz w:val="14"/>
                <w:szCs w:val="14"/>
                <w:color w:val="auto"/>
              </w:rPr>
              <w:t>13,050</w:t>
            </w:r>
          </w:p>
        </w:tc>
      </w:tr>
      <w:tr>
        <w:trPr>
          <w:trHeight w:val="244"/>
        </w:trPr>
        <w:tc>
          <w:tcPr>
            <w:tcW w:w="1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355675"/>
            </w:tcBorders>
          </w:tcPr>
          <w:p>
            <w:pPr>
              <w:ind w:left="40"/>
              <w:spacing w:after="0"/>
              <w:rPr>
                <w:sz w:val="20"/>
                <w:szCs w:val="20"/>
                <w:color w:val="auto"/>
              </w:rPr>
            </w:pPr>
            <w:r>
              <w:rPr>
                <w:rFonts w:ascii="Arial" w:cs="Arial" w:eastAsia="Arial" w:hAnsi="Arial"/>
                <w:sz w:val="14"/>
                <w:szCs w:val="14"/>
                <w:color w:val="auto"/>
              </w:rPr>
              <w:t>Perquisites and personal benefits consisting of a car allowance and executive physical</w:t>
            </w:r>
          </w:p>
        </w:tc>
        <w:tc>
          <w:tcPr>
            <w:tcW w:w="2320" w:type="dxa"/>
            <w:vAlign w:val="bottom"/>
            <w:tcBorders>
              <w:bottom w:val="single" w:sz="8" w:color="355675"/>
            </w:tcBorders>
          </w:tcPr>
          <w:p>
            <w:pPr>
              <w:jc w:val="right"/>
              <w:spacing w:after="0"/>
              <w:rPr>
                <w:sz w:val="20"/>
                <w:szCs w:val="20"/>
                <w:color w:val="auto"/>
              </w:rPr>
            </w:pPr>
            <w:r>
              <w:rPr>
                <w:rFonts w:ascii="Arial" w:cs="Arial" w:eastAsia="Arial" w:hAnsi="Arial"/>
                <w:sz w:val="14"/>
                <w:szCs w:val="14"/>
                <w:color w:val="auto"/>
              </w:rPr>
              <w:t>15,439</w:t>
            </w:r>
          </w:p>
        </w:tc>
      </w:tr>
      <w:tr>
        <w:trPr>
          <w:trHeight w:val="215"/>
        </w:trPr>
        <w:tc>
          <w:tcPr>
            <w:tcW w:w="8620" w:type="dxa"/>
            <w:vAlign w:val="bottom"/>
            <w:tcBorders>
              <w:bottom w:val="single" w:sz="8" w:color="939598"/>
            </w:tcBorders>
            <w:gridSpan w:val="2"/>
          </w:tcPr>
          <w:p>
            <w:pPr>
              <w:ind w:left="60"/>
              <w:spacing w:after="0"/>
              <w:rPr>
                <w:sz w:val="20"/>
                <w:szCs w:val="20"/>
                <w:color w:val="auto"/>
              </w:rPr>
            </w:pPr>
            <w:r>
              <w:rPr>
                <w:rFonts w:ascii="Arial" w:cs="Arial" w:eastAsia="Arial" w:hAnsi="Arial"/>
                <w:sz w:val="14"/>
                <w:szCs w:val="14"/>
                <w:b w:val="1"/>
                <w:bCs w:val="1"/>
                <w:color w:val="355675"/>
              </w:rPr>
              <w:t>Mr. Hatfield:</w:t>
            </w:r>
          </w:p>
        </w:tc>
        <w:tc>
          <w:tcPr>
            <w:tcW w:w="2320" w:type="dxa"/>
            <w:vAlign w:val="bottom"/>
            <w:tcBorders>
              <w:bottom w:val="single" w:sz="8" w:color="939598"/>
            </w:tcBorders>
          </w:tcPr>
          <w:p>
            <w:pPr>
              <w:spacing w:after="0"/>
              <w:rPr>
                <w:sz w:val="18"/>
                <w:szCs w:val="18"/>
                <w:color w:val="auto"/>
              </w:rPr>
            </w:pPr>
          </w:p>
        </w:tc>
      </w:tr>
      <w:tr>
        <w:trPr>
          <w:trHeight w:val="209"/>
        </w:trPr>
        <w:tc>
          <w:tcPr>
            <w:tcW w:w="140" w:type="dxa"/>
            <w:vAlign w:val="bottom"/>
            <w:tcBorders>
              <w:bottom w:val="single" w:sz="8" w:color="939598"/>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939598"/>
            </w:tcBorders>
          </w:tcPr>
          <w:p>
            <w:pPr>
              <w:ind w:left="40"/>
              <w:spacing w:after="0"/>
              <w:rPr>
                <w:sz w:val="20"/>
                <w:szCs w:val="20"/>
                <w:color w:val="auto"/>
              </w:rPr>
            </w:pPr>
            <w:r>
              <w:rPr>
                <w:rFonts w:ascii="Arial" w:cs="Arial" w:eastAsia="Arial" w:hAnsi="Arial"/>
                <w:sz w:val="14"/>
                <w:szCs w:val="14"/>
                <w:color w:val="auto"/>
              </w:rPr>
              <w:t>Company’s contribution under the 401(k) plan</w:t>
            </w:r>
          </w:p>
        </w:tc>
        <w:tc>
          <w:tcPr>
            <w:tcW w:w="2320" w:type="dxa"/>
            <w:vAlign w:val="bottom"/>
            <w:tcBorders>
              <w:bottom w:val="single" w:sz="8" w:color="939598"/>
            </w:tcBorders>
          </w:tcPr>
          <w:p>
            <w:pPr>
              <w:jc w:val="right"/>
              <w:spacing w:after="0"/>
              <w:rPr>
                <w:sz w:val="20"/>
                <w:szCs w:val="20"/>
                <w:color w:val="auto"/>
              </w:rPr>
            </w:pPr>
            <w:r>
              <w:rPr>
                <w:rFonts w:ascii="Arial" w:cs="Arial" w:eastAsia="Arial" w:hAnsi="Arial"/>
                <w:sz w:val="14"/>
                <w:szCs w:val="14"/>
                <w:color w:val="auto"/>
              </w:rPr>
              <w:t>13,050</w:t>
            </w:r>
          </w:p>
        </w:tc>
      </w:tr>
      <w:tr>
        <w:trPr>
          <w:trHeight w:val="209"/>
        </w:trPr>
        <w:tc>
          <w:tcPr>
            <w:tcW w:w="140" w:type="dxa"/>
            <w:vAlign w:val="bottom"/>
            <w:tcBorders>
              <w:bottom w:val="single" w:sz="8" w:color="939598"/>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939598"/>
            </w:tcBorders>
          </w:tcPr>
          <w:p>
            <w:pPr>
              <w:ind w:left="40"/>
              <w:spacing w:after="0"/>
              <w:rPr>
                <w:sz w:val="20"/>
                <w:szCs w:val="20"/>
                <w:color w:val="auto"/>
              </w:rPr>
            </w:pPr>
            <w:r>
              <w:rPr>
                <w:rFonts w:ascii="Arial" w:cs="Arial" w:eastAsia="Arial" w:hAnsi="Arial"/>
                <w:sz w:val="14"/>
                <w:szCs w:val="14"/>
                <w:color w:val="auto"/>
              </w:rPr>
              <w:t>Perquisites and personal benefits consisting of a car allowance, executive physical and financial planning</w:t>
            </w:r>
          </w:p>
        </w:tc>
        <w:tc>
          <w:tcPr>
            <w:tcW w:w="2320" w:type="dxa"/>
            <w:vAlign w:val="bottom"/>
            <w:tcBorders>
              <w:bottom w:val="single" w:sz="8" w:color="939598"/>
            </w:tcBorders>
          </w:tcPr>
          <w:p>
            <w:pPr>
              <w:jc w:val="right"/>
              <w:spacing w:after="0"/>
              <w:rPr>
                <w:sz w:val="20"/>
                <w:szCs w:val="20"/>
                <w:color w:val="auto"/>
              </w:rPr>
            </w:pPr>
            <w:r>
              <w:rPr>
                <w:rFonts w:ascii="Arial" w:cs="Arial" w:eastAsia="Arial" w:hAnsi="Arial"/>
                <w:sz w:val="14"/>
                <w:szCs w:val="14"/>
                <w:color w:val="auto"/>
              </w:rPr>
              <w:t>22,912</w:t>
            </w:r>
          </w:p>
        </w:tc>
      </w:tr>
      <w:tr>
        <w:trPr>
          <w:trHeight w:val="245"/>
        </w:trPr>
        <w:tc>
          <w:tcPr>
            <w:tcW w:w="1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355675"/>
            </w:tcBorders>
          </w:tcPr>
          <w:p>
            <w:pPr>
              <w:ind w:left="40"/>
              <w:spacing w:after="0"/>
              <w:rPr>
                <w:sz w:val="20"/>
                <w:szCs w:val="20"/>
                <w:color w:val="auto"/>
              </w:rPr>
            </w:pPr>
            <w:r>
              <w:rPr>
                <w:rFonts w:ascii="Arial" w:cs="Arial" w:eastAsia="Arial" w:hAnsi="Arial"/>
                <w:sz w:val="14"/>
                <w:szCs w:val="14"/>
                <w:color w:val="auto"/>
              </w:rPr>
              <w:t>Separation payment</w:t>
            </w:r>
          </w:p>
        </w:tc>
        <w:tc>
          <w:tcPr>
            <w:tcW w:w="2320" w:type="dxa"/>
            <w:vAlign w:val="bottom"/>
            <w:tcBorders>
              <w:bottom w:val="single" w:sz="8" w:color="355675"/>
            </w:tcBorders>
          </w:tcPr>
          <w:p>
            <w:pPr>
              <w:jc w:val="right"/>
              <w:spacing w:after="0"/>
              <w:rPr>
                <w:sz w:val="20"/>
                <w:szCs w:val="20"/>
                <w:color w:val="auto"/>
              </w:rPr>
            </w:pPr>
            <w:r>
              <w:rPr>
                <w:rFonts w:ascii="Arial" w:cs="Arial" w:eastAsia="Arial" w:hAnsi="Arial"/>
                <w:sz w:val="14"/>
                <w:szCs w:val="14"/>
                <w:color w:val="auto"/>
              </w:rPr>
              <w:t>750,000</w:t>
            </w:r>
          </w:p>
        </w:tc>
      </w:tr>
      <w:tr>
        <w:trPr>
          <w:trHeight w:val="215"/>
        </w:trPr>
        <w:tc>
          <w:tcPr>
            <w:tcW w:w="8620" w:type="dxa"/>
            <w:vAlign w:val="bottom"/>
            <w:tcBorders>
              <w:bottom w:val="single" w:sz="8" w:color="939598"/>
            </w:tcBorders>
            <w:gridSpan w:val="2"/>
          </w:tcPr>
          <w:p>
            <w:pPr>
              <w:ind w:left="60"/>
              <w:spacing w:after="0"/>
              <w:rPr>
                <w:sz w:val="20"/>
                <w:szCs w:val="20"/>
                <w:color w:val="auto"/>
              </w:rPr>
            </w:pPr>
            <w:r>
              <w:rPr>
                <w:rFonts w:ascii="Arial" w:cs="Arial" w:eastAsia="Arial" w:hAnsi="Arial"/>
                <w:sz w:val="14"/>
                <w:szCs w:val="14"/>
                <w:b w:val="1"/>
                <w:bCs w:val="1"/>
                <w:color w:val="355675"/>
              </w:rPr>
              <w:t>Ms. Lacal:</w:t>
            </w:r>
          </w:p>
        </w:tc>
        <w:tc>
          <w:tcPr>
            <w:tcW w:w="2320" w:type="dxa"/>
            <w:vAlign w:val="bottom"/>
            <w:tcBorders>
              <w:bottom w:val="single" w:sz="8" w:color="939598"/>
            </w:tcBorders>
          </w:tcPr>
          <w:p>
            <w:pPr>
              <w:spacing w:after="0"/>
              <w:rPr>
                <w:sz w:val="18"/>
                <w:szCs w:val="18"/>
                <w:color w:val="auto"/>
              </w:rPr>
            </w:pPr>
          </w:p>
        </w:tc>
      </w:tr>
      <w:tr>
        <w:trPr>
          <w:trHeight w:val="210"/>
        </w:trPr>
        <w:tc>
          <w:tcPr>
            <w:tcW w:w="140" w:type="dxa"/>
            <w:vAlign w:val="bottom"/>
            <w:tcBorders>
              <w:bottom w:val="single" w:sz="8" w:color="939598"/>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939598"/>
            </w:tcBorders>
          </w:tcPr>
          <w:p>
            <w:pPr>
              <w:ind w:left="40"/>
              <w:spacing w:after="0"/>
              <w:rPr>
                <w:sz w:val="20"/>
                <w:szCs w:val="20"/>
                <w:color w:val="auto"/>
              </w:rPr>
            </w:pPr>
            <w:r>
              <w:rPr>
                <w:rFonts w:ascii="Arial" w:cs="Arial" w:eastAsia="Arial" w:hAnsi="Arial"/>
                <w:sz w:val="14"/>
                <w:szCs w:val="14"/>
                <w:color w:val="auto"/>
              </w:rPr>
              <w:t>Company’s contribution under the 401(k) plan</w:t>
            </w:r>
          </w:p>
        </w:tc>
        <w:tc>
          <w:tcPr>
            <w:tcW w:w="2320" w:type="dxa"/>
            <w:vAlign w:val="bottom"/>
            <w:tcBorders>
              <w:bottom w:val="single" w:sz="8" w:color="939598"/>
            </w:tcBorders>
          </w:tcPr>
          <w:p>
            <w:pPr>
              <w:jc w:val="right"/>
              <w:spacing w:after="0"/>
              <w:rPr>
                <w:sz w:val="20"/>
                <w:szCs w:val="20"/>
                <w:color w:val="auto"/>
              </w:rPr>
            </w:pPr>
            <w:r>
              <w:rPr>
                <w:rFonts w:ascii="Arial" w:cs="Arial" w:eastAsia="Arial" w:hAnsi="Arial"/>
                <w:sz w:val="14"/>
                <w:szCs w:val="14"/>
                <w:color w:val="auto"/>
              </w:rPr>
              <w:t>13,050</w:t>
            </w:r>
          </w:p>
        </w:tc>
      </w:tr>
      <w:tr>
        <w:trPr>
          <w:trHeight w:val="244"/>
        </w:trPr>
        <w:tc>
          <w:tcPr>
            <w:tcW w:w="1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355675"/>
            </w:tcBorders>
          </w:tcPr>
          <w:p>
            <w:pPr>
              <w:ind w:left="40"/>
              <w:spacing w:after="0"/>
              <w:rPr>
                <w:sz w:val="20"/>
                <w:szCs w:val="20"/>
                <w:color w:val="auto"/>
              </w:rPr>
            </w:pPr>
            <w:r>
              <w:rPr>
                <w:rFonts w:ascii="Arial" w:cs="Arial" w:eastAsia="Arial" w:hAnsi="Arial"/>
                <w:sz w:val="14"/>
                <w:szCs w:val="14"/>
                <w:color w:val="auto"/>
              </w:rPr>
              <w:t>Perquisites and personal benefits consisting of a car allowance and executive physical</w:t>
            </w:r>
          </w:p>
        </w:tc>
        <w:tc>
          <w:tcPr>
            <w:tcW w:w="2320" w:type="dxa"/>
            <w:vAlign w:val="bottom"/>
            <w:tcBorders>
              <w:bottom w:val="single" w:sz="8" w:color="355675"/>
            </w:tcBorders>
          </w:tcPr>
          <w:p>
            <w:pPr>
              <w:jc w:val="right"/>
              <w:spacing w:after="0"/>
              <w:rPr>
                <w:sz w:val="20"/>
                <w:szCs w:val="20"/>
                <w:color w:val="auto"/>
              </w:rPr>
            </w:pPr>
            <w:r>
              <w:rPr>
                <w:rFonts w:ascii="Arial" w:cs="Arial" w:eastAsia="Arial" w:hAnsi="Arial"/>
                <w:sz w:val="14"/>
                <w:szCs w:val="14"/>
                <w:color w:val="auto"/>
              </w:rPr>
              <w:t>21,771</w:t>
            </w:r>
          </w:p>
        </w:tc>
      </w:tr>
      <w:tr>
        <w:trPr>
          <w:trHeight w:val="215"/>
        </w:trPr>
        <w:tc>
          <w:tcPr>
            <w:tcW w:w="8620" w:type="dxa"/>
            <w:vAlign w:val="bottom"/>
            <w:tcBorders>
              <w:bottom w:val="single" w:sz="8" w:color="939598"/>
            </w:tcBorders>
            <w:gridSpan w:val="2"/>
          </w:tcPr>
          <w:p>
            <w:pPr>
              <w:ind w:left="60"/>
              <w:spacing w:after="0"/>
              <w:rPr>
                <w:sz w:val="20"/>
                <w:szCs w:val="20"/>
                <w:color w:val="auto"/>
              </w:rPr>
            </w:pPr>
            <w:r>
              <w:rPr>
                <w:rFonts w:ascii="Arial" w:cs="Arial" w:eastAsia="Arial" w:hAnsi="Arial"/>
                <w:sz w:val="14"/>
                <w:szCs w:val="14"/>
                <w:b w:val="1"/>
                <w:bCs w:val="1"/>
                <w:color w:val="355675"/>
              </w:rPr>
              <w:t>Mr. Smith:</w:t>
            </w:r>
          </w:p>
        </w:tc>
        <w:tc>
          <w:tcPr>
            <w:tcW w:w="2320" w:type="dxa"/>
            <w:vAlign w:val="bottom"/>
            <w:tcBorders>
              <w:bottom w:val="single" w:sz="8" w:color="939598"/>
            </w:tcBorders>
          </w:tcPr>
          <w:p>
            <w:pPr>
              <w:spacing w:after="0"/>
              <w:rPr>
                <w:sz w:val="18"/>
                <w:szCs w:val="18"/>
                <w:color w:val="auto"/>
              </w:rPr>
            </w:pPr>
          </w:p>
        </w:tc>
      </w:tr>
      <w:tr>
        <w:trPr>
          <w:trHeight w:val="209"/>
        </w:trPr>
        <w:tc>
          <w:tcPr>
            <w:tcW w:w="140" w:type="dxa"/>
            <w:vAlign w:val="bottom"/>
            <w:tcBorders>
              <w:bottom w:val="single" w:sz="8" w:color="939598"/>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939598"/>
            </w:tcBorders>
          </w:tcPr>
          <w:p>
            <w:pPr>
              <w:ind w:left="40"/>
              <w:spacing w:after="0"/>
              <w:rPr>
                <w:sz w:val="20"/>
                <w:szCs w:val="20"/>
                <w:color w:val="auto"/>
              </w:rPr>
            </w:pPr>
            <w:r>
              <w:rPr>
                <w:rFonts w:ascii="Arial" w:cs="Arial" w:eastAsia="Arial" w:hAnsi="Arial"/>
                <w:sz w:val="14"/>
                <w:szCs w:val="14"/>
                <w:color w:val="auto"/>
              </w:rPr>
              <w:t>Company’s contribution under the 401(k) plan</w:t>
            </w:r>
          </w:p>
        </w:tc>
        <w:tc>
          <w:tcPr>
            <w:tcW w:w="2320" w:type="dxa"/>
            <w:vAlign w:val="bottom"/>
            <w:tcBorders>
              <w:bottom w:val="single" w:sz="8" w:color="939598"/>
            </w:tcBorders>
          </w:tcPr>
          <w:p>
            <w:pPr>
              <w:jc w:val="right"/>
              <w:spacing w:after="0"/>
              <w:rPr>
                <w:sz w:val="20"/>
                <w:szCs w:val="20"/>
                <w:color w:val="auto"/>
              </w:rPr>
            </w:pPr>
            <w:r>
              <w:rPr>
                <w:rFonts w:ascii="Arial" w:cs="Arial" w:eastAsia="Arial" w:hAnsi="Arial"/>
                <w:sz w:val="14"/>
                <w:szCs w:val="14"/>
                <w:color w:val="auto"/>
              </w:rPr>
              <w:t>13,050</w:t>
            </w:r>
          </w:p>
        </w:tc>
      </w:tr>
      <w:tr>
        <w:trPr>
          <w:trHeight w:val="245"/>
        </w:trPr>
        <w:tc>
          <w:tcPr>
            <w:tcW w:w="1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w:t>
            </w:r>
          </w:p>
        </w:tc>
        <w:tc>
          <w:tcPr>
            <w:tcW w:w="8480" w:type="dxa"/>
            <w:vAlign w:val="bottom"/>
            <w:tcBorders>
              <w:bottom w:val="single" w:sz="8" w:color="355675"/>
            </w:tcBorders>
          </w:tcPr>
          <w:p>
            <w:pPr>
              <w:ind w:left="40"/>
              <w:spacing w:after="0"/>
              <w:rPr>
                <w:sz w:val="20"/>
                <w:szCs w:val="20"/>
                <w:color w:val="auto"/>
              </w:rPr>
            </w:pPr>
            <w:r>
              <w:rPr>
                <w:rFonts w:ascii="Arial" w:cs="Arial" w:eastAsia="Arial" w:hAnsi="Arial"/>
                <w:sz w:val="14"/>
                <w:szCs w:val="14"/>
                <w:color w:val="auto"/>
              </w:rPr>
              <w:t>Perquisites and personal benefits consisting of a car allowance and financial planning</w:t>
            </w:r>
          </w:p>
        </w:tc>
        <w:tc>
          <w:tcPr>
            <w:tcW w:w="2320" w:type="dxa"/>
            <w:vAlign w:val="bottom"/>
            <w:tcBorders>
              <w:bottom w:val="single" w:sz="8" w:color="355675"/>
            </w:tcBorders>
          </w:tcPr>
          <w:p>
            <w:pPr>
              <w:jc w:val="right"/>
              <w:spacing w:after="0"/>
              <w:rPr>
                <w:sz w:val="20"/>
                <w:szCs w:val="20"/>
                <w:color w:val="auto"/>
              </w:rPr>
            </w:pPr>
            <w:r>
              <w:rPr>
                <w:rFonts w:ascii="Arial" w:cs="Arial" w:eastAsia="Arial" w:hAnsi="Arial"/>
                <w:sz w:val="14"/>
                <w:szCs w:val="14"/>
                <w:color w:val="auto"/>
              </w:rPr>
              <w:t>13,750</w:t>
            </w:r>
          </w:p>
        </w:tc>
      </w:tr>
    </w:tbl>
    <w:p>
      <w:pPr>
        <w:spacing w:after="0" w:line="40" w:lineRule="exact"/>
        <w:rPr>
          <w:sz w:val="20"/>
          <w:szCs w:val="20"/>
          <w:color w:val="auto"/>
        </w:rPr>
      </w:pPr>
    </w:p>
    <w:p>
      <w:pPr>
        <w:ind w:left="300" w:hanging="292"/>
        <w:spacing w:after="0"/>
        <w:tabs>
          <w:tab w:leader="none" w:pos="300" w:val="left"/>
        </w:tabs>
        <w:numPr>
          <w:ilvl w:val="0"/>
          <w:numId w:val="92"/>
        </w:numPr>
        <w:rPr>
          <w:rFonts w:ascii="Arial" w:cs="Arial" w:eastAsia="Arial" w:hAnsi="Arial"/>
          <w:sz w:val="24"/>
          <w:szCs w:val="24"/>
          <w:color w:val="auto"/>
          <w:vertAlign w:val="superscript"/>
        </w:rPr>
      </w:pPr>
      <w:r>
        <w:rPr>
          <w:rFonts w:ascii="Arial" w:cs="Arial" w:eastAsia="Arial" w:hAnsi="Arial"/>
          <w:sz w:val="14"/>
          <w:szCs w:val="14"/>
          <w:color w:val="auto"/>
        </w:rPr>
        <w:t>Mr. Hatfield retired on December 31, 2021.</w:t>
      </w:r>
    </w:p>
    <w:p>
      <w:pPr>
        <w:spacing w:after="0" w:line="120" w:lineRule="exact"/>
        <w:rPr>
          <w:rFonts w:ascii="Arial" w:cs="Arial" w:eastAsia="Arial" w:hAnsi="Arial"/>
          <w:sz w:val="24"/>
          <w:szCs w:val="24"/>
          <w:color w:val="auto"/>
          <w:vertAlign w:val="superscript"/>
        </w:rPr>
      </w:pPr>
    </w:p>
    <w:p>
      <w:pPr>
        <w:ind w:left="300" w:hanging="292"/>
        <w:spacing w:after="0" w:line="183" w:lineRule="auto"/>
        <w:tabs>
          <w:tab w:leader="none" w:pos="300" w:val="left"/>
        </w:tabs>
        <w:numPr>
          <w:ilvl w:val="0"/>
          <w:numId w:val="92"/>
        </w:numPr>
        <w:rPr>
          <w:rFonts w:ascii="Arial" w:cs="Arial" w:eastAsia="Arial" w:hAnsi="Arial"/>
          <w:sz w:val="20"/>
          <w:szCs w:val="20"/>
          <w:color w:val="auto"/>
          <w:vertAlign w:val="superscript"/>
        </w:rPr>
      </w:pPr>
      <w:r>
        <w:rPr>
          <w:rFonts w:ascii="Arial" w:cs="Arial" w:eastAsia="Arial" w:hAnsi="Arial"/>
          <w:sz w:val="12"/>
          <w:szCs w:val="12"/>
          <w:color w:val="auto"/>
        </w:rPr>
        <w:t>Mr. Smith was promoted to Executive Vice President, General Counsel and Chief Development Officer of PNW and APS effective June 23,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91440</wp:posOffset>
            </wp:positionV>
            <wp:extent cx="1191260" cy="23114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1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91" w:name="page92"/>
    <w:bookmarkEnd w:id="9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Grants of Plan-Based Awards</w:t>
      </w:r>
    </w:p>
    <w:p>
      <w:pPr>
        <w:sectPr>
          <w:pgSz w:w="11900" w:h="16838" w:orient="portrait"/>
          <w:cols w:equalWidth="0" w:num="1">
            <w:col w:w="11260"/>
          </w:cols>
          <w:pgMar w:left="320" w:top="125" w:right="3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2057400" cy="3429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2057400" cy="34290"/>
                    </a:xfrm>
                    <a:prstGeom prst="rect">
                      <a:avLst/>
                    </a:prstGeom>
                    <a:noFill/>
                  </pic:spPr>
                </pic:pic>
              </a:graphicData>
            </a:graphic>
          </wp:anchor>
        </w:drawing>
      </w:r>
    </w:p>
    <w:p>
      <w:pPr>
        <w:spacing w:after="0" w:line="84"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Jeffrey B. Guldner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758190</wp:posOffset>
            </wp:positionV>
            <wp:extent cx="2057400" cy="342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2057400" cy="34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Theodore N. Geisler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758190</wp:posOffset>
            </wp:positionV>
            <wp:extent cx="2057400" cy="342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2057400" cy="34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James R. Hatfield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758190</wp:posOffset>
            </wp:positionV>
            <wp:extent cx="2057400" cy="342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2057400" cy="34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Maria L. Lacal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758190</wp:posOffset>
            </wp:positionV>
            <wp:extent cx="2057400" cy="342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2057400" cy="34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60"/>
        <w:spacing w:after="0"/>
        <w:rPr>
          <w:sz w:val="20"/>
          <w:szCs w:val="20"/>
          <w:color w:val="auto"/>
        </w:rPr>
      </w:pPr>
      <w:r>
        <w:rPr>
          <w:rFonts w:ascii="Arial" w:cs="Arial" w:eastAsia="Arial" w:hAnsi="Arial"/>
          <w:sz w:val="16"/>
          <w:szCs w:val="16"/>
          <w:b w:val="1"/>
          <w:bCs w:val="1"/>
          <w:color w:val="355675"/>
        </w:rPr>
        <w:t>Robert E. Smith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758190</wp:posOffset>
            </wp:positionV>
            <wp:extent cx="2057400" cy="342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2057400"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5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71"/>
        </w:trPr>
        <w:tc>
          <w:tcPr>
            <w:tcW w:w="10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All Other</w:t>
            </w:r>
          </w:p>
        </w:tc>
        <w:tc>
          <w:tcPr>
            <w:tcW w:w="800" w:type="dxa"/>
            <w:vAlign w:val="bottom"/>
          </w:tcPr>
          <w:p>
            <w:pPr>
              <w:jc w:val="right"/>
              <w:spacing w:after="0"/>
              <w:rPr>
                <w:sz w:val="20"/>
                <w:szCs w:val="20"/>
                <w:color w:val="auto"/>
              </w:rPr>
            </w:pPr>
            <w:r>
              <w:rPr>
                <w:rFonts w:ascii="Arial" w:cs="Arial" w:eastAsia="Arial" w:hAnsi="Arial"/>
                <w:sz w:val="14"/>
                <w:szCs w:val="14"/>
                <w:b w:val="1"/>
                <w:bCs w:val="1"/>
                <w:color w:val="355675"/>
              </w:rPr>
              <w:t>Grant</w:t>
            </w:r>
          </w:p>
        </w:tc>
        <w:tc>
          <w:tcPr>
            <w:tcW w:w="0" w:type="dxa"/>
            <w:vAlign w:val="bottom"/>
          </w:tcPr>
          <w:p>
            <w:pPr>
              <w:spacing w:after="0"/>
              <w:rPr>
                <w:sz w:val="1"/>
                <w:szCs w:val="1"/>
                <w:color w:val="auto"/>
              </w:rPr>
            </w:pPr>
          </w:p>
        </w:tc>
      </w:tr>
      <w:tr>
        <w:trPr>
          <w:trHeight w:val="94"/>
        </w:trPr>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740" w:type="dxa"/>
            <w:vAlign w:val="bottom"/>
          </w:tcPr>
          <w:p>
            <w:pPr>
              <w:spacing w:after="0"/>
              <w:rPr>
                <w:sz w:val="8"/>
                <w:szCs w:val="8"/>
                <w:color w:val="auto"/>
              </w:rPr>
            </w:pPr>
          </w:p>
        </w:tc>
        <w:tc>
          <w:tcPr>
            <w:tcW w:w="140" w:type="dxa"/>
            <w:vAlign w:val="bottom"/>
          </w:tcPr>
          <w:p>
            <w:pPr>
              <w:spacing w:after="0"/>
              <w:rPr>
                <w:sz w:val="8"/>
                <w:szCs w:val="8"/>
                <w:color w:val="auto"/>
              </w:rPr>
            </w:pPr>
          </w:p>
        </w:tc>
        <w:tc>
          <w:tcPr>
            <w:tcW w:w="740" w:type="dxa"/>
            <w:vAlign w:val="bottom"/>
          </w:tcPr>
          <w:p>
            <w:pPr>
              <w:spacing w:after="0"/>
              <w:rPr>
                <w:sz w:val="8"/>
                <w:szCs w:val="8"/>
                <w:color w:val="auto"/>
              </w:rPr>
            </w:pPr>
          </w:p>
        </w:tc>
        <w:tc>
          <w:tcPr>
            <w:tcW w:w="160" w:type="dxa"/>
            <w:vAlign w:val="bottom"/>
          </w:tcPr>
          <w:p>
            <w:pPr>
              <w:spacing w:after="0"/>
              <w:rPr>
                <w:sz w:val="8"/>
                <w:szCs w:val="8"/>
                <w:color w:val="auto"/>
              </w:rPr>
            </w:pPr>
          </w:p>
        </w:tc>
        <w:tc>
          <w:tcPr>
            <w:tcW w:w="740" w:type="dxa"/>
            <w:vAlign w:val="bottom"/>
          </w:tcPr>
          <w:p>
            <w:pPr>
              <w:spacing w:after="0"/>
              <w:rPr>
                <w:sz w:val="8"/>
                <w:szCs w:val="8"/>
                <w:color w:val="auto"/>
              </w:rPr>
            </w:pPr>
          </w:p>
        </w:tc>
        <w:tc>
          <w:tcPr>
            <w:tcW w:w="120" w:type="dxa"/>
            <w:vAlign w:val="bottom"/>
          </w:tcPr>
          <w:p>
            <w:pPr>
              <w:spacing w:after="0"/>
              <w:rPr>
                <w:sz w:val="8"/>
                <w:szCs w:val="8"/>
                <w:color w:val="auto"/>
              </w:rPr>
            </w:pPr>
          </w:p>
        </w:tc>
        <w:tc>
          <w:tcPr>
            <w:tcW w:w="700" w:type="dxa"/>
            <w:vAlign w:val="bottom"/>
          </w:tcPr>
          <w:p>
            <w:pPr>
              <w:spacing w:after="0"/>
              <w:rPr>
                <w:sz w:val="8"/>
                <w:szCs w:val="8"/>
                <w:color w:val="auto"/>
              </w:rPr>
            </w:pPr>
          </w:p>
        </w:tc>
        <w:tc>
          <w:tcPr>
            <w:tcW w:w="140" w:type="dxa"/>
            <w:vAlign w:val="bottom"/>
          </w:tcPr>
          <w:p>
            <w:pPr>
              <w:spacing w:after="0"/>
              <w:rPr>
                <w:sz w:val="8"/>
                <w:szCs w:val="8"/>
                <w:color w:val="auto"/>
              </w:rPr>
            </w:pPr>
          </w:p>
        </w:tc>
        <w:tc>
          <w:tcPr>
            <w:tcW w:w="6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80" w:type="dxa"/>
            <w:vAlign w:val="bottom"/>
          </w:tcPr>
          <w:p>
            <w:pPr>
              <w:spacing w:after="0"/>
              <w:rPr>
                <w:sz w:val="8"/>
                <w:szCs w:val="8"/>
                <w:color w:val="auto"/>
              </w:rPr>
            </w:pPr>
          </w:p>
        </w:tc>
        <w:tc>
          <w:tcPr>
            <w:tcW w:w="120" w:type="dxa"/>
            <w:vAlign w:val="bottom"/>
          </w:tcPr>
          <w:p>
            <w:pPr>
              <w:spacing w:after="0"/>
              <w:rPr>
                <w:sz w:val="8"/>
                <w:szCs w:val="8"/>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4"/>
                <w:szCs w:val="14"/>
                <w:b w:val="1"/>
                <w:bCs w:val="1"/>
                <w:color w:val="355675"/>
              </w:rPr>
              <w:t>Stock</w:t>
            </w:r>
          </w:p>
        </w:tc>
        <w:tc>
          <w:tcPr>
            <w:tcW w:w="800" w:type="dxa"/>
            <w:vAlign w:val="bottom"/>
            <w:vMerge w:val="restart"/>
          </w:tcPr>
          <w:p>
            <w:pPr>
              <w:jc w:val="right"/>
              <w:spacing w:after="0"/>
              <w:rPr>
                <w:sz w:val="20"/>
                <w:szCs w:val="20"/>
                <w:color w:val="auto"/>
              </w:rPr>
            </w:pPr>
            <w:r>
              <w:rPr>
                <w:rFonts w:ascii="Arial" w:cs="Arial" w:eastAsia="Arial" w:hAnsi="Arial"/>
                <w:sz w:val="14"/>
                <w:szCs w:val="14"/>
                <w:b w:val="1"/>
                <w:bCs w:val="1"/>
                <w:color w:val="355675"/>
              </w:rPr>
              <w:t>Date</w:t>
            </w:r>
          </w:p>
        </w:tc>
        <w:tc>
          <w:tcPr>
            <w:tcW w:w="0" w:type="dxa"/>
            <w:vAlign w:val="bottom"/>
          </w:tcPr>
          <w:p>
            <w:pPr>
              <w:spacing w:after="0"/>
              <w:rPr>
                <w:sz w:val="1"/>
                <w:szCs w:val="1"/>
                <w:color w:val="auto"/>
              </w:rPr>
            </w:pPr>
          </w:p>
        </w:tc>
      </w:tr>
      <w:tr>
        <w:trPr>
          <w:trHeight w:val="68"/>
        </w:trPr>
        <w:tc>
          <w:tcPr>
            <w:tcW w:w="1000" w:type="dxa"/>
            <w:vAlign w:val="bottom"/>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40" w:type="dxa"/>
            <w:vAlign w:val="bottom"/>
            <w:shd w:val="clear" w:color="auto" w:fill="355675"/>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60" w:type="dxa"/>
            <w:vAlign w:val="bottom"/>
            <w:shd w:val="clear" w:color="auto" w:fill="355675"/>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shd w:val="clear" w:color="auto" w:fill="355675"/>
          </w:tcPr>
          <w:p>
            <w:pPr>
              <w:spacing w:after="0"/>
              <w:rPr>
                <w:sz w:val="5"/>
                <w:szCs w:val="5"/>
                <w:color w:val="auto"/>
              </w:rPr>
            </w:pPr>
          </w:p>
        </w:tc>
        <w:tc>
          <w:tcPr>
            <w:tcW w:w="140" w:type="dxa"/>
            <w:vAlign w:val="bottom"/>
            <w:shd w:val="clear" w:color="auto" w:fill="355675"/>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shd w:val="clear" w:color="auto" w:fill="355675"/>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880" w:type="dxa"/>
            <w:vAlign w:val="bottom"/>
            <w:gridSpan w:val="2"/>
            <w:vMerge w:val="continue"/>
          </w:tcPr>
          <w:p>
            <w:pPr>
              <w:spacing w:after="0"/>
              <w:rPr>
                <w:sz w:val="5"/>
                <w:szCs w:val="5"/>
                <w:color w:val="auto"/>
              </w:rPr>
            </w:pPr>
          </w:p>
        </w:tc>
        <w:tc>
          <w:tcPr>
            <w:tcW w:w="8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2"/>
        </w:trPr>
        <w:tc>
          <w:tcPr>
            <w:tcW w:w="10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40" w:type="dxa"/>
            <w:vAlign w:val="bottom"/>
            <w:shd w:val="clear" w:color="auto" w:fill="355675"/>
          </w:tcPr>
          <w:p>
            <w:pPr>
              <w:spacing w:after="0"/>
              <w:rPr>
                <w:sz w:val="14"/>
                <w:szCs w:val="14"/>
                <w:color w:val="auto"/>
              </w:rPr>
            </w:pPr>
          </w:p>
        </w:tc>
        <w:tc>
          <w:tcPr>
            <w:tcW w:w="140" w:type="dxa"/>
            <w:vAlign w:val="bottom"/>
            <w:shd w:val="clear" w:color="auto" w:fill="355675"/>
          </w:tcPr>
          <w:p>
            <w:pPr>
              <w:spacing w:after="0"/>
              <w:rPr>
                <w:sz w:val="14"/>
                <w:szCs w:val="14"/>
                <w:color w:val="auto"/>
              </w:rPr>
            </w:pPr>
          </w:p>
        </w:tc>
        <w:tc>
          <w:tcPr>
            <w:tcW w:w="740" w:type="dxa"/>
            <w:vAlign w:val="bottom"/>
            <w:shd w:val="clear" w:color="auto" w:fill="355675"/>
          </w:tcPr>
          <w:p>
            <w:pPr>
              <w:spacing w:after="0"/>
              <w:rPr>
                <w:sz w:val="14"/>
                <w:szCs w:val="14"/>
                <w:color w:val="auto"/>
              </w:rPr>
            </w:pPr>
          </w:p>
        </w:tc>
        <w:tc>
          <w:tcPr>
            <w:tcW w:w="160" w:type="dxa"/>
            <w:vAlign w:val="bottom"/>
            <w:shd w:val="clear" w:color="auto" w:fill="355675"/>
          </w:tcPr>
          <w:p>
            <w:pPr>
              <w:spacing w:after="0"/>
              <w:rPr>
                <w:sz w:val="14"/>
                <w:szCs w:val="14"/>
                <w:color w:val="auto"/>
              </w:rPr>
            </w:pPr>
          </w:p>
        </w:tc>
        <w:tc>
          <w:tcPr>
            <w:tcW w:w="740" w:type="dxa"/>
            <w:vAlign w:val="bottom"/>
            <w:shd w:val="clear" w:color="auto" w:fill="355675"/>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shd w:val="clear" w:color="auto" w:fill="355675"/>
          </w:tcPr>
          <w:p>
            <w:pPr>
              <w:spacing w:after="0"/>
              <w:rPr>
                <w:sz w:val="14"/>
                <w:szCs w:val="14"/>
                <w:color w:val="auto"/>
              </w:rPr>
            </w:pPr>
          </w:p>
        </w:tc>
        <w:tc>
          <w:tcPr>
            <w:tcW w:w="140" w:type="dxa"/>
            <w:vAlign w:val="bottom"/>
            <w:shd w:val="clear" w:color="auto" w:fill="355675"/>
          </w:tcPr>
          <w:p>
            <w:pPr>
              <w:spacing w:after="0"/>
              <w:rPr>
                <w:sz w:val="14"/>
                <w:szCs w:val="14"/>
                <w:color w:val="auto"/>
              </w:rPr>
            </w:pPr>
          </w:p>
        </w:tc>
        <w:tc>
          <w:tcPr>
            <w:tcW w:w="680" w:type="dxa"/>
            <w:vAlign w:val="bottom"/>
            <w:shd w:val="clear" w:color="auto" w:fill="355675"/>
          </w:tcPr>
          <w:p>
            <w:pPr>
              <w:spacing w:after="0"/>
              <w:rPr>
                <w:sz w:val="14"/>
                <w:szCs w:val="14"/>
                <w:color w:val="auto"/>
              </w:rPr>
            </w:pPr>
          </w:p>
        </w:tc>
        <w:tc>
          <w:tcPr>
            <w:tcW w:w="120" w:type="dxa"/>
            <w:vAlign w:val="bottom"/>
            <w:shd w:val="clear" w:color="auto" w:fill="355675"/>
          </w:tcPr>
          <w:p>
            <w:pPr>
              <w:spacing w:after="0"/>
              <w:rPr>
                <w:sz w:val="14"/>
                <w:szCs w:val="14"/>
                <w:color w:val="auto"/>
              </w:rPr>
            </w:pPr>
          </w:p>
        </w:tc>
        <w:tc>
          <w:tcPr>
            <w:tcW w:w="680" w:type="dxa"/>
            <w:vAlign w:val="bottom"/>
            <w:shd w:val="clear" w:color="auto" w:fill="355675"/>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Awards:</w:t>
            </w:r>
          </w:p>
        </w:tc>
        <w:tc>
          <w:tcPr>
            <w:tcW w:w="800" w:type="dxa"/>
            <w:vAlign w:val="bottom"/>
          </w:tcPr>
          <w:p>
            <w:pPr>
              <w:jc w:val="right"/>
              <w:spacing w:after="0"/>
              <w:rPr>
                <w:sz w:val="20"/>
                <w:szCs w:val="20"/>
                <w:color w:val="auto"/>
              </w:rPr>
            </w:pPr>
            <w:r>
              <w:rPr>
                <w:rFonts w:ascii="Arial" w:cs="Arial" w:eastAsia="Arial" w:hAnsi="Arial"/>
                <w:sz w:val="14"/>
                <w:szCs w:val="14"/>
                <w:b w:val="1"/>
                <w:bCs w:val="1"/>
                <w:color w:val="355675"/>
              </w:rPr>
              <w:t>Fair Value</w:t>
            </w:r>
          </w:p>
        </w:tc>
        <w:tc>
          <w:tcPr>
            <w:tcW w:w="0" w:type="dxa"/>
            <w:vAlign w:val="bottom"/>
          </w:tcPr>
          <w:p>
            <w:pPr>
              <w:spacing w:after="0"/>
              <w:rPr>
                <w:sz w:val="1"/>
                <w:szCs w:val="1"/>
                <w:color w:val="auto"/>
              </w:rPr>
            </w:pPr>
          </w:p>
        </w:tc>
      </w:tr>
      <w:tr>
        <w:trPr>
          <w:trHeight w:val="203"/>
        </w:trPr>
        <w:tc>
          <w:tcPr>
            <w:tcW w:w="10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520" w:type="dxa"/>
            <w:vAlign w:val="bottom"/>
            <w:gridSpan w:val="5"/>
            <w:shd w:val="clear" w:color="auto" w:fill="355675"/>
          </w:tcPr>
          <w:p>
            <w:pPr>
              <w:ind w:left="80"/>
              <w:spacing w:after="0"/>
              <w:rPr>
                <w:sz w:val="20"/>
                <w:szCs w:val="20"/>
                <w:color w:val="auto"/>
              </w:rPr>
            </w:pPr>
            <w:r>
              <w:rPr>
                <w:rFonts w:ascii="Arial" w:cs="Arial" w:eastAsia="Arial" w:hAnsi="Arial"/>
                <w:sz w:val="14"/>
                <w:szCs w:val="14"/>
                <w:b w:val="1"/>
                <w:bCs w:val="1"/>
                <w:color w:val="FFFFFF"/>
              </w:rPr>
              <w:t>Estimated Possible Payouts Under</w:t>
            </w:r>
          </w:p>
        </w:tc>
        <w:tc>
          <w:tcPr>
            <w:tcW w:w="120" w:type="dxa"/>
            <w:vAlign w:val="bottom"/>
          </w:tcPr>
          <w:p>
            <w:pPr>
              <w:spacing w:after="0"/>
              <w:rPr>
                <w:sz w:val="17"/>
                <w:szCs w:val="17"/>
                <w:color w:val="auto"/>
              </w:rPr>
            </w:pPr>
          </w:p>
        </w:tc>
        <w:tc>
          <w:tcPr>
            <w:tcW w:w="2320" w:type="dxa"/>
            <w:vAlign w:val="bottom"/>
            <w:gridSpan w:val="5"/>
            <w:shd w:val="clear" w:color="auto" w:fill="355675"/>
          </w:tcPr>
          <w:p>
            <w:pPr>
              <w:jc w:val="right"/>
              <w:spacing w:after="0"/>
              <w:rPr>
                <w:sz w:val="20"/>
                <w:szCs w:val="20"/>
                <w:color w:val="auto"/>
              </w:rPr>
            </w:pPr>
            <w:r>
              <w:rPr>
                <w:rFonts w:ascii="Arial" w:cs="Arial" w:eastAsia="Arial" w:hAnsi="Arial"/>
                <w:sz w:val="14"/>
                <w:szCs w:val="14"/>
                <w:b w:val="1"/>
                <w:bCs w:val="1"/>
                <w:color w:val="FFFFFF"/>
              </w:rPr>
              <w:t>Estimated Future Payouts Under</w:t>
            </w:r>
          </w:p>
        </w:tc>
        <w:tc>
          <w:tcPr>
            <w:tcW w:w="120" w:type="dxa"/>
            <w:vAlign w:val="bottom"/>
          </w:tcPr>
          <w:p>
            <w:pPr>
              <w:spacing w:after="0"/>
              <w:rPr>
                <w:sz w:val="17"/>
                <w:szCs w:val="17"/>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Number of</w:t>
            </w:r>
          </w:p>
        </w:tc>
        <w:tc>
          <w:tcPr>
            <w:tcW w:w="800" w:type="dxa"/>
            <w:vAlign w:val="bottom"/>
          </w:tcPr>
          <w:p>
            <w:pPr>
              <w:jc w:val="right"/>
              <w:spacing w:after="0"/>
              <w:rPr>
                <w:sz w:val="20"/>
                <w:szCs w:val="20"/>
                <w:color w:val="auto"/>
              </w:rPr>
            </w:pPr>
            <w:r>
              <w:rPr>
                <w:rFonts w:ascii="Arial" w:cs="Arial" w:eastAsia="Arial" w:hAnsi="Arial"/>
                <w:sz w:val="14"/>
                <w:szCs w:val="14"/>
                <w:b w:val="1"/>
                <w:bCs w:val="1"/>
                <w:color w:val="355675"/>
              </w:rPr>
              <w:t>of Stock</w:t>
            </w:r>
          </w:p>
        </w:tc>
        <w:tc>
          <w:tcPr>
            <w:tcW w:w="0" w:type="dxa"/>
            <w:vAlign w:val="bottom"/>
          </w:tcPr>
          <w:p>
            <w:pPr>
              <w:spacing w:after="0"/>
              <w:rPr>
                <w:sz w:val="1"/>
                <w:szCs w:val="1"/>
                <w:color w:val="auto"/>
              </w:rPr>
            </w:pPr>
          </w:p>
        </w:tc>
      </w:tr>
      <w:tr>
        <w:trPr>
          <w:trHeight w:val="196"/>
        </w:trPr>
        <w:tc>
          <w:tcPr>
            <w:tcW w:w="10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520" w:type="dxa"/>
            <w:vAlign w:val="bottom"/>
            <w:tcBorders>
              <w:bottom w:val="single" w:sz="8" w:color="355675"/>
            </w:tcBorders>
            <w:gridSpan w:val="5"/>
            <w:shd w:val="clear" w:color="auto" w:fill="355675"/>
          </w:tcPr>
          <w:p>
            <w:pPr>
              <w:ind w:left="40"/>
              <w:spacing w:after="0" w:line="162" w:lineRule="exact"/>
              <w:rPr>
                <w:sz w:val="20"/>
                <w:szCs w:val="20"/>
                <w:color w:val="auto"/>
              </w:rPr>
            </w:pPr>
            <w:r>
              <w:rPr>
                <w:rFonts w:ascii="Arial" w:cs="Arial" w:eastAsia="Arial" w:hAnsi="Arial"/>
                <w:sz w:val="12"/>
                <w:szCs w:val="12"/>
                <w:b w:val="1"/>
                <w:bCs w:val="1"/>
                <w:color w:val="FFFFFF"/>
              </w:rPr>
              <w:t>Non-Equity Incentive Plan Awards</w:t>
            </w:r>
            <w:r>
              <w:rPr>
                <w:rFonts w:ascii="Arial" w:cs="Arial" w:eastAsia="Arial" w:hAnsi="Arial"/>
                <w:sz w:val="18"/>
                <w:szCs w:val="18"/>
                <w:b w:val="1"/>
                <w:bCs w:val="1"/>
                <w:color w:val="FFFFFF"/>
                <w:vertAlign w:val="superscript"/>
              </w:rPr>
              <w:t>(2)</w:t>
            </w:r>
          </w:p>
        </w:tc>
        <w:tc>
          <w:tcPr>
            <w:tcW w:w="120" w:type="dxa"/>
            <w:vAlign w:val="bottom"/>
          </w:tcPr>
          <w:p>
            <w:pPr>
              <w:spacing w:after="0"/>
              <w:rPr>
                <w:sz w:val="17"/>
                <w:szCs w:val="17"/>
                <w:color w:val="auto"/>
              </w:rPr>
            </w:pPr>
          </w:p>
        </w:tc>
        <w:tc>
          <w:tcPr>
            <w:tcW w:w="2320" w:type="dxa"/>
            <w:vAlign w:val="bottom"/>
            <w:tcBorders>
              <w:bottom w:val="single" w:sz="8" w:color="355675"/>
            </w:tcBorders>
            <w:gridSpan w:val="5"/>
            <w:shd w:val="clear" w:color="auto" w:fill="355675"/>
          </w:tcPr>
          <w:p>
            <w:pPr>
              <w:jc w:val="right"/>
              <w:ind w:right="82"/>
              <w:spacing w:after="0"/>
              <w:rPr>
                <w:sz w:val="20"/>
                <w:szCs w:val="20"/>
                <w:color w:val="auto"/>
              </w:rPr>
            </w:pPr>
            <w:r>
              <w:rPr>
                <w:rFonts w:ascii="Arial" w:cs="Arial" w:eastAsia="Arial" w:hAnsi="Arial"/>
                <w:sz w:val="14"/>
                <w:szCs w:val="14"/>
                <w:b w:val="1"/>
                <w:bCs w:val="1"/>
                <w:color w:val="FFFFFF"/>
              </w:rPr>
              <w:t>Equity Incentive Plan Awards</w:t>
            </w:r>
          </w:p>
        </w:tc>
        <w:tc>
          <w:tcPr>
            <w:tcW w:w="120" w:type="dxa"/>
            <w:vAlign w:val="bottom"/>
          </w:tcPr>
          <w:p>
            <w:pPr>
              <w:spacing w:after="0"/>
              <w:rPr>
                <w:sz w:val="17"/>
                <w:szCs w:val="17"/>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Shares of</w:t>
            </w:r>
          </w:p>
        </w:tc>
        <w:tc>
          <w:tcPr>
            <w:tcW w:w="800" w:type="dxa"/>
            <w:vAlign w:val="bottom"/>
          </w:tcPr>
          <w:p>
            <w:pPr>
              <w:jc w:val="right"/>
              <w:spacing w:after="0"/>
              <w:rPr>
                <w:sz w:val="20"/>
                <w:szCs w:val="20"/>
                <w:color w:val="auto"/>
              </w:rPr>
            </w:pPr>
            <w:r>
              <w:rPr>
                <w:rFonts w:ascii="Arial" w:cs="Arial" w:eastAsia="Arial" w:hAnsi="Arial"/>
                <w:sz w:val="14"/>
                <w:szCs w:val="14"/>
                <w:b w:val="1"/>
                <w:bCs w:val="1"/>
                <w:color w:val="355675"/>
              </w:rPr>
              <w:t>and</w:t>
            </w:r>
          </w:p>
        </w:tc>
        <w:tc>
          <w:tcPr>
            <w:tcW w:w="0" w:type="dxa"/>
            <w:vAlign w:val="bottom"/>
          </w:tcPr>
          <w:p>
            <w:pPr>
              <w:spacing w:after="0"/>
              <w:rPr>
                <w:sz w:val="1"/>
                <w:szCs w:val="1"/>
                <w:color w:val="auto"/>
              </w:rPr>
            </w:pPr>
          </w:p>
        </w:tc>
      </w:tr>
      <w:tr>
        <w:trPr>
          <w:trHeight w:val="68"/>
        </w:trPr>
        <w:tc>
          <w:tcPr>
            <w:tcW w:w="1000" w:type="dxa"/>
            <w:vAlign w:val="bottom"/>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tcPr>
          <w:p>
            <w:pPr>
              <w:spacing w:after="0"/>
              <w:rPr>
                <w:sz w:val="5"/>
                <w:szCs w:val="5"/>
                <w:color w:val="auto"/>
              </w:rPr>
            </w:pPr>
          </w:p>
        </w:tc>
        <w:tc>
          <w:tcPr>
            <w:tcW w:w="14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880" w:type="dxa"/>
            <w:vAlign w:val="bottom"/>
            <w:gridSpan w:val="2"/>
          </w:tcPr>
          <w:p>
            <w:pPr>
              <w:jc w:val="right"/>
              <w:ind w:right="120"/>
              <w:spacing w:after="0" w:line="68" w:lineRule="exact"/>
              <w:rPr>
                <w:sz w:val="20"/>
                <w:szCs w:val="20"/>
                <w:color w:val="auto"/>
              </w:rPr>
            </w:pPr>
            <w:r>
              <w:rPr>
                <w:rFonts w:ascii="Arial" w:cs="Arial" w:eastAsia="Arial" w:hAnsi="Arial"/>
                <w:sz w:val="7"/>
                <w:szCs w:val="7"/>
                <w:b w:val="1"/>
                <w:bCs w:val="1"/>
                <w:color w:val="355675"/>
              </w:rPr>
              <w:t>Stock or</w:t>
            </w:r>
          </w:p>
        </w:tc>
        <w:tc>
          <w:tcPr>
            <w:tcW w:w="800" w:type="dxa"/>
            <w:vAlign w:val="bottom"/>
          </w:tcPr>
          <w:p>
            <w:pPr>
              <w:jc w:val="right"/>
              <w:spacing w:after="0" w:line="68" w:lineRule="exact"/>
              <w:rPr>
                <w:sz w:val="20"/>
                <w:szCs w:val="20"/>
                <w:color w:val="auto"/>
              </w:rPr>
            </w:pPr>
            <w:r>
              <w:rPr>
                <w:rFonts w:ascii="Arial" w:cs="Arial" w:eastAsia="Arial" w:hAnsi="Arial"/>
                <w:sz w:val="7"/>
                <w:szCs w:val="7"/>
                <w:b w:val="1"/>
                <w:bCs w:val="1"/>
                <w:color w:val="355675"/>
              </w:rPr>
              <w:t>Option</w:t>
            </w:r>
          </w:p>
        </w:tc>
        <w:tc>
          <w:tcPr>
            <w:tcW w:w="0" w:type="dxa"/>
            <w:vAlign w:val="bottom"/>
          </w:tcPr>
          <w:p>
            <w:pPr>
              <w:spacing w:after="0"/>
              <w:rPr>
                <w:sz w:val="1"/>
                <w:szCs w:val="1"/>
                <w:color w:val="auto"/>
              </w:rPr>
            </w:pPr>
          </w:p>
        </w:tc>
      </w:tr>
      <w:tr>
        <w:trPr>
          <w:trHeight w:val="180"/>
        </w:trPr>
        <w:tc>
          <w:tcPr>
            <w:tcW w:w="1000" w:type="dxa"/>
            <w:vAlign w:val="bottom"/>
            <w:vMerge w:val="restart"/>
          </w:tcPr>
          <w:p>
            <w:pPr>
              <w:spacing w:after="0"/>
              <w:rPr>
                <w:sz w:val="20"/>
                <w:szCs w:val="20"/>
                <w:color w:val="auto"/>
              </w:rPr>
            </w:pPr>
            <w:r>
              <w:rPr>
                <w:rFonts w:ascii="Arial" w:cs="Arial" w:eastAsia="Arial" w:hAnsi="Arial"/>
                <w:sz w:val="14"/>
                <w:szCs w:val="14"/>
                <w:b w:val="1"/>
                <w:bCs w:val="1"/>
                <w:color w:val="355675"/>
              </w:rPr>
              <w:t>Grant Date</w:t>
            </w:r>
            <w:r>
              <w:rPr>
                <w:rFonts w:ascii="Arial" w:cs="Arial" w:eastAsia="Arial" w:hAnsi="Arial"/>
                <w:sz w:val="23"/>
                <w:szCs w:val="23"/>
                <w:b w:val="1"/>
                <w:bCs w:val="1"/>
                <w:color w:val="355675"/>
                <w:vertAlign w:val="superscript"/>
              </w:rPr>
              <w:t>(1)</w:t>
            </w:r>
          </w:p>
        </w:tc>
        <w:tc>
          <w:tcPr>
            <w:tcW w:w="120" w:type="dxa"/>
            <w:vAlign w:val="bottom"/>
            <w:vMerge w:val="restart"/>
          </w:tcPr>
          <w:p>
            <w:pPr>
              <w:spacing w:after="0"/>
              <w:rPr>
                <w:sz w:val="15"/>
                <w:szCs w:val="15"/>
                <w:color w:val="auto"/>
              </w:rPr>
            </w:pPr>
          </w:p>
        </w:tc>
        <w:tc>
          <w:tcPr>
            <w:tcW w:w="880" w:type="dxa"/>
            <w:vAlign w:val="bottom"/>
            <w:gridSpan w:val="2"/>
          </w:tcPr>
          <w:p>
            <w:pPr>
              <w:ind w:left="40"/>
              <w:spacing w:after="0"/>
              <w:rPr>
                <w:sz w:val="20"/>
                <w:szCs w:val="20"/>
                <w:color w:val="auto"/>
              </w:rPr>
            </w:pPr>
            <w:r>
              <w:rPr>
                <w:rFonts w:ascii="Arial" w:cs="Arial" w:eastAsia="Arial" w:hAnsi="Arial"/>
                <w:sz w:val="14"/>
                <w:szCs w:val="14"/>
                <w:b w:val="1"/>
                <w:bCs w:val="1"/>
                <w:color w:val="355675"/>
              </w:rPr>
              <w:t>Threshold</w:t>
            </w:r>
          </w:p>
        </w:tc>
        <w:tc>
          <w:tcPr>
            <w:tcW w:w="90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355675"/>
              </w:rPr>
              <w:t>Target</w:t>
            </w:r>
          </w:p>
        </w:tc>
        <w:tc>
          <w:tcPr>
            <w:tcW w:w="8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Maximum</w:t>
            </w:r>
          </w:p>
        </w:tc>
        <w:tc>
          <w:tcPr>
            <w:tcW w:w="84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355675"/>
              </w:rPr>
              <w:t>Threshold</w:t>
            </w:r>
          </w:p>
        </w:tc>
        <w:tc>
          <w:tcPr>
            <w:tcW w:w="800" w:type="dxa"/>
            <w:vAlign w:val="bottom"/>
            <w:gridSpan w:val="2"/>
          </w:tcPr>
          <w:p>
            <w:pPr>
              <w:ind w:left="240"/>
              <w:spacing w:after="0"/>
              <w:rPr>
                <w:sz w:val="20"/>
                <w:szCs w:val="20"/>
                <w:color w:val="auto"/>
              </w:rPr>
            </w:pPr>
            <w:r>
              <w:rPr>
                <w:rFonts w:ascii="Arial" w:cs="Arial" w:eastAsia="Arial" w:hAnsi="Arial"/>
                <w:sz w:val="14"/>
                <w:szCs w:val="14"/>
                <w:b w:val="1"/>
                <w:bCs w:val="1"/>
                <w:color w:val="355675"/>
              </w:rPr>
              <w:t>Target</w:t>
            </w:r>
          </w:p>
        </w:tc>
        <w:tc>
          <w:tcPr>
            <w:tcW w:w="80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Maximum</w:t>
            </w:r>
          </w:p>
        </w:tc>
        <w:tc>
          <w:tcPr>
            <w:tcW w:w="8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Units</w:t>
            </w:r>
          </w:p>
        </w:tc>
        <w:tc>
          <w:tcPr>
            <w:tcW w:w="800" w:type="dxa"/>
            <w:vAlign w:val="bottom"/>
          </w:tcPr>
          <w:p>
            <w:pPr>
              <w:jc w:val="right"/>
              <w:spacing w:after="0" w:line="180" w:lineRule="exact"/>
              <w:rPr>
                <w:sz w:val="20"/>
                <w:szCs w:val="20"/>
                <w:color w:val="auto"/>
              </w:rPr>
            </w:pPr>
            <w:r>
              <w:rPr>
                <w:rFonts w:ascii="Arial" w:cs="Arial" w:eastAsia="Arial" w:hAnsi="Arial"/>
                <w:sz w:val="13"/>
                <w:szCs w:val="13"/>
                <w:b w:val="1"/>
                <w:bCs w:val="1"/>
                <w:color w:val="355675"/>
              </w:rPr>
              <w:t>Awards</w:t>
            </w:r>
            <w:r>
              <w:rPr>
                <w:rFonts w:ascii="Arial" w:cs="Arial" w:eastAsia="Arial" w:hAnsi="Arial"/>
                <w:sz w:val="20"/>
                <w:szCs w:val="20"/>
                <w:b w:val="1"/>
                <w:bCs w:val="1"/>
                <w:color w:val="355675"/>
                <w:vertAlign w:val="superscript"/>
              </w:rPr>
              <w:t>(3)</w:t>
            </w:r>
          </w:p>
        </w:tc>
        <w:tc>
          <w:tcPr>
            <w:tcW w:w="0" w:type="dxa"/>
            <w:vAlign w:val="bottom"/>
          </w:tcPr>
          <w:p>
            <w:pPr>
              <w:spacing w:after="0"/>
              <w:rPr>
                <w:sz w:val="1"/>
                <w:szCs w:val="1"/>
                <w:color w:val="auto"/>
              </w:rPr>
            </w:pPr>
          </w:p>
        </w:tc>
      </w:tr>
      <w:tr>
        <w:trPr>
          <w:trHeight w:val="198"/>
        </w:trPr>
        <w:tc>
          <w:tcPr>
            <w:tcW w:w="1000" w:type="dxa"/>
            <w:vAlign w:val="bottom"/>
            <w:vMerge w:val="continue"/>
          </w:tcPr>
          <w:p>
            <w:pPr>
              <w:spacing w:after="0"/>
              <w:rPr>
                <w:sz w:val="17"/>
                <w:szCs w:val="17"/>
                <w:color w:val="auto"/>
              </w:rPr>
            </w:pPr>
          </w:p>
        </w:tc>
        <w:tc>
          <w:tcPr>
            <w:tcW w:w="120" w:type="dxa"/>
            <w:vAlign w:val="bottom"/>
            <w:vMerge w:val="continue"/>
          </w:tcPr>
          <w:p>
            <w:pPr>
              <w:spacing w:after="0"/>
              <w:rPr>
                <w:sz w:val="17"/>
                <w:szCs w:val="17"/>
                <w:color w:val="auto"/>
              </w:rPr>
            </w:pPr>
          </w:p>
        </w:tc>
        <w:tc>
          <w:tcPr>
            <w:tcW w:w="740" w:type="dxa"/>
            <w:vAlign w:val="bottom"/>
          </w:tcPr>
          <w:p>
            <w:pPr>
              <w:jc w:val="right"/>
              <w:spacing w:after="0"/>
              <w:rPr>
                <w:sz w:val="20"/>
                <w:szCs w:val="20"/>
                <w:color w:val="auto"/>
              </w:rPr>
            </w:pPr>
            <w:r>
              <w:rPr>
                <w:rFonts w:ascii="Arial" w:cs="Arial" w:eastAsia="Arial" w:hAnsi="Arial"/>
                <w:sz w:val="14"/>
                <w:szCs w:val="14"/>
                <w:b w:val="1"/>
                <w:bCs w:val="1"/>
                <w:color w:val="355675"/>
              </w:rPr>
              <w:t>($)</w:t>
            </w:r>
          </w:p>
        </w:tc>
        <w:tc>
          <w:tcPr>
            <w:tcW w:w="140" w:type="dxa"/>
            <w:vAlign w:val="bottom"/>
          </w:tcPr>
          <w:p>
            <w:pPr>
              <w:spacing w:after="0"/>
              <w:rPr>
                <w:sz w:val="17"/>
                <w:szCs w:val="17"/>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355675"/>
              </w:rPr>
              <w:t>($)</w:t>
            </w:r>
          </w:p>
        </w:tc>
        <w:tc>
          <w:tcPr>
            <w:tcW w:w="86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w:t>
            </w:r>
          </w:p>
        </w:tc>
        <w:tc>
          <w:tcPr>
            <w:tcW w:w="84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355675"/>
              </w:rPr>
              <w:t>(#)</w:t>
            </w:r>
          </w:p>
        </w:tc>
        <w:tc>
          <w:tcPr>
            <w:tcW w:w="80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w:t>
            </w:r>
          </w:p>
        </w:tc>
        <w:tc>
          <w:tcPr>
            <w:tcW w:w="80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w:t>
            </w:r>
          </w:p>
        </w:tc>
        <w:tc>
          <w:tcPr>
            <w:tcW w:w="8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355675"/>
              </w:rPr>
              <w:t>(#)</w:t>
            </w:r>
          </w:p>
        </w:tc>
        <w:tc>
          <w:tcPr>
            <w:tcW w:w="800" w:type="dxa"/>
            <w:vAlign w:val="bottom"/>
          </w:tcPr>
          <w:p>
            <w:pPr>
              <w:jc w:val="right"/>
              <w:spacing w:after="0"/>
              <w:rPr>
                <w:sz w:val="20"/>
                <w:szCs w:val="20"/>
                <w:color w:val="auto"/>
              </w:rPr>
            </w:pPr>
            <w:r>
              <w:rPr>
                <w:rFonts w:ascii="Arial" w:cs="Arial" w:eastAsia="Arial" w:hAnsi="Arial"/>
                <w:sz w:val="14"/>
                <w:szCs w:val="14"/>
                <w:b w:val="1"/>
                <w:bCs w:val="1"/>
                <w:color w:val="355675"/>
              </w:rPr>
              <w:t>($)</w:t>
            </w:r>
          </w:p>
        </w:tc>
        <w:tc>
          <w:tcPr>
            <w:tcW w:w="0" w:type="dxa"/>
            <w:vAlign w:val="bottom"/>
          </w:tcPr>
          <w:p>
            <w:pPr>
              <w:spacing w:after="0"/>
              <w:rPr>
                <w:sz w:val="1"/>
                <w:szCs w:val="1"/>
                <w:color w:val="auto"/>
              </w:rPr>
            </w:pPr>
          </w:p>
        </w:tc>
      </w:tr>
      <w:tr>
        <w:trPr>
          <w:trHeight w:val="54"/>
        </w:trPr>
        <w:tc>
          <w:tcPr>
            <w:tcW w:w="100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40" w:type="dxa"/>
            <w:vAlign w:val="bottom"/>
            <w:shd w:val="clear" w:color="auto" w:fill="355675"/>
          </w:tcPr>
          <w:p>
            <w:pPr>
              <w:spacing w:after="0"/>
              <w:rPr>
                <w:sz w:val="4"/>
                <w:szCs w:val="4"/>
                <w:color w:val="auto"/>
              </w:rPr>
            </w:pPr>
          </w:p>
        </w:tc>
        <w:tc>
          <w:tcPr>
            <w:tcW w:w="140" w:type="dxa"/>
            <w:vAlign w:val="bottom"/>
          </w:tcPr>
          <w:p>
            <w:pPr>
              <w:spacing w:after="0"/>
              <w:rPr>
                <w:sz w:val="4"/>
                <w:szCs w:val="4"/>
                <w:color w:val="auto"/>
              </w:rPr>
            </w:pPr>
          </w:p>
        </w:tc>
        <w:tc>
          <w:tcPr>
            <w:tcW w:w="740" w:type="dxa"/>
            <w:vAlign w:val="bottom"/>
            <w:shd w:val="clear" w:color="auto" w:fill="355675"/>
          </w:tcPr>
          <w:p>
            <w:pPr>
              <w:spacing w:after="0"/>
              <w:rPr>
                <w:sz w:val="4"/>
                <w:szCs w:val="4"/>
                <w:color w:val="auto"/>
              </w:rPr>
            </w:pPr>
          </w:p>
        </w:tc>
        <w:tc>
          <w:tcPr>
            <w:tcW w:w="160" w:type="dxa"/>
            <w:vAlign w:val="bottom"/>
          </w:tcPr>
          <w:p>
            <w:pPr>
              <w:spacing w:after="0"/>
              <w:rPr>
                <w:sz w:val="4"/>
                <w:szCs w:val="4"/>
                <w:color w:val="auto"/>
              </w:rPr>
            </w:pPr>
          </w:p>
        </w:tc>
        <w:tc>
          <w:tcPr>
            <w:tcW w:w="74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00" w:type="dxa"/>
            <w:vAlign w:val="bottom"/>
            <w:shd w:val="clear" w:color="auto" w:fill="355675"/>
          </w:tcPr>
          <w:p>
            <w:pPr>
              <w:spacing w:after="0"/>
              <w:rPr>
                <w:sz w:val="4"/>
                <w:szCs w:val="4"/>
                <w:color w:val="auto"/>
              </w:rPr>
            </w:pPr>
          </w:p>
        </w:tc>
        <w:tc>
          <w:tcPr>
            <w:tcW w:w="140" w:type="dxa"/>
            <w:vAlign w:val="bottom"/>
          </w:tcPr>
          <w:p>
            <w:pPr>
              <w:spacing w:after="0"/>
              <w:rPr>
                <w:sz w:val="4"/>
                <w:szCs w:val="4"/>
                <w:color w:val="auto"/>
              </w:rPr>
            </w:pPr>
          </w:p>
        </w:tc>
        <w:tc>
          <w:tcPr>
            <w:tcW w:w="68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68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shd w:val="clear" w:color="auto" w:fill="355675"/>
          </w:tcPr>
          <w:p>
            <w:pPr>
              <w:spacing w:after="0"/>
              <w:rPr>
                <w:sz w:val="4"/>
                <w:szCs w:val="4"/>
                <w:color w:val="auto"/>
              </w:rPr>
            </w:pPr>
          </w:p>
        </w:tc>
        <w:tc>
          <w:tcPr>
            <w:tcW w:w="120" w:type="dxa"/>
            <w:vAlign w:val="bottom"/>
          </w:tcPr>
          <w:p>
            <w:pPr>
              <w:spacing w:after="0"/>
              <w:rPr>
                <w:sz w:val="4"/>
                <w:szCs w:val="4"/>
                <w:color w:val="auto"/>
              </w:rPr>
            </w:pPr>
          </w:p>
        </w:tc>
        <w:tc>
          <w:tcPr>
            <w:tcW w:w="800" w:type="dxa"/>
            <w:vAlign w:val="bottom"/>
            <w:shd w:val="clear" w:color="auto" w:fill="355675"/>
          </w:tcPr>
          <w:p>
            <w:pPr>
              <w:spacing w:after="0"/>
              <w:rPr>
                <w:sz w:val="4"/>
                <w:szCs w:val="4"/>
                <w:color w:val="auto"/>
              </w:rPr>
            </w:pPr>
          </w:p>
        </w:tc>
        <w:tc>
          <w:tcPr>
            <w:tcW w:w="0" w:type="dxa"/>
            <w:vAlign w:val="bottom"/>
          </w:tcPr>
          <w:p>
            <w:pPr>
              <w:spacing w:after="0"/>
              <w:rPr>
                <w:sz w:val="1"/>
                <w:szCs w:val="1"/>
                <w:color w:val="auto"/>
              </w:rPr>
            </w:pPr>
          </w:p>
        </w:tc>
      </w:tr>
      <w:tr>
        <w:trPr>
          <w:trHeight w:val="250"/>
        </w:trPr>
        <w:tc>
          <w:tcPr>
            <w:tcW w:w="10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Arial" w:cs="Arial" w:eastAsia="Arial" w:hAnsi="Arial"/>
                <w:sz w:val="16"/>
                <w:szCs w:val="16"/>
                <w:color w:val="auto"/>
              </w:rPr>
              <w:t>6,050</w:t>
            </w:r>
          </w:p>
        </w:tc>
        <w:tc>
          <w:tcPr>
            <w:tcW w:w="140" w:type="dxa"/>
            <w:vAlign w:val="bottom"/>
          </w:tcPr>
          <w:p>
            <w:pPr>
              <w:spacing w:after="0"/>
              <w:rPr>
                <w:sz w:val="21"/>
                <w:szCs w:val="21"/>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6"/>
                <w:szCs w:val="16"/>
                <w:color w:val="auto"/>
              </w:rPr>
              <w:t>1,210,000</w:t>
            </w:r>
          </w:p>
        </w:tc>
        <w:tc>
          <w:tcPr>
            <w:tcW w:w="860" w:type="dxa"/>
            <w:vAlign w:val="bottom"/>
            <w:gridSpan w:val="2"/>
          </w:tcPr>
          <w:p>
            <w:pPr>
              <w:jc w:val="right"/>
              <w:ind w:right="120"/>
              <w:spacing w:after="0"/>
              <w:rPr>
                <w:sz w:val="20"/>
                <w:szCs w:val="20"/>
                <w:color w:val="auto"/>
              </w:rPr>
            </w:pPr>
            <w:r>
              <w:rPr>
                <w:rFonts w:ascii="Arial" w:cs="Arial" w:eastAsia="Arial" w:hAnsi="Arial"/>
                <w:sz w:val="16"/>
                <w:szCs w:val="16"/>
                <w:color w:val="auto"/>
              </w:rPr>
              <w:t>2,420,000</w:t>
            </w:r>
          </w:p>
        </w:tc>
        <w:tc>
          <w:tcPr>
            <w:tcW w:w="7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83"/>
        </w:trPr>
        <w:tc>
          <w:tcPr>
            <w:tcW w:w="1000" w:type="dxa"/>
            <w:vAlign w:val="bottom"/>
            <w:tcBorders>
              <w:top w:val="single" w:sz="8" w:color="939598"/>
              <w:bottom w:val="single" w:sz="8" w:color="939598"/>
            </w:tcBorders>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(4)</w:t>
            </w:r>
          </w:p>
        </w:tc>
        <w:tc>
          <w:tcPr>
            <w:tcW w:w="120" w:type="dxa"/>
            <w:vAlign w:val="bottom"/>
          </w:tcPr>
          <w:p>
            <w:pPr>
              <w:spacing w:after="0"/>
              <w:rPr>
                <w:sz w:val="24"/>
                <w:szCs w:val="24"/>
                <w:color w:val="auto"/>
              </w:rPr>
            </w:pPr>
          </w:p>
        </w:tc>
        <w:tc>
          <w:tcPr>
            <w:tcW w:w="740" w:type="dxa"/>
            <w:vAlign w:val="bottom"/>
            <w:tcBorders>
              <w:top w:val="single" w:sz="8" w:color="939598"/>
              <w:bottom w:val="single" w:sz="8" w:color="939598"/>
            </w:tcBorders>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Borders>
              <w:top w:val="single" w:sz="8" w:color="939598"/>
              <w:bottom w:val="single" w:sz="8" w:color="939598"/>
            </w:tcBorders>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Borders>
              <w:top w:val="single" w:sz="8" w:color="939598"/>
              <w:bottom w:val="single" w:sz="8" w:color="939598"/>
            </w:tcBorders>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17,910</w:t>
            </w:r>
          </w:p>
        </w:tc>
        <w:tc>
          <w:tcPr>
            <w:tcW w:w="140" w:type="dxa"/>
            <w:vAlign w:val="bottom"/>
          </w:tcPr>
          <w:p>
            <w:pPr>
              <w:spacing w:after="0"/>
              <w:rPr>
                <w:sz w:val="24"/>
                <w:szCs w:val="24"/>
                <w:color w:val="auto"/>
              </w:rPr>
            </w:pPr>
          </w:p>
        </w:tc>
        <w:tc>
          <w:tcPr>
            <w:tcW w:w="68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35,820</w:t>
            </w:r>
          </w:p>
        </w:tc>
        <w:tc>
          <w:tcPr>
            <w:tcW w:w="120" w:type="dxa"/>
            <w:vAlign w:val="bottom"/>
          </w:tcPr>
          <w:p>
            <w:pPr>
              <w:spacing w:after="0"/>
              <w:rPr>
                <w:sz w:val="24"/>
                <w:szCs w:val="24"/>
                <w:color w:val="auto"/>
              </w:rPr>
            </w:pPr>
          </w:p>
        </w:tc>
        <w:tc>
          <w:tcPr>
            <w:tcW w:w="68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71,640</w:t>
            </w:r>
          </w:p>
        </w:tc>
        <w:tc>
          <w:tcPr>
            <w:tcW w:w="120" w:type="dxa"/>
            <w:vAlign w:val="bottom"/>
          </w:tcPr>
          <w:p>
            <w:pPr>
              <w:spacing w:after="0"/>
              <w:rPr>
                <w:sz w:val="24"/>
                <w:szCs w:val="24"/>
                <w:color w:val="auto"/>
              </w:rPr>
            </w:pPr>
          </w:p>
        </w:tc>
        <w:tc>
          <w:tcPr>
            <w:tcW w:w="760" w:type="dxa"/>
            <w:vAlign w:val="bottom"/>
            <w:tcBorders>
              <w:top w:val="single" w:sz="8" w:color="939598"/>
              <w:bottom w:val="single" w:sz="8" w:color="939598"/>
            </w:tcBorders>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2,912,703</w:t>
            </w:r>
          </w:p>
        </w:tc>
        <w:tc>
          <w:tcPr>
            <w:tcW w:w="0" w:type="dxa"/>
            <w:vAlign w:val="bottom"/>
          </w:tcPr>
          <w:p>
            <w:pPr>
              <w:spacing w:after="0"/>
              <w:rPr>
                <w:sz w:val="1"/>
                <w:szCs w:val="1"/>
                <w:color w:val="auto"/>
              </w:rPr>
            </w:pPr>
          </w:p>
        </w:tc>
      </w:tr>
      <w:tr>
        <w:trPr>
          <w:trHeight w:val="244"/>
        </w:trPr>
        <w:tc>
          <w:tcPr>
            <w:tcW w:w="1000" w:type="dxa"/>
            <w:vAlign w:val="bottom"/>
            <w:tcBorders>
              <w:bottom w:val="single" w:sz="8" w:color="939598"/>
            </w:tcBorders>
          </w:tcPr>
          <w:p>
            <w:pPr>
              <w:spacing w:after="0"/>
              <w:rPr>
                <w:sz w:val="20"/>
                <w:szCs w:val="20"/>
                <w:color w:val="auto"/>
              </w:rPr>
            </w:pPr>
            <w:r>
              <w:rPr>
                <w:rFonts w:ascii="Arial" w:cs="Arial" w:eastAsia="Arial" w:hAnsi="Arial"/>
                <w:sz w:val="16"/>
                <w:szCs w:val="16"/>
                <w:color w:val="auto"/>
              </w:rPr>
              <w:t>(PS)</w:t>
            </w:r>
          </w:p>
        </w:tc>
        <w:tc>
          <w:tcPr>
            <w:tcW w:w="120" w:type="dxa"/>
            <w:vAlign w:val="bottom"/>
          </w:tcPr>
          <w:p>
            <w:pPr>
              <w:spacing w:after="0"/>
              <w:rPr>
                <w:sz w:val="21"/>
                <w:szCs w:val="21"/>
                <w:color w:val="auto"/>
              </w:rPr>
            </w:pPr>
          </w:p>
        </w:tc>
        <w:tc>
          <w:tcPr>
            <w:tcW w:w="740" w:type="dxa"/>
            <w:vAlign w:val="bottom"/>
            <w:tcBorders>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bottom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bottom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283"/>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(5)</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6"/>
                <w:szCs w:val="16"/>
                <w:color w:val="auto"/>
              </w:rPr>
              <w:t>15,352</w:t>
            </w:r>
          </w:p>
        </w:tc>
        <w:tc>
          <w:tcPr>
            <w:tcW w:w="800" w:type="dxa"/>
            <w:vAlign w:val="bottom"/>
          </w:tcPr>
          <w:p>
            <w:pPr>
              <w:jc w:val="right"/>
              <w:spacing w:after="0"/>
              <w:rPr>
                <w:sz w:val="20"/>
                <w:szCs w:val="20"/>
                <w:color w:val="auto"/>
              </w:rPr>
            </w:pPr>
            <w:r>
              <w:rPr>
                <w:rFonts w:ascii="Arial" w:cs="Arial" w:eastAsia="Arial" w:hAnsi="Arial"/>
                <w:sz w:val="16"/>
                <w:szCs w:val="16"/>
                <w:color w:val="auto"/>
              </w:rPr>
              <w:t>1,167,059</w:t>
            </w:r>
          </w:p>
        </w:tc>
        <w:tc>
          <w:tcPr>
            <w:tcW w:w="0" w:type="dxa"/>
            <w:vAlign w:val="bottom"/>
          </w:tcPr>
          <w:p>
            <w:pPr>
              <w:spacing w:after="0"/>
              <w:rPr>
                <w:sz w:val="1"/>
                <w:szCs w:val="1"/>
                <w:color w:val="auto"/>
              </w:rPr>
            </w:pPr>
          </w:p>
        </w:tc>
      </w:tr>
      <w:tr>
        <w:trPr>
          <w:trHeight w:val="242"/>
        </w:trPr>
        <w:tc>
          <w:tcPr>
            <w:tcW w:w="100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(RSU)</w:t>
            </w:r>
          </w:p>
        </w:tc>
        <w:tc>
          <w:tcPr>
            <w:tcW w:w="12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62"/>
        </w:trPr>
        <w:tc>
          <w:tcPr>
            <w:tcW w:w="100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800" w:type="dxa"/>
            <w:vAlign w:val="bottom"/>
            <w:shd w:val="clear" w:color="auto" w:fill="355675"/>
          </w:tcPr>
          <w:p>
            <w:pPr>
              <w:spacing w:after="0"/>
              <w:rPr>
                <w:sz w:val="5"/>
                <w:szCs w:val="5"/>
                <w:color w:val="auto"/>
              </w:rPr>
            </w:pPr>
          </w:p>
        </w:tc>
        <w:tc>
          <w:tcPr>
            <w:tcW w:w="0" w:type="dxa"/>
            <w:vAlign w:val="bottom"/>
          </w:tcPr>
          <w:p>
            <w:pPr>
              <w:spacing w:after="0"/>
              <w:rPr>
                <w:sz w:val="1"/>
                <w:szCs w:val="1"/>
                <w:color w:val="auto"/>
              </w:rPr>
            </w:pPr>
          </w:p>
        </w:tc>
      </w:tr>
      <w:tr>
        <w:trPr>
          <w:trHeight w:val="249"/>
        </w:trPr>
        <w:tc>
          <w:tcPr>
            <w:tcW w:w="10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Arial" w:cs="Arial" w:eastAsia="Arial" w:hAnsi="Arial"/>
                <w:sz w:val="16"/>
                <w:szCs w:val="16"/>
                <w:color w:val="auto"/>
              </w:rPr>
              <w:t>1,575</w:t>
            </w:r>
          </w:p>
        </w:tc>
        <w:tc>
          <w:tcPr>
            <w:tcW w:w="140" w:type="dxa"/>
            <w:vAlign w:val="bottom"/>
          </w:tcPr>
          <w:p>
            <w:pPr>
              <w:spacing w:after="0"/>
              <w:rPr>
                <w:sz w:val="21"/>
                <w:szCs w:val="21"/>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6"/>
                <w:szCs w:val="16"/>
                <w:color w:val="auto"/>
              </w:rPr>
              <w:t>315,000</w:t>
            </w:r>
          </w:p>
        </w:tc>
        <w:tc>
          <w:tcPr>
            <w:tcW w:w="860" w:type="dxa"/>
            <w:vAlign w:val="bottom"/>
            <w:gridSpan w:val="2"/>
          </w:tcPr>
          <w:p>
            <w:pPr>
              <w:jc w:val="right"/>
              <w:ind w:right="120"/>
              <w:spacing w:after="0"/>
              <w:rPr>
                <w:sz w:val="20"/>
                <w:szCs w:val="20"/>
                <w:color w:val="auto"/>
              </w:rPr>
            </w:pPr>
            <w:r>
              <w:rPr>
                <w:rFonts w:ascii="Arial" w:cs="Arial" w:eastAsia="Arial" w:hAnsi="Arial"/>
                <w:sz w:val="16"/>
                <w:szCs w:val="16"/>
                <w:color w:val="auto"/>
              </w:rPr>
              <w:t>630,000</w:t>
            </w:r>
          </w:p>
        </w:tc>
        <w:tc>
          <w:tcPr>
            <w:tcW w:w="7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
        </w:trPr>
        <w:tc>
          <w:tcPr>
            <w:tcW w:w="100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6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4"/>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(4)</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3,946</w:t>
            </w:r>
          </w:p>
        </w:tc>
        <w:tc>
          <w:tcPr>
            <w:tcW w:w="800" w:type="dxa"/>
            <w:vAlign w:val="bottom"/>
            <w:gridSpan w:val="2"/>
          </w:tcPr>
          <w:p>
            <w:pPr>
              <w:jc w:val="right"/>
              <w:ind w:right="120"/>
              <w:spacing w:after="0"/>
              <w:rPr>
                <w:sz w:val="20"/>
                <w:szCs w:val="20"/>
                <w:color w:val="auto"/>
              </w:rPr>
            </w:pPr>
            <w:r>
              <w:rPr>
                <w:rFonts w:ascii="Arial" w:cs="Arial" w:eastAsia="Arial" w:hAnsi="Arial"/>
                <w:sz w:val="16"/>
                <w:szCs w:val="16"/>
                <w:color w:val="auto"/>
              </w:rPr>
              <w:t>7,894</w:t>
            </w:r>
          </w:p>
        </w:tc>
        <w:tc>
          <w:tcPr>
            <w:tcW w:w="680" w:type="dxa"/>
            <w:vAlign w:val="bottom"/>
          </w:tcPr>
          <w:p>
            <w:pPr>
              <w:jc w:val="right"/>
              <w:spacing w:after="0"/>
              <w:rPr>
                <w:sz w:val="20"/>
                <w:szCs w:val="20"/>
                <w:color w:val="auto"/>
              </w:rPr>
            </w:pPr>
            <w:r>
              <w:rPr>
                <w:rFonts w:ascii="Arial" w:cs="Arial" w:eastAsia="Arial" w:hAnsi="Arial"/>
                <w:sz w:val="16"/>
                <w:szCs w:val="16"/>
                <w:color w:val="auto"/>
              </w:rPr>
              <w:t>15,788</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6"/>
                <w:szCs w:val="16"/>
                <w:color w:val="auto"/>
              </w:rPr>
              <w:t>651,413</w:t>
            </w:r>
          </w:p>
        </w:tc>
        <w:tc>
          <w:tcPr>
            <w:tcW w:w="0" w:type="dxa"/>
            <w:vAlign w:val="bottom"/>
          </w:tcPr>
          <w:p>
            <w:pPr>
              <w:spacing w:after="0"/>
              <w:rPr>
                <w:sz w:val="1"/>
                <w:szCs w:val="1"/>
                <w:color w:val="auto"/>
              </w:rPr>
            </w:pPr>
          </w:p>
        </w:tc>
      </w:tr>
      <w:tr>
        <w:trPr>
          <w:trHeight w:val="243"/>
        </w:trPr>
        <w:tc>
          <w:tcPr>
            <w:tcW w:w="100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(PS)</w:t>
            </w:r>
          </w:p>
        </w:tc>
        <w:tc>
          <w:tcPr>
            <w:tcW w:w="12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bottom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283"/>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(5)</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6"/>
                <w:szCs w:val="16"/>
                <w:color w:val="auto"/>
              </w:rPr>
              <w:t>5,264</w:t>
            </w:r>
          </w:p>
        </w:tc>
        <w:tc>
          <w:tcPr>
            <w:tcW w:w="800" w:type="dxa"/>
            <w:vAlign w:val="bottom"/>
          </w:tcPr>
          <w:p>
            <w:pPr>
              <w:jc w:val="right"/>
              <w:spacing w:after="0"/>
              <w:rPr>
                <w:sz w:val="20"/>
                <w:szCs w:val="20"/>
                <w:color w:val="auto"/>
              </w:rPr>
            </w:pPr>
            <w:r>
              <w:rPr>
                <w:rFonts w:ascii="Arial" w:cs="Arial" w:eastAsia="Arial" w:hAnsi="Arial"/>
                <w:sz w:val="16"/>
                <w:szCs w:val="16"/>
                <w:color w:val="auto"/>
              </w:rPr>
              <w:t>400,169</w:t>
            </w:r>
          </w:p>
        </w:tc>
        <w:tc>
          <w:tcPr>
            <w:tcW w:w="0" w:type="dxa"/>
            <w:vAlign w:val="bottom"/>
          </w:tcPr>
          <w:p>
            <w:pPr>
              <w:spacing w:after="0"/>
              <w:rPr>
                <w:sz w:val="1"/>
                <w:szCs w:val="1"/>
                <w:color w:val="auto"/>
              </w:rPr>
            </w:pPr>
          </w:p>
        </w:tc>
      </w:tr>
      <w:tr>
        <w:trPr>
          <w:trHeight w:val="242"/>
        </w:trPr>
        <w:tc>
          <w:tcPr>
            <w:tcW w:w="100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(RSU)</w:t>
            </w:r>
          </w:p>
        </w:tc>
        <w:tc>
          <w:tcPr>
            <w:tcW w:w="12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62"/>
        </w:trPr>
        <w:tc>
          <w:tcPr>
            <w:tcW w:w="100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800" w:type="dxa"/>
            <w:vAlign w:val="bottom"/>
            <w:shd w:val="clear" w:color="auto" w:fill="355675"/>
          </w:tcPr>
          <w:p>
            <w:pPr>
              <w:spacing w:after="0"/>
              <w:rPr>
                <w:sz w:val="5"/>
                <w:szCs w:val="5"/>
                <w:color w:val="auto"/>
              </w:rPr>
            </w:pPr>
          </w:p>
        </w:tc>
        <w:tc>
          <w:tcPr>
            <w:tcW w:w="0" w:type="dxa"/>
            <w:vAlign w:val="bottom"/>
          </w:tcPr>
          <w:p>
            <w:pPr>
              <w:spacing w:after="0"/>
              <w:rPr>
                <w:sz w:val="1"/>
                <w:szCs w:val="1"/>
                <w:color w:val="auto"/>
              </w:rPr>
            </w:pPr>
          </w:p>
        </w:tc>
      </w:tr>
      <w:tr>
        <w:trPr>
          <w:trHeight w:val="249"/>
        </w:trPr>
        <w:tc>
          <w:tcPr>
            <w:tcW w:w="10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Arial" w:cs="Arial" w:eastAsia="Arial" w:hAnsi="Arial"/>
                <w:sz w:val="16"/>
                <w:szCs w:val="16"/>
                <w:color w:val="auto"/>
              </w:rPr>
              <w:t>2,625</w:t>
            </w:r>
          </w:p>
        </w:tc>
        <w:tc>
          <w:tcPr>
            <w:tcW w:w="140" w:type="dxa"/>
            <w:vAlign w:val="bottom"/>
          </w:tcPr>
          <w:p>
            <w:pPr>
              <w:spacing w:after="0"/>
              <w:rPr>
                <w:sz w:val="21"/>
                <w:szCs w:val="21"/>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6"/>
                <w:szCs w:val="16"/>
                <w:color w:val="auto"/>
              </w:rPr>
              <w:t>525,000</w:t>
            </w:r>
          </w:p>
        </w:tc>
        <w:tc>
          <w:tcPr>
            <w:tcW w:w="860" w:type="dxa"/>
            <w:vAlign w:val="bottom"/>
            <w:gridSpan w:val="2"/>
          </w:tcPr>
          <w:p>
            <w:pPr>
              <w:jc w:val="right"/>
              <w:ind w:right="120"/>
              <w:spacing w:after="0"/>
              <w:rPr>
                <w:sz w:val="20"/>
                <w:szCs w:val="20"/>
                <w:color w:val="auto"/>
              </w:rPr>
            </w:pPr>
            <w:r>
              <w:rPr>
                <w:rFonts w:ascii="Arial" w:cs="Arial" w:eastAsia="Arial" w:hAnsi="Arial"/>
                <w:sz w:val="16"/>
                <w:szCs w:val="16"/>
                <w:color w:val="auto"/>
              </w:rPr>
              <w:t>1,050,000</w:t>
            </w:r>
          </w:p>
        </w:tc>
        <w:tc>
          <w:tcPr>
            <w:tcW w:w="7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
        </w:trPr>
        <w:tc>
          <w:tcPr>
            <w:tcW w:w="100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6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(4)</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5,524</w:t>
            </w:r>
          </w:p>
        </w:tc>
        <w:tc>
          <w:tcPr>
            <w:tcW w:w="680" w:type="dxa"/>
            <w:vAlign w:val="bottom"/>
          </w:tcPr>
          <w:p>
            <w:pPr>
              <w:jc w:val="right"/>
              <w:spacing w:after="0"/>
              <w:rPr>
                <w:sz w:val="20"/>
                <w:szCs w:val="20"/>
                <w:color w:val="auto"/>
              </w:rPr>
            </w:pPr>
            <w:r>
              <w:rPr>
                <w:rFonts w:ascii="Arial" w:cs="Arial" w:eastAsia="Arial" w:hAnsi="Arial"/>
                <w:sz w:val="16"/>
                <w:szCs w:val="16"/>
                <w:color w:val="auto"/>
              </w:rPr>
              <w:t>11,050</w:t>
            </w:r>
          </w:p>
        </w:tc>
        <w:tc>
          <w:tcPr>
            <w:tcW w:w="120" w:type="dxa"/>
            <w:vAlign w:val="bottom"/>
          </w:tcPr>
          <w:p>
            <w:pPr>
              <w:spacing w:after="0"/>
              <w:rPr>
                <w:sz w:val="24"/>
                <w:szCs w:val="24"/>
                <w:color w:val="auto"/>
              </w:rPr>
            </w:pPr>
          </w:p>
        </w:tc>
        <w:tc>
          <w:tcPr>
            <w:tcW w:w="680" w:type="dxa"/>
            <w:vAlign w:val="bottom"/>
          </w:tcPr>
          <w:p>
            <w:pPr>
              <w:jc w:val="right"/>
              <w:spacing w:after="0"/>
              <w:rPr>
                <w:sz w:val="20"/>
                <w:szCs w:val="20"/>
                <w:color w:val="auto"/>
              </w:rPr>
            </w:pPr>
            <w:r>
              <w:rPr>
                <w:rFonts w:ascii="Arial" w:cs="Arial" w:eastAsia="Arial" w:hAnsi="Arial"/>
                <w:sz w:val="16"/>
                <w:szCs w:val="16"/>
                <w:color w:val="auto"/>
              </w:rPr>
              <w:t>22,100</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6"/>
                <w:szCs w:val="16"/>
                <w:color w:val="auto"/>
              </w:rPr>
              <w:t>898,531</w:t>
            </w:r>
          </w:p>
        </w:tc>
        <w:tc>
          <w:tcPr>
            <w:tcW w:w="0" w:type="dxa"/>
            <w:vAlign w:val="bottom"/>
          </w:tcPr>
          <w:p>
            <w:pPr>
              <w:spacing w:after="0"/>
              <w:rPr>
                <w:sz w:val="1"/>
                <w:szCs w:val="1"/>
                <w:color w:val="auto"/>
              </w:rPr>
            </w:pPr>
          </w:p>
        </w:tc>
      </w:tr>
      <w:tr>
        <w:trPr>
          <w:trHeight w:val="243"/>
        </w:trPr>
        <w:tc>
          <w:tcPr>
            <w:tcW w:w="100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(PS)</w:t>
            </w:r>
          </w:p>
        </w:tc>
        <w:tc>
          <w:tcPr>
            <w:tcW w:w="12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bottom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284"/>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(5)</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6"/>
                <w:szCs w:val="16"/>
                <w:color w:val="auto"/>
              </w:rPr>
              <w:t>4,736</w:t>
            </w:r>
          </w:p>
        </w:tc>
        <w:tc>
          <w:tcPr>
            <w:tcW w:w="800" w:type="dxa"/>
            <w:vAlign w:val="bottom"/>
          </w:tcPr>
          <w:p>
            <w:pPr>
              <w:jc w:val="right"/>
              <w:spacing w:after="0"/>
              <w:rPr>
                <w:sz w:val="20"/>
                <w:szCs w:val="20"/>
                <w:color w:val="auto"/>
              </w:rPr>
            </w:pPr>
            <w:r>
              <w:rPr>
                <w:rFonts w:ascii="Arial" w:cs="Arial" w:eastAsia="Arial" w:hAnsi="Arial"/>
                <w:sz w:val="16"/>
                <w:szCs w:val="16"/>
                <w:color w:val="auto"/>
              </w:rPr>
              <w:t>360,031</w:t>
            </w:r>
          </w:p>
        </w:tc>
        <w:tc>
          <w:tcPr>
            <w:tcW w:w="0" w:type="dxa"/>
            <w:vAlign w:val="bottom"/>
          </w:tcPr>
          <w:p>
            <w:pPr>
              <w:spacing w:after="0"/>
              <w:rPr>
                <w:sz w:val="1"/>
                <w:szCs w:val="1"/>
                <w:color w:val="auto"/>
              </w:rPr>
            </w:pPr>
          </w:p>
        </w:tc>
      </w:tr>
      <w:tr>
        <w:trPr>
          <w:trHeight w:val="242"/>
        </w:trPr>
        <w:tc>
          <w:tcPr>
            <w:tcW w:w="100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(RSU)</w:t>
            </w:r>
          </w:p>
        </w:tc>
        <w:tc>
          <w:tcPr>
            <w:tcW w:w="12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62"/>
        </w:trPr>
        <w:tc>
          <w:tcPr>
            <w:tcW w:w="100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800" w:type="dxa"/>
            <w:vAlign w:val="bottom"/>
            <w:shd w:val="clear" w:color="auto" w:fill="355675"/>
          </w:tcPr>
          <w:p>
            <w:pPr>
              <w:spacing w:after="0"/>
              <w:rPr>
                <w:sz w:val="5"/>
                <w:szCs w:val="5"/>
                <w:color w:val="auto"/>
              </w:rPr>
            </w:pPr>
          </w:p>
        </w:tc>
        <w:tc>
          <w:tcPr>
            <w:tcW w:w="0" w:type="dxa"/>
            <w:vAlign w:val="bottom"/>
          </w:tcPr>
          <w:p>
            <w:pPr>
              <w:spacing w:after="0"/>
              <w:rPr>
                <w:sz w:val="1"/>
                <w:szCs w:val="1"/>
                <w:color w:val="auto"/>
              </w:rPr>
            </w:pPr>
          </w:p>
        </w:tc>
      </w:tr>
      <w:tr>
        <w:trPr>
          <w:trHeight w:val="249"/>
        </w:trPr>
        <w:tc>
          <w:tcPr>
            <w:tcW w:w="10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Arial" w:cs="Arial" w:eastAsia="Arial" w:hAnsi="Arial"/>
                <w:sz w:val="16"/>
                <w:szCs w:val="16"/>
                <w:color w:val="auto"/>
              </w:rPr>
              <w:t>2,250</w:t>
            </w:r>
          </w:p>
        </w:tc>
        <w:tc>
          <w:tcPr>
            <w:tcW w:w="140" w:type="dxa"/>
            <w:vAlign w:val="bottom"/>
          </w:tcPr>
          <w:p>
            <w:pPr>
              <w:spacing w:after="0"/>
              <w:rPr>
                <w:sz w:val="21"/>
                <w:szCs w:val="21"/>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6"/>
                <w:szCs w:val="16"/>
                <w:color w:val="auto"/>
              </w:rPr>
              <w:t>450,000</w:t>
            </w:r>
          </w:p>
        </w:tc>
        <w:tc>
          <w:tcPr>
            <w:tcW w:w="860" w:type="dxa"/>
            <w:vAlign w:val="bottom"/>
            <w:gridSpan w:val="2"/>
          </w:tcPr>
          <w:p>
            <w:pPr>
              <w:jc w:val="right"/>
              <w:ind w:right="120"/>
              <w:spacing w:after="0"/>
              <w:rPr>
                <w:sz w:val="20"/>
                <w:szCs w:val="20"/>
                <w:color w:val="auto"/>
              </w:rPr>
            </w:pPr>
            <w:r>
              <w:rPr>
                <w:rFonts w:ascii="Arial" w:cs="Arial" w:eastAsia="Arial" w:hAnsi="Arial"/>
                <w:sz w:val="16"/>
                <w:szCs w:val="16"/>
                <w:color w:val="auto"/>
              </w:rPr>
              <w:t>900,000</w:t>
            </w:r>
          </w:p>
        </w:tc>
        <w:tc>
          <w:tcPr>
            <w:tcW w:w="7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
        </w:trPr>
        <w:tc>
          <w:tcPr>
            <w:tcW w:w="100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6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(4)</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3,684</w:t>
            </w:r>
          </w:p>
        </w:tc>
        <w:tc>
          <w:tcPr>
            <w:tcW w:w="800" w:type="dxa"/>
            <w:vAlign w:val="bottom"/>
            <w:gridSpan w:val="2"/>
          </w:tcPr>
          <w:p>
            <w:pPr>
              <w:jc w:val="right"/>
              <w:ind w:right="120"/>
              <w:spacing w:after="0"/>
              <w:rPr>
                <w:sz w:val="20"/>
                <w:szCs w:val="20"/>
                <w:color w:val="auto"/>
              </w:rPr>
            </w:pPr>
            <w:r>
              <w:rPr>
                <w:rFonts w:ascii="Arial" w:cs="Arial" w:eastAsia="Arial" w:hAnsi="Arial"/>
                <w:sz w:val="16"/>
                <w:szCs w:val="16"/>
                <w:color w:val="auto"/>
              </w:rPr>
              <w:t>7,368</w:t>
            </w:r>
          </w:p>
        </w:tc>
        <w:tc>
          <w:tcPr>
            <w:tcW w:w="680" w:type="dxa"/>
            <w:vAlign w:val="bottom"/>
          </w:tcPr>
          <w:p>
            <w:pPr>
              <w:jc w:val="right"/>
              <w:spacing w:after="0"/>
              <w:rPr>
                <w:sz w:val="20"/>
                <w:szCs w:val="20"/>
                <w:color w:val="auto"/>
              </w:rPr>
            </w:pPr>
            <w:r>
              <w:rPr>
                <w:rFonts w:ascii="Arial" w:cs="Arial" w:eastAsia="Arial" w:hAnsi="Arial"/>
                <w:sz w:val="16"/>
                <w:szCs w:val="16"/>
                <w:color w:val="auto"/>
              </w:rPr>
              <w:t>14,736</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6"/>
                <w:szCs w:val="16"/>
                <w:color w:val="auto"/>
              </w:rPr>
              <w:t>599,129</w:t>
            </w:r>
          </w:p>
        </w:tc>
        <w:tc>
          <w:tcPr>
            <w:tcW w:w="0" w:type="dxa"/>
            <w:vAlign w:val="bottom"/>
          </w:tcPr>
          <w:p>
            <w:pPr>
              <w:spacing w:after="0"/>
              <w:rPr>
                <w:sz w:val="1"/>
                <w:szCs w:val="1"/>
                <w:color w:val="auto"/>
              </w:rPr>
            </w:pPr>
          </w:p>
        </w:tc>
      </w:tr>
      <w:tr>
        <w:trPr>
          <w:trHeight w:val="244"/>
        </w:trPr>
        <w:tc>
          <w:tcPr>
            <w:tcW w:w="100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(PS)</w:t>
            </w:r>
          </w:p>
        </w:tc>
        <w:tc>
          <w:tcPr>
            <w:tcW w:w="12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bottom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283"/>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(5)</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6"/>
                <w:szCs w:val="16"/>
                <w:color w:val="auto"/>
              </w:rPr>
              <w:t>3,160</w:t>
            </w:r>
          </w:p>
        </w:tc>
        <w:tc>
          <w:tcPr>
            <w:tcW w:w="800" w:type="dxa"/>
            <w:vAlign w:val="bottom"/>
          </w:tcPr>
          <w:p>
            <w:pPr>
              <w:jc w:val="right"/>
              <w:spacing w:after="0"/>
              <w:rPr>
                <w:sz w:val="20"/>
                <w:szCs w:val="20"/>
                <w:color w:val="auto"/>
              </w:rPr>
            </w:pPr>
            <w:r>
              <w:rPr>
                <w:rFonts w:ascii="Arial" w:cs="Arial" w:eastAsia="Arial" w:hAnsi="Arial"/>
                <w:sz w:val="16"/>
                <w:szCs w:val="16"/>
                <w:color w:val="auto"/>
              </w:rPr>
              <w:t>240,223</w:t>
            </w:r>
          </w:p>
        </w:tc>
        <w:tc>
          <w:tcPr>
            <w:tcW w:w="0" w:type="dxa"/>
            <w:vAlign w:val="bottom"/>
          </w:tcPr>
          <w:p>
            <w:pPr>
              <w:spacing w:after="0"/>
              <w:rPr>
                <w:sz w:val="1"/>
                <w:szCs w:val="1"/>
                <w:color w:val="auto"/>
              </w:rPr>
            </w:pPr>
          </w:p>
        </w:tc>
      </w:tr>
      <w:tr>
        <w:trPr>
          <w:trHeight w:val="242"/>
        </w:trPr>
        <w:tc>
          <w:tcPr>
            <w:tcW w:w="100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(RSU)</w:t>
            </w:r>
          </w:p>
        </w:tc>
        <w:tc>
          <w:tcPr>
            <w:tcW w:w="12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62"/>
        </w:trPr>
        <w:tc>
          <w:tcPr>
            <w:tcW w:w="100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800" w:type="dxa"/>
            <w:vAlign w:val="bottom"/>
            <w:shd w:val="clear" w:color="auto" w:fill="355675"/>
          </w:tcPr>
          <w:p>
            <w:pPr>
              <w:spacing w:after="0"/>
              <w:rPr>
                <w:sz w:val="5"/>
                <w:szCs w:val="5"/>
                <w:color w:val="auto"/>
              </w:rPr>
            </w:pPr>
          </w:p>
        </w:tc>
        <w:tc>
          <w:tcPr>
            <w:tcW w:w="0" w:type="dxa"/>
            <w:vAlign w:val="bottom"/>
          </w:tcPr>
          <w:p>
            <w:pPr>
              <w:spacing w:after="0"/>
              <w:rPr>
                <w:sz w:val="1"/>
                <w:szCs w:val="1"/>
                <w:color w:val="auto"/>
              </w:rPr>
            </w:pPr>
          </w:p>
        </w:tc>
      </w:tr>
      <w:tr>
        <w:trPr>
          <w:trHeight w:val="249"/>
        </w:trPr>
        <w:tc>
          <w:tcPr>
            <w:tcW w:w="10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Arial" w:cs="Arial" w:eastAsia="Arial" w:hAnsi="Arial"/>
                <w:sz w:val="16"/>
                <w:szCs w:val="16"/>
                <w:color w:val="auto"/>
              </w:rPr>
              <w:t>2,288</w:t>
            </w:r>
          </w:p>
        </w:tc>
        <w:tc>
          <w:tcPr>
            <w:tcW w:w="140" w:type="dxa"/>
            <w:vAlign w:val="bottom"/>
          </w:tcPr>
          <w:p>
            <w:pPr>
              <w:spacing w:after="0"/>
              <w:rPr>
                <w:sz w:val="21"/>
                <w:szCs w:val="21"/>
                <w:color w:val="auto"/>
              </w:rPr>
            </w:pPr>
          </w:p>
        </w:tc>
        <w:tc>
          <w:tcPr>
            <w:tcW w:w="900" w:type="dxa"/>
            <w:vAlign w:val="bottom"/>
            <w:gridSpan w:val="2"/>
          </w:tcPr>
          <w:p>
            <w:pPr>
              <w:jc w:val="right"/>
              <w:ind w:right="140"/>
              <w:spacing w:after="0"/>
              <w:rPr>
                <w:sz w:val="20"/>
                <w:szCs w:val="20"/>
                <w:color w:val="auto"/>
              </w:rPr>
            </w:pPr>
            <w:r>
              <w:rPr>
                <w:rFonts w:ascii="Arial" w:cs="Arial" w:eastAsia="Arial" w:hAnsi="Arial"/>
                <w:sz w:val="16"/>
                <w:szCs w:val="16"/>
                <w:color w:val="auto"/>
              </w:rPr>
              <w:t>457,500</w:t>
            </w:r>
          </w:p>
        </w:tc>
        <w:tc>
          <w:tcPr>
            <w:tcW w:w="860" w:type="dxa"/>
            <w:vAlign w:val="bottom"/>
            <w:gridSpan w:val="2"/>
          </w:tcPr>
          <w:p>
            <w:pPr>
              <w:jc w:val="right"/>
              <w:ind w:right="120"/>
              <w:spacing w:after="0"/>
              <w:rPr>
                <w:sz w:val="20"/>
                <w:szCs w:val="20"/>
                <w:color w:val="auto"/>
              </w:rPr>
            </w:pPr>
            <w:r>
              <w:rPr>
                <w:rFonts w:ascii="Arial" w:cs="Arial" w:eastAsia="Arial" w:hAnsi="Arial"/>
                <w:sz w:val="16"/>
                <w:szCs w:val="16"/>
                <w:color w:val="auto"/>
              </w:rPr>
              <w:t>915,000</w:t>
            </w:r>
          </w:p>
        </w:tc>
        <w:tc>
          <w:tcPr>
            <w:tcW w:w="7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
        </w:trPr>
        <w:tc>
          <w:tcPr>
            <w:tcW w:w="100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shd w:val="clear" w:color="auto" w:fill="939598"/>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60" w:type="dxa"/>
            <w:vAlign w:val="bottom"/>
            <w:shd w:val="clear" w:color="auto" w:fill="939598"/>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0" w:type="dxa"/>
            <w:vAlign w:val="bottom"/>
            <w:shd w:val="clear" w:color="auto" w:fill="939598"/>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(4)</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2,862</w:t>
            </w:r>
          </w:p>
        </w:tc>
        <w:tc>
          <w:tcPr>
            <w:tcW w:w="800" w:type="dxa"/>
            <w:vAlign w:val="bottom"/>
            <w:gridSpan w:val="2"/>
          </w:tcPr>
          <w:p>
            <w:pPr>
              <w:jc w:val="right"/>
              <w:ind w:right="120"/>
              <w:spacing w:after="0"/>
              <w:rPr>
                <w:sz w:val="20"/>
                <w:szCs w:val="20"/>
                <w:color w:val="auto"/>
              </w:rPr>
            </w:pPr>
            <w:r>
              <w:rPr>
                <w:rFonts w:ascii="Arial" w:cs="Arial" w:eastAsia="Arial" w:hAnsi="Arial"/>
                <w:sz w:val="16"/>
                <w:szCs w:val="16"/>
                <w:color w:val="auto"/>
              </w:rPr>
              <w:t>5,724</w:t>
            </w:r>
          </w:p>
        </w:tc>
        <w:tc>
          <w:tcPr>
            <w:tcW w:w="680" w:type="dxa"/>
            <w:vAlign w:val="bottom"/>
          </w:tcPr>
          <w:p>
            <w:pPr>
              <w:jc w:val="right"/>
              <w:spacing w:after="0"/>
              <w:rPr>
                <w:sz w:val="20"/>
                <w:szCs w:val="20"/>
                <w:color w:val="auto"/>
              </w:rPr>
            </w:pPr>
            <w:r>
              <w:rPr>
                <w:rFonts w:ascii="Arial" w:cs="Arial" w:eastAsia="Arial" w:hAnsi="Arial"/>
                <w:sz w:val="16"/>
                <w:szCs w:val="16"/>
                <w:color w:val="auto"/>
              </w:rPr>
              <w:t>11,448</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jc w:val="right"/>
              <w:spacing w:after="0"/>
              <w:rPr>
                <w:sz w:val="20"/>
                <w:szCs w:val="20"/>
                <w:color w:val="auto"/>
              </w:rPr>
            </w:pPr>
            <w:r>
              <w:rPr>
                <w:rFonts w:ascii="Arial" w:cs="Arial" w:eastAsia="Arial" w:hAnsi="Arial"/>
                <w:sz w:val="16"/>
                <w:szCs w:val="16"/>
                <w:color w:val="auto"/>
              </w:rPr>
              <w:t>472,344</w:t>
            </w:r>
          </w:p>
        </w:tc>
        <w:tc>
          <w:tcPr>
            <w:tcW w:w="0" w:type="dxa"/>
            <w:vAlign w:val="bottom"/>
          </w:tcPr>
          <w:p>
            <w:pPr>
              <w:spacing w:after="0"/>
              <w:rPr>
                <w:sz w:val="1"/>
                <w:szCs w:val="1"/>
                <w:color w:val="auto"/>
              </w:rPr>
            </w:pPr>
          </w:p>
        </w:tc>
      </w:tr>
      <w:tr>
        <w:trPr>
          <w:trHeight w:val="243"/>
        </w:trPr>
        <w:tc>
          <w:tcPr>
            <w:tcW w:w="1000" w:type="dxa"/>
            <w:vAlign w:val="bottom"/>
            <w:tcBorders>
              <w:top w:val="single" w:sz="8" w:color="939598"/>
              <w:bottom w:val="single" w:sz="8" w:color="939598"/>
            </w:tcBorders>
          </w:tcPr>
          <w:p>
            <w:pPr>
              <w:spacing w:after="0"/>
              <w:rPr>
                <w:sz w:val="20"/>
                <w:szCs w:val="20"/>
                <w:color w:val="auto"/>
              </w:rPr>
            </w:pPr>
            <w:r>
              <w:rPr>
                <w:rFonts w:ascii="Arial" w:cs="Arial" w:eastAsia="Arial" w:hAnsi="Arial"/>
                <w:sz w:val="16"/>
                <w:szCs w:val="16"/>
                <w:color w:val="auto"/>
              </w:rPr>
              <w:t>(PS)</w:t>
            </w:r>
          </w:p>
        </w:tc>
        <w:tc>
          <w:tcPr>
            <w:tcW w:w="12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bottom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bottom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bottom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284"/>
        </w:trPr>
        <w:tc>
          <w:tcPr>
            <w:tcW w:w="1000" w:type="dxa"/>
            <w:vAlign w:val="bottom"/>
          </w:tcPr>
          <w:p>
            <w:pPr>
              <w:spacing w:after="0" w:line="283" w:lineRule="exact"/>
              <w:rPr>
                <w:sz w:val="20"/>
                <w:szCs w:val="20"/>
                <w:color w:val="auto"/>
              </w:rPr>
            </w:pPr>
            <w:r>
              <w:rPr>
                <w:rFonts w:ascii="Arial" w:cs="Arial" w:eastAsia="Arial" w:hAnsi="Arial"/>
                <w:sz w:val="16"/>
                <w:szCs w:val="16"/>
                <w:color w:val="auto"/>
                <w:w w:val="96"/>
              </w:rPr>
              <w:t>02/16/2021</w:t>
            </w:r>
            <w:r>
              <w:rPr>
                <w:rFonts w:ascii="Arial" w:cs="Arial" w:eastAsia="Arial" w:hAnsi="Arial"/>
                <w:sz w:val="26"/>
                <w:szCs w:val="26"/>
                <w:color w:val="auto"/>
                <w:w w:val="96"/>
                <w:vertAlign w:val="superscript"/>
              </w:rPr>
              <w:t>(5)</w:t>
            </w: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6"/>
                <w:szCs w:val="16"/>
                <w:color w:val="auto"/>
              </w:rPr>
              <w:t>3,816</w:t>
            </w:r>
          </w:p>
        </w:tc>
        <w:tc>
          <w:tcPr>
            <w:tcW w:w="800" w:type="dxa"/>
            <w:vAlign w:val="bottom"/>
          </w:tcPr>
          <w:p>
            <w:pPr>
              <w:jc w:val="right"/>
              <w:spacing w:after="0"/>
              <w:rPr>
                <w:sz w:val="20"/>
                <w:szCs w:val="20"/>
                <w:color w:val="auto"/>
              </w:rPr>
            </w:pPr>
            <w:r>
              <w:rPr>
                <w:rFonts w:ascii="Arial" w:cs="Arial" w:eastAsia="Arial" w:hAnsi="Arial"/>
                <w:sz w:val="16"/>
                <w:szCs w:val="16"/>
                <w:color w:val="auto"/>
              </w:rPr>
              <w:t>290,092</w:t>
            </w:r>
          </w:p>
        </w:tc>
        <w:tc>
          <w:tcPr>
            <w:tcW w:w="0" w:type="dxa"/>
            <w:vAlign w:val="bottom"/>
          </w:tcPr>
          <w:p>
            <w:pPr>
              <w:spacing w:after="0"/>
              <w:rPr>
                <w:sz w:val="1"/>
                <w:szCs w:val="1"/>
                <w:color w:val="auto"/>
              </w:rPr>
            </w:pPr>
          </w:p>
        </w:tc>
      </w:tr>
      <w:tr>
        <w:trPr>
          <w:trHeight w:val="242"/>
        </w:trPr>
        <w:tc>
          <w:tcPr>
            <w:tcW w:w="1000" w:type="dxa"/>
            <w:vAlign w:val="bottom"/>
            <w:tcBorders>
              <w:top w:val="single" w:sz="8" w:color="939598"/>
            </w:tcBorders>
          </w:tcPr>
          <w:p>
            <w:pPr>
              <w:spacing w:after="0"/>
              <w:rPr>
                <w:sz w:val="20"/>
                <w:szCs w:val="20"/>
                <w:color w:val="auto"/>
              </w:rPr>
            </w:pPr>
            <w:r>
              <w:rPr>
                <w:rFonts w:ascii="Arial" w:cs="Arial" w:eastAsia="Arial" w:hAnsi="Arial"/>
                <w:sz w:val="16"/>
                <w:szCs w:val="16"/>
                <w:color w:val="auto"/>
              </w:rPr>
              <w:t>(RSU)</w:t>
            </w:r>
          </w:p>
        </w:tc>
        <w:tc>
          <w:tcPr>
            <w:tcW w:w="12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00" w:type="dxa"/>
            <w:vAlign w:val="bottom"/>
            <w:tcBorders>
              <w:top w:val="single" w:sz="8" w:color="939598"/>
            </w:tcBorders>
          </w:tcPr>
          <w:p>
            <w:pPr>
              <w:spacing w:after="0"/>
              <w:rPr>
                <w:sz w:val="21"/>
                <w:szCs w:val="21"/>
                <w:color w:val="auto"/>
              </w:rPr>
            </w:pPr>
          </w:p>
        </w:tc>
        <w:tc>
          <w:tcPr>
            <w:tcW w:w="14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68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Borders>
              <w:top w:val="single" w:sz="8" w:color="939598"/>
            </w:tcBorders>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Borders>
              <w:top w:val="single" w:sz="8" w:color="939598"/>
            </w:tcBorders>
          </w:tcPr>
          <w:p>
            <w:pPr>
              <w:spacing w:after="0"/>
              <w:rPr>
                <w:sz w:val="21"/>
                <w:szCs w:val="21"/>
                <w:color w:val="auto"/>
              </w:rPr>
            </w:pPr>
          </w:p>
        </w:tc>
        <w:tc>
          <w:tcPr>
            <w:tcW w:w="0" w:type="dxa"/>
            <w:vAlign w:val="bottom"/>
          </w:tcPr>
          <w:p>
            <w:pPr>
              <w:spacing w:after="0"/>
              <w:rPr>
                <w:sz w:val="1"/>
                <w:szCs w:val="1"/>
                <w:color w:val="auto"/>
              </w:rPr>
            </w:pPr>
          </w:p>
        </w:tc>
      </w:tr>
      <w:tr>
        <w:trPr>
          <w:trHeight w:val="62"/>
        </w:trPr>
        <w:tc>
          <w:tcPr>
            <w:tcW w:w="100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00" w:type="dxa"/>
            <w:vAlign w:val="bottom"/>
            <w:shd w:val="clear" w:color="auto" w:fill="355675"/>
          </w:tcPr>
          <w:p>
            <w:pPr>
              <w:spacing w:after="0"/>
              <w:rPr>
                <w:sz w:val="5"/>
                <w:szCs w:val="5"/>
                <w:color w:val="auto"/>
              </w:rPr>
            </w:pPr>
          </w:p>
        </w:tc>
        <w:tc>
          <w:tcPr>
            <w:tcW w:w="14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shd w:val="clear" w:color="auto" w:fill="355675"/>
          </w:tcPr>
          <w:p>
            <w:pPr>
              <w:spacing w:after="0"/>
              <w:rPr>
                <w:sz w:val="5"/>
                <w:szCs w:val="5"/>
                <w:color w:val="auto"/>
              </w:rPr>
            </w:pPr>
          </w:p>
        </w:tc>
        <w:tc>
          <w:tcPr>
            <w:tcW w:w="120" w:type="dxa"/>
            <w:vAlign w:val="bottom"/>
          </w:tcPr>
          <w:p>
            <w:pPr>
              <w:spacing w:after="0"/>
              <w:rPr>
                <w:sz w:val="5"/>
                <w:szCs w:val="5"/>
                <w:color w:val="auto"/>
              </w:rPr>
            </w:pPr>
          </w:p>
        </w:tc>
        <w:tc>
          <w:tcPr>
            <w:tcW w:w="800" w:type="dxa"/>
            <w:vAlign w:val="bottom"/>
            <w:shd w:val="clear" w:color="auto" w:fill="355675"/>
          </w:tcPr>
          <w:p>
            <w:pPr>
              <w:spacing w:after="0"/>
              <w:rPr>
                <w:sz w:val="5"/>
                <w:szCs w:val="5"/>
                <w:color w:val="auto"/>
              </w:rPr>
            </w:pPr>
          </w:p>
        </w:tc>
        <w:tc>
          <w:tcPr>
            <w:tcW w:w="0" w:type="dxa"/>
            <w:vAlign w:val="bottom"/>
          </w:tcPr>
          <w:p>
            <w:pPr>
              <w:spacing w:after="0"/>
              <w:rPr>
                <w:sz w:val="1"/>
                <w:szCs w:val="1"/>
                <w:color w:val="auto"/>
              </w:rPr>
            </w:pPr>
          </w:p>
        </w:tc>
      </w:tr>
    </w:tbl>
    <w:p>
      <w:pPr>
        <w:spacing w:after="0" w:line="54" w:lineRule="exact"/>
        <w:rPr>
          <w:sz w:val="20"/>
          <w:szCs w:val="20"/>
          <w:color w:val="auto"/>
        </w:rPr>
      </w:pPr>
    </w:p>
    <w:p>
      <w:pPr>
        <w:sectPr>
          <w:pgSz w:w="11900" w:h="16838" w:orient="portrait"/>
          <w:cols w:equalWidth="0" w:num="2">
            <w:col w:w="2640" w:space="720"/>
            <w:col w:w="7900"/>
          </w:cols>
          <w:pgMar w:left="320" w:top="125" w:right="319" w:bottom="1440" w:gutter="0" w:footer="0" w:header="0"/>
          <w:type w:val="continuous"/>
        </w:sectPr>
      </w:pPr>
    </w:p>
    <w:p>
      <w:pPr>
        <w:ind w:left="300" w:hanging="292"/>
        <w:spacing w:after="0"/>
        <w:tabs>
          <w:tab w:leader="none" w:pos="300" w:val="left"/>
        </w:tabs>
        <w:numPr>
          <w:ilvl w:val="0"/>
          <w:numId w:val="93"/>
        </w:numPr>
        <w:rPr>
          <w:rFonts w:ascii="Arial" w:cs="Arial" w:eastAsia="Arial" w:hAnsi="Arial"/>
          <w:sz w:val="24"/>
          <w:szCs w:val="24"/>
          <w:color w:val="auto"/>
          <w:vertAlign w:val="superscript"/>
        </w:rPr>
      </w:pPr>
      <w:r>
        <w:rPr>
          <w:rFonts w:ascii="Arial" w:cs="Arial" w:eastAsia="Arial" w:hAnsi="Arial"/>
          <w:sz w:val="14"/>
          <w:szCs w:val="14"/>
          <w:color w:val="auto"/>
        </w:rPr>
        <w:t>In this column, the abbreviation “PS” means performance share awards and “RSU” means restricted stock unit awards.</w:t>
      </w:r>
    </w:p>
    <w:p>
      <w:pPr>
        <w:spacing w:after="0" w:line="120" w:lineRule="exact"/>
        <w:rPr>
          <w:rFonts w:ascii="Arial" w:cs="Arial" w:eastAsia="Arial" w:hAnsi="Arial"/>
          <w:sz w:val="24"/>
          <w:szCs w:val="24"/>
          <w:color w:val="auto"/>
          <w:vertAlign w:val="superscript"/>
        </w:rPr>
      </w:pPr>
    </w:p>
    <w:p>
      <w:pPr>
        <w:ind w:left="300" w:right="100" w:hanging="292"/>
        <w:spacing w:after="0" w:line="215" w:lineRule="auto"/>
        <w:tabs>
          <w:tab w:leader="none" w:pos="300" w:val="left"/>
        </w:tabs>
        <w:numPr>
          <w:ilvl w:val="0"/>
          <w:numId w:val="93"/>
        </w:numPr>
        <w:rPr>
          <w:rFonts w:ascii="Arial" w:cs="Arial" w:eastAsia="Arial" w:hAnsi="Arial"/>
          <w:sz w:val="24"/>
          <w:szCs w:val="24"/>
          <w:color w:val="auto"/>
          <w:vertAlign w:val="superscript"/>
        </w:rPr>
      </w:pPr>
      <w:r>
        <w:rPr>
          <w:rFonts w:ascii="Arial" w:cs="Arial" w:eastAsia="Arial" w:hAnsi="Arial"/>
          <w:sz w:val="14"/>
          <w:szCs w:val="14"/>
          <w:color w:val="auto"/>
        </w:rPr>
        <w:t>As required by SEC rules, the “Estimated Possible Payouts” represent the “threshold,” “target,” and “maximum” payouts the NEOs were eligible to receive under the 2021 Incentive Plans. The actual awards paid to the NEOs under the 2021 Incentive Plans are disclosed in the “Non-Equity Incentive Plan Compensation” column of the Summary Compensation Table. With respect to Messrs. Guldner, Geisler, Hatfield, and Smith, the minimum amount each officer would have been eligible to receive was calculated based on earnings achieving 1% and no achievement of the business unit performance metrics. The minimum amount Ms. Lacal would have been eligible to receive was calculated based on the business unit performance metrics achieving 1% and no achievement of the APS earnings goals under the Palo Verde Incentive Plan.</w:t>
      </w:r>
    </w:p>
    <w:p>
      <w:pPr>
        <w:spacing w:after="0" w:line="21" w:lineRule="exact"/>
        <w:rPr>
          <w:rFonts w:ascii="Arial" w:cs="Arial" w:eastAsia="Arial" w:hAnsi="Arial"/>
          <w:sz w:val="24"/>
          <w:szCs w:val="24"/>
          <w:color w:val="auto"/>
          <w:vertAlign w:val="superscript"/>
        </w:rPr>
      </w:pPr>
    </w:p>
    <w:p>
      <w:pPr>
        <w:ind w:left="300" w:hanging="292"/>
        <w:spacing w:after="0"/>
        <w:tabs>
          <w:tab w:leader="none" w:pos="300" w:val="left"/>
        </w:tabs>
        <w:numPr>
          <w:ilvl w:val="0"/>
          <w:numId w:val="93"/>
        </w:numPr>
        <w:rPr>
          <w:rFonts w:ascii="Arial" w:cs="Arial" w:eastAsia="Arial" w:hAnsi="Arial"/>
          <w:sz w:val="24"/>
          <w:szCs w:val="24"/>
          <w:color w:val="auto"/>
          <w:vertAlign w:val="superscript"/>
        </w:rPr>
      </w:pPr>
      <w:r>
        <w:rPr>
          <w:rFonts w:ascii="Arial" w:cs="Arial" w:eastAsia="Arial" w:hAnsi="Arial"/>
          <w:sz w:val="14"/>
          <w:szCs w:val="14"/>
          <w:color w:val="auto"/>
        </w:rPr>
        <w:t>The amounts in this column reflect the aggregate grant date fair value of performance shares and RSUs computed in accordance with FASB ASC Topic 718.</w:t>
      </w:r>
    </w:p>
    <w:p>
      <w:pPr>
        <w:spacing w:after="0" w:line="120" w:lineRule="exact"/>
        <w:rPr>
          <w:rFonts w:ascii="Arial" w:cs="Arial" w:eastAsia="Arial" w:hAnsi="Arial"/>
          <w:sz w:val="24"/>
          <w:szCs w:val="24"/>
          <w:color w:val="auto"/>
          <w:vertAlign w:val="superscript"/>
        </w:rPr>
      </w:pPr>
    </w:p>
    <w:p>
      <w:pPr>
        <w:ind w:left="300" w:right="120" w:hanging="292"/>
        <w:spacing w:after="0" w:line="209" w:lineRule="auto"/>
        <w:tabs>
          <w:tab w:leader="none" w:pos="300" w:val="left"/>
        </w:tabs>
        <w:numPr>
          <w:ilvl w:val="0"/>
          <w:numId w:val="93"/>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the 2021 Performance Shares described under “Executive Compensation Components — Long-Term Incentives — Performance Shares” in the CD&amp;A. In accordance with FASB ASC Topic 718, 50% of the value is based on the probable outcome of the performance conditions as of the grant date using a Monte Carlo simulation model ($86.61 for Mr. Guldner, Mr. Hatfield, and Ms. Lacal; $89.02 for Messrs. Geisler and Smith), while the other 50% is based on the closing stock price on the date of grant ($76.02). There were no forfeitures in 2021.</w:t>
      </w:r>
    </w:p>
    <w:p>
      <w:pPr>
        <w:spacing w:after="0" w:line="108" w:lineRule="exact"/>
        <w:rPr>
          <w:rFonts w:ascii="Arial" w:cs="Arial" w:eastAsia="Arial" w:hAnsi="Arial"/>
          <w:sz w:val="24"/>
          <w:szCs w:val="24"/>
          <w:color w:val="auto"/>
          <w:vertAlign w:val="superscript"/>
        </w:rPr>
      </w:pPr>
    </w:p>
    <w:p>
      <w:pPr>
        <w:ind w:left="300" w:right="40" w:hanging="292"/>
        <w:spacing w:after="0" w:line="206" w:lineRule="auto"/>
        <w:tabs>
          <w:tab w:leader="none" w:pos="300" w:val="left"/>
        </w:tabs>
        <w:numPr>
          <w:ilvl w:val="0"/>
          <w:numId w:val="93"/>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the 2021 RSU awards described under “Executive Compensation Components — Long-Term Incentives — RSUs” in the CD&amp;A. In accordance with FASB ASC Topic 718, we valued the RSUs using the number of RSUs awarded multiplied by the closing stock price on the date of the grant ($76.02). There were no forfeitures in 2021.</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83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92" w:name="page93"/>
    <w:bookmarkEnd w:id="9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ind w:right="620"/>
        <w:spacing w:after="0" w:line="298" w:lineRule="auto"/>
        <w:rPr>
          <w:sz w:val="20"/>
          <w:szCs w:val="20"/>
          <w:color w:val="auto"/>
        </w:rPr>
      </w:pPr>
      <w:r>
        <w:rPr>
          <w:rFonts w:ascii="Arial" w:cs="Arial" w:eastAsia="Arial" w:hAnsi="Arial"/>
          <w:sz w:val="32"/>
          <w:szCs w:val="32"/>
          <w:b w:val="1"/>
          <w:bCs w:val="1"/>
          <w:color w:val="355675"/>
        </w:rPr>
        <w:t>Narrative Disclosure to Summary Compensation Table and Grants of Plan-Based Awards Table</w:t>
      </w:r>
    </w:p>
    <w:p>
      <w:pPr>
        <w:spacing w:after="0" w:line="70" w:lineRule="exact"/>
        <w:rPr>
          <w:sz w:val="20"/>
          <w:szCs w:val="20"/>
          <w:color w:val="auto"/>
        </w:rPr>
      </w:pPr>
    </w:p>
    <w:p>
      <w:pPr>
        <w:ind w:right="180"/>
        <w:spacing w:after="0" w:line="253" w:lineRule="auto"/>
        <w:rPr>
          <w:sz w:val="20"/>
          <w:szCs w:val="20"/>
          <w:color w:val="auto"/>
        </w:rPr>
      </w:pPr>
      <w:r>
        <w:rPr>
          <w:rFonts w:ascii="Arial" w:cs="Arial" w:eastAsia="Arial" w:hAnsi="Arial"/>
          <w:sz w:val="18"/>
          <w:szCs w:val="18"/>
          <w:color w:val="auto"/>
        </w:rPr>
        <w:t>See the CD&amp;A for further information regarding the terms of awards reported in the Summary Compensation Table and the Grants of Plan-Based Awards table, and for discussions regarding the formulas or criteria to be applied in determining the amounts payable, vesting schedules, and the treatment of dividends.</w:t>
      </w:r>
    </w:p>
    <w:p>
      <w:pPr>
        <w:spacing w:after="0" w:line="142" w:lineRule="exact"/>
        <w:rPr>
          <w:sz w:val="20"/>
          <w:szCs w:val="20"/>
          <w:color w:val="auto"/>
        </w:rPr>
      </w:pPr>
    </w:p>
    <w:p>
      <w:pPr>
        <w:ind w:right="80"/>
        <w:spacing w:after="0" w:line="247" w:lineRule="auto"/>
        <w:rPr>
          <w:sz w:val="20"/>
          <w:szCs w:val="20"/>
          <w:color w:val="auto"/>
        </w:rPr>
      </w:pPr>
      <w:r>
        <w:rPr>
          <w:rFonts w:ascii="Arial" w:cs="Arial" w:eastAsia="Arial" w:hAnsi="Arial"/>
          <w:sz w:val="18"/>
          <w:szCs w:val="18"/>
          <w:color w:val="auto"/>
        </w:rPr>
        <w:t>The Company does not have formal employment agreements with its NEOs; however, we typically enter into offer letters with new executive officers. Deferred compensation credits granted to Mr. Geisler and Ms. Lacal are discussed under the heading “Discussion of Nonqualified Deferred Compensation” on page 91 and a Medical Retention Agreement entered into with Ms. Lacal is discussed under the heading “Potential Payments upon Termination or Change of Control” on pages 91-92.</w:t>
      </w:r>
    </w:p>
    <w:p>
      <w:pPr>
        <w:spacing w:after="0" w:line="133" w:lineRule="exact"/>
        <w:rPr>
          <w:sz w:val="20"/>
          <w:szCs w:val="20"/>
          <w:color w:val="auto"/>
        </w:rPr>
      </w:pPr>
    </w:p>
    <w:p>
      <w:pPr>
        <w:ind w:right="200"/>
        <w:spacing w:after="0" w:line="242" w:lineRule="auto"/>
        <w:rPr>
          <w:sz w:val="20"/>
          <w:szCs w:val="20"/>
          <w:color w:val="auto"/>
        </w:rPr>
      </w:pPr>
      <w:r>
        <w:rPr>
          <w:rFonts w:ascii="Arial" w:cs="Arial" w:eastAsia="Arial" w:hAnsi="Arial"/>
          <w:sz w:val="18"/>
          <w:szCs w:val="18"/>
          <w:color w:val="auto"/>
        </w:rPr>
        <w:t>Pinnacle West and Mr. Smith executed an offer letter dated July 19, 2018. Pursuant to the offer letter, Mr. Smith was awarded 1,232 performance shares to be released, only if the performance criteria were met in 2020; 2,464 performance shares to be released, only if the performance criteria were met in 2021; 1,232 RSUs that vested on February 20, 2019; 1,846 RSUs that vested on February 20, 2020; and 2,464 that vested on February 19, 2021. The offer letter also provided for participation in the Supplemental Executive Retirement Plan and the Deferred Compensation Plan; a Change-in-Control Agreement similar to those provided to other officers and standard executive relocation benefits.</w:t>
      </w:r>
    </w:p>
    <w:p>
      <w:pPr>
        <w:spacing w:after="0" w:line="138" w:lineRule="exact"/>
        <w:rPr>
          <w:sz w:val="20"/>
          <w:szCs w:val="20"/>
          <w:color w:val="auto"/>
        </w:rPr>
      </w:pPr>
    </w:p>
    <w:p>
      <w:pPr>
        <w:spacing w:after="0"/>
        <w:rPr>
          <w:sz w:val="20"/>
          <w:szCs w:val="20"/>
          <w:color w:val="auto"/>
        </w:rPr>
      </w:pPr>
      <w:r>
        <w:rPr>
          <w:rFonts w:ascii="Arial" w:cs="Arial" w:eastAsia="Arial" w:hAnsi="Arial"/>
          <w:sz w:val="18"/>
          <w:szCs w:val="18"/>
          <w:color w:val="auto"/>
        </w:rPr>
        <w:t>Effective October 17, 2018, Pinnacle West and Mr. Smith entered into a Supplemental Agreement to his offer letter which provided that Mr.</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Smith received an additional long-term stock base award grant in February 2019 with a grant date value of $100,000.</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Effective August 30, 2021, in further alignment with its focus on costs, the Company eliminated the Chief Administrative Officer position. With the elimination of this position, Mr. Hatfield transitioned to the role of Advisor to the Chief Executive Officer. In connection with this transition, Mr. Hatfield and the Company entered into a Transition and Separation Agreement (“Transition and Separation Agreement”), and Mr. Hatfield separated from the Company effective December 31, 2021. Mr. Hatfield continued to receive his current annual base salary of $ 700,000 until his separation date and he was eligible to receive a 2021 incentive award under the APS Incentive Plan. In consideration of Mr. Hatfield remaining employed with the Company until December 31, 2021, the Company paid Mr. Hatfield a lump sum separation payment in the amount of $750,000.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103505</wp:posOffset>
            </wp:positionV>
            <wp:extent cx="1191260" cy="23114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3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sectPr>
      </w:pPr>
    </w:p>
    <w:bookmarkStart w:id="93" w:name="page94"/>
    <w:bookmarkEnd w:id="9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Outstanding Equity Awards at Fiscal Year-End</w:t>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9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20" w:type="dxa"/>
            <w:vAlign w:val="bottom"/>
            <w:shd w:val="clear" w:color="auto" w:fill="355675"/>
          </w:tcPr>
          <w:p>
            <w:pPr>
              <w:spacing w:after="0"/>
              <w:rPr>
                <w:sz w:val="19"/>
                <w:szCs w:val="19"/>
                <w:color w:val="auto"/>
              </w:rPr>
            </w:pPr>
          </w:p>
        </w:tc>
        <w:tc>
          <w:tcPr>
            <w:tcW w:w="240" w:type="dxa"/>
            <w:vAlign w:val="bottom"/>
            <w:shd w:val="clear" w:color="auto" w:fill="355675"/>
          </w:tcPr>
          <w:p>
            <w:pPr>
              <w:spacing w:after="0"/>
              <w:rPr>
                <w:sz w:val="19"/>
                <w:szCs w:val="19"/>
                <w:color w:val="auto"/>
              </w:rPr>
            </w:pPr>
          </w:p>
        </w:tc>
        <w:tc>
          <w:tcPr>
            <w:tcW w:w="1280" w:type="dxa"/>
            <w:vAlign w:val="bottom"/>
            <w:shd w:val="clear" w:color="auto" w:fill="355675"/>
          </w:tcPr>
          <w:p>
            <w:pPr>
              <w:spacing w:after="0"/>
              <w:rPr>
                <w:sz w:val="19"/>
                <w:szCs w:val="19"/>
                <w:color w:val="auto"/>
              </w:rPr>
            </w:pPr>
          </w:p>
        </w:tc>
        <w:tc>
          <w:tcPr>
            <w:tcW w:w="20" w:type="dxa"/>
            <w:vAlign w:val="bottom"/>
            <w:shd w:val="clear" w:color="auto" w:fill="355675"/>
          </w:tcPr>
          <w:p>
            <w:pPr>
              <w:spacing w:after="0"/>
              <w:rPr>
                <w:sz w:val="19"/>
                <w:szCs w:val="19"/>
                <w:color w:val="auto"/>
              </w:rPr>
            </w:pPr>
          </w:p>
        </w:tc>
        <w:tc>
          <w:tcPr>
            <w:tcW w:w="1960" w:type="dxa"/>
            <w:vAlign w:val="bottom"/>
            <w:gridSpan w:val="3"/>
            <w:shd w:val="clear" w:color="auto" w:fill="355675"/>
          </w:tcPr>
          <w:p>
            <w:pPr>
              <w:jc w:val="right"/>
              <w:ind w:right="1000"/>
              <w:spacing w:after="0"/>
              <w:rPr>
                <w:sz w:val="20"/>
                <w:szCs w:val="20"/>
                <w:color w:val="auto"/>
              </w:rPr>
            </w:pPr>
            <w:r>
              <w:rPr>
                <w:rFonts w:ascii="Arial" w:cs="Arial" w:eastAsia="Arial" w:hAnsi="Arial"/>
                <w:sz w:val="14"/>
                <w:szCs w:val="14"/>
                <w:b w:val="1"/>
                <w:bCs w:val="1"/>
                <w:color w:val="FFFFFF"/>
              </w:rPr>
              <w:t>Stock Awards</w:t>
            </w:r>
          </w:p>
        </w:tc>
        <w:tc>
          <w:tcPr>
            <w:tcW w:w="1560" w:type="dxa"/>
            <w:vAlign w:val="bottom"/>
            <w:shd w:val="clear" w:color="auto" w:fill="355675"/>
          </w:tcPr>
          <w:p>
            <w:pPr>
              <w:spacing w:after="0"/>
              <w:rPr>
                <w:sz w:val="19"/>
                <w:szCs w:val="19"/>
                <w:color w:val="auto"/>
              </w:rPr>
            </w:pPr>
          </w:p>
        </w:tc>
      </w:tr>
      <w:tr>
        <w:trPr>
          <w:trHeight w:val="175"/>
        </w:trPr>
        <w:tc>
          <w:tcPr>
            <w:tcW w:w="49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74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Equity Incentive Plan</w:t>
            </w:r>
          </w:p>
        </w:tc>
        <w:tc>
          <w:tcPr>
            <w:tcW w:w="1560" w:type="dxa"/>
            <w:vAlign w:val="bottom"/>
          </w:tcPr>
          <w:p>
            <w:pPr>
              <w:jc w:val="right"/>
              <w:spacing w:after="0"/>
              <w:rPr>
                <w:sz w:val="20"/>
                <w:szCs w:val="20"/>
                <w:color w:val="auto"/>
              </w:rPr>
            </w:pPr>
            <w:r>
              <w:rPr>
                <w:rFonts w:ascii="Arial" w:cs="Arial" w:eastAsia="Arial" w:hAnsi="Arial"/>
                <w:sz w:val="14"/>
                <w:szCs w:val="14"/>
                <w:b w:val="1"/>
                <w:bCs w:val="1"/>
                <w:color w:val="355675"/>
              </w:rPr>
              <w:t>Equity Incentive Plan</w:t>
            </w:r>
          </w:p>
        </w:tc>
      </w:tr>
      <w:tr>
        <w:trPr>
          <w:trHeight w:val="162"/>
        </w:trPr>
        <w:tc>
          <w:tcPr>
            <w:tcW w:w="49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Number of</w:t>
            </w:r>
          </w:p>
        </w:tc>
        <w:tc>
          <w:tcPr>
            <w:tcW w:w="12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74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Awards: Number of</w:t>
            </w:r>
          </w:p>
        </w:tc>
        <w:tc>
          <w:tcPr>
            <w:tcW w:w="1560" w:type="dxa"/>
            <w:vAlign w:val="bottom"/>
          </w:tcPr>
          <w:p>
            <w:pPr>
              <w:jc w:val="right"/>
              <w:spacing w:after="0"/>
              <w:rPr>
                <w:sz w:val="20"/>
                <w:szCs w:val="20"/>
                <w:color w:val="auto"/>
              </w:rPr>
            </w:pPr>
            <w:r>
              <w:rPr>
                <w:rFonts w:ascii="Arial" w:cs="Arial" w:eastAsia="Arial" w:hAnsi="Arial"/>
                <w:sz w:val="14"/>
                <w:szCs w:val="14"/>
                <w:b w:val="1"/>
                <w:bCs w:val="1"/>
                <w:color w:val="355675"/>
              </w:rPr>
              <w:t>Awards: Market or</w:t>
            </w:r>
          </w:p>
        </w:tc>
      </w:tr>
      <w:tr>
        <w:trPr>
          <w:trHeight w:val="162"/>
        </w:trPr>
        <w:tc>
          <w:tcPr>
            <w:tcW w:w="49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Shares or</w:t>
            </w:r>
          </w:p>
        </w:tc>
        <w:tc>
          <w:tcPr>
            <w:tcW w:w="1300" w:type="dxa"/>
            <w:vAlign w:val="bottom"/>
            <w:gridSpan w:val="2"/>
          </w:tcPr>
          <w:p>
            <w:pPr>
              <w:jc w:val="right"/>
              <w:ind w:right="20"/>
              <w:spacing w:after="0"/>
              <w:rPr>
                <w:sz w:val="20"/>
                <w:szCs w:val="20"/>
                <w:color w:val="auto"/>
              </w:rPr>
            </w:pPr>
            <w:r>
              <w:rPr>
                <w:rFonts w:ascii="Arial" w:cs="Arial" w:eastAsia="Arial" w:hAnsi="Arial"/>
                <w:sz w:val="14"/>
                <w:szCs w:val="14"/>
                <w:b w:val="1"/>
                <w:bCs w:val="1"/>
                <w:color w:val="355675"/>
              </w:rPr>
              <w:t>Market Value of</w:t>
            </w:r>
          </w:p>
        </w:tc>
        <w:tc>
          <w:tcPr>
            <w:tcW w:w="220" w:type="dxa"/>
            <w:vAlign w:val="bottom"/>
          </w:tcPr>
          <w:p>
            <w:pPr>
              <w:spacing w:after="0"/>
              <w:rPr>
                <w:sz w:val="14"/>
                <w:szCs w:val="14"/>
                <w:color w:val="auto"/>
              </w:rPr>
            </w:pPr>
          </w:p>
        </w:tc>
        <w:tc>
          <w:tcPr>
            <w:tcW w:w="1740" w:type="dxa"/>
            <w:vAlign w:val="bottom"/>
            <w:gridSpan w:val="2"/>
          </w:tcPr>
          <w:p>
            <w:pPr>
              <w:jc w:val="center"/>
              <w:spacing w:after="0"/>
              <w:rPr>
                <w:sz w:val="20"/>
                <w:szCs w:val="20"/>
                <w:color w:val="auto"/>
              </w:rPr>
            </w:pPr>
            <w:r>
              <w:rPr>
                <w:rFonts w:ascii="Arial" w:cs="Arial" w:eastAsia="Arial" w:hAnsi="Arial"/>
                <w:sz w:val="14"/>
                <w:szCs w:val="14"/>
                <w:b w:val="1"/>
                <w:bCs w:val="1"/>
                <w:color w:val="355675"/>
              </w:rPr>
              <w:t>Unearned Shares,</w:t>
            </w:r>
          </w:p>
        </w:tc>
        <w:tc>
          <w:tcPr>
            <w:tcW w:w="1560" w:type="dxa"/>
            <w:vAlign w:val="bottom"/>
          </w:tcPr>
          <w:p>
            <w:pPr>
              <w:jc w:val="right"/>
              <w:spacing w:after="0"/>
              <w:rPr>
                <w:sz w:val="20"/>
                <w:szCs w:val="20"/>
                <w:color w:val="auto"/>
              </w:rPr>
            </w:pPr>
            <w:r>
              <w:rPr>
                <w:rFonts w:ascii="Arial" w:cs="Arial" w:eastAsia="Arial" w:hAnsi="Arial"/>
                <w:sz w:val="14"/>
                <w:szCs w:val="14"/>
                <w:b w:val="1"/>
                <w:bCs w:val="1"/>
                <w:color w:val="355675"/>
              </w:rPr>
              <w:t>Payout Value</w:t>
            </w:r>
          </w:p>
        </w:tc>
      </w:tr>
      <w:tr>
        <w:trPr>
          <w:trHeight w:val="162"/>
        </w:trPr>
        <w:tc>
          <w:tcPr>
            <w:tcW w:w="49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Units of Stock</w:t>
            </w:r>
          </w:p>
        </w:tc>
        <w:tc>
          <w:tcPr>
            <w:tcW w:w="1300" w:type="dxa"/>
            <w:vAlign w:val="bottom"/>
            <w:gridSpan w:val="2"/>
          </w:tcPr>
          <w:p>
            <w:pPr>
              <w:jc w:val="right"/>
              <w:ind w:right="20"/>
              <w:spacing w:after="0"/>
              <w:rPr>
                <w:sz w:val="20"/>
                <w:szCs w:val="20"/>
                <w:color w:val="auto"/>
              </w:rPr>
            </w:pPr>
            <w:r>
              <w:rPr>
                <w:rFonts w:ascii="Arial" w:cs="Arial" w:eastAsia="Arial" w:hAnsi="Arial"/>
                <w:sz w:val="14"/>
                <w:szCs w:val="14"/>
                <w:b w:val="1"/>
                <w:bCs w:val="1"/>
                <w:color w:val="355675"/>
              </w:rPr>
              <w:t>Shares or Units of</w:t>
            </w:r>
          </w:p>
        </w:tc>
        <w:tc>
          <w:tcPr>
            <w:tcW w:w="220" w:type="dxa"/>
            <w:vAlign w:val="bottom"/>
          </w:tcPr>
          <w:p>
            <w:pPr>
              <w:spacing w:after="0"/>
              <w:rPr>
                <w:sz w:val="14"/>
                <w:szCs w:val="14"/>
                <w:color w:val="auto"/>
              </w:rPr>
            </w:pPr>
          </w:p>
        </w:tc>
        <w:tc>
          <w:tcPr>
            <w:tcW w:w="174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Units or Other Rights</w:t>
            </w:r>
          </w:p>
        </w:tc>
        <w:tc>
          <w:tcPr>
            <w:tcW w:w="1560" w:type="dxa"/>
            <w:vAlign w:val="bottom"/>
          </w:tcPr>
          <w:p>
            <w:pPr>
              <w:jc w:val="right"/>
              <w:spacing w:after="0"/>
              <w:rPr>
                <w:sz w:val="20"/>
                <w:szCs w:val="20"/>
                <w:color w:val="auto"/>
              </w:rPr>
            </w:pPr>
            <w:r>
              <w:rPr>
                <w:rFonts w:ascii="Arial" w:cs="Arial" w:eastAsia="Arial" w:hAnsi="Arial"/>
                <w:sz w:val="14"/>
                <w:szCs w:val="14"/>
                <w:b w:val="1"/>
                <w:bCs w:val="1"/>
                <w:color w:val="355675"/>
              </w:rPr>
              <w:t>of Unearned Shares,</w:t>
            </w:r>
          </w:p>
        </w:tc>
      </w:tr>
      <w:tr>
        <w:trPr>
          <w:trHeight w:val="162"/>
        </w:trPr>
        <w:tc>
          <w:tcPr>
            <w:tcW w:w="49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That Have Not</w:t>
            </w:r>
          </w:p>
        </w:tc>
        <w:tc>
          <w:tcPr>
            <w:tcW w:w="1300" w:type="dxa"/>
            <w:vAlign w:val="bottom"/>
            <w:gridSpan w:val="2"/>
          </w:tcPr>
          <w:p>
            <w:pPr>
              <w:jc w:val="right"/>
              <w:ind w:right="20"/>
              <w:spacing w:after="0"/>
              <w:rPr>
                <w:sz w:val="20"/>
                <w:szCs w:val="20"/>
                <w:color w:val="auto"/>
              </w:rPr>
            </w:pPr>
            <w:r>
              <w:rPr>
                <w:rFonts w:ascii="Arial" w:cs="Arial" w:eastAsia="Arial" w:hAnsi="Arial"/>
                <w:sz w:val="14"/>
                <w:szCs w:val="14"/>
                <w:b w:val="1"/>
                <w:bCs w:val="1"/>
                <w:color w:val="355675"/>
              </w:rPr>
              <w:t>Stock That Have</w:t>
            </w:r>
          </w:p>
        </w:tc>
        <w:tc>
          <w:tcPr>
            <w:tcW w:w="220" w:type="dxa"/>
            <w:vAlign w:val="bottom"/>
          </w:tcPr>
          <w:p>
            <w:pPr>
              <w:spacing w:after="0"/>
              <w:rPr>
                <w:sz w:val="14"/>
                <w:szCs w:val="14"/>
                <w:color w:val="auto"/>
              </w:rPr>
            </w:pPr>
          </w:p>
        </w:tc>
        <w:tc>
          <w:tcPr>
            <w:tcW w:w="174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That Have Not</w:t>
            </w:r>
          </w:p>
        </w:tc>
        <w:tc>
          <w:tcPr>
            <w:tcW w:w="1560" w:type="dxa"/>
            <w:vAlign w:val="bottom"/>
          </w:tcPr>
          <w:p>
            <w:pPr>
              <w:jc w:val="right"/>
              <w:spacing w:after="0"/>
              <w:rPr>
                <w:sz w:val="20"/>
                <w:szCs w:val="20"/>
                <w:color w:val="auto"/>
              </w:rPr>
            </w:pPr>
            <w:r>
              <w:rPr>
                <w:rFonts w:ascii="Arial" w:cs="Arial" w:eastAsia="Arial" w:hAnsi="Arial"/>
                <w:sz w:val="14"/>
                <w:szCs w:val="14"/>
                <w:b w:val="1"/>
                <w:bCs w:val="1"/>
                <w:color w:val="355675"/>
              </w:rPr>
              <w:t>Units or Other Rights</w:t>
            </w:r>
          </w:p>
        </w:tc>
      </w:tr>
      <w:tr>
        <w:trPr>
          <w:trHeight w:val="162"/>
        </w:trPr>
        <w:tc>
          <w:tcPr>
            <w:tcW w:w="49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Vested</w:t>
            </w:r>
          </w:p>
        </w:tc>
        <w:tc>
          <w:tcPr>
            <w:tcW w:w="1300" w:type="dxa"/>
            <w:vAlign w:val="bottom"/>
            <w:gridSpan w:val="2"/>
          </w:tcPr>
          <w:p>
            <w:pPr>
              <w:jc w:val="right"/>
              <w:ind w:right="20"/>
              <w:spacing w:after="0"/>
              <w:rPr>
                <w:sz w:val="20"/>
                <w:szCs w:val="20"/>
                <w:color w:val="auto"/>
              </w:rPr>
            </w:pPr>
            <w:r>
              <w:rPr>
                <w:rFonts w:ascii="Arial" w:cs="Arial" w:eastAsia="Arial" w:hAnsi="Arial"/>
                <w:sz w:val="14"/>
                <w:szCs w:val="14"/>
                <w:b w:val="1"/>
                <w:bCs w:val="1"/>
                <w:color w:val="355675"/>
              </w:rPr>
              <w:t>Not Vested</w:t>
            </w:r>
          </w:p>
        </w:tc>
        <w:tc>
          <w:tcPr>
            <w:tcW w:w="220" w:type="dxa"/>
            <w:vAlign w:val="bottom"/>
          </w:tcPr>
          <w:p>
            <w:pPr>
              <w:spacing w:after="0"/>
              <w:rPr>
                <w:sz w:val="14"/>
                <w:szCs w:val="14"/>
                <w:color w:val="auto"/>
              </w:rPr>
            </w:pPr>
          </w:p>
        </w:tc>
        <w:tc>
          <w:tcPr>
            <w:tcW w:w="174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Vested</w:t>
            </w:r>
          </w:p>
        </w:tc>
        <w:tc>
          <w:tcPr>
            <w:tcW w:w="1560" w:type="dxa"/>
            <w:vAlign w:val="bottom"/>
          </w:tcPr>
          <w:p>
            <w:pPr>
              <w:jc w:val="right"/>
              <w:spacing w:after="0"/>
              <w:rPr>
                <w:sz w:val="20"/>
                <w:szCs w:val="20"/>
                <w:color w:val="auto"/>
              </w:rPr>
            </w:pPr>
            <w:r>
              <w:rPr>
                <w:rFonts w:ascii="Arial" w:cs="Arial" w:eastAsia="Arial" w:hAnsi="Arial"/>
                <w:sz w:val="14"/>
                <w:szCs w:val="14"/>
                <w:b w:val="1"/>
                <w:bCs w:val="1"/>
                <w:color w:val="355675"/>
              </w:rPr>
              <w:t>That Have Not</w:t>
            </w:r>
          </w:p>
        </w:tc>
      </w:tr>
      <w:tr>
        <w:trPr>
          <w:trHeight w:val="203"/>
        </w:trPr>
        <w:tc>
          <w:tcPr>
            <w:tcW w:w="4920" w:type="dxa"/>
            <w:vAlign w:val="bottom"/>
          </w:tcPr>
          <w:p>
            <w:pPr>
              <w:ind w:left="60"/>
              <w:spacing w:after="0"/>
              <w:rPr>
                <w:sz w:val="20"/>
                <w:szCs w:val="20"/>
                <w:color w:val="auto"/>
              </w:rPr>
            </w:pPr>
            <w:r>
              <w:rPr>
                <w:rFonts w:ascii="Arial" w:cs="Arial" w:eastAsia="Arial" w:hAnsi="Arial"/>
                <w:sz w:val="14"/>
                <w:szCs w:val="14"/>
                <w:b w:val="1"/>
                <w:bCs w:val="1"/>
                <w:color w:val="355675"/>
              </w:rPr>
              <w:t>Name</w:t>
            </w:r>
          </w:p>
        </w:tc>
        <w:tc>
          <w:tcPr>
            <w:tcW w:w="240" w:type="dxa"/>
            <w:vAlign w:val="bottom"/>
          </w:tcPr>
          <w:p>
            <w:pPr>
              <w:spacing w:after="0"/>
              <w:rPr>
                <w:sz w:val="17"/>
                <w:szCs w:val="17"/>
                <w:color w:val="auto"/>
              </w:rPr>
            </w:pPr>
          </w:p>
        </w:tc>
        <w:tc>
          <w:tcPr>
            <w:tcW w:w="1020" w:type="dxa"/>
            <w:vAlign w:val="bottom"/>
          </w:tcPr>
          <w:p>
            <w:pPr>
              <w:jc w:val="right"/>
              <w:spacing w:after="0"/>
              <w:rPr>
                <w:sz w:val="20"/>
                <w:szCs w:val="20"/>
                <w:color w:val="auto"/>
              </w:rPr>
            </w:pPr>
            <w:r>
              <w:rPr>
                <w:rFonts w:ascii="Arial" w:cs="Arial" w:eastAsia="Arial" w:hAnsi="Arial"/>
                <w:sz w:val="14"/>
                <w:szCs w:val="14"/>
                <w:b w:val="1"/>
                <w:bCs w:val="1"/>
                <w:color w:val="355675"/>
              </w:rPr>
              <w:t>(#)</w:t>
            </w:r>
          </w:p>
        </w:tc>
        <w:tc>
          <w:tcPr>
            <w:tcW w:w="240" w:type="dxa"/>
            <w:vAlign w:val="bottom"/>
          </w:tcPr>
          <w:p>
            <w:pPr>
              <w:spacing w:after="0"/>
              <w:rPr>
                <w:sz w:val="17"/>
                <w:szCs w:val="17"/>
                <w:color w:val="auto"/>
              </w:rPr>
            </w:pPr>
          </w:p>
        </w:tc>
        <w:tc>
          <w:tcPr>
            <w:tcW w:w="1300" w:type="dxa"/>
            <w:vAlign w:val="bottom"/>
            <w:gridSpan w:val="2"/>
          </w:tcPr>
          <w:p>
            <w:pPr>
              <w:jc w:val="right"/>
              <w:ind w:right="20"/>
              <w:spacing w:after="0" w:line="202"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(1)</w:t>
            </w:r>
          </w:p>
        </w:tc>
        <w:tc>
          <w:tcPr>
            <w:tcW w:w="1960" w:type="dxa"/>
            <w:vAlign w:val="bottom"/>
            <w:gridSpan w:val="3"/>
          </w:tcPr>
          <w:p>
            <w:pPr>
              <w:jc w:val="right"/>
              <w:ind w:right="240"/>
              <w:spacing w:after="0"/>
              <w:rPr>
                <w:sz w:val="20"/>
                <w:szCs w:val="20"/>
                <w:color w:val="auto"/>
              </w:rPr>
            </w:pPr>
            <w:r>
              <w:rPr>
                <w:rFonts w:ascii="Arial" w:cs="Arial" w:eastAsia="Arial" w:hAnsi="Arial"/>
                <w:sz w:val="14"/>
                <w:szCs w:val="14"/>
                <w:b w:val="1"/>
                <w:bCs w:val="1"/>
                <w:color w:val="355675"/>
              </w:rPr>
              <w:t>(#)</w:t>
            </w:r>
          </w:p>
        </w:tc>
        <w:tc>
          <w:tcPr>
            <w:tcW w:w="1560" w:type="dxa"/>
            <w:vAlign w:val="bottom"/>
          </w:tcPr>
          <w:p>
            <w:pPr>
              <w:jc w:val="right"/>
              <w:spacing w:after="0" w:line="202" w:lineRule="exact"/>
              <w:rPr>
                <w:sz w:val="20"/>
                <w:szCs w:val="20"/>
                <w:color w:val="auto"/>
              </w:rPr>
            </w:pPr>
            <w:r>
              <w:rPr>
                <w:rFonts w:ascii="Arial" w:cs="Arial" w:eastAsia="Arial" w:hAnsi="Arial"/>
                <w:sz w:val="14"/>
                <w:szCs w:val="14"/>
                <w:b w:val="1"/>
                <w:bCs w:val="1"/>
                <w:color w:val="355675"/>
              </w:rPr>
              <w:t>Vested ($)</w:t>
            </w:r>
            <w:r>
              <w:rPr>
                <w:rFonts w:ascii="Arial" w:cs="Arial" w:eastAsia="Arial" w:hAnsi="Arial"/>
                <w:sz w:val="23"/>
                <w:szCs w:val="23"/>
                <w:b w:val="1"/>
                <w:bCs w:val="1"/>
                <w:color w:val="355675"/>
                <w:vertAlign w:val="superscript"/>
              </w:rPr>
              <w:t>(1)</w:t>
            </w:r>
          </w:p>
        </w:tc>
      </w:tr>
      <w:tr>
        <w:trPr>
          <w:trHeight w:val="54"/>
        </w:trPr>
        <w:tc>
          <w:tcPr>
            <w:tcW w:w="4920" w:type="dxa"/>
            <w:vAlign w:val="bottom"/>
            <w:shd w:val="clear" w:color="auto" w:fill="355675"/>
          </w:tcPr>
          <w:p>
            <w:pPr>
              <w:spacing w:after="0"/>
              <w:rPr>
                <w:sz w:val="4"/>
                <w:szCs w:val="4"/>
                <w:color w:val="auto"/>
              </w:rPr>
            </w:pPr>
          </w:p>
        </w:tc>
        <w:tc>
          <w:tcPr>
            <w:tcW w:w="240" w:type="dxa"/>
            <w:vAlign w:val="bottom"/>
          </w:tcPr>
          <w:p>
            <w:pPr>
              <w:spacing w:after="0"/>
              <w:rPr>
                <w:sz w:val="4"/>
                <w:szCs w:val="4"/>
                <w:color w:val="auto"/>
              </w:rPr>
            </w:pPr>
          </w:p>
        </w:tc>
        <w:tc>
          <w:tcPr>
            <w:tcW w:w="1020" w:type="dxa"/>
            <w:vAlign w:val="bottom"/>
            <w:shd w:val="clear" w:color="auto" w:fill="355675"/>
          </w:tcPr>
          <w:p>
            <w:pPr>
              <w:spacing w:after="0"/>
              <w:rPr>
                <w:sz w:val="4"/>
                <w:szCs w:val="4"/>
                <w:color w:val="auto"/>
              </w:rPr>
            </w:pPr>
          </w:p>
        </w:tc>
        <w:tc>
          <w:tcPr>
            <w:tcW w:w="240" w:type="dxa"/>
            <w:vAlign w:val="bottom"/>
          </w:tcPr>
          <w:p>
            <w:pPr>
              <w:spacing w:after="0"/>
              <w:rPr>
                <w:sz w:val="4"/>
                <w:szCs w:val="4"/>
                <w:color w:val="auto"/>
              </w:rPr>
            </w:pPr>
          </w:p>
        </w:tc>
        <w:tc>
          <w:tcPr>
            <w:tcW w:w="1280" w:type="dxa"/>
            <w:vAlign w:val="bottom"/>
            <w:shd w:val="clear" w:color="auto" w:fill="355675"/>
          </w:tcPr>
          <w:p>
            <w:pPr>
              <w:spacing w:after="0"/>
              <w:rPr>
                <w:sz w:val="4"/>
                <w:szCs w:val="4"/>
                <w:color w:val="auto"/>
              </w:rPr>
            </w:pPr>
          </w:p>
        </w:tc>
        <w:tc>
          <w:tcPr>
            <w:tcW w:w="20" w:type="dxa"/>
            <w:vAlign w:val="bottom"/>
          </w:tcPr>
          <w:p>
            <w:pPr>
              <w:spacing w:after="0"/>
              <w:rPr>
                <w:sz w:val="4"/>
                <w:szCs w:val="4"/>
                <w:color w:val="auto"/>
              </w:rPr>
            </w:pPr>
          </w:p>
        </w:tc>
        <w:tc>
          <w:tcPr>
            <w:tcW w:w="220" w:type="dxa"/>
            <w:vAlign w:val="bottom"/>
          </w:tcPr>
          <w:p>
            <w:pPr>
              <w:spacing w:after="0"/>
              <w:rPr>
                <w:sz w:val="4"/>
                <w:szCs w:val="4"/>
                <w:color w:val="auto"/>
              </w:rPr>
            </w:pPr>
          </w:p>
        </w:tc>
        <w:tc>
          <w:tcPr>
            <w:tcW w:w="1500" w:type="dxa"/>
            <w:vAlign w:val="bottom"/>
            <w:shd w:val="clear" w:color="auto" w:fill="355675"/>
          </w:tcPr>
          <w:p>
            <w:pPr>
              <w:spacing w:after="0"/>
              <w:rPr>
                <w:sz w:val="4"/>
                <w:szCs w:val="4"/>
                <w:color w:val="auto"/>
              </w:rPr>
            </w:pPr>
          </w:p>
        </w:tc>
        <w:tc>
          <w:tcPr>
            <w:tcW w:w="240" w:type="dxa"/>
            <w:vAlign w:val="bottom"/>
          </w:tcPr>
          <w:p>
            <w:pPr>
              <w:spacing w:after="0"/>
              <w:rPr>
                <w:sz w:val="4"/>
                <w:szCs w:val="4"/>
                <w:color w:val="auto"/>
              </w:rPr>
            </w:pPr>
          </w:p>
        </w:tc>
        <w:tc>
          <w:tcPr>
            <w:tcW w:w="1560" w:type="dxa"/>
            <w:vAlign w:val="bottom"/>
            <w:shd w:val="clear" w:color="auto" w:fill="355675"/>
          </w:tcPr>
          <w:p>
            <w:pPr>
              <w:spacing w:after="0"/>
              <w:rPr>
                <w:sz w:val="4"/>
                <w:szCs w:val="4"/>
                <w:color w:val="auto"/>
              </w:rPr>
            </w:pPr>
          </w:p>
        </w:tc>
      </w:tr>
      <w:tr>
        <w:trPr>
          <w:trHeight w:val="283"/>
        </w:trPr>
        <w:tc>
          <w:tcPr>
            <w:tcW w:w="4920" w:type="dxa"/>
            <w:vAlign w:val="bottom"/>
          </w:tcPr>
          <w:p>
            <w:pPr>
              <w:ind w:left="60"/>
              <w:spacing w:after="0"/>
              <w:rPr>
                <w:sz w:val="20"/>
                <w:szCs w:val="20"/>
                <w:color w:val="auto"/>
              </w:rPr>
            </w:pPr>
            <w:r>
              <w:rPr>
                <w:rFonts w:ascii="Arial" w:cs="Arial" w:eastAsia="Arial" w:hAnsi="Arial"/>
                <w:sz w:val="16"/>
                <w:szCs w:val="16"/>
                <w:b w:val="1"/>
                <w:bCs w:val="1"/>
                <w:color w:val="355675"/>
              </w:rPr>
              <w:t>Jeffrey B. Guldner</w:t>
            </w:r>
          </w:p>
        </w:tc>
        <w:tc>
          <w:tcPr>
            <w:tcW w:w="240" w:type="dxa"/>
            <w:vAlign w:val="bottom"/>
          </w:tcPr>
          <w:p>
            <w:pPr>
              <w:spacing w:after="0"/>
              <w:rPr>
                <w:sz w:val="24"/>
                <w:szCs w:val="24"/>
                <w:color w:val="auto"/>
              </w:rPr>
            </w:pPr>
          </w:p>
        </w:tc>
        <w:tc>
          <w:tcPr>
            <w:tcW w:w="1020" w:type="dxa"/>
            <w:vAlign w:val="bottom"/>
          </w:tcPr>
          <w:p>
            <w:pPr>
              <w:jc w:val="right"/>
              <w:spacing w:after="0" w:line="283" w:lineRule="exact"/>
              <w:rPr>
                <w:sz w:val="20"/>
                <w:szCs w:val="20"/>
                <w:color w:val="auto"/>
              </w:rPr>
            </w:pPr>
            <w:r>
              <w:rPr>
                <w:rFonts w:ascii="Arial" w:cs="Arial" w:eastAsia="Arial" w:hAnsi="Arial"/>
                <w:sz w:val="16"/>
                <w:szCs w:val="16"/>
                <w:color w:val="auto"/>
              </w:rPr>
              <w:t>15,907</w:t>
            </w:r>
            <w:r>
              <w:rPr>
                <w:rFonts w:ascii="Arial" w:cs="Arial" w:eastAsia="Arial" w:hAnsi="Arial"/>
                <w:sz w:val="26"/>
                <w:szCs w:val="26"/>
                <w:color w:val="auto"/>
                <w:vertAlign w:val="superscript"/>
              </w:rPr>
              <w:t>(2)</w:t>
            </w:r>
          </w:p>
        </w:tc>
        <w:tc>
          <w:tcPr>
            <w:tcW w:w="240" w:type="dxa"/>
            <w:vAlign w:val="bottom"/>
          </w:tcPr>
          <w:p>
            <w:pPr>
              <w:spacing w:after="0"/>
              <w:rPr>
                <w:sz w:val="24"/>
                <w:szCs w:val="24"/>
                <w:color w:val="auto"/>
              </w:rPr>
            </w:pP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1,122,875</w:t>
            </w:r>
          </w:p>
        </w:tc>
        <w:tc>
          <w:tcPr>
            <w:tcW w:w="1960" w:type="dxa"/>
            <w:vAlign w:val="bottom"/>
            <w:gridSpan w:val="3"/>
          </w:tcPr>
          <w:p>
            <w:pPr>
              <w:jc w:val="right"/>
              <w:ind w:right="240"/>
              <w:spacing w:after="0" w:line="283" w:lineRule="exact"/>
              <w:rPr>
                <w:sz w:val="20"/>
                <w:szCs w:val="20"/>
                <w:color w:val="auto"/>
              </w:rPr>
            </w:pPr>
            <w:r>
              <w:rPr>
                <w:rFonts w:ascii="Arial" w:cs="Arial" w:eastAsia="Arial" w:hAnsi="Arial"/>
                <w:sz w:val="16"/>
                <w:szCs w:val="16"/>
                <w:color w:val="auto"/>
              </w:rPr>
              <w:t>37,114</w:t>
            </w:r>
            <w:r>
              <w:rPr>
                <w:rFonts w:ascii="Arial" w:cs="Arial" w:eastAsia="Arial" w:hAnsi="Arial"/>
                <w:sz w:val="26"/>
                <w:szCs w:val="26"/>
                <w:color w:val="auto"/>
                <w:vertAlign w:val="superscript"/>
              </w:rPr>
              <w:t>(6)</w:t>
            </w:r>
          </w:p>
        </w:tc>
        <w:tc>
          <w:tcPr>
            <w:tcW w:w="1560" w:type="dxa"/>
            <w:vAlign w:val="bottom"/>
          </w:tcPr>
          <w:p>
            <w:pPr>
              <w:jc w:val="right"/>
              <w:spacing w:after="0"/>
              <w:rPr>
                <w:sz w:val="20"/>
                <w:szCs w:val="20"/>
                <w:color w:val="auto"/>
              </w:rPr>
            </w:pPr>
            <w:r>
              <w:rPr>
                <w:rFonts w:ascii="Arial" w:cs="Arial" w:eastAsia="Arial" w:hAnsi="Arial"/>
                <w:sz w:val="16"/>
                <w:szCs w:val="16"/>
                <w:color w:val="auto"/>
              </w:rPr>
              <w:t>2,619,877</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7,185</w:t>
            </w:r>
            <w:r>
              <w:rPr>
                <w:rFonts w:ascii="Arial" w:cs="Arial" w:eastAsia="Arial" w:hAnsi="Arial"/>
                <w:sz w:val="26"/>
                <w:szCs w:val="26"/>
                <w:color w:val="auto"/>
                <w:vertAlign w:val="superscript"/>
              </w:rPr>
              <w:t>(3)</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507,189</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24,241</w:t>
            </w:r>
            <w:r>
              <w:rPr>
                <w:rFonts w:ascii="Arial" w:cs="Arial" w:eastAsia="Arial" w:hAnsi="Arial"/>
                <w:sz w:val="26"/>
                <w:szCs w:val="26"/>
                <w:color w:val="auto"/>
                <w:vertAlign w:val="superscript"/>
              </w:rPr>
              <w:t>(7)</w:t>
            </w:r>
          </w:p>
        </w:tc>
        <w:tc>
          <w:tcPr>
            <w:tcW w:w="1560" w:type="dxa"/>
            <w:vAlign w:val="bottom"/>
          </w:tcPr>
          <w:p>
            <w:pPr>
              <w:jc w:val="right"/>
              <w:spacing w:after="0"/>
              <w:rPr>
                <w:sz w:val="20"/>
                <w:szCs w:val="20"/>
                <w:color w:val="auto"/>
              </w:rPr>
            </w:pPr>
            <w:r>
              <w:rPr>
                <w:rFonts w:ascii="Arial" w:cs="Arial" w:eastAsia="Arial" w:hAnsi="Arial"/>
                <w:sz w:val="16"/>
                <w:szCs w:val="16"/>
                <w:color w:val="auto"/>
              </w:rPr>
              <w:t>1,711,172</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2,980</w:t>
            </w:r>
            <w:r>
              <w:rPr>
                <w:rFonts w:ascii="Arial" w:cs="Arial" w:eastAsia="Arial" w:hAnsi="Arial"/>
                <w:sz w:val="26"/>
                <w:szCs w:val="26"/>
                <w:color w:val="auto"/>
                <w:vertAlign w:val="superscript"/>
              </w:rPr>
              <w:t>(4)</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210,358</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15,745</w:t>
            </w:r>
            <w:r>
              <w:rPr>
                <w:rFonts w:ascii="Arial" w:cs="Arial" w:eastAsia="Arial" w:hAnsi="Arial"/>
                <w:sz w:val="26"/>
                <w:szCs w:val="26"/>
                <w:color w:val="auto"/>
                <w:vertAlign w:val="superscript"/>
              </w:rPr>
              <w:t>(8)</w:t>
            </w:r>
          </w:p>
        </w:tc>
        <w:tc>
          <w:tcPr>
            <w:tcW w:w="1560" w:type="dxa"/>
            <w:vAlign w:val="bottom"/>
          </w:tcPr>
          <w:p>
            <w:pPr>
              <w:jc w:val="right"/>
              <w:spacing w:after="0"/>
              <w:rPr>
                <w:sz w:val="20"/>
                <w:szCs w:val="20"/>
                <w:color w:val="auto"/>
              </w:rPr>
            </w:pPr>
            <w:r>
              <w:rPr>
                <w:rFonts w:ascii="Arial" w:cs="Arial" w:eastAsia="Arial" w:hAnsi="Arial"/>
                <w:sz w:val="16"/>
                <w:szCs w:val="16"/>
                <w:color w:val="auto"/>
              </w:rPr>
              <w:t>1,111,440</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681</w:t>
            </w:r>
            <w:r>
              <w:rPr>
                <w:rFonts w:ascii="Arial" w:cs="Arial" w:eastAsia="Arial" w:hAnsi="Arial"/>
                <w:sz w:val="26"/>
                <w:szCs w:val="26"/>
                <w:color w:val="auto"/>
                <w:vertAlign w:val="superscript"/>
              </w:rPr>
              <w:t>(5)</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48,072</w:t>
            </w:r>
          </w:p>
        </w:tc>
        <w:tc>
          <w:tcPr>
            <w:tcW w:w="22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251"/>
        </w:trPr>
        <w:tc>
          <w:tcPr>
            <w:tcW w:w="492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020" w:type="dxa"/>
            <w:vAlign w:val="bottom"/>
            <w:tcBorders>
              <w:bottom w:val="single" w:sz="8" w:color="355675"/>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21"/>
                <w:szCs w:val="21"/>
                <w:color w:val="auto"/>
              </w:rPr>
            </w:pPr>
          </w:p>
        </w:tc>
        <w:tc>
          <w:tcPr>
            <w:tcW w:w="1280" w:type="dxa"/>
            <w:vAlign w:val="bottom"/>
            <w:tcBorders>
              <w:bottom w:val="single" w:sz="8" w:color="355675"/>
            </w:tcBorders>
          </w:tcPr>
          <w:p>
            <w:pPr>
              <w:spacing w:after="0"/>
              <w:rPr>
                <w:sz w:val="21"/>
                <w:szCs w:val="21"/>
                <w:color w:val="auto"/>
              </w:rPr>
            </w:pPr>
          </w:p>
        </w:tc>
        <w:tc>
          <w:tcPr>
            <w:tcW w:w="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50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560" w:type="dxa"/>
            <w:vAlign w:val="bottom"/>
            <w:tcBorders>
              <w:bottom w:val="single" w:sz="8" w:color="355675"/>
            </w:tcBorders>
          </w:tcPr>
          <w:p>
            <w:pPr>
              <w:spacing w:after="0"/>
              <w:rPr>
                <w:sz w:val="21"/>
                <w:szCs w:val="21"/>
                <w:color w:val="auto"/>
              </w:rPr>
            </w:pPr>
          </w:p>
        </w:tc>
      </w:tr>
      <w:tr>
        <w:trPr>
          <w:trHeight w:val="283"/>
        </w:trPr>
        <w:tc>
          <w:tcPr>
            <w:tcW w:w="5160" w:type="dxa"/>
            <w:vAlign w:val="bottom"/>
            <w:gridSpan w:val="2"/>
          </w:tcPr>
          <w:p>
            <w:pPr>
              <w:ind w:left="60"/>
              <w:spacing w:after="0"/>
              <w:rPr>
                <w:sz w:val="20"/>
                <w:szCs w:val="20"/>
                <w:color w:val="auto"/>
              </w:rPr>
            </w:pPr>
            <w:r>
              <w:rPr>
                <w:rFonts w:ascii="Arial" w:cs="Arial" w:eastAsia="Arial" w:hAnsi="Arial"/>
                <w:sz w:val="16"/>
                <w:szCs w:val="16"/>
                <w:b w:val="1"/>
                <w:bCs w:val="1"/>
                <w:color w:val="355675"/>
              </w:rPr>
              <w:t>Theodore N. Geisler</w:t>
            </w:r>
          </w:p>
        </w:tc>
        <w:tc>
          <w:tcPr>
            <w:tcW w:w="1260" w:type="dxa"/>
            <w:vAlign w:val="bottom"/>
            <w:gridSpan w:val="2"/>
          </w:tcPr>
          <w:p>
            <w:pPr>
              <w:jc w:val="right"/>
              <w:ind w:right="240"/>
              <w:spacing w:after="0" w:line="283" w:lineRule="exact"/>
              <w:rPr>
                <w:sz w:val="20"/>
                <w:szCs w:val="20"/>
                <w:color w:val="auto"/>
              </w:rPr>
            </w:pPr>
            <w:r>
              <w:rPr>
                <w:rFonts w:ascii="Arial" w:cs="Arial" w:eastAsia="Arial" w:hAnsi="Arial"/>
                <w:sz w:val="16"/>
                <w:szCs w:val="16"/>
                <w:color w:val="auto"/>
              </w:rPr>
              <w:t>5,454</w:t>
            </w:r>
            <w:r>
              <w:rPr>
                <w:rFonts w:ascii="Arial" w:cs="Arial" w:eastAsia="Arial" w:hAnsi="Arial"/>
                <w:sz w:val="26"/>
                <w:szCs w:val="26"/>
                <w:color w:val="auto"/>
                <w:vertAlign w:val="superscript"/>
              </w:rPr>
              <w:t>(2)</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384,998</w:t>
            </w:r>
          </w:p>
        </w:tc>
        <w:tc>
          <w:tcPr>
            <w:tcW w:w="1960" w:type="dxa"/>
            <w:vAlign w:val="bottom"/>
            <w:gridSpan w:val="3"/>
          </w:tcPr>
          <w:p>
            <w:pPr>
              <w:jc w:val="right"/>
              <w:ind w:right="240"/>
              <w:spacing w:after="0" w:line="283" w:lineRule="exact"/>
              <w:rPr>
                <w:sz w:val="20"/>
                <w:szCs w:val="20"/>
                <w:color w:val="auto"/>
              </w:rPr>
            </w:pPr>
            <w:r>
              <w:rPr>
                <w:rFonts w:ascii="Arial" w:cs="Arial" w:eastAsia="Arial" w:hAnsi="Arial"/>
                <w:sz w:val="16"/>
                <w:szCs w:val="16"/>
                <w:color w:val="auto"/>
              </w:rPr>
              <w:t>8,179</w:t>
            </w:r>
            <w:r>
              <w:rPr>
                <w:rFonts w:ascii="Arial" w:cs="Arial" w:eastAsia="Arial" w:hAnsi="Arial"/>
                <w:sz w:val="26"/>
                <w:szCs w:val="26"/>
                <w:color w:val="auto"/>
                <w:vertAlign w:val="superscript"/>
              </w:rPr>
              <w:t>(6)</w:t>
            </w:r>
          </w:p>
        </w:tc>
        <w:tc>
          <w:tcPr>
            <w:tcW w:w="1560" w:type="dxa"/>
            <w:vAlign w:val="bottom"/>
          </w:tcPr>
          <w:p>
            <w:pPr>
              <w:jc w:val="right"/>
              <w:spacing w:after="0"/>
              <w:rPr>
                <w:sz w:val="20"/>
                <w:szCs w:val="20"/>
                <w:color w:val="auto"/>
              </w:rPr>
            </w:pPr>
            <w:r>
              <w:rPr>
                <w:rFonts w:ascii="Arial" w:cs="Arial" w:eastAsia="Arial" w:hAnsi="Arial"/>
                <w:sz w:val="16"/>
                <w:szCs w:val="16"/>
                <w:color w:val="auto"/>
              </w:rPr>
              <w:t>577,355</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1,601</w:t>
            </w:r>
            <w:r>
              <w:rPr>
                <w:rFonts w:ascii="Arial" w:cs="Arial" w:eastAsia="Arial" w:hAnsi="Arial"/>
                <w:sz w:val="26"/>
                <w:szCs w:val="26"/>
                <w:color w:val="auto"/>
                <w:vertAlign w:val="superscript"/>
              </w:rPr>
              <w:t>(3)</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113,015</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3,198</w:t>
            </w:r>
            <w:r>
              <w:rPr>
                <w:rFonts w:ascii="Arial" w:cs="Arial" w:eastAsia="Arial" w:hAnsi="Arial"/>
                <w:sz w:val="26"/>
                <w:szCs w:val="26"/>
                <w:color w:val="auto"/>
                <w:vertAlign w:val="superscript"/>
              </w:rPr>
              <w:t>(7)</w:t>
            </w:r>
          </w:p>
        </w:tc>
        <w:tc>
          <w:tcPr>
            <w:tcW w:w="1560" w:type="dxa"/>
            <w:vAlign w:val="bottom"/>
          </w:tcPr>
          <w:p>
            <w:pPr>
              <w:jc w:val="right"/>
              <w:spacing w:after="0"/>
              <w:rPr>
                <w:sz w:val="20"/>
                <w:szCs w:val="20"/>
                <w:color w:val="auto"/>
              </w:rPr>
            </w:pPr>
            <w:r>
              <w:rPr>
                <w:rFonts w:ascii="Arial" w:cs="Arial" w:eastAsia="Arial" w:hAnsi="Arial"/>
                <w:sz w:val="16"/>
                <w:szCs w:val="16"/>
                <w:color w:val="auto"/>
              </w:rPr>
              <w:t>225,747</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440</w:t>
            </w:r>
            <w:r>
              <w:rPr>
                <w:rFonts w:ascii="Arial" w:cs="Arial" w:eastAsia="Arial" w:hAnsi="Arial"/>
                <w:sz w:val="26"/>
                <w:szCs w:val="26"/>
                <w:color w:val="auto"/>
                <w:vertAlign w:val="superscript"/>
              </w:rPr>
              <w:t>(4)</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31,060</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1,314</w:t>
            </w:r>
            <w:r>
              <w:rPr>
                <w:rFonts w:ascii="Arial" w:cs="Arial" w:eastAsia="Arial" w:hAnsi="Arial"/>
                <w:sz w:val="26"/>
                <w:szCs w:val="26"/>
                <w:color w:val="auto"/>
                <w:vertAlign w:val="superscript"/>
              </w:rPr>
              <w:t>(8)</w:t>
            </w:r>
          </w:p>
        </w:tc>
        <w:tc>
          <w:tcPr>
            <w:tcW w:w="1560" w:type="dxa"/>
            <w:vAlign w:val="bottom"/>
          </w:tcPr>
          <w:p>
            <w:pPr>
              <w:jc w:val="right"/>
              <w:spacing w:after="0"/>
              <w:rPr>
                <w:sz w:val="20"/>
                <w:szCs w:val="20"/>
                <w:color w:val="auto"/>
              </w:rPr>
            </w:pPr>
            <w:r>
              <w:rPr>
                <w:rFonts w:ascii="Arial" w:cs="Arial" w:eastAsia="Arial" w:hAnsi="Arial"/>
                <w:sz w:val="16"/>
                <w:szCs w:val="16"/>
                <w:color w:val="auto"/>
              </w:rPr>
              <w:t>92,755</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268</w:t>
            </w:r>
            <w:r>
              <w:rPr>
                <w:rFonts w:ascii="Arial" w:cs="Arial" w:eastAsia="Arial" w:hAnsi="Arial"/>
                <w:sz w:val="26"/>
                <w:szCs w:val="26"/>
                <w:color w:val="auto"/>
                <w:vertAlign w:val="superscript"/>
              </w:rPr>
              <w:t>(5)</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18,918</w:t>
            </w:r>
          </w:p>
        </w:tc>
        <w:tc>
          <w:tcPr>
            <w:tcW w:w="22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251"/>
        </w:trPr>
        <w:tc>
          <w:tcPr>
            <w:tcW w:w="492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020" w:type="dxa"/>
            <w:vAlign w:val="bottom"/>
            <w:tcBorders>
              <w:bottom w:val="single" w:sz="8" w:color="355675"/>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21"/>
                <w:szCs w:val="21"/>
                <w:color w:val="auto"/>
              </w:rPr>
            </w:pPr>
          </w:p>
        </w:tc>
        <w:tc>
          <w:tcPr>
            <w:tcW w:w="1280" w:type="dxa"/>
            <w:vAlign w:val="bottom"/>
            <w:tcBorders>
              <w:bottom w:val="single" w:sz="8" w:color="355675"/>
            </w:tcBorders>
          </w:tcPr>
          <w:p>
            <w:pPr>
              <w:spacing w:after="0"/>
              <w:rPr>
                <w:sz w:val="21"/>
                <w:szCs w:val="21"/>
                <w:color w:val="auto"/>
              </w:rPr>
            </w:pPr>
          </w:p>
        </w:tc>
        <w:tc>
          <w:tcPr>
            <w:tcW w:w="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50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560" w:type="dxa"/>
            <w:vAlign w:val="bottom"/>
            <w:tcBorders>
              <w:bottom w:val="single" w:sz="8" w:color="355675"/>
            </w:tcBorders>
          </w:tcPr>
          <w:p>
            <w:pPr>
              <w:spacing w:after="0"/>
              <w:rPr>
                <w:sz w:val="21"/>
                <w:szCs w:val="21"/>
                <w:color w:val="auto"/>
              </w:rPr>
            </w:pPr>
          </w:p>
        </w:tc>
      </w:tr>
      <w:tr>
        <w:trPr>
          <w:trHeight w:val="283"/>
        </w:trPr>
        <w:tc>
          <w:tcPr>
            <w:tcW w:w="5160" w:type="dxa"/>
            <w:vAlign w:val="bottom"/>
            <w:gridSpan w:val="2"/>
          </w:tcPr>
          <w:p>
            <w:pPr>
              <w:ind w:left="60"/>
              <w:spacing w:after="0"/>
              <w:rPr>
                <w:sz w:val="20"/>
                <w:szCs w:val="20"/>
                <w:color w:val="auto"/>
              </w:rPr>
            </w:pPr>
            <w:r>
              <w:rPr>
                <w:rFonts w:ascii="Arial" w:cs="Arial" w:eastAsia="Arial" w:hAnsi="Arial"/>
                <w:sz w:val="16"/>
                <w:szCs w:val="16"/>
                <w:b w:val="1"/>
                <w:bCs w:val="1"/>
                <w:color w:val="355675"/>
              </w:rPr>
              <w:t>James R. Hatfield</w:t>
            </w:r>
          </w:p>
        </w:tc>
        <w:tc>
          <w:tcPr>
            <w:tcW w:w="1260" w:type="dxa"/>
            <w:vAlign w:val="bottom"/>
            <w:gridSpan w:val="2"/>
          </w:tcPr>
          <w:p>
            <w:pPr>
              <w:jc w:val="right"/>
              <w:ind w:right="240"/>
              <w:spacing w:after="0" w:line="283" w:lineRule="exact"/>
              <w:rPr>
                <w:sz w:val="20"/>
                <w:szCs w:val="20"/>
                <w:color w:val="auto"/>
              </w:rPr>
            </w:pPr>
            <w:r>
              <w:rPr>
                <w:rFonts w:ascii="Arial" w:cs="Arial" w:eastAsia="Arial" w:hAnsi="Arial"/>
                <w:sz w:val="16"/>
                <w:szCs w:val="16"/>
                <w:color w:val="auto"/>
              </w:rPr>
              <w:t>4,736</w:t>
            </w:r>
            <w:r>
              <w:rPr>
                <w:rFonts w:ascii="Arial" w:cs="Arial" w:eastAsia="Arial" w:hAnsi="Arial"/>
                <w:sz w:val="26"/>
                <w:szCs w:val="26"/>
                <w:color w:val="auto"/>
                <w:vertAlign w:val="superscript"/>
              </w:rPr>
              <w:t>(2)</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334,314</w:t>
            </w:r>
          </w:p>
        </w:tc>
        <w:tc>
          <w:tcPr>
            <w:tcW w:w="1960" w:type="dxa"/>
            <w:vAlign w:val="bottom"/>
            <w:gridSpan w:val="3"/>
          </w:tcPr>
          <w:p>
            <w:pPr>
              <w:jc w:val="right"/>
              <w:ind w:right="240"/>
              <w:spacing w:after="0" w:line="283" w:lineRule="exact"/>
              <w:rPr>
                <w:sz w:val="20"/>
                <w:szCs w:val="20"/>
                <w:color w:val="auto"/>
              </w:rPr>
            </w:pPr>
            <w:r>
              <w:rPr>
                <w:rFonts w:ascii="Arial" w:cs="Arial" w:eastAsia="Arial" w:hAnsi="Arial"/>
                <w:sz w:val="16"/>
                <w:szCs w:val="16"/>
                <w:color w:val="auto"/>
              </w:rPr>
              <w:t>11,449</w:t>
            </w:r>
            <w:r>
              <w:rPr>
                <w:rFonts w:ascii="Arial" w:cs="Arial" w:eastAsia="Arial" w:hAnsi="Arial"/>
                <w:sz w:val="26"/>
                <w:szCs w:val="26"/>
                <w:color w:val="auto"/>
                <w:vertAlign w:val="superscript"/>
              </w:rPr>
              <w:t>(6)</w:t>
            </w:r>
          </w:p>
        </w:tc>
        <w:tc>
          <w:tcPr>
            <w:tcW w:w="1560" w:type="dxa"/>
            <w:vAlign w:val="bottom"/>
          </w:tcPr>
          <w:p>
            <w:pPr>
              <w:jc w:val="right"/>
              <w:spacing w:after="0"/>
              <w:rPr>
                <w:sz w:val="20"/>
                <w:szCs w:val="20"/>
                <w:color w:val="auto"/>
              </w:rPr>
            </w:pPr>
            <w:r>
              <w:rPr>
                <w:rFonts w:ascii="Arial" w:cs="Arial" w:eastAsia="Arial" w:hAnsi="Arial"/>
                <w:sz w:val="16"/>
                <w:szCs w:val="16"/>
                <w:color w:val="auto"/>
              </w:rPr>
              <w:t>808,185</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2,652</w:t>
            </w:r>
            <w:r>
              <w:rPr>
                <w:rFonts w:ascii="Arial" w:cs="Arial" w:eastAsia="Arial" w:hAnsi="Arial"/>
                <w:sz w:val="26"/>
                <w:szCs w:val="26"/>
                <w:color w:val="auto"/>
                <w:vertAlign w:val="superscript"/>
              </w:rPr>
              <w:t>(3)</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187,205</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8,951</w:t>
            </w:r>
            <w:r>
              <w:rPr>
                <w:rFonts w:ascii="Arial" w:cs="Arial" w:eastAsia="Arial" w:hAnsi="Arial"/>
                <w:sz w:val="26"/>
                <w:szCs w:val="26"/>
                <w:color w:val="auto"/>
                <w:vertAlign w:val="superscript"/>
              </w:rPr>
              <w:t>(7)</w:t>
            </w:r>
          </w:p>
        </w:tc>
        <w:tc>
          <w:tcPr>
            <w:tcW w:w="1560" w:type="dxa"/>
            <w:vAlign w:val="bottom"/>
          </w:tcPr>
          <w:p>
            <w:pPr>
              <w:jc w:val="right"/>
              <w:spacing w:after="0"/>
              <w:rPr>
                <w:sz w:val="20"/>
                <w:szCs w:val="20"/>
                <w:color w:val="auto"/>
              </w:rPr>
            </w:pPr>
            <w:r>
              <w:rPr>
                <w:rFonts w:ascii="Arial" w:cs="Arial" w:eastAsia="Arial" w:hAnsi="Arial"/>
                <w:sz w:val="16"/>
                <w:szCs w:val="16"/>
                <w:color w:val="auto"/>
              </w:rPr>
              <w:t>631,851</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1,656</w:t>
            </w:r>
            <w:r>
              <w:rPr>
                <w:rFonts w:ascii="Arial" w:cs="Arial" w:eastAsia="Arial" w:hAnsi="Arial"/>
                <w:sz w:val="26"/>
                <w:szCs w:val="26"/>
                <w:color w:val="auto"/>
                <w:vertAlign w:val="superscript"/>
              </w:rPr>
              <w:t>(4)</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116,897</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8,749</w:t>
            </w:r>
            <w:r>
              <w:rPr>
                <w:rFonts w:ascii="Arial" w:cs="Arial" w:eastAsia="Arial" w:hAnsi="Arial"/>
                <w:sz w:val="26"/>
                <w:szCs w:val="26"/>
                <w:color w:val="auto"/>
                <w:vertAlign w:val="superscript"/>
              </w:rPr>
              <w:t>(8)</w:t>
            </w:r>
          </w:p>
        </w:tc>
        <w:tc>
          <w:tcPr>
            <w:tcW w:w="1560" w:type="dxa"/>
            <w:vAlign w:val="bottom"/>
          </w:tcPr>
          <w:p>
            <w:pPr>
              <w:jc w:val="right"/>
              <w:spacing w:after="0"/>
              <w:rPr>
                <w:sz w:val="20"/>
                <w:szCs w:val="20"/>
                <w:color w:val="auto"/>
              </w:rPr>
            </w:pPr>
            <w:r>
              <w:rPr>
                <w:rFonts w:ascii="Arial" w:cs="Arial" w:eastAsia="Arial" w:hAnsi="Arial"/>
                <w:sz w:val="16"/>
                <w:szCs w:val="16"/>
                <w:color w:val="auto"/>
              </w:rPr>
              <w:t>617,592</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972</w:t>
            </w:r>
            <w:r>
              <w:rPr>
                <w:rFonts w:ascii="Arial" w:cs="Arial" w:eastAsia="Arial" w:hAnsi="Arial"/>
                <w:sz w:val="26"/>
                <w:szCs w:val="26"/>
                <w:color w:val="auto"/>
                <w:vertAlign w:val="superscript"/>
              </w:rPr>
              <w:t>(5)</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68,613</w:t>
            </w:r>
          </w:p>
        </w:tc>
        <w:tc>
          <w:tcPr>
            <w:tcW w:w="22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251"/>
        </w:trPr>
        <w:tc>
          <w:tcPr>
            <w:tcW w:w="492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020" w:type="dxa"/>
            <w:vAlign w:val="bottom"/>
            <w:tcBorders>
              <w:bottom w:val="single" w:sz="8" w:color="355675"/>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21"/>
                <w:szCs w:val="21"/>
                <w:color w:val="auto"/>
              </w:rPr>
            </w:pPr>
          </w:p>
        </w:tc>
        <w:tc>
          <w:tcPr>
            <w:tcW w:w="1280" w:type="dxa"/>
            <w:vAlign w:val="bottom"/>
            <w:tcBorders>
              <w:bottom w:val="single" w:sz="8" w:color="355675"/>
            </w:tcBorders>
          </w:tcPr>
          <w:p>
            <w:pPr>
              <w:spacing w:after="0"/>
              <w:rPr>
                <w:sz w:val="21"/>
                <w:szCs w:val="21"/>
                <w:color w:val="auto"/>
              </w:rPr>
            </w:pPr>
          </w:p>
        </w:tc>
        <w:tc>
          <w:tcPr>
            <w:tcW w:w="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50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560" w:type="dxa"/>
            <w:vAlign w:val="bottom"/>
            <w:tcBorders>
              <w:bottom w:val="single" w:sz="8" w:color="355675"/>
            </w:tcBorders>
          </w:tcPr>
          <w:p>
            <w:pPr>
              <w:spacing w:after="0"/>
              <w:rPr>
                <w:sz w:val="21"/>
                <w:szCs w:val="21"/>
                <w:color w:val="auto"/>
              </w:rPr>
            </w:pPr>
          </w:p>
        </w:tc>
      </w:tr>
      <w:tr>
        <w:trPr>
          <w:trHeight w:val="283"/>
        </w:trPr>
        <w:tc>
          <w:tcPr>
            <w:tcW w:w="5160" w:type="dxa"/>
            <w:vAlign w:val="bottom"/>
            <w:gridSpan w:val="2"/>
          </w:tcPr>
          <w:p>
            <w:pPr>
              <w:ind w:left="60"/>
              <w:spacing w:after="0"/>
              <w:rPr>
                <w:sz w:val="20"/>
                <w:szCs w:val="20"/>
                <w:color w:val="auto"/>
              </w:rPr>
            </w:pPr>
            <w:r>
              <w:rPr>
                <w:rFonts w:ascii="Arial" w:cs="Arial" w:eastAsia="Arial" w:hAnsi="Arial"/>
                <w:sz w:val="16"/>
                <w:szCs w:val="16"/>
                <w:b w:val="1"/>
                <w:bCs w:val="1"/>
                <w:color w:val="355675"/>
              </w:rPr>
              <w:t>Maria L. Lacal</w:t>
            </w:r>
          </w:p>
        </w:tc>
        <w:tc>
          <w:tcPr>
            <w:tcW w:w="1260" w:type="dxa"/>
            <w:vAlign w:val="bottom"/>
            <w:gridSpan w:val="2"/>
          </w:tcPr>
          <w:p>
            <w:pPr>
              <w:jc w:val="right"/>
              <w:ind w:right="240"/>
              <w:spacing w:after="0" w:line="283" w:lineRule="exact"/>
              <w:rPr>
                <w:sz w:val="20"/>
                <w:szCs w:val="20"/>
                <w:color w:val="auto"/>
              </w:rPr>
            </w:pPr>
            <w:r>
              <w:rPr>
                <w:rFonts w:ascii="Arial" w:cs="Arial" w:eastAsia="Arial" w:hAnsi="Arial"/>
                <w:sz w:val="16"/>
                <w:szCs w:val="16"/>
                <w:color w:val="auto"/>
              </w:rPr>
              <w:t>3,217</w:t>
            </w:r>
            <w:r>
              <w:rPr>
                <w:rFonts w:ascii="Arial" w:cs="Arial" w:eastAsia="Arial" w:hAnsi="Arial"/>
                <w:sz w:val="26"/>
                <w:szCs w:val="26"/>
                <w:color w:val="auto"/>
                <w:vertAlign w:val="superscript"/>
              </w:rPr>
              <w:t>(2)</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227,088</w:t>
            </w:r>
          </w:p>
        </w:tc>
        <w:tc>
          <w:tcPr>
            <w:tcW w:w="1960" w:type="dxa"/>
            <w:vAlign w:val="bottom"/>
            <w:gridSpan w:val="3"/>
          </w:tcPr>
          <w:p>
            <w:pPr>
              <w:jc w:val="right"/>
              <w:ind w:right="240"/>
              <w:spacing w:after="0" w:line="283" w:lineRule="exact"/>
              <w:rPr>
                <w:sz w:val="20"/>
                <w:szCs w:val="20"/>
                <w:color w:val="auto"/>
              </w:rPr>
            </w:pPr>
            <w:r>
              <w:rPr>
                <w:rFonts w:ascii="Arial" w:cs="Arial" w:eastAsia="Arial" w:hAnsi="Arial"/>
                <w:sz w:val="16"/>
                <w:szCs w:val="16"/>
                <w:color w:val="auto"/>
              </w:rPr>
              <w:t>7,634</w:t>
            </w:r>
            <w:r>
              <w:rPr>
                <w:rFonts w:ascii="Arial" w:cs="Arial" w:eastAsia="Arial" w:hAnsi="Arial"/>
                <w:sz w:val="26"/>
                <w:szCs w:val="26"/>
                <w:color w:val="auto"/>
                <w:vertAlign w:val="superscript"/>
              </w:rPr>
              <w:t>(6)</w:t>
            </w:r>
          </w:p>
        </w:tc>
        <w:tc>
          <w:tcPr>
            <w:tcW w:w="1560" w:type="dxa"/>
            <w:vAlign w:val="bottom"/>
          </w:tcPr>
          <w:p>
            <w:pPr>
              <w:jc w:val="right"/>
              <w:spacing w:after="0"/>
              <w:rPr>
                <w:sz w:val="20"/>
                <w:szCs w:val="20"/>
                <w:color w:val="auto"/>
              </w:rPr>
            </w:pPr>
            <w:r>
              <w:rPr>
                <w:rFonts w:ascii="Arial" w:cs="Arial" w:eastAsia="Arial" w:hAnsi="Arial"/>
                <w:sz w:val="16"/>
                <w:szCs w:val="16"/>
                <w:color w:val="auto"/>
              </w:rPr>
              <w:t>538,884</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1,635</w:t>
            </w:r>
            <w:r>
              <w:rPr>
                <w:rFonts w:ascii="Arial" w:cs="Arial" w:eastAsia="Arial" w:hAnsi="Arial"/>
                <w:sz w:val="26"/>
                <w:szCs w:val="26"/>
                <w:color w:val="auto"/>
                <w:vertAlign w:val="superscript"/>
              </w:rPr>
              <w:t>(3)</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115,414</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5,224</w:t>
            </w:r>
            <w:r>
              <w:rPr>
                <w:rFonts w:ascii="Arial" w:cs="Arial" w:eastAsia="Arial" w:hAnsi="Arial"/>
                <w:sz w:val="26"/>
                <w:szCs w:val="26"/>
                <w:color w:val="auto"/>
                <w:vertAlign w:val="superscript"/>
              </w:rPr>
              <w:t>(7)</w:t>
            </w:r>
          </w:p>
        </w:tc>
        <w:tc>
          <w:tcPr>
            <w:tcW w:w="1560" w:type="dxa"/>
            <w:vAlign w:val="bottom"/>
          </w:tcPr>
          <w:p>
            <w:pPr>
              <w:jc w:val="right"/>
              <w:spacing w:after="0"/>
              <w:rPr>
                <w:sz w:val="20"/>
                <w:szCs w:val="20"/>
                <w:color w:val="auto"/>
              </w:rPr>
            </w:pPr>
            <w:r>
              <w:rPr>
                <w:rFonts w:ascii="Arial" w:cs="Arial" w:eastAsia="Arial" w:hAnsi="Arial"/>
                <w:sz w:val="16"/>
                <w:szCs w:val="16"/>
                <w:color w:val="auto"/>
              </w:rPr>
              <w:t>368,762</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750</w:t>
            </w:r>
            <w:r>
              <w:rPr>
                <w:rFonts w:ascii="Arial" w:cs="Arial" w:eastAsia="Arial" w:hAnsi="Arial"/>
                <w:sz w:val="26"/>
                <w:szCs w:val="26"/>
                <w:color w:val="auto"/>
                <w:vertAlign w:val="superscript"/>
              </w:rPr>
              <w:t>(4)</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52,943</w:t>
            </w:r>
          </w:p>
        </w:tc>
        <w:tc>
          <w:tcPr>
            <w:tcW w:w="1960" w:type="dxa"/>
            <w:vAlign w:val="bottom"/>
            <w:gridSpan w:val="3"/>
          </w:tcPr>
          <w:p>
            <w:pPr>
              <w:jc w:val="right"/>
              <w:ind w:right="240"/>
              <w:spacing w:after="0" w:line="277" w:lineRule="exact"/>
              <w:rPr>
                <w:sz w:val="20"/>
                <w:szCs w:val="20"/>
                <w:color w:val="auto"/>
              </w:rPr>
            </w:pPr>
            <w:r>
              <w:rPr>
                <w:rFonts w:ascii="Arial" w:cs="Arial" w:eastAsia="Arial" w:hAnsi="Arial"/>
                <w:sz w:val="16"/>
                <w:szCs w:val="16"/>
                <w:color w:val="auto"/>
              </w:rPr>
              <w:t>2,250</w:t>
            </w:r>
            <w:r>
              <w:rPr>
                <w:rFonts w:ascii="Arial" w:cs="Arial" w:eastAsia="Arial" w:hAnsi="Arial"/>
                <w:sz w:val="26"/>
                <w:szCs w:val="26"/>
                <w:color w:val="auto"/>
                <w:vertAlign w:val="superscript"/>
              </w:rPr>
              <w:t>(8)</w:t>
            </w:r>
          </w:p>
        </w:tc>
        <w:tc>
          <w:tcPr>
            <w:tcW w:w="1560" w:type="dxa"/>
            <w:vAlign w:val="bottom"/>
          </w:tcPr>
          <w:p>
            <w:pPr>
              <w:jc w:val="right"/>
              <w:spacing w:after="0"/>
              <w:rPr>
                <w:sz w:val="20"/>
                <w:szCs w:val="20"/>
                <w:color w:val="auto"/>
              </w:rPr>
            </w:pPr>
            <w:r>
              <w:rPr>
                <w:rFonts w:ascii="Arial" w:cs="Arial" w:eastAsia="Arial" w:hAnsi="Arial"/>
                <w:sz w:val="16"/>
                <w:szCs w:val="16"/>
                <w:color w:val="auto"/>
              </w:rPr>
              <w:t>158,828</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77"/>
        </w:trPr>
        <w:tc>
          <w:tcPr>
            <w:tcW w:w="4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60" w:type="dxa"/>
            <w:vAlign w:val="bottom"/>
            <w:gridSpan w:val="2"/>
          </w:tcPr>
          <w:p>
            <w:pPr>
              <w:jc w:val="right"/>
              <w:ind w:right="240"/>
              <w:spacing w:after="0" w:line="277" w:lineRule="exact"/>
              <w:rPr>
                <w:sz w:val="20"/>
                <w:szCs w:val="20"/>
                <w:color w:val="auto"/>
              </w:rPr>
            </w:pPr>
            <w:r>
              <w:rPr>
                <w:rFonts w:ascii="Arial" w:cs="Arial" w:eastAsia="Arial" w:hAnsi="Arial"/>
                <w:sz w:val="16"/>
                <w:szCs w:val="16"/>
                <w:color w:val="auto"/>
              </w:rPr>
              <w:t>459</w:t>
            </w:r>
            <w:r>
              <w:rPr>
                <w:rFonts w:ascii="Arial" w:cs="Arial" w:eastAsia="Arial" w:hAnsi="Arial"/>
                <w:sz w:val="26"/>
                <w:szCs w:val="26"/>
                <w:color w:val="auto"/>
                <w:vertAlign w:val="superscript"/>
              </w:rPr>
              <w:t>(5)</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32,401</w:t>
            </w:r>
          </w:p>
        </w:tc>
        <w:tc>
          <w:tcPr>
            <w:tcW w:w="22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251"/>
        </w:trPr>
        <w:tc>
          <w:tcPr>
            <w:tcW w:w="492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020" w:type="dxa"/>
            <w:vAlign w:val="bottom"/>
            <w:tcBorders>
              <w:bottom w:val="single" w:sz="8" w:color="355675"/>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21"/>
                <w:szCs w:val="21"/>
                <w:color w:val="auto"/>
              </w:rPr>
            </w:pPr>
          </w:p>
        </w:tc>
        <w:tc>
          <w:tcPr>
            <w:tcW w:w="1280" w:type="dxa"/>
            <w:vAlign w:val="bottom"/>
            <w:tcBorders>
              <w:bottom w:val="single" w:sz="8" w:color="355675"/>
            </w:tcBorders>
          </w:tcPr>
          <w:p>
            <w:pPr>
              <w:spacing w:after="0"/>
              <w:rPr>
                <w:sz w:val="21"/>
                <w:szCs w:val="21"/>
                <w:color w:val="auto"/>
              </w:rPr>
            </w:pPr>
          </w:p>
        </w:tc>
        <w:tc>
          <w:tcPr>
            <w:tcW w:w="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50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560" w:type="dxa"/>
            <w:vAlign w:val="bottom"/>
            <w:tcBorders>
              <w:bottom w:val="single" w:sz="8" w:color="355675"/>
            </w:tcBorders>
          </w:tcPr>
          <w:p>
            <w:pPr>
              <w:spacing w:after="0"/>
              <w:rPr>
                <w:sz w:val="21"/>
                <w:szCs w:val="21"/>
                <w:color w:val="auto"/>
              </w:rPr>
            </w:pPr>
          </w:p>
        </w:tc>
      </w:tr>
      <w:tr>
        <w:trPr>
          <w:trHeight w:val="269"/>
        </w:trPr>
        <w:tc>
          <w:tcPr>
            <w:tcW w:w="4920" w:type="dxa"/>
            <w:vAlign w:val="bottom"/>
          </w:tcPr>
          <w:p>
            <w:pPr>
              <w:ind w:left="60"/>
              <w:spacing w:after="0" w:line="270" w:lineRule="exact"/>
              <w:rPr>
                <w:sz w:val="20"/>
                <w:szCs w:val="20"/>
                <w:color w:val="auto"/>
              </w:rPr>
            </w:pPr>
            <w:r>
              <w:rPr>
                <w:rFonts w:ascii="Arial" w:cs="Arial" w:eastAsia="Arial" w:hAnsi="Arial"/>
                <w:sz w:val="16"/>
                <w:szCs w:val="16"/>
                <w:b w:val="1"/>
                <w:bCs w:val="1"/>
                <w:color w:val="355675"/>
              </w:rPr>
              <w:t>Robert E. Smith</w:t>
            </w:r>
            <w:r>
              <w:rPr>
                <w:rFonts w:ascii="Arial" w:cs="Arial" w:eastAsia="Arial" w:hAnsi="Arial"/>
                <w:sz w:val="26"/>
                <w:szCs w:val="26"/>
                <w:b w:val="1"/>
                <w:bCs w:val="1"/>
                <w:color w:val="355675"/>
                <w:vertAlign w:val="superscript"/>
              </w:rPr>
              <w:t>(10)</w:t>
            </w:r>
          </w:p>
        </w:tc>
        <w:tc>
          <w:tcPr>
            <w:tcW w:w="240" w:type="dxa"/>
            <w:vAlign w:val="bottom"/>
          </w:tcPr>
          <w:p>
            <w:pPr>
              <w:spacing w:after="0"/>
              <w:rPr>
                <w:sz w:val="23"/>
                <w:szCs w:val="23"/>
                <w:color w:val="auto"/>
              </w:rPr>
            </w:pPr>
          </w:p>
        </w:tc>
        <w:tc>
          <w:tcPr>
            <w:tcW w:w="1260" w:type="dxa"/>
            <w:vAlign w:val="bottom"/>
            <w:gridSpan w:val="2"/>
          </w:tcPr>
          <w:p>
            <w:pPr>
              <w:jc w:val="right"/>
              <w:ind w:right="240"/>
              <w:spacing w:after="0" w:line="270" w:lineRule="exact"/>
              <w:rPr>
                <w:sz w:val="20"/>
                <w:szCs w:val="20"/>
                <w:color w:val="auto"/>
              </w:rPr>
            </w:pPr>
            <w:r>
              <w:rPr>
                <w:rFonts w:ascii="Arial" w:cs="Arial" w:eastAsia="Arial" w:hAnsi="Arial"/>
                <w:sz w:val="16"/>
                <w:szCs w:val="16"/>
                <w:color w:val="auto"/>
              </w:rPr>
              <w:t>3,885</w:t>
            </w:r>
            <w:r>
              <w:rPr>
                <w:rFonts w:ascii="Arial" w:cs="Arial" w:eastAsia="Arial" w:hAnsi="Arial"/>
                <w:sz w:val="26"/>
                <w:szCs w:val="26"/>
                <w:color w:val="auto"/>
                <w:vertAlign w:val="superscript"/>
              </w:rPr>
              <w:t>(2)</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274,242</w:t>
            </w:r>
          </w:p>
        </w:tc>
        <w:tc>
          <w:tcPr>
            <w:tcW w:w="1960" w:type="dxa"/>
            <w:vAlign w:val="bottom"/>
            <w:gridSpan w:val="3"/>
          </w:tcPr>
          <w:p>
            <w:pPr>
              <w:jc w:val="right"/>
              <w:ind w:right="240"/>
              <w:spacing w:after="0" w:line="270" w:lineRule="exact"/>
              <w:rPr>
                <w:sz w:val="20"/>
                <w:szCs w:val="20"/>
                <w:color w:val="auto"/>
              </w:rPr>
            </w:pPr>
            <w:r>
              <w:rPr>
                <w:rFonts w:ascii="Arial" w:cs="Arial" w:eastAsia="Arial" w:hAnsi="Arial"/>
                <w:sz w:val="16"/>
                <w:szCs w:val="16"/>
                <w:color w:val="auto"/>
              </w:rPr>
              <w:t>5,931</w:t>
            </w:r>
            <w:r>
              <w:rPr>
                <w:rFonts w:ascii="Arial" w:cs="Arial" w:eastAsia="Arial" w:hAnsi="Arial"/>
                <w:sz w:val="26"/>
                <w:szCs w:val="26"/>
                <w:color w:val="auto"/>
                <w:vertAlign w:val="superscript"/>
              </w:rPr>
              <w:t>(6)</w:t>
            </w:r>
          </w:p>
        </w:tc>
        <w:tc>
          <w:tcPr>
            <w:tcW w:w="1560" w:type="dxa"/>
            <w:vAlign w:val="bottom"/>
          </w:tcPr>
          <w:p>
            <w:pPr>
              <w:jc w:val="right"/>
              <w:spacing w:after="0"/>
              <w:rPr>
                <w:sz w:val="20"/>
                <w:szCs w:val="20"/>
                <w:color w:val="auto"/>
              </w:rPr>
            </w:pPr>
            <w:r>
              <w:rPr>
                <w:rFonts w:ascii="Arial" w:cs="Arial" w:eastAsia="Arial" w:hAnsi="Arial"/>
                <w:sz w:val="16"/>
                <w:szCs w:val="16"/>
                <w:color w:val="auto"/>
              </w:rPr>
              <w:t>418,669</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64"/>
        </w:trPr>
        <w:tc>
          <w:tcPr>
            <w:tcW w:w="49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260" w:type="dxa"/>
            <w:vAlign w:val="bottom"/>
            <w:gridSpan w:val="2"/>
          </w:tcPr>
          <w:p>
            <w:pPr>
              <w:jc w:val="right"/>
              <w:ind w:right="240"/>
              <w:spacing w:after="0" w:line="263" w:lineRule="exact"/>
              <w:rPr>
                <w:sz w:val="20"/>
                <w:szCs w:val="20"/>
                <w:color w:val="auto"/>
              </w:rPr>
            </w:pPr>
            <w:r>
              <w:rPr>
                <w:rFonts w:ascii="Arial" w:cs="Arial" w:eastAsia="Arial" w:hAnsi="Arial"/>
                <w:sz w:val="16"/>
                <w:szCs w:val="16"/>
                <w:color w:val="auto"/>
              </w:rPr>
              <w:t>2,151</w:t>
            </w:r>
            <w:r>
              <w:rPr>
                <w:rFonts w:ascii="Arial" w:cs="Arial" w:eastAsia="Arial" w:hAnsi="Arial"/>
                <w:sz w:val="26"/>
                <w:szCs w:val="26"/>
                <w:color w:val="auto"/>
                <w:vertAlign w:val="superscript"/>
              </w:rPr>
              <w:t>(3)</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151,839</w:t>
            </w:r>
          </w:p>
        </w:tc>
        <w:tc>
          <w:tcPr>
            <w:tcW w:w="1960" w:type="dxa"/>
            <w:vAlign w:val="bottom"/>
            <w:gridSpan w:val="3"/>
          </w:tcPr>
          <w:p>
            <w:pPr>
              <w:jc w:val="right"/>
              <w:ind w:right="240"/>
              <w:spacing w:after="0" w:line="263" w:lineRule="exact"/>
              <w:rPr>
                <w:sz w:val="20"/>
                <w:szCs w:val="20"/>
                <w:color w:val="auto"/>
              </w:rPr>
            </w:pPr>
            <w:r>
              <w:rPr>
                <w:rFonts w:ascii="Arial" w:cs="Arial" w:eastAsia="Arial" w:hAnsi="Arial"/>
                <w:sz w:val="16"/>
                <w:szCs w:val="16"/>
                <w:color w:val="auto"/>
              </w:rPr>
              <w:t>4,476</w:t>
            </w:r>
            <w:r>
              <w:rPr>
                <w:rFonts w:ascii="Arial" w:cs="Arial" w:eastAsia="Arial" w:hAnsi="Arial"/>
                <w:sz w:val="26"/>
                <w:szCs w:val="26"/>
                <w:color w:val="auto"/>
                <w:vertAlign w:val="superscript"/>
              </w:rPr>
              <w:t>(7)</w:t>
            </w:r>
          </w:p>
        </w:tc>
        <w:tc>
          <w:tcPr>
            <w:tcW w:w="1560" w:type="dxa"/>
            <w:vAlign w:val="bottom"/>
          </w:tcPr>
          <w:p>
            <w:pPr>
              <w:jc w:val="right"/>
              <w:spacing w:after="0"/>
              <w:rPr>
                <w:sz w:val="20"/>
                <w:szCs w:val="20"/>
                <w:color w:val="auto"/>
              </w:rPr>
            </w:pPr>
            <w:r>
              <w:rPr>
                <w:rFonts w:ascii="Arial" w:cs="Arial" w:eastAsia="Arial" w:hAnsi="Arial"/>
                <w:sz w:val="16"/>
                <w:szCs w:val="16"/>
                <w:color w:val="auto"/>
              </w:rPr>
              <w:t>315,961</w:t>
            </w:r>
          </w:p>
        </w:tc>
      </w:tr>
      <w:tr>
        <w:trPr>
          <w:trHeight w:val="216"/>
        </w:trPr>
        <w:tc>
          <w:tcPr>
            <w:tcW w:w="49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20" w:type="dxa"/>
            <w:vAlign w:val="bottom"/>
            <w:tcBorders>
              <w:bottom w:val="single" w:sz="8" w:color="939598"/>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18"/>
                <w:szCs w:val="18"/>
                <w:color w:val="auto"/>
              </w:rPr>
            </w:pPr>
          </w:p>
        </w:tc>
        <w:tc>
          <w:tcPr>
            <w:tcW w:w="1280" w:type="dxa"/>
            <w:vAlign w:val="bottom"/>
            <w:tcBorders>
              <w:bottom w:val="single" w:sz="8" w:color="939598"/>
            </w:tcBorders>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500" w:type="dxa"/>
            <w:vAlign w:val="bottom"/>
            <w:tcBorders>
              <w:bottom w:val="single" w:sz="8" w:color="939598"/>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18"/>
                <w:szCs w:val="18"/>
                <w:color w:val="auto"/>
              </w:rPr>
            </w:pPr>
          </w:p>
        </w:tc>
        <w:tc>
          <w:tcPr>
            <w:tcW w:w="1560" w:type="dxa"/>
            <w:vAlign w:val="bottom"/>
            <w:tcBorders>
              <w:bottom w:val="single" w:sz="8" w:color="939598"/>
            </w:tcBorders>
          </w:tcPr>
          <w:p>
            <w:pPr>
              <w:spacing w:after="0"/>
              <w:rPr>
                <w:sz w:val="18"/>
                <w:szCs w:val="18"/>
                <w:color w:val="auto"/>
              </w:rPr>
            </w:pPr>
          </w:p>
        </w:tc>
      </w:tr>
      <w:tr>
        <w:trPr>
          <w:trHeight w:val="264"/>
        </w:trPr>
        <w:tc>
          <w:tcPr>
            <w:tcW w:w="49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260" w:type="dxa"/>
            <w:vAlign w:val="bottom"/>
            <w:gridSpan w:val="2"/>
          </w:tcPr>
          <w:p>
            <w:pPr>
              <w:jc w:val="right"/>
              <w:ind w:right="240"/>
              <w:spacing w:after="0" w:line="263" w:lineRule="exact"/>
              <w:rPr>
                <w:sz w:val="20"/>
                <w:szCs w:val="20"/>
                <w:color w:val="auto"/>
              </w:rPr>
            </w:pPr>
            <w:r>
              <w:rPr>
                <w:rFonts w:ascii="Arial" w:cs="Arial" w:eastAsia="Arial" w:hAnsi="Arial"/>
                <w:sz w:val="16"/>
                <w:szCs w:val="16"/>
                <w:color w:val="auto"/>
              </w:rPr>
              <w:t>1,627</w:t>
            </w:r>
            <w:r>
              <w:rPr>
                <w:rFonts w:ascii="Arial" w:cs="Arial" w:eastAsia="Arial" w:hAnsi="Arial"/>
                <w:sz w:val="26"/>
                <w:szCs w:val="26"/>
                <w:color w:val="auto"/>
                <w:vertAlign w:val="superscript"/>
              </w:rPr>
              <w:t>(4)</w:t>
            </w:r>
          </w:p>
        </w:tc>
        <w:tc>
          <w:tcPr>
            <w:tcW w:w="1300" w:type="dxa"/>
            <w:vAlign w:val="bottom"/>
            <w:gridSpan w:val="2"/>
          </w:tcPr>
          <w:p>
            <w:pPr>
              <w:jc w:val="right"/>
              <w:ind w:right="20"/>
              <w:spacing w:after="0"/>
              <w:rPr>
                <w:sz w:val="20"/>
                <w:szCs w:val="20"/>
                <w:color w:val="auto"/>
              </w:rPr>
            </w:pPr>
            <w:r>
              <w:rPr>
                <w:rFonts w:ascii="Arial" w:cs="Arial" w:eastAsia="Arial" w:hAnsi="Arial"/>
                <w:sz w:val="16"/>
                <w:szCs w:val="16"/>
                <w:color w:val="auto"/>
              </w:rPr>
              <w:t>114,850</w:t>
            </w:r>
          </w:p>
        </w:tc>
        <w:tc>
          <w:tcPr>
            <w:tcW w:w="1960" w:type="dxa"/>
            <w:vAlign w:val="bottom"/>
            <w:gridSpan w:val="3"/>
          </w:tcPr>
          <w:p>
            <w:pPr>
              <w:jc w:val="right"/>
              <w:ind w:right="240"/>
              <w:spacing w:after="0" w:line="263" w:lineRule="exact"/>
              <w:rPr>
                <w:sz w:val="20"/>
                <w:szCs w:val="20"/>
                <w:color w:val="auto"/>
              </w:rPr>
            </w:pPr>
            <w:r>
              <w:rPr>
                <w:rFonts w:ascii="Arial" w:cs="Arial" w:eastAsia="Arial" w:hAnsi="Arial"/>
                <w:sz w:val="16"/>
                <w:szCs w:val="16"/>
                <w:color w:val="auto"/>
              </w:rPr>
              <w:t>4,875</w:t>
            </w:r>
            <w:r>
              <w:rPr>
                <w:rFonts w:ascii="Arial" w:cs="Arial" w:eastAsia="Arial" w:hAnsi="Arial"/>
                <w:sz w:val="26"/>
                <w:szCs w:val="26"/>
                <w:color w:val="auto"/>
                <w:vertAlign w:val="superscript"/>
              </w:rPr>
              <w:t>(8)</w:t>
            </w:r>
          </w:p>
        </w:tc>
        <w:tc>
          <w:tcPr>
            <w:tcW w:w="1560" w:type="dxa"/>
            <w:vAlign w:val="bottom"/>
          </w:tcPr>
          <w:p>
            <w:pPr>
              <w:jc w:val="right"/>
              <w:spacing w:after="0"/>
              <w:rPr>
                <w:sz w:val="20"/>
                <w:szCs w:val="20"/>
                <w:color w:val="auto"/>
              </w:rPr>
            </w:pPr>
            <w:r>
              <w:rPr>
                <w:rFonts w:ascii="Arial" w:cs="Arial" w:eastAsia="Arial" w:hAnsi="Arial"/>
                <w:sz w:val="16"/>
                <w:szCs w:val="16"/>
                <w:color w:val="auto"/>
              </w:rPr>
              <w:t>344,126</w:t>
            </w:r>
          </w:p>
        </w:tc>
      </w:tr>
      <w:tr>
        <w:trPr>
          <w:trHeight w:val="251"/>
        </w:trPr>
        <w:tc>
          <w:tcPr>
            <w:tcW w:w="4920" w:type="dxa"/>
            <w:vAlign w:val="bottom"/>
            <w:tcBorders>
              <w:bottom w:val="single" w:sz="8" w:color="355675"/>
            </w:tcBorders>
          </w:tcPr>
          <w:p>
            <w:pPr>
              <w:spacing w:after="0"/>
              <w:rPr>
                <w:sz w:val="21"/>
                <w:szCs w:val="21"/>
                <w:color w:val="auto"/>
              </w:rPr>
            </w:pPr>
          </w:p>
        </w:tc>
        <w:tc>
          <w:tcPr>
            <w:tcW w:w="240" w:type="dxa"/>
            <w:vAlign w:val="bottom"/>
          </w:tcPr>
          <w:p>
            <w:pPr>
              <w:spacing w:after="0"/>
              <w:rPr>
                <w:sz w:val="21"/>
                <w:szCs w:val="21"/>
                <w:color w:val="auto"/>
              </w:rPr>
            </w:pPr>
          </w:p>
        </w:tc>
        <w:tc>
          <w:tcPr>
            <w:tcW w:w="1020" w:type="dxa"/>
            <w:vAlign w:val="bottom"/>
            <w:tcBorders>
              <w:bottom w:val="single" w:sz="8" w:color="355675"/>
            </w:tcBorders>
          </w:tcPr>
          <w:p>
            <w:pPr>
              <w:jc w:val="right"/>
              <w:ind w:right="40"/>
              <w:spacing w:after="0"/>
              <w:rPr>
                <w:sz w:val="20"/>
                <w:szCs w:val="20"/>
                <w:color w:val="auto"/>
              </w:rPr>
            </w:pPr>
            <w:r>
              <w:rPr>
                <w:rFonts w:ascii="Arial" w:cs="Arial" w:eastAsia="Arial" w:hAnsi="Arial"/>
                <w:sz w:val="16"/>
                <w:szCs w:val="16"/>
                <w:color w:val="auto"/>
              </w:rPr>
              <w:t>(RSUs)</w:t>
            </w:r>
          </w:p>
        </w:tc>
        <w:tc>
          <w:tcPr>
            <w:tcW w:w="240" w:type="dxa"/>
            <w:vAlign w:val="bottom"/>
          </w:tcPr>
          <w:p>
            <w:pPr>
              <w:spacing w:after="0"/>
              <w:rPr>
                <w:sz w:val="21"/>
                <w:szCs w:val="21"/>
                <w:color w:val="auto"/>
              </w:rPr>
            </w:pPr>
          </w:p>
        </w:tc>
        <w:tc>
          <w:tcPr>
            <w:tcW w:w="1280" w:type="dxa"/>
            <w:vAlign w:val="bottom"/>
            <w:tcBorders>
              <w:bottom w:val="single" w:sz="8" w:color="355675"/>
            </w:tcBorders>
          </w:tcPr>
          <w:p>
            <w:pPr>
              <w:spacing w:after="0"/>
              <w:rPr>
                <w:sz w:val="21"/>
                <w:szCs w:val="21"/>
                <w:color w:val="auto"/>
              </w:rPr>
            </w:pPr>
          </w:p>
        </w:tc>
        <w:tc>
          <w:tcPr>
            <w:tcW w:w="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500" w:type="dxa"/>
            <w:vAlign w:val="bottom"/>
            <w:tcBorders>
              <w:bottom w:val="single" w:sz="8" w:color="355675"/>
            </w:tcBorders>
          </w:tcPr>
          <w:p>
            <w:pPr>
              <w:jc w:val="center"/>
              <w:ind w:left="262"/>
              <w:spacing w:after="0"/>
              <w:rPr>
                <w:sz w:val="20"/>
                <w:szCs w:val="20"/>
                <w:color w:val="auto"/>
              </w:rPr>
            </w:pPr>
            <w:r>
              <w:rPr>
                <w:rFonts w:ascii="Arial" w:cs="Arial" w:eastAsia="Arial" w:hAnsi="Arial"/>
                <w:sz w:val="16"/>
                <w:szCs w:val="16"/>
                <w:color w:val="auto"/>
              </w:rPr>
              <w:t>(PS at target)</w:t>
            </w:r>
          </w:p>
        </w:tc>
        <w:tc>
          <w:tcPr>
            <w:tcW w:w="240" w:type="dxa"/>
            <w:vAlign w:val="bottom"/>
          </w:tcPr>
          <w:p>
            <w:pPr>
              <w:spacing w:after="0"/>
              <w:rPr>
                <w:sz w:val="21"/>
                <w:szCs w:val="21"/>
                <w:color w:val="auto"/>
              </w:rPr>
            </w:pPr>
          </w:p>
        </w:tc>
        <w:tc>
          <w:tcPr>
            <w:tcW w:w="1560" w:type="dxa"/>
            <w:vAlign w:val="bottom"/>
            <w:tcBorders>
              <w:bottom w:val="single" w:sz="8" w:color="355675"/>
            </w:tcBorders>
          </w:tcPr>
          <w:p>
            <w:pPr>
              <w:spacing w:after="0"/>
              <w:rPr>
                <w:sz w:val="21"/>
                <w:szCs w:val="21"/>
                <w:color w:val="auto"/>
              </w:rPr>
            </w:pPr>
          </w:p>
        </w:tc>
      </w:tr>
    </w:tbl>
    <w:p>
      <w:pPr>
        <w:spacing w:after="0" w:line="126" w:lineRule="exact"/>
        <w:rPr>
          <w:sz w:val="20"/>
          <w:szCs w:val="20"/>
          <w:color w:val="auto"/>
        </w:rPr>
      </w:pPr>
    </w:p>
    <w:p>
      <w:pPr>
        <w:ind w:left="300" w:right="80" w:hanging="292"/>
        <w:spacing w:after="0" w:line="206" w:lineRule="auto"/>
        <w:tabs>
          <w:tab w:leader="none" w:pos="300" w:val="left"/>
        </w:tabs>
        <w:numPr>
          <w:ilvl w:val="0"/>
          <w:numId w:val="94"/>
        </w:numPr>
        <w:rPr>
          <w:rFonts w:ascii="Arial" w:cs="Arial" w:eastAsia="Arial" w:hAnsi="Arial"/>
          <w:sz w:val="24"/>
          <w:szCs w:val="24"/>
          <w:color w:val="auto"/>
          <w:vertAlign w:val="superscript"/>
        </w:rPr>
      </w:pPr>
      <w:r>
        <w:rPr>
          <w:rFonts w:ascii="Arial" w:cs="Arial" w:eastAsia="Arial" w:hAnsi="Arial"/>
          <w:sz w:val="14"/>
          <w:szCs w:val="14"/>
          <w:color w:val="auto"/>
        </w:rPr>
        <w:t>The amount in this column is calculated by multiplying the closing market price of our common stock at the end of 2021 ($70.59 per share as of December 31, 2021) by the number of RSUs, performance shares and corresponding dividend rights (and interest thereon) that will be paid in stock to the extent the underlying RSU’s and performance shares actually vest, listed for the specified officer.</w:t>
      </w:r>
    </w:p>
    <w:p>
      <w:pPr>
        <w:spacing w:after="0" w:line="107" w:lineRule="exact"/>
        <w:rPr>
          <w:rFonts w:ascii="Arial" w:cs="Arial" w:eastAsia="Arial" w:hAnsi="Arial"/>
          <w:sz w:val="24"/>
          <w:szCs w:val="24"/>
          <w:color w:val="auto"/>
          <w:vertAlign w:val="superscript"/>
        </w:rPr>
      </w:pPr>
    </w:p>
    <w:p>
      <w:pPr>
        <w:ind w:left="300" w:right="40" w:hanging="292"/>
        <w:spacing w:after="0" w:line="193" w:lineRule="auto"/>
        <w:tabs>
          <w:tab w:leader="none" w:pos="300" w:val="left"/>
        </w:tabs>
        <w:numPr>
          <w:ilvl w:val="0"/>
          <w:numId w:val="94"/>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the RSUs awarded in 2021 that are described, with their vesting and release schedule, under “Executive Compensation Components — Long-Term Incentives — RSUs” in the CD&amp;A.</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85</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94" w:name="page95"/>
    <w:bookmarkEnd w:id="9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94" w:lineRule="exact"/>
        <w:rPr>
          <w:sz w:val="20"/>
          <w:szCs w:val="20"/>
          <w:color w:val="auto"/>
        </w:rPr>
      </w:pPr>
    </w:p>
    <w:p>
      <w:pPr>
        <w:ind w:left="300" w:hanging="292"/>
        <w:spacing w:after="0"/>
        <w:tabs>
          <w:tab w:leader="none" w:pos="300" w:val="left"/>
        </w:tabs>
        <w:numPr>
          <w:ilvl w:val="0"/>
          <w:numId w:val="95"/>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(i) the remaining RSUs awarded in 2020 as follows: Mr. Guldner — 7,185; Mr. Geisler — 1,476; Mr. Hatfield — 2,652; Ms. Lacal — 1,548; and Mr.</w:t>
      </w:r>
    </w:p>
    <w:p>
      <w:pPr>
        <w:ind w:left="300" w:right="240"/>
        <w:spacing w:after="0" w:line="252" w:lineRule="auto"/>
        <w:rPr>
          <w:rFonts w:ascii="Arial" w:cs="Arial" w:eastAsia="Arial" w:hAnsi="Arial"/>
          <w:sz w:val="24"/>
          <w:szCs w:val="24"/>
          <w:color w:val="auto"/>
          <w:vertAlign w:val="superscript"/>
        </w:rPr>
      </w:pPr>
      <w:r>
        <w:rPr>
          <w:rFonts w:ascii="Arial" w:cs="Arial" w:eastAsia="Arial" w:hAnsi="Arial"/>
          <w:sz w:val="14"/>
          <w:szCs w:val="14"/>
          <w:color w:val="auto"/>
        </w:rPr>
        <w:t>Smith — 2,064; and (ii) accrued dividend rights (and interest thereon) that will be paid in stock to the extent the underlying RSU’s actually vest, as follows: Mr. Geisler — 125; Ms. Lacal — 87; and Mr. Smith — 87. The 2020 RSUs vest and are released in 25% increments beginning on February 20, 2021, so they will be fully vested on February 20, 2024.</w:t>
      </w:r>
    </w:p>
    <w:p>
      <w:pPr>
        <w:ind w:left="300" w:hanging="292"/>
        <w:spacing w:after="0"/>
        <w:tabs>
          <w:tab w:leader="none" w:pos="300" w:val="left"/>
        </w:tabs>
        <w:numPr>
          <w:ilvl w:val="0"/>
          <w:numId w:val="95"/>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(i) the remaining RSUs awarded in 2019 as follows: Mr. Guldner — 2,980; Mr. Geisler — 388; Mr. Hatfield —1,656; Ms. Lacal — 662; and Mr. Smith</w:t>
      </w:r>
    </w:p>
    <w:p>
      <w:pPr>
        <w:jc w:val="both"/>
        <w:ind w:left="300" w:right="140"/>
        <w:spacing w:after="0" w:line="252" w:lineRule="auto"/>
        <w:rPr>
          <w:rFonts w:ascii="Arial" w:cs="Arial" w:eastAsia="Arial" w:hAnsi="Arial"/>
          <w:sz w:val="24"/>
          <w:szCs w:val="24"/>
          <w:color w:val="auto"/>
          <w:vertAlign w:val="superscript"/>
        </w:rPr>
      </w:pPr>
      <w:r>
        <w:rPr>
          <w:rFonts w:ascii="Arial" w:cs="Arial" w:eastAsia="Arial" w:hAnsi="Arial"/>
          <w:sz w:val="14"/>
          <w:szCs w:val="14"/>
          <w:color w:val="auto"/>
        </w:rPr>
        <w:t>— 1,436; and (ii) accrued dividend rights (and interest thereon) that will be paid in stock to the extent the underlying RSU’s actually vest, as follows: Mr. Geisler — 52; Ms. Lacal — 88; and Mr. Smith — 191. The 2019 RSUs vest and are released in 25% increments beginning on February 20, 2020, so they will be fully vested on February 20, 2023.</w:t>
      </w:r>
    </w:p>
    <w:p>
      <w:pPr>
        <w:ind w:left="300" w:hanging="292"/>
        <w:spacing w:after="0"/>
        <w:tabs>
          <w:tab w:leader="none" w:pos="300" w:val="left"/>
        </w:tabs>
        <w:numPr>
          <w:ilvl w:val="0"/>
          <w:numId w:val="95"/>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(i) the remaining RSUs awarded in 2018 as follows: Mr. Guldner — 681; Mr. Geisler — 227; Mr. Hatfield —972; and Ms. Lacal — 389; and (ii)</w:t>
      </w:r>
    </w:p>
    <w:p>
      <w:pPr>
        <w:ind w:left="300" w:right="160"/>
        <w:spacing w:after="0" w:line="264" w:lineRule="auto"/>
        <w:rPr>
          <w:rFonts w:ascii="Arial" w:cs="Arial" w:eastAsia="Arial" w:hAnsi="Arial"/>
          <w:sz w:val="24"/>
          <w:szCs w:val="24"/>
          <w:color w:val="auto"/>
          <w:vertAlign w:val="superscript"/>
        </w:rPr>
      </w:pPr>
      <w:r>
        <w:rPr>
          <w:rFonts w:ascii="Arial" w:cs="Arial" w:eastAsia="Arial" w:hAnsi="Arial"/>
          <w:sz w:val="14"/>
          <w:szCs w:val="14"/>
          <w:color w:val="auto"/>
        </w:rPr>
        <w:t>accrued dividend rights (and interest thereon) that will be paid in stock to the extent the underlying RSU’s actually vest, as follows: Mr. Geisler — 41; and Ms. Lacal — 70. The 2018 RSUs vest and are released in 25% increments beginning on February 20, 2019, so they were fully vested on February 18, 2022.</w:t>
      </w:r>
    </w:p>
    <w:p>
      <w:pPr>
        <w:spacing w:after="0" w:line="90" w:lineRule="exact"/>
        <w:rPr>
          <w:rFonts w:ascii="Arial" w:cs="Arial" w:eastAsia="Arial" w:hAnsi="Arial"/>
          <w:sz w:val="24"/>
          <w:szCs w:val="24"/>
          <w:color w:val="auto"/>
          <w:vertAlign w:val="superscript"/>
        </w:rPr>
      </w:pPr>
    </w:p>
    <w:p>
      <w:pPr>
        <w:ind w:left="300" w:right="40" w:hanging="292"/>
        <w:spacing w:after="0" w:line="218" w:lineRule="auto"/>
        <w:tabs>
          <w:tab w:leader="none" w:pos="300" w:val="left"/>
        </w:tabs>
        <w:numPr>
          <w:ilvl w:val="0"/>
          <w:numId w:val="95"/>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(i) the 2021 Performance Shares — the SEC rules require us to assume a number of shares equal to the target (100% of Base Grant) payout level of these performance shares, although the actual number of shares awarded, if any, will not be determined until after the end of the performance period, which ends on December 31, 2023; and (ii) accrued dividend rights (and interest thereon) that will be paid in stock to the extent the underlying performance shares actually vest and are paid out, as follows: Mr. Guldner — 1,294; Mr. Geisler — 285; Mr. Hatfield — 399; Ms. Lacal — 266; and Mr. Smith — 207. The 2021 Performance Shares are described with their vesting schedule under “Executive Compensation Components — Long-Term Incentives — Performance Shares” in the CD&amp;A.</w:t>
      </w:r>
    </w:p>
    <w:p>
      <w:pPr>
        <w:spacing w:after="0" w:line="109" w:lineRule="exact"/>
        <w:rPr>
          <w:rFonts w:ascii="Arial" w:cs="Arial" w:eastAsia="Arial" w:hAnsi="Arial"/>
          <w:sz w:val="24"/>
          <w:szCs w:val="24"/>
          <w:color w:val="auto"/>
          <w:vertAlign w:val="superscript"/>
        </w:rPr>
      </w:pPr>
    </w:p>
    <w:p>
      <w:pPr>
        <w:ind w:left="300" w:right="40" w:hanging="292"/>
        <w:spacing w:after="0" w:line="218" w:lineRule="auto"/>
        <w:tabs>
          <w:tab w:leader="none" w:pos="300" w:val="left"/>
        </w:tabs>
        <w:numPr>
          <w:ilvl w:val="0"/>
          <w:numId w:val="95"/>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(i) the 2020 Performance Shares — the SEC rules require us to assume a number of shares equal to the target (100% of Base Grant) payout level of these performance shares, although the actual number of shares awarded, if any, will not be determined until after the end of the performance period, which ends on December 31, 2022; and (ii) accrued dividend rights (and interest thereon) that will be paid in stock to the extent the underlying performance shares actually vest and are paid out, as follows: Mr. Guldner — 1,893; Mr. Geisler — 250; Mr. Hatfield — 699; Ms. Lacal — 408; and Mr. Smith — 350. The 2020 Performance Shares are described with their vesting schedule under “Executive Compensation Components — Long-Term Incentives — Performance Shares” in the CD&amp;A.</w:t>
      </w:r>
    </w:p>
    <w:p>
      <w:pPr>
        <w:spacing w:after="0" w:line="109" w:lineRule="exact"/>
        <w:rPr>
          <w:rFonts w:ascii="Arial" w:cs="Arial" w:eastAsia="Arial" w:hAnsi="Arial"/>
          <w:sz w:val="24"/>
          <w:szCs w:val="24"/>
          <w:color w:val="auto"/>
          <w:vertAlign w:val="superscript"/>
        </w:rPr>
      </w:pPr>
    </w:p>
    <w:p>
      <w:pPr>
        <w:ind w:left="300" w:hanging="292"/>
        <w:spacing w:after="0" w:line="213" w:lineRule="auto"/>
        <w:tabs>
          <w:tab w:leader="none" w:pos="300" w:val="left"/>
        </w:tabs>
        <w:numPr>
          <w:ilvl w:val="0"/>
          <w:numId w:val="95"/>
        </w:numPr>
        <w:rPr>
          <w:rFonts w:ascii="Arial" w:cs="Arial" w:eastAsia="Arial" w:hAnsi="Arial"/>
          <w:sz w:val="24"/>
          <w:szCs w:val="24"/>
          <w:color w:val="auto"/>
          <w:vertAlign w:val="superscript"/>
        </w:rPr>
      </w:pPr>
      <w:r>
        <w:rPr>
          <w:rFonts w:ascii="Arial" w:cs="Arial" w:eastAsia="Arial" w:hAnsi="Arial"/>
          <w:sz w:val="14"/>
          <w:szCs w:val="14"/>
          <w:color w:val="auto"/>
        </w:rPr>
        <w:t>This amount represents: (i) the 2019 performance shares — the SEC rules require us to assume a number of shares equal to the target (100% of the Base Grant) payout level of these performance shares, although the actual number of shares awarded, if any, will not be determined until after the end of the performance period, which ends on December 31, 2021; and (ii) accrued dividend rights (and interest thereon) that will be paid in stock to the extent the underlying performance shares actually vest and are paid out, as follows: Mr. Guldner — 1,845; Mr. Geisler — 154; Mr. Hatfield —1,025; Ms. Lacal — 264; and Mr. Smith — 571.</w:t>
      </w:r>
    </w:p>
    <w:p>
      <w:pPr>
        <w:spacing w:after="0" w:line="16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Option Exercises and Stock Vested</w:t>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8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760" w:type="dxa"/>
            <w:vAlign w:val="bottom"/>
            <w:gridSpan w:val="3"/>
            <w:shd w:val="clear" w:color="auto" w:fill="355675"/>
          </w:tcPr>
          <w:p>
            <w:pPr>
              <w:jc w:val="right"/>
              <w:ind w:right="822"/>
              <w:spacing w:after="0"/>
              <w:rPr>
                <w:sz w:val="20"/>
                <w:szCs w:val="20"/>
                <w:color w:val="auto"/>
              </w:rPr>
            </w:pPr>
            <w:r>
              <w:rPr>
                <w:rFonts w:ascii="Arial" w:cs="Arial" w:eastAsia="Arial" w:hAnsi="Arial"/>
                <w:sz w:val="14"/>
                <w:szCs w:val="14"/>
                <w:b w:val="1"/>
                <w:bCs w:val="1"/>
                <w:color w:val="FFFFFF"/>
              </w:rPr>
              <w:t>Stock Awards</w:t>
            </w:r>
          </w:p>
        </w:tc>
      </w:tr>
      <w:tr>
        <w:trPr>
          <w:trHeight w:val="180"/>
        </w:trPr>
        <w:tc>
          <w:tcPr>
            <w:tcW w:w="82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66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355675"/>
              </w:rPr>
              <w:t>Number of Shares</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Value Realized</w:t>
            </w:r>
          </w:p>
        </w:tc>
      </w:tr>
      <w:tr>
        <w:trPr>
          <w:trHeight w:val="159"/>
        </w:trPr>
        <w:tc>
          <w:tcPr>
            <w:tcW w:w="82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660" w:type="dxa"/>
            <w:vAlign w:val="bottom"/>
            <w:gridSpan w:val="2"/>
          </w:tcPr>
          <w:p>
            <w:pPr>
              <w:jc w:val="right"/>
              <w:ind w:right="240"/>
              <w:spacing w:after="0" w:line="159" w:lineRule="exact"/>
              <w:rPr>
                <w:sz w:val="20"/>
                <w:szCs w:val="20"/>
                <w:color w:val="auto"/>
              </w:rPr>
            </w:pPr>
            <w:r>
              <w:rPr>
                <w:rFonts w:ascii="Arial" w:cs="Arial" w:eastAsia="Arial" w:hAnsi="Arial"/>
                <w:sz w:val="14"/>
                <w:szCs w:val="14"/>
                <w:b w:val="1"/>
                <w:bCs w:val="1"/>
                <w:color w:val="355675"/>
              </w:rPr>
              <w:t>Acquired on Vesting</w:t>
            </w:r>
          </w:p>
        </w:tc>
        <w:tc>
          <w:tcPr>
            <w:tcW w:w="1100" w:type="dxa"/>
            <w:vAlign w:val="bottom"/>
          </w:tcPr>
          <w:p>
            <w:pPr>
              <w:jc w:val="right"/>
              <w:spacing w:after="0" w:line="159" w:lineRule="exact"/>
              <w:rPr>
                <w:sz w:val="20"/>
                <w:szCs w:val="20"/>
                <w:color w:val="auto"/>
              </w:rPr>
            </w:pPr>
            <w:r>
              <w:rPr>
                <w:rFonts w:ascii="Arial" w:cs="Arial" w:eastAsia="Arial" w:hAnsi="Arial"/>
                <w:sz w:val="14"/>
                <w:szCs w:val="14"/>
                <w:b w:val="1"/>
                <w:bCs w:val="1"/>
                <w:color w:val="355675"/>
              </w:rPr>
              <w:t>on Vesting</w:t>
            </w:r>
          </w:p>
        </w:tc>
      </w:tr>
      <w:tr>
        <w:trPr>
          <w:trHeight w:val="262"/>
        </w:trPr>
        <w:tc>
          <w:tcPr>
            <w:tcW w:w="8220" w:type="dxa"/>
            <w:vAlign w:val="bottom"/>
          </w:tcPr>
          <w:p>
            <w:pPr>
              <w:ind w:left="60"/>
              <w:spacing w:after="0"/>
              <w:rPr>
                <w:sz w:val="20"/>
                <w:szCs w:val="20"/>
                <w:color w:val="auto"/>
              </w:rPr>
            </w:pPr>
            <w:r>
              <w:rPr>
                <w:rFonts w:ascii="Arial" w:cs="Arial" w:eastAsia="Arial" w:hAnsi="Arial"/>
                <w:sz w:val="14"/>
                <w:szCs w:val="14"/>
                <w:b w:val="1"/>
                <w:bCs w:val="1"/>
                <w:color w:val="355675"/>
              </w:rPr>
              <w:t>Name</w:t>
            </w:r>
          </w:p>
        </w:tc>
        <w:tc>
          <w:tcPr>
            <w:tcW w:w="260" w:type="dxa"/>
            <w:vAlign w:val="bottom"/>
          </w:tcPr>
          <w:p>
            <w:pPr>
              <w:spacing w:after="0"/>
              <w:rPr>
                <w:sz w:val="22"/>
                <w:szCs w:val="22"/>
                <w:color w:val="auto"/>
              </w:rPr>
            </w:pPr>
          </w:p>
        </w:tc>
        <w:tc>
          <w:tcPr>
            <w:tcW w:w="1660" w:type="dxa"/>
            <w:vAlign w:val="bottom"/>
            <w:gridSpan w:val="2"/>
          </w:tcPr>
          <w:p>
            <w:pPr>
              <w:jc w:val="right"/>
              <w:ind w:right="240"/>
              <w:spacing w:after="0" w:line="229"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(1)</w:t>
            </w:r>
          </w:p>
        </w:tc>
        <w:tc>
          <w:tcPr>
            <w:tcW w:w="1100" w:type="dxa"/>
            <w:vAlign w:val="bottom"/>
          </w:tcPr>
          <w:p>
            <w:pPr>
              <w:jc w:val="right"/>
              <w:spacing w:after="0" w:line="229"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(2)</w:t>
            </w:r>
          </w:p>
        </w:tc>
      </w:tr>
      <w:tr>
        <w:trPr>
          <w:trHeight w:val="239"/>
        </w:trPr>
        <w:tc>
          <w:tcPr>
            <w:tcW w:w="822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Jeffrey B. Guldner</w:t>
            </w:r>
          </w:p>
        </w:tc>
        <w:tc>
          <w:tcPr>
            <w:tcW w:w="260" w:type="dxa"/>
            <w:vAlign w:val="bottom"/>
          </w:tcPr>
          <w:p>
            <w:pPr>
              <w:spacing w:after="0"/>
              <w:rPr>
                <w:sz w:val="20"/>
                <w:szCs w:val="20"/>
                <w:color w:val="auto"/>
              </w:rPr>
            </w:pPr>
          </w:p>
        </w:tc>
        <w:tc>
          <w:tcPr>
            <w:tcW w:w="142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10,436</w:t>
            </w:r>
          </w:p>
        </w:tc>
        <w:tc>
          <w:tcPr>
            <w:tcW w:w="240" w:type="dxa"/>
            <w:vAlign w:val="bottom"/>
          </w:tcPr>
          <w:p>
            <w:pPr>
              <w:spacing w:after="0"/>
              <w:rPr>
                <w:sz w:val="20"/>
                <w:szCs w:val="20"/>
                <w:color w:val="auto"/>
              </w:rPr>
            </w:pPr>
          </w:p>
        </w:tc>
        <w:tc>
          <w:tcPr>
            <w:tcW w:w="1100" w:type="dxa"/>
            <w:vAlign w:val="bottom"/>
            <w:tcBorders>
              <w:top w:val="single" w:sz="8" w:color="355675"/>
              <w:bottom w:val="single" w:sz="8" w:color="939598"/>
            </w:tcBorders>
          </w:tcPr>
          <w:p>
            <w:pPr>
              <w:jc w:val="right"/>
              <w:spacing w:after="0"/>
              <w:rPr>
                <w:sz w:val="20"/>
                <w:szCs w:val="20"/>
                <w:color w:val="auto"/>
              </w:rPr>
            </w:pPr>
            <w:r>
              <w:rPr>
                <w:rFonts w:ascii="Arial" w:cs="Arial" w:eastAsia="Arial" w:hAnsi="Arial"/>
                <w:sz w:val="16"/>
                <w:szCs w:val="16"/>
                <w:color w:val="auto"/>
              </w:rPr>
              <w:t>731,906</w:t>
            </w:r>
          </w:p>
        </w:tc>
      </w:tr>
      <w:tr>
        <w:trPr>
          <w:trHeight w:val="237"/>
        </w:trPr>
        <w:tc>
          <w:tcPr>
            <w:tcW w:w="8220" w:type="dxa"/>
            <w:vAlign w:val="bottom"/>
          </w:tcPr>
          <w:p>
            <w:pPr>
              <w:ind w:left="60"/>
              <w:spacing w:after="0"/>
              <w:rPr>
                <w:sz w:val="20"/>
                <w:szCs w:val="20"/>
                <w:color w:val="auto"/>
              </w:rPr>
            </w:pPr>
            <w:r>
              <w:rPr>
                <w:rFonts w:ascii="Arial" w:cs="Arial" w:eastAsia="Arial" w:hAnsi="Arial"/>
                <w:sz w:val="16"/>
                <w:szCs w:val="16"/>
                <w:b w:val="1"/>
                <w:bCs w:val="1"/>
                <w:color w:val="355675"/>
              </w:rPr>
              <w:t>Theodore N. Geisler</w:t>
            </w:r>
          </w:p>
        </w:tc>
        <w:tc>
          <w:tcPr>
            <w:tcW w:w="260" w:type="dxa"/>
            <w:vAlign w:val="bottom"/>
          </w:tcPr>
          <w:p>
            <w:pPr>
              <w:spacing w:after="0"/>
              <w:rPr>
                <w:sz w:val="20"/>
                <w:szCs w:val="20"/>
                <w:color w:val="auto"/>
              </w:rPr>
            </w:pPr>
          </w:p>
        </w:tc>
        <w:tc>
          <w:tcPr>
            <w:tcW w:w="1660" w:type="dxa"/>
            <w:vAlign w:val="bottom"/>
            <w:gridSpan w:val="2"/>
          </w:tcPr>
          <w:p>
            <w:pPr>
              <w:jc w:val="right"/>
              <w:ind w:right="240"/>
              <w:spacing w:after="0"/>
              <w:rPr>
                <w:sz w:val="20"/>
                <w:szCs w:val="20"/>
                <w:color w:val="auto"/>
              </w:rPr>
            </w:pPr>
            <w:r>
              <w:rPr>
                <w:rFonts w:ascii="Arial" w:cs="Arial" w:eastAsia="Arial" w:hAnsi="Arial"/>
                <w:sz w:val="16"/>
                <w:szCs w:val="16"/>
                <w:color w:val="auto"/>
              </w:rPr>
              <w:t>2,164</w:t>
            </w:r>
          </w:p>
        </w:tc>
        <w:tc>
          <w:tcPr>
            <w:tcW w:w="1100" w:type="dxa"/>
            <w:vAlign w:val="bottom"/>
          </w:tcPr>
          <w:p>
            <w:pPr>
              <w:jc w:val="right"/>
              <w:spacing w:after="0"/>
              <w:rPr>
                <w:sz w:val="20"/>
                <w:szCs w:val="20"/>
                <w:color w:val="auto"/>
              </w:rPr>
            </w:pPr>
            <w:r>
              <w:rPr>
                <w:rFonts w:ascii="Arial" w:cs="Arial" w:eastAsia="Arial" w:hAnsi="Arial"/>
                <w:sz w:val="16"/>
                <w:szCs w:val="16"/>
                <w:color w:val="auto"/>
              </w:rPr>
              <w:t>151,442</w:t>
            </w:r>
          </w:p>
        </w:tc>
      </w:tr>
      <w:tr>
        <w:trPr>
          <w:trHeight w:val="236"/>
        </w:trPr>
        <w:tc>
          <w:tcPr>
            <w:tcW w:w="8220" w:type="dxa"/>
            <w:vAlign w:val="bottom"/>
            <w:tcBorders>
              <w:top w:val="single" w:sz="8" w:color="939598"/>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James R. Hatfield</w:t>
            </w:r>
          </w:p>
        </w:tc>
        <w:tc>
          <w:tcPr>
            <w:tcW w:w="260" w:type="dxa"/>
            <w:vAlign w:val="bottom"/>
          </w:tcPr>
          <w:p>
            <w:pPr>
              <w:spacing w:after="0"/>
              <w:rPr>
                <w:sz w:val="20"/>
                <w:szCs w:val="20"/>
                <w:color w:val="auto"/>
              </w:rPr>
            </w:pPr>
          </w:p>
        </w:tc>
        <w:tc>
          <w:tcPr>
            <w:tcW w:w="142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11,457</w:t>
            </w:r>
          </w:p>
        </w:tc>
        <w:tc>
          <w:tcPr>
            <w:tcW w:w="240" w:type="dxa"/>
            <w:vAlign w:val="bottom"/>
          </w:tcPr>
          <w:p>
            <w:pPr>
              <w:spacing w:after="0"/>
              <w:rPr>
                <w:sz w:val="20"/>
                <w:szCs w:val="20"/>
                <w:color w:val="auto"/>
              </w:rPr>
            </w:pPr>
          </w:p>
        </w:tc>
        <w:tc>
          <w:tcPr>
            <w:tcW w:w="1100" w:type="dxa"/>
            <w:vAlign w:val="bottom"/>
            <w:tcBorders>
              <w:top w:val="single" w:sz="8" w:color="939598"/>
              <w:bottom w:val="single" w:sz="8" w:color="939598"/>
            </w:tcBorders>
          </w:tcPr>
          <w:p>
            <w:pPr>
              <w:jc w:val="right"/>
              <w:spacing w:after="0"/>
              <w:rPr>
                <w:sz w:val="20"/>
                <w:szCs w:val="20"/>
                <w:color w:val="auto"/>
              </w:rPr>
            </w:pPr>
            <w:r>
              <w:rPr>
                <w:rFonts w:ascii="Arial" w:cs="Arial" w:eastAsia="Arial" w:hAnsi="Arial"/>
                <w:sz w:val="16"/>
                <w:szCs w:val="16"/>
                <w:color w:val="auto"/>
              </w:rPr>
              <w:t>782,239</w:t>
            </w:r>
          </w:p>
        </w:tc>
      </w:tr>
      <w:tr>
        <w:trPr>
          <w:trHeight w:val="237"/>
        </w:trPr>
        <w:tc>
          <w:tcPr>
            <w:tcW w:w="8220" w:type="dxa"/>
            <w:vAlign w:val="bottom"/>
          </w:tcPr>
          <w:p>
            <w:pPr>
              <w:ind w:left="60"/>
              <w:spacing w:after="0"/>
              <w:rPr>
                <w:sz w:val="20"/>
                <w:szCs w:val="20"/>
                <w:color w:val="auto"/>
              </w:rPr>
            </w:pPr>
            <w:r>
              <w:rPr>
                <w:rFonts w:ascii="Arial" w:cs="Arial" w:eastAsia="Arial" w:hAnsi="Arial"/>
                <w:sz w:val="16"/>
                <w:szCs w:val="16"/>
                <w:b w:val="1"/>
                <w:bCs w:val="1"/>
                <w:color w:val="355675"/>
              </w:rPr>
              <w:t>Maria L. Lacal</w:t>
            </w:r>
          </w:p>
        </w:tc>
        <w:tc>
          <w:tcPr>
            <w:tcW w:w="260" w:type="dxa"/>
            <w:vAlign w:val="bottom"/>
          </w:tcPr>
          <w:p>
            <w:pPr>
              <w:spacing w:after="0"/>
              <w:rPr>
                <w:sz w:val="20"/>
                <w:szCs w:val="20"/>
                <w:color w:val="auto"/>
              </w:rPr>
            </w:pPr>
          </w:p>
        </w:tc>
        <w:tc>
          <w:tcPr>
            <w:tcW w:w="1660" w:type="dxa"/>
            <w:vAlign w:val="bottom"/>
            <w:gridSpan w:val="2"/>
          </w:tcPr>
          <w:p>
            <w:pPr>
              <w:jc w:val="right"/>
              <w:ind w:right="240"/>
              <w:spacing w:after="0"/>
              <w:rPr>
                <w:sz w:val="20"/>
                <w:szCs w:val="20"/>
                <w:color w:val="auto"/>
              </w:rPr>
            </w:pPr>
            <w:r>
              <w:rPr>
                <w:rFonts w:ascii="Arial" w:cs="Arial" w:eastAsia="Arial" w:hAnsi="Arial"/>
                <w:sz w:val="16"/>
                <w:szCs w:val="16"/>
                <w:color w:val="auto"/>
              </w:rPr>
              <w:t>3,774</w:t>
            </w:r>
          </w:p>
        </w:tc>
        <w:tc>
          <w:tcPr>
            <w:tcW w:w="1100" w:type="dxa"/>
            <w:vAlign w:val="bottom"/>
          </w:tcPr>
          <w:p>
            <w:pPr>
              <w:jc w:val="right"/>
              <w:spacing w:after="0"/>
              <w:rPr>
                <w:sz w:val="20"/>
                <w:szCs w:val="20"/>
                <w:color w:val="auto"/>
              </w:rPr>
            </w:pPr>
            <w:r>
              <w:rPr>
                <w:rFonts w:ascii="Arial" w:cs="Arial" w:eastAsia="Arial" w:hAnsi="Arial"/>
                <w:sz w:val="16"/>
                <w:szCs w:val="16"/>
                <w:color w:val="auto"/>
              </w:rPr>
              <w:t>264,147</w:t>
            </w:r>
          </w:p>
        </w:tc>
      </w:tr>
      <w:tr>
        <w:trPr>
          <w:trHeight w:val="20"/>
        </w:trPr>
        <w:tc>
          <w:tcPr>
            <w:tcW w:w="8220" w:type="dxa"/>
            <w:vAlign w:val="bottom"/>
            <w:shd w:val="clear" w:color="auto" w:fill="939598"/>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20" w:type="dxa"/>
            <w:vAlign w:val="bottom"/>
            <w:shd w:val="clear" w:color="auto" w:fill="939598"/>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36"/>
        </w:trPr>
        <w:tc>
          <w:tcPr>
            <w:tcW w:w="8220" w:type="dxa"/>
            <w:vAlign w:val="bottom"/>
          </w:tcPr>
          <w:p>
            <w:pPr>
              <w:ind w:left="60"/>
              <w:spacing w:after="0"/>
              <w:rPr>
                <w:sz w:val="20"/>
                <w:szCs w:val="20"/>
                <w:color w:val="auto"/>
              </w:rPr>
            </w:pPr>
            <w:r>
              <w:rPr>
                <w:rFonts w:ascii="Arial" w:cs="Arial" w:eastAsia="Arial" w:hAnsi="Arial"/>
                <w:sz w:val="16"/>
                <w:szCs w:val="16"/>
                <w:b w:val="1"/>
                <w:bCs w:val="1"/>
                <w:color w:val="355675"/>
              </w:rPr>
              <w:t>Robert E. Smith</w:t>
            </w:r>
          </w:p>
        </w:tc>
        <w:tc>
          <w:tcPr>
            <w:tcW w:w="260" w:type="dxa"/>
            <w:vAlign w:val="bottom"/>
          </w:tcPr>
          <w:p>
            <w:pPr>
              <w:spacing w:after="0"/>
              <w:rPr>
                <w:sz w:val="20"/>
                <w:szCs w:val="20"/>
                <w:color w:val="auto"/>
              </w:rPr>
            </w:pPr>
          </w:p>
        </w:tc>
        <w:tc>
          <w:tcPr>
            <w:tcW w:w="1660" w:type="dxa"/>
            <w:vAlign w:val="bottom"/>
            <w:gridSpan w:val="2"/>
          </w:tcPr>
          <w:p>
            <w:pPr>
              <w:jc w:val="right"/>
              <w:ind w:right="240"/>
              <w:spacing w:after="0"/>
              <w:rPr>
                <w:sz w:val="20"/>
                <w:szCs w:val="20"/>
                <w:color w:val="auto"/>
              </w:rPr>
            </w:pPr>
            <w:r>
              <w:rPr>
                <w:rFonts w:ascii="Arial" w:cs="Arial" w:eastAsia="Arial" w:hAnsi="Arial"/>
                <w:sz w:val="16"/>
                <w:szCs w:val="16"/>
                <w:color w:val="auto"/>
              </w:rPr>
              <w:t>5,978</w:t>
            </w:r>
          </w:p>
        </w:tc>
        <w:tc>
          <w:tcPr>
            <w:tcW w:w="1100" w:type="dxa"/>
            <w:vAlign w:val="bottom"/>
          </w:tcPr>
          <w:p>
            <w:pPr>
              <w:jc w:val="right"/>
              <w:spacing w:after="0"/>
              <w:rPr>
                <w:sz w:val="20"/>
                <w:szCs w:val="20"/>
                <w:color w:val="auto"/>
              </w:rPr>
            </w:pPr>
            <w:r>
              <w:rPr>
                <w:rFonts w:ascii="Arial" w:cs="Arial" w:eastAsia="Arial" w:hAnsi="Arial"/>
                <w:sz w:val="16"/>
                <w:szCs w:val="16"/>
                <w:color w:val="auto"/>
              </w:rPr>
              <w:t>431,840</w:t>
            </w:r>
          </w:p>
        </w:tc>
      </w:tr>
      <w:tr>
        <w:trPr>
          <w:trHeight w:val="58"/>
        </w:trPr>
        <w:tc>
          <w:tcPr>
            <w:tcW w:w="8220" w:type="dxa"/>
            <w:vAlign w:val="bottom"/>
            <w:shd w:val="clear" w:color="auto" w:fill="355675"/>
          </w:tcPr>
          <w:p>
            <w:pPr>
              <w:spacing w:after="0"/>
              <w:rPr>
                <w:sz w:val="5"/>
                <w:szCs w:val="5"/>
                <w:color w:val="auto"/>
              </w:rPr>
            </w:pPr>
          </w:p>
        </w:tc>
        <w:tc>
          <w:tcPr>
            <w:tcW w:w="260" w:type="dxa"/>
            <w:vAlign w:val="bottom"/>
          </w:tcPr>
          <w:p>
            <w:pPr>
              <w:spacing w:after="0"/>
              <w:rPr>
                <w:sz w:val="5"/>
                <w:szCs w:val="5"/>
                <w:color w:val="auto"/>
              </w:rPr>
            </w:pPr>
          </w:p>
        </w:tc>
        <w:tc>
          <w:tcPr>
            <w:tcW w:w="1420" w:type="dxa"/>
            <w:vAlign w:val="bottom"/>
            <w:shd w:val="clear" w:color="auto" w:fill="355675"/>
          </w:tcPr>
          <w:p>
            <w:pPr>
              <w:spacing w:after="0"/>
              <w:rPr>
                <w:sz w:val="5"/>
                <w:szCs w:val="5"/>
                <w:color w:val="auto"/>
              </w:rPr>
            </w:pPr>
          </w:p>
        </w:tc>
        <w:tc>
          <w:tcPr>
            <w:tcW w:w="240" w:type="dxa"/>
            <w:vAlign w:val="bottom"/>
          </w:tcPr>
          <w:p>
            <w:pPr>
              <w:spacing w:after="0"/>
              <w:rPr>
                <w:sz w:val="5"/>
                <w:szCs w:val="5"/>
                <w:color w:val="auto"/>
              </w:rPr>
            </w:pPr>
          </w:p>
        </w:tc>
        <w:tc>
          <w:tcPr>
            <w:tcW w:w="1100" w:type="dxa"/>
            <w:vAlign w:val="bottom"/>
            <w:shd w:val="clear" w:color="auto" w:fill="355675"/>
          </w:tcPr>
          <w:p>
            <w:pPr>
              <w:spacing w:after="0"/>
              <w:rPr>
                <w:sz w:val="5"/>
                <w:szCs w:val="5"/>
                <w:color w:val="auto"/>
              </w:rPr>
            </w:pPr>
          </w:p>
        </w:tc>
      </w:tr>
    </w:tbl>
    <w:p>
      <w:pPr>
        <w:spacing w:after="0" w:line="126" w:lineRule="exact"/>
        <w:rPr>
          <w:sz w:val="20"/>
          <w:szCs w:val="20"/>
          <w:color w:val="auto"/>
        </w:rPr>
      </w:pPr>
    </w:p>
    <w:p>
      <w:pPr>
        <w:ind w:left="300" w:right="60" w:hanging="292"/>
        <w:spacing w:after="0" w:line="231" w:lineRule="auto"/>
        <w:tabs>
          <w:tab w:leader="none" w:pos="300" w:val="left"/>
        </w:tabs>
        <w:numPr>
          <w:ilvl w:val="0"/>
          <w:numId w:val="96"/>
        </w:numPr>
        <w:rPr>
          <w:rFonts w:ascii="Arial" w:cs="Arial" w:eastAsia="Arial" w:hAnsi="Arial"/>
          <w:sz w:val="24"/>
          <w:szCs w:val="24"/>
          <w:color w:val="auto"/>
          <w:vertAlign w:val="superscript"/>
        </w:rPr>
      </w:pPr>
      <w:r>
        <w:rPr>
          <w:rFonts w:ascii="Arial" w:cs="Arial" w:eastAsia="Arial" w:hAnsi="Arial"/>
          <w:sz w:val="14"/>
          <w:szCs w:val="14"/>
          <w:color w:val="auto"/>
        </w:rPr>
        <w:t>The amount in this column consists of: (i) RSUs that were granted to NEOs in February 2020 that vested and were released in part on February 19, 2021 as follows: Mr. Guldner — 2,395; Mr. Geisler — 49; Mr. Hatfield —884; Ms. Lacal — 516; and Mr. Smith — 688; dividend rights (and interest thereon) payable in stock earned on RSUs granted in February 2020 and released in part on February 19, 2021 as follows: Mr. Geisler — 21; Ms. Lacal — 22; and Mr. Smith — 15 ; (ii) RSUs that were granted to NEOs in February 2019 that vested and were released in part on February 19, 2021 as follows: Mr. Guldner — 1,490; Mr. Geisler — 194; Mr. Hatfield — 828; Ms. Lacal — 331; and Mr. Smith — 718; dividend rights (and interest thereon) payable in stock earned on RSUs granted in February 2019 and released in part on February 19, 2021 as follows: Mr. Geisler — 17; Ms. Lacal — 28; and Mr. Smith — 62; (iii) RSUs that were granted to NEOs (except Mr. Smith) in February 2018, and Mr. Smith in October 2018, that vested and were released in part on February 19, 2021 as follows: Mr. Guldner — 681; Mr. Geisler — 227; Mr. Hatfield — 972; Ms. Lacal — 389; and Mr. Smith — 2,464; dividend rights (and interest thereon) payable in stock earned on RSUs granted in 2018 and released in part on February 19, 2021 as follows: Mr. Geisler — 29; Ms. Lacal — 50; and Mr. Smith — 132; (iv) RSUs that were granted to the NEOs (except Mr. Smith) in February 2017 that vested and were released in part on February 19, 2021 as follows: Mr. Guldner —627; Mr. Geisler —95; Mr. Hatfield — 1,129; and Ms. Lacal — 377; and dividend rights (and interest thereon) payable in stock earned on RSUs granted in February 2017 and released in part on February 19, 2021 as follows: Mr. Geisler — 16; Mr. Hatfield — 96; and Ms. Lacal — 64; (v) additional RSUs resulting from notional dividends on the one-time award of supplemental grants of RSUs that were granted in February 2011 for performance prior to 2011 and further described below (the “Supplemental RSUs”), that vested, but were not released, on the following dates in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96520</wp:posOffset>
            </wp:positionV>
            <wp:extent cx="1191260" cy="23177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2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95" w:name="page96"/>
    <w:bookmarkEnd w:id="9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21" w:lineRule="exact"/>
        <w:rPr>
          <w:sz w:val="20"/>
          <w:szCs w:val="20"/>
          <w:color w:val="auto"/>
        </w:rPr>
      </w:pPr>
    </w:p>
    <w:tbl>
      <w:tblPr>
        <w:tblLayout w:type="fixed"/>
        <w:tblInd w:w="280" w:type="dxa"/>
        <w:tblCellMar>
          <w:top w:w="0" w:type="dxa"/>
          <w:left w:w="0" w:type="dxa"/>
          <w:bottom w:w="0" w:type="dxa"/>
          <w:right w:w="0" w:type="dxa"/>
        </w:tblCellMar>
      </w:tblPr>
      <w:tr>
        <w:trPr>
          <w:trHeight w:val="232"/>
        </w:trPr>
        <w:tc>
          <w:tcPr>
            <w:tcW w:w="724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Name</w:t>
            </w:r>
          </w:p>
        </w:tc>
        <w:tc>
          <w:tcPr>
            <w:tcW w:w="200" w:type="dxa"/>
            <w:vAlign w:val="bottom"/>
          </w:tcPr>
          <w:p>
            <w:pPr>
              <w:spacing w:after="0"/>
              <w:rPr>
                <w:sz w:val="20"/>
                <w:szCs w:val="20"/>
                <w:color w:val="auto"/>
              </w:rPr>
            </w:pPr>
          </w:p>
        </w:tc>
        <w:tc>
          <w:tcPr>
            <w:tcW w:w="60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March 1</w:t>
            </w:r>
          </w:p>
        </w:tc>
        <w:tc>
          <w:tcPr>
            <w:tcW w:w="200" w:type="dxa"/>
            <w:vAlign w:val="bottom"/>
          </w:tcPr>
          <w:p>
            <w:pPr>
              <w:spacing w:after="0"/>
              <w:rPr>
                <w:sz w:val="20"/>
                <w:szCs w:val="20"/>
                <w:color w:val="auto"/>
              </w:rPr>
            </w:pPr>
          </w:p>
        </w:tc>
        <w:tc>
          <w:tcPr>
            <w:tcW w:w="50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June 1</w:t>
            </w:r>
          </w:p>
        </w:tc>
        <w:tc>
          <w:tcPr>
            <w:tcW w:w="200" w:type="dxa"/>
            <w:vAlign w:val="bottom"/>
          </w:tcPr>
          <w:p>
            <w:pPr>
              <w:spacing w:after="0"/>
              <w:rPr>
                <w:sz w:val="20"/>
                <w:szCs w:val="20"/>
                <w:color w:val="auto"/>
              </w:rPr>
            </w:pPr>
          </w:p>
        </w:tc>
        <w:tc>
          <w:tcPr>
            <w:tcW w:w="90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September 1</w:t>
            </w:r>
          </w:p>
        </w:tc>
        <w:tc>
          <w:tcPr>
            <w:tcW w:w="200" w:type="dxa"/>
            <w:vAlign w:val="bottom"/>
          </w:tcPr>
          <w:p>
            <w:pPr>
              <w:spacing w:after="0"/>
              <w:rPr>
                <w:sz w:val="20"/>
                <w:szCs w:val="20"/>
                <w:color w:val="auto"/>
              </w:rPr>
            </w:pPr>
          </w:p>
        </w:tc>
        <w:tc>
          <w:tcPr>
            <w:tcW w:w="92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December 1</w:t>
            </w:r>
          </w:p>
        </w:tc>
      </w:tr>
      <w:tr>
        <w:trPr>
          <w:trHeight w:val="239"/>
        </w:trPr>
        <w:tc>
          <w:tcPr>
            <w:tcW w:w="72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Jeffrey B. Guldner</w:t>
            </w:r>
          </w:p>
        </w:tc>
        <w:tc>
          <w:tcPr>
            <w:tcW w:w="200" w:type="dxa"/>
            <w:vAlign w:val="bottom"/>
          </w:tcPr>
          <w:p>
            <w:pPr>
              <w:spacing w:after="0"/>
              <w:rPr>
                <w:sz w:val="20"/>
                <w:szCs w:val="20"/>
                <w:color w:val="auto"/>
              </w:rPr>
            </w:pPr>
          </w:p>
        </w:tc>
        <w:tc>
          <w:tcPr>
            <w:tcW w:w="6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60</w:t>
            </w:r>
          </w:p>
        </w:tc>
        <w:tc>
          <w:tcPr>
            <w:tcW w:w="200" w:type="dxa"/>
            <w:vAlign w:val="bottom"/>
          </w:tcPr>
          <w:p>
            <w:pPr>
              <w:spacing w:after="0"/>
              <w:rPr>
                <w:sz w:val="20"/>
                <w:szCs w:val="20"/>
                <w:color w:val="auto"/>
              </w:rPr>
            </w:pPr>
          </w:p>
        </w:tc>
        <w:tc>
          <w:tcPr>
            <w:tcW w:w="5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52</w:t>
            </w:r>
          </w:p>
        </w:tc>
        <w:tc>
          <w:tcPr>
            <w:tcW w:w="200" w:type="dxa"/>
            <w:vAlign w:val="bottom"/>
          </w:tcPr>
          <w:p>
            <w:pPr>
              <w:spacing w:after="0"/>
              <w:rPr>
                <w:sz w:val="20"/>
                <w:szCs w:val="20"/>
                <w:color w:val="auto"/>
              </w:rPr>
            </w:pPr>
          </w:p>
        </w:tc>
        <w:tc>
          <w:tcPr>
            <w:tcW w:w="9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56</w:t>
            </w:r>
          </w:p>
        </w:tc>
        <w:tc>
          <w:tcPr>
            <w:tcW w:w="200" w:type="dxa"/>
            <w:vAlign w:val="bottom"/>
          </w:tcPr>
          <w:p>
            <w:pPr>
              <w:spacing w:after="0"/>
              <w:rPr>
                <w:sz w:val="20"/>
                <w:szCs w:val="20"/>
                <w:color w:val="auto"/>
              </w:rPr>
            </w:pPr>
          </w:p>
        </w:tc>
        <w:tc>
          <w:tcPr>
            <w:tcW w:w="92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72</w:t>
            </w:r>
          </w:p>
        </w:tc>
      </w:tr>
      <w:tr>
        <w:trPr>
          <w:trHeight w:val="237"/>
        </w:trPr>
        <w:tc>
          <w:tcPr>
            <w:tcW w:w="724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James R. Hatfield</w:t>
            </w:r>
          </w:p>
        </w:tc>
        <w:tc>
          <w:tcPr>
            <w:tcW w:w="200" w:type="dxa"/>
            <w:vAlign w:val="bottom"/>
          </w:tcPr>
          <w:p>
            <w:pPr>
              <w:spacing w:after="0"/>
              <w:rPr>
                <w:sz w:val="20"/>
                <w:szCs w:val="20"/>
                <w:color w:val="auto"/>
              </w:rPr>
            </w:pPr>
          </w:p>
        </w:tc>
        <w:tc>
          <w:tcPr>
            <w:tcW w:w="6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100</w:t>
            </w:r>
          </w:p>
        </w:tc>
        <w:tc>
          <w:tcPr>
            <w:tcW w:w="200" w:type="dxa"/>
            <w:vAlign w:val="bottom"/>
          </w:tcPr>
          <w:p>
            <w:pPr>
              <w:spacing w:after="0"/>
              <w:rPr>
                <w:sz w:val="20"/>
                <w:szCs w:val="20"/>
                <w:color w:val="auto"/>
              </w:rPr>
            </w:pPr>
          </w:p>
        </w:tc>
        <w:tc>
          <w:tcPr>
            <w:tcW w:w="5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87</w:t>
            </w:r>
          </w:p>
        </w:tc>
        <w:tc>
          <w:tcPr>
            <w:tcW w:w="200" w:type="dxa"/>
            <w:vAlign w:val="bottom"/>
          </w:tcPr>
          <w:p>
            <w:pPr>
              <w:spacing w:after="0"/>
              <w:rPr>
                <w:sz w:val="20"/>
                <w:szCs w:val="20"/>
                <w:color w:val="auto"/>
              </w:rPr>
            </w:pPr>
          </w:p>
        </w:tc>
        <w:tc>
          <w:tcPr>
            <w:tcW w:w="9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95</w:t>
            </w:r>
          </w:p>
        </w:tc>
        <w:tc>
          <w:tcPr>
            <w:tcW w:w="200" w:type="dxa"/>
            <w:vAlign w:val="bottom"/>
          </w:tcPr>
          <w:p>
            <w:pPr>
              <w:spacing w:after="0"/>
              <w:rPr>
                <w:sz w:val="20"/>
                <w:szCs w:val="20"/>
                <w:color w:val="auto"/>
              </w:rPr>
            </w:pPr>
          </w:p>
        </w:tc>
        <w:tc>
          <w:tcPr>
            <w:tcW w:w="92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119</w:t>
            </w:r>
          </w:p>
        </w:tc>
      </w:tr>
      <w:tr>
        <w:trPr>
          <w:trHeight w:val="274"/>
        </w:trPr>
        <w:tc>
          <w:tcPr>
            <w:tcW w:w="7240" w:type="dxa"/>
            <w:vAlign w:val="bottom"/>
            <w:tcBorders>
              <w:bottom w:val="single" w:sz="8" w:color="355675"/>
            </w:tcBorders>
          </w:tcPr>
          <w:p>
            <w:pPr>
              <w:ind w:left="60"/>
              <w:spacing w:after="0"/>
              <w:rPr>
                <w:sz w:val="20"/>
                <w:szCs w:val="20"/>
                <w:color w:val="auto"/>
              </w:rPr>
            </w:pPr>
            <w:r>
              <w:rPr>
                <w:rFonts w:ascii="Arial" w:cs="Arial" w:eastAsia="Arial" w:hAnsi="Arial"/>
                <w:sz w:val="16"/>
                <w:szCs w:val="16"/>
                <w:b w:val="1"/>
                <w:bCs w:val="1"/>
                <w:color w:val="355675"/>
              </w:rPr>
              <w:t>Maria L. Lacal</w:t>
            </w:r>
          </w:p>
        </w:tc>
        <w:tc>
          <w:tcPr>
            <w:tcW w:w="200" w:type="dxa"/>
            <w:vAlign w:val="bottom"/>
          </w:tcPr>
          <w:p>
            <w:pPr>
              <w:spacing w:after="0"/>
              <w:rPr>
                <w:sz w:val="23"/>
                <w:szCs w:val="23"/>
                <w:color w:val="auto"/>
              </w:rPr>
            </w:pPr>
          </w:p>
        </w:tc>
        <w:tc>
          <w:tcPr>
            <w:tcW w:w="6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40</w:t>
            </w:r>
          </w:p>
        </w:tc>
        <w:tc>
          <w:tcPr>
            <w:tcW w:w="200" w:type="dxa"/>
            <w:vAlign w:val="bottom"/>
          </w:tcPr>
          <w:p>
            <w:pPr>
              <w:spacing w:after="0"/>
              <w:rPr>
                <w:sz w:val="23"/>
                <w:szCs w:val="23"/>
                <w:color w:val="auto"/>
              </w:rPr>
            </w:pPr>
          </w:p>
        </w:tc>
        <w:tc>
          <w:tcPr>
            <w:tcW w:w="5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35</w:t>
            </w:r>
          </w:p>
        </w:tc>
        <w:tc>
          <w:tcPr>
            <w:tcW w:w="200" w:type="dxa"/>
            <w:vAlign w:val="bottom"/>
          </w:tcPr>
          <w:p>
            <w:pPr>
              <w:spacing w:after="0"/>
              <w:rPr>
                <w:sz w:val="23"/>
                <w:szCs w:val="23"/>
                <w:color w:val="auto"/>
              </w:rPr>
            </w:pPr>
          </w:p>
        </w:tc>
        <w:tc>
          <w:tcPr>
            <w:tcW w:w="9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37</w:t>
            </w:r>
          </w:p>
        </w:tc>
        <w:tc>
          <w:tcPr>
            <w:tcW w:w="200" w:type="dxa"/>
            <w:vAlign w:val="bottom"/>
          </w:tcPr>
          <w:p>
            <w:pPr>
              <w:spacing w:after="0"/>
              <w:rPr>
                <w:sz w:val="23"/>
                <w:szCs w:val="23"/>
                <w:color w:val="auto"/>
              </w:rPr>
            </w:pPr>
          </w:p>
        </w:tc>
        <w:tc>
          <w:tcPr>
            <w:tcW w:w="92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48</w:t>
            </w:r>
          </w:p>
        </w:tc>
      </w:tr>
    </w:tbl>
    <w:p>
      <w:pPr>
        <w:spacing w:after="0" w:line="126" w:lineRule="exact"/>
        <w:rPr>
          <w:sz w:val="20"/>
          <w:szCs w:val="20"/>
          <w:color w:val="auto"/>
        </w:rPr>
      </w:pPr>
    </w:p>
    <w:p>
      <w:pPr>
        <w:ind w:left="280" w:right="160"/>
        <w:spacing w:after="0" w:line="285" w:lineRule="auto"/>
        <w:rPr>
          <w:sz w:val="20"/>
          <w:szCs w:val="20"/>
          <w:color w:val="auto"/>
        </w:rPr>
      </w:pPr>
      <w:r>
        <w:rPr>
          <w:rFonts w:ascii="Arial" w:cs="Arial" w:eastAsia="Arial" w:hAnsi="Arial"/>
          <w:sz w:val="14"/>
          <w:szCs w:val="14"/>
          <w:color w:val="auto"/>
        </w:rPr>
        <w:t>(The Supplemental RSUs vested 50% on February 15, 2013, 25% on February 14, 2014, and 25% on February 13, 2015. The Supplemental RSUs are not released to the recipient until the recipient’s retirement, death, disability or separation of employment from the Company).</w:t>
      </w:r>
    </w:p>
    <w:p>
      <w:pPr>
        <w:spacing w:after="0" w:line="90" w:lineRule="exact"/>
        <w:rPr>
          <w:sz w:val="20"/>
          <w:szCs w:val="20"/>
          <w:color w:val="auto"/>
        </w:rPr>
      </w:pPr>
    </w:p>
    <w:p>
      <w:pPr>
        <w:ind w:left="280" w:right="100" w:hanging="2"/>
        <w:spacing w:after="0" w:line="250" w:lineRule="auto"/>
        <w:tabs>
          <w:tab w:leader="none" w:pos="552" w:val="left"/>
        </w:tabs>
        <w:numPr>
          <w:ilvl w:val="1"/>
          <w:numId w:val="97"/>
        </w:numPr>
        <w:rPr>
          <w:rFonts w:ascii="Arial" w:cs="Arial" w:eastAsia="Arial" w:hAnsi="Arial"/>
          <w:sz w:val="14"/>
          <w:szCs w:val="14"/>
          <w:color w:val="auto"/>
        </w:rPr>
      </w:pPr>
      <w:r>
        <w:rPr>
          <w:rFonts w:ascii="Arial" w:cs="Arial" w:eastAsia="Arial" w:hAnsi="Arial"/>
          <w:sz w:val="14"/>
          <w:szCs w:val="14"/>
          <w:color w:val="auto"/>
        </w:rPr>
        <w:t>performance shares that were granted to the NEOs in February 2018 and Mr. Smith in October 2018, which were based on a performance period of January 1, 2018 to December 31, 2020, and which were released in 2021 when the Company had the information needed to determine whether, and to what extent, the applicable performance criteria were met, as follows: performance shares related to TSR did not meet performance criteria so there was no pay out of shares for this portion of the award; and performance shares related to the five operational performance metrics were released on November 4, 2021 as follows: Mr. Guldner — 4,221; Mr. Geisler — 905; Mr. Hatfield — 6,030; Ms. Lacal — 1,550; and Mr. Smith — 1,638; and dividend rights (and interest thereon) payable in stock on the performance shares released on November 4, 2021 as follows: Mr. Guldner — 782; Mr. Geisler — 168; Mr. Hatfield — 1,117; Ms. Lacal — 287; and Mr. Smith — 261.</w:t>
      </w:r>
    </w:p>
    <w:p>
      <w:pPr>
        <w:spacing w:after="0" w:line="100" w:lineRule="exact"/>
        <w:rPr>
          <w:rFonts w:ascii="Arial" w:cs="Arial" w:eastAsia="Arial" w:hAnsi="Arial"/>
          <w:sz w:val="14"/>
          <w:szCs w:val="14"/>
          <w:color w:val="auto"/>
        </w:rPr>
      </w:pPr>
    </w:p>
    <w:p>
      <w:pPr>
        <w:ind w:left="300" w:right="80" w:hanging="292"/>
        <w:spacing w:after="0" w:line="213" w:lineRule="auto"/>
        <w:tabs>
          <w:tab w:leader="none" w:pos="300" w:val="left"/>
        </w:tabs>
        <w:numPr>
          <w:ilvl w:val="0"/>
          <w:numId w:val="98"/>
        </w:numPr>
        <w:rPr>
          <w:rFonts w:ascii="Arial" w:cs="Arial" w:eastAsia="Arial" w:hAnsi="Arial"/>
          <w:sz w:val="24"/>
          <w:szCs w:val="24"/>
          <w:color w:val="auto"/>
          <w:vertAlign w:val="superscript"/>
        </w:rPr>
      </w:pPr>
      <w:r>
        <w:rPr>
          <w:rFonts w:ascii="Arial" w:cs="Arial" w:eastAsia="Arial" w:hAnsi="Arial"/>
          <w:sz w:val="14"/>
          <w:szCs w:val="14"/>
          <w:color w:val="auto"/>
        </w:rPr>
        <w:t>The values realized for the RSUs, Supplemental RSUs and the performance shares are calculated by multiplying the number of shares of stock or units released or vested by the market value of the common stock on the release or vesting date, which: (i) for the RSUs released on February 19, 2021 was $76.26; (ii) for the Supplemental RSUs vested on March 1, 2021 was $72.30; (iii) for the Supplemental RSUs vested on June 1, 2021 was $84.45; (iv) for the Supplemental RSUs vested on September 1, 2021 was $77.78; (v) for the Supplemental RSUs vested on December 1, 2021 was $64.06; and (vi) for the performance shares released on November 4, 2021 was $63.60.</w:t>
      </w:r>
    </w:p>
    <w:p>
      <w:pPr>
        <w:spacing w:after="0" w:line="16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Pension Benefits</w:t>
      </w:r>
    </w:p>
    <w:p>
      <w:pPr>
        <w:spacing w:after="0" w:line="237" w:lineRule="exact"/>
        <w:rPr>
          <w:sz w:val="20"/>
          <w:szCs w:val="20"/>
          <w:color w:val="auto"/>
        </w:rPr>
      </w:pPr>
    </w:p>
    <w:p>
      <w:pPr>
        <w:ind w:right="880"/>
        <w:spacing w:after="0" w:line="301" w:lineRule="auto"/>
        <w:rPr>
          <w:sz w:val="20"/>
          <w:szCs w:val="20"/>
          <w:color w:val="auto"/>
        </w:rPr>
      </w:pPr>
      <w:r>
        <w:rPr>
          <w:rFonts w:ascii="Arial" w:cs="Arial" w:eastAsia="Arial" w:hAnsi="Arial"/>
          <w:sz w:val="17"/>
          <w:szCs w:val="17"/>
          <w:color w:val="auto"/>
        </w:rPr>
        <w:t>The Pension Benefits table below includes estimates of the potential future pension benefits for each NEO based on the actuarial assumptions used for financial reporting purposes, such as the life expectancy of each NEO and their spouse and “discount rates.”</w:t>
      </w:r>
    </w:p>
    <w:p>
      <w:pPr>
        <w:spacing w:after="0" w:line="12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6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Present Value</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355675"/>
              </w:rPr>
              <w:t>Payments</w:t>
            </w:r>
          </w:p>
        </w:tc>
      </w:tr>
      <w:tr>
        <w:trPr>
          <w:trHeight w:val="162"/>
        </w:trPr>
        <w:tc>
          <w:tcPr>
            <w:tcW w:w="36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Number of Years</w:t>
            </w:r>
          </w:p>
        </w:tc>
        <w:tc>
          <w:tcPr>
            <w:tcW w:w="13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of Accumulated</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355675"/>
              </w:rPr>
              <w:t>During Last</w:t>
            </w:r>
          </w:p>
        </w:tc>
      </w:tr>
      <w:tr>
        <w:trPr>
          <w:trHeight w:val="162"/>
        </w:trPr>
        <w:tc>
          <w:tcPr>
            <w:tcW w:w="36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Credited Service</w:t>
            </w:r>
          </w:p>
        </w:tc>
        <w:tc>
          <w:tcPr>
            <w:tcW w:w="13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Benefits</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355675"/>
              </w:rPr>
              <w:t>Fiscal Year</w:t>
            </w:r>
          </w:p>
        </w:tc>
      </w:tr>
      <w:tr>
        <w:trPr>
          <w:trHeight w:val="216"/>
        </w:trPr>
        <w:tc>
          <w:tcPr>
            <w:tcW w:w="3640" w:type="dxa"/>
            <w:vAlign w:val="bottom"/>
          </w:tcPr>
          <w:p>
            <w:pPr>
              <w:ind w:left="60"/>
              <w:spacing w:after="0"/>
              <w:rPr>
                <w:sz w:val="20"/>
                <w:szCs w:val="20"/>
                <w:color w:val="auto"/>
              </w:rPr>
            </w:pPr>
            <w:r>
              <w:rPr>
                <w:rFonts w:ascii="Arial" w:cs="Arial" w:eastAsia="Arial" w:hAnsi="Arial"/>
                <w:sz w:val="14"/>
                <w:szCs w:val="14"/>
                <w:b w:val="1"/>
                <w:bCs w:val="1"/>
                <w:color w:val="355675"/>
              </w:rPr>
              <w:t>Name</w:t>
            </w:r>
          </w:p>
        </w:tc>
        <w:tc>
          <w:tcPr>
            <w:tcW w:w="200" w:type="dxa"/>
            <w:vAlign w:val="bottom"/>
          </w:tcPr>
          <w:p>
            <w:pPr>
              <w:spacing w:after="0"/>
              <w:rPr>
                <w:sz w:val="18"/>
                <w:szCs w:val="18"/>
                <w:color w:val="auto"/>
              </w:rPr>
            </w:pPr>
          </w:p>
        </w:tc>
        <w:tc>
          <w:tcPr>
            <w:tcW w:w="3600" w:type="dxa"/>
            <w:vAlign w:val="bottom"/>
          </w:tcPr>
          <w:p>
            <w:pPr>
              <w:spacing w:after="0"/>
              <w:rPr>
                <w:sz w:val="20"/>
                <w:szCs w:val="20"/>
                <w:color w:val="auto"/>
              </w:rPr>
            </w:pPr>
            <w:r>
              <w:rPr>
                <w:rFonts w:ascii="Arial" w:cs="Arial" w:eastAsia="Arial" w:hAnsi="Arial"/>
                <w:sz w:val="14"/>
                <w:szCs w:val="14"/>
                <w:b w:val="1"/>
                <w:bCs w:val="1"/>
                <w:color w:val="355675"/>
              </w:rPr>
              <w:t>Plan Name</w:t>
            </w:r>
          </w:p>
        </w:tc>
        <w:tc>
          <w:tcPr>
            <w:tcW w:w="200" w:type="dxa"/>
            <w:vAlign w:val="bottom"/>
          </w:tcPr>
          <w:p>
            <w:pPr>
              <w:spacing w:after="0"/>
              <w:rPr>
                <w:sz w:val="18"/>
                <w:szCs w:val="18"/>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320" w:type="dxa"/>
            <w:vAlign w:val="bottom"/>
            <w:gridSpan w:val="2"/>
          </w:tcPr>
          <w:p>
            <w:pPr>
              <w:jc w:val="right"/>
              <w:ind w:right="200"/>
              <w:spacing w:after="0" w:line="216" w:lineRule="exact"/>
              <w:rPr>
                <w:sz w:val="20"/>
                <w:szCs w:val="20"/>
                <w:color w:val="auto"/>
              </w:rPr>
            </w:pPr>
            <w:r>
              <w:rPr>
                <w:rFonts w:ascii="Arial" w:cs="Arial" w:eastAsia="Arial" w:hAnsi="Arial"/>
                <w:sz w:val="25"/>
                <w:szCs w:val="25"/>
                <w:b w:val="1"/>
                <w:bCs w:val="1"/>
                <w:color w:val="355675"/>
                <w:vertAlign w:val="subscript"/>
              </w:rPr>
              <w:t>($)</w:t>
            </w:r>
            <w:r>
              <w:rPr>
                <w:rFonts w:ascii="Arial" w:cs="Arial" w:eastAsia="Arial" w:hAnsi="Arial"/>
                <w:sz w:val="11"/>
                <w:szCs w:val="11"/>
                <w:b w:val="1"/>
                <w:bCs w:val="1"/>
                <w:color w:val="355675"/>
              </w:rPr>
              <w:t>(1)</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54"/>
        </w:trPr>
        <w:tc>
          <w:tcPr>
            <w:tcW w:w="364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360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118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112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900" w:type="dxa"/>
            <w:vAlign w:val="bottom"/>
            <w:shd w:val="clear" w:color="auto" w:fill="355675"/>
          </w:tcPr>
          <w:p>
            <w:pPr>
              <w:spacing w:after="0"/>
              <w:rPr>
                <w:sz w:val="4"/>
                <w:szCs w:val="4"/>
                <w:color w:val="auto"/>
              </w:rPr>
            </w:pPr>
          </w:p>
        </w:tc>
      </w:tr>
      <w:tr>
        <w:trPr>
          <w:trHeight w:val="270"/>
        </w:trPr>
        <w:tc>
          <w:tcPr>
            <w:tcW w:w="3640" w:type="dxa"/>
            <w:vAlign w:val="bottom"/>
          </w:tcPr>
          <w:p>
            <w:pPr>
              <w:ind w:left="60"/>
              <w:spacing w:after="0" w:line="270" w:lineRule="exact"/>
              <w:rPr>
                <w:sz w:val="20"/>
                <w:szCs w:val="20"/>
                <w:color w:val="auto"/>
              </w:rPr>
            </w:pPr>
            <w:r>
              <w:rPr>
                <w:rFonts w:ascii="Arial" w:cs="Arial" w:eastAsia="Arial" w:hAnsi="Arial"/>
                <w:sz w:val="16"/>
                <w:szCs w:val="16"/>
                <w:b w:val="1"/>
                <w:bCs w:val="1"/>
                <w:color w:val="355675"/>
              </w:rPr>
              <w:t>Jeffrey B. Guldner</w:t>
            </w:r>
            <w:r>
              <w:rPr>
                <w:rFonts w:ascii="Arial" w:cs="Arial" w:eastAsia="Arial" w:hAnsi="Arial"/>
                <w:sz w:val="26"/>
                <w:szCs w:val="26"/>
                <w:b w:val="1"/>
                <w:bCs w:val="1"/>
                <w:color w:val="355675"/>
                <w:vertAlign w:val="superscript"/>
              </w:rPr>
              <w:t>(2)</w:t>
            </w:r>
          </w:p>
        </w:tc>
        <w:tc>
          <w:tcPr>
            <w:tcW w:w="200" w:type="dxa"/>
            <w:vAlign w:val="bottom"/>
          </w:tcPr>
          <w:p>
            <w:pPr>
              <w:spacing w:after="0"/>
              <w:rPr>
                <w:sz w:val="23"/>
                <w:szCs w:val="23"/>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Retirement Plan</w:t>
            </w:r>
          </w:p>
        </w:tc>
        <w:tc>
          <w:tcPr>
            <w:tcW w:w="200" w:type="dxa"/>
            <w:vAlign w:val="bottom"/>
          </w:tcPr>
          <w:p>
            <w:pPr>
              <w:spacing w:after="0"/>
              <w:rPr>
                <w:sz w:val="23"/>
                <w:szCs w:val="23"/>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17</w:t>
            </w:r>
          </w:p>
        </w:tc>
        <w:tc>
          <w:tcPr>
            <w:tcW w:w="1120" w:type="dxa"/>
            <w:vAlign w:val="bottom"/>
          </w:tcPr>
          <w:p>
            <w:pPr>
              <w:jc w:val="right"/>
              <w:spacing w:after="0"/>
              <w:rPr>
                <w:sz w:val="20"/>
                <w:szCs w:val="20"/>
                <w:color w:val="auto"/>
              </w:rPr>
            </w:pPr>
            <w:r>
              <w:rPr>
                <w:rFonts w:ascii="Arial" w:cs="Arial" w:eastAsia="Arial" w:hAnsi="Arial"/>
                <w:sz w:val="16"/>
                <w:szCs w:val="16"/>
                <w:color w:val="auto"/>
              </w:rPr>
              <w:t>372,251</w:t>
            </w:r>
          </w:p>
        </w:tc>
        <w:tc>
          <w:tcPr>
            <w:tcW w:w="20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36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00" w:type="dxa"/>
            <w:vAlign w:val="bottom"/>
            <w:shd w:val="clear" w:color="auto" w:fill="939598"/>
          </w:tcPr>
          <w:p>
            <w:pPr>
              <w:spacing w:after="0" w:line="20" w:lineRule="exact"/>
              <w:rPr>
                <w:sz w:val="1"/>
                <w:szCs w:val="1"/>
                <w:color w:val="auto"/>
              </w:rPr>
            </w:pPr>
          </w:p>
        </w:tc>
      </w:tr>
      <w:tr>
        <w:trPr>
          <w:trHeight w:val="242"/>
        </w:trPr>
        <w:tc>
          <w:tcPr>
            <w:tcW w:w="36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Supplemental Plan</w:t>
            </w:r>
          </w:p>
        </w:tc>
        <w:tc>
          <w:tcPr>
            <w:tcW w:w="200" w:type="dxa"/>
            <w:vAlign w:val="bottom"/>
          </w:tcPr>
          <w:p>
            <w:pPr>
              <w:spacing w:after="0"/>
              <w:rPr>
                <w:sz w:val="21"/>
                <w:szCs w:val="21"/>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17</w:t>
            </w:r>
          </w:p>
        </w:tc>
        <w:tc>
          <w:tcPr>
            <w:tcW w:w="1320" w:type="dxa"/>
            <w:vAlign w:val="bottom"/>
            <w:gridSpan w:val="2"/>
          </w:tcPr>
          <w:p>
            <w:pPr>
              <w:jc w:val="right"/>
              <w:ind w:right="200"/>
              <w:spacing w:after="0"/>
              <w:rPr>
                <w:sz w:val="20"/>
                <w:szCs w:val="20"/>
                <w:color w:val="auto"/>
              </w:rPr>
            </w:pPr>
            <w:r>
              <w:rPr>
                <w:rFonts w:ascii="Arial" w:cs="Arial" w:eastAsia="Arial" w:hAnsi="Arial"/>
                <w:sz w:val="16"/>
                <w:szCs w:val="16"/>
                <w:color w:val="auto"/>
              </w:rPr>
              <w:t>3,984,751</w:t>
            </w: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62"/>
        </w:trPr>
        <w:tc>
          <w:tcPr>
            <w:tcW w:w="364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360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2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900" w:type="dxa"/>
            <w:vAlign w:val="bottom"/>
            <w:shd w:val="clear" w:color="auto" w:fill="355675"/>
          </w:tcPr>
          <w:p>
            <w:pPr>
              <w:spacing w:after="0"/>
              <w:rPr>
                <w:sz w:val="5"/>
                <w:szCs w:val="5"/>
                <w:color w:val="auto"/>
              </w:rPr>
            </w:pPr>
          </w:p>
        </w:tc>
      </w:tr>
      <w:tr>
        <w:trPr>
          <w:trHeight w:val="270"/>
        </w:trPr>
        <w:tc>
          <w:tcPr>
            <w:tcW w:w="3640" w:type="dxa"/>
            <w:vAlign w:val="bottom"/>
          </w:tcPr>
          <w:p>
            <w:pPr>
              <w:ind w:left="60"/>
              <w:spacing w:after="0" w:line="270" w:lineRule="exact"/>
              <w:rPr>
                <w:sz w:val="20"/>
                <w:szCs w:val="20"/>
                <w:color w:val="auto"/>
              </w:rPr>
            </w:pPr>
            <w:r>
              <w:rPr>
                <w:rFonts w:ascii="Arial" w:cs="Arial" w:eastAsia="Arial" w:hAnsi="Arial"/>
                <w:sz w:val="16"/>
                <w:szCs w:val="16"/>
                <w:b w:val="1"/>
                <w:bCs w:val="1"/>
                <w:color w:val="355675"/>
              </w:rPr>
              <w:t>Theodore N. Geisler</w:t>
            </w:r>
            <w:r>
              <w:rPr>
                <w:rFonts w:ascii="Arial" w:cs="Arial" w:eastAsia="Arial" w:hAnsi="Arial"/>
                <w:sz w:val="26"/>
                <w:szCs w:val="26"/>
                <w:b w:val="1"/>
                <w:bCs w:val="1"/>
                <w:color w:val="355675"/>
                <w:vertAlign w:val="superscript"/>
              </w:rPr>
              <w:t>(3)</w:t>
            </w:r>
          </w:p>
        </w:tc>
        <w:tc>
          <w:tcPr>
            <w:tcW w:w="200" w:type="dxa"/>
            <w:vAlign w:val="bottom"/>
          </w:tcPr>
          <w:p>
            <w:pPr>
              <w:spacing w:after="0"/>
              <w:rPr>
                <w:sz w:val="23"/>
                <w:szCs w:val="23"/>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Retirement Plan</w:t>
            </w:r>
          </w:p>
        </w:tc>
        <w:tc>
          <w:tcPr>
            <w:tcW w:w="200" w:type="dxa"/>
            <w:vAlign w:val="bottom"/>
          </w:tcPr>
          <w:p>
            <w:pPr>
              <w:spacing w:after="0"/>
              <w:rPr>
                <w:sz w:val="23"/>
                <w:szCs w:val="23"/>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12</w:t>
            </w:r>
          </w:p>
        </w:tc>
        <w:tc>
          <w:tcPr>
            <w:tcW w:w="1120" w:type="dxa"/>
            <w:vAlign w:val="bottom"/>
          </w:tcPr>
          <w:p>
            <w:pPr>
              <w:jc w:val="right"/>
              <w:spacing w:after="0"/>
              <w:rPr>
                <w:sz w:val="20"/>
                <w:szCs w:val="20"/>
                <w:color w:val="auto"/>
              </w:rPr>
            </w:pPr>
            <w:r>
              <w:rPr>
                <w:rFonts w:ascii="Arial" w:cs="Arial" w:eastAsia="Arial" w:hAnsi="Arial"/>
                <w:sz w:val="16"/>
                <w:szCs w:val="16"/>
                <w:color w:val="auto"/>
              </w:rPr>
              <w:t>151,696</w:t>
            </w:r>
          </w:p>
        </w:tc>
        <w:tc>
          <w:tcPr>
            <w:tcW w:w="20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36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00" w:type="dxa"/>
            <w:vAlign w:val="bottom"/>
            <w:shd w:val="clear" w:color="auto" w:fill="939598"/>
          </w:tcPr>
          <w:p>
            <w:pPr>
              <w:spacing w:after="0" w:line="20" w:lineRule="exact"/>
              <w:rPr>
                <w:sz w:val="1"/>
                <w:szCs w:val="1"/>
                <w:color w:val="auto"/>
              </w:rPr>
            </w:pPr>
          </w:p>
        </w:tc>
      </w:tr>
      <w:tr>
        <w:trPr>
          <w:trHeight w:val="242"/>
        </w:trPr>
        <w:tc>
          <w:tcPr>
            <w:tcW w:w="36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Supplemental Plan</w:t>
            </w:r>
          </w:p>
        </w:tc>
        <w:tc>
          <w:tcPr>
            <w:tcW w:w="200" w:type="dxa"/>
            <w:vAlign w:val="bottom"/>
          </w:tcPr>
          <w:p>
            <w:pPr>
              <w:spacing w:after="0"/>
              <w:rPr>
                <w:sz w:val="21"/>
                <w:szCs w:val="21"/>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12</w:t>
            </w:r>
          </w:p>
        </w:tc>
        <w:tc>
          <w:tcPr>
            <w:tcW w:w="1120" w:type="dxa"/>
            <w:vAlign w:val="bottom"/>
          </w:tcPr>
          <w:p>
            <w:pPr>
              <w:jc w:val="right"/>
              <w:spacing w:after="0"/>
              <w:rPr>
                <w:sz w:val="20"/>
                <w:szCs w:val="20"/>
                <w:color w:val="auto"/>
              </w:rPr>
            </w:pPr>
            <w:r>
              <w:rPr>
                <w:rFonts w:ascii="Arial" w:cs="Arial" w:eastAsia="Arial" w:hAnsi="Arial"/>
                <w:sz w:val="16"/>
                <w:szCs w:val="16"/>
                <w:color w:val="auto"/>
              </w:rPr>
              <w:t>142,961</w:t>
            </w:r>
          </w:p>
        </w:tc>
        <w:tc>
          <w:tcPr>
            <w:tcW w:w="2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62"/>
        </w:trPr>
        <w:tc>
          <w:tcPr>
            <w:tcW w:w="364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360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2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900" w:type="dxa"/>
            <w:vAlign w:val="bottom"/>
            <w:shd w:val="clear" w:color="auto" w:fill="355675"/>
          </w:tcPr>
          <w:p>
            <w:pPr>
              <w:spacing w:after="0"/>
              <w:rPr>
                <w:sz w:val="5"/>
                <w:szCs w:val="5"/>
                <w:color w:val="auto"/>
              </w:rPr>
            </w:pPr>
          </w:p>
        </w:tc>
      </w:tr>
      <w:tr>
        <w:trPr>
          <w:trHeight w:val="270"/>
        </w:trPr>
        <w:tc>
          <w:tcPr>
            <w:tcW w:w="3640" w:type="dxa"/>
            <w:vAlign w:val="bottom"/>
          </w:tcPr>
          <w:p>
            <w:pPr>
              <w:ind w:left="60"/>
              <w:spacing w:after="0" w:line="270" w:lineRule="exact"/>
              <w:rPr>
                <w:sz w:val="20"/>
                <w:szCs w:val="20"/>
                <w:color w:val="auto"/>
              </w:rPr>
            </w:pPr>
            <w:r>
              <w:rPr>
                <w:rFonts w:ascii="Arial" w:cs="Arial" w:eastAsia="Arial" w:hAnsi="Arial"/>
                <w:sz w:val="16"/>
                <w:szCs w:val="16"/>
                <w:b w:val="1"/>
                <w:bCs w:val="1"/>
                <w:color w:val="355675"/>
              </w:rPr>
              <w:t>James R. Hatfield</w:t>
            </w:r>
            <w:r>
              <w:rPr>
                <w:rFonts w:ascii="Arial" w:cs="Arial" w:eastAsia="Arial" w:hAnsi="Arial"/>
                <w:sz w:val="26"/>
                <w:szCs w:val="26"/>
                <w:b w:val="1"/>
                <w:bCs w:val="1"/>
                <w:color w:val="355675"/>
                <w:vertAlign w:val="superscript"/>
              </w:rPr>
              <w:t>(4)</w:t>
            </w:r>
          </w:p>
        </w:tc>
        <w:tc>
          <w:tcPr>
            <w:tcW w:w="200" w:type="dxa"/>
            <w:vAlign w:val="bottom"/>
          </w:tcPr>
          <w:p>
            <w:pPr>
              <w:spacing w:after="0"/>
              <w:rPr>
                <w:sz w:val="23"/>
                <w:szCs w:val="23"/>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Retirement Plan</w:t>
            </w:r>
          </w:p>
        </w:tc>
        <w:tc>
          <w:tcPr>
            <w:tcW w:w="200" w:type="dxa"/>
            <w:vAlign w:val="bottom"/>
          </w:tcPr>
          <w:p>
            <w:pPr>
              <w:spacing w:after="0"/>
              <w:rPr>
                <w:sz w:val="23"/>
                <w:szCs w:val="23"/>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14</w:t>
            </w:r>
          </w:p>
        </w:tc>
        <w:tc>
          <w:tcPr>
            <w:tcW w:w="1120" w:type="dxa"/>
            <w:vAlign w:val="bottom"/>
          </w:tcPr>
          <w:p>
            <w:pPr>
              <w:jc w:val="right"/>
              <w:spacing w:after="0"/>
              <w:rPr>
                <w:sz w:val="20"/>
                <w:szCs w:val="20"/>
                <w:color w:val="auto"/>
              </w:rPr>
            </w:pPr>
            <w:r>
              <w:rPr>
                <w:rFonts w:ascii="Arial" w:cs="Arial" w:eastAsia="Arial" w:hAnsi="Arial"/>
                <w:sz w:val="16"/>
                <w:szCs w:val="16"/>
                <w:color w:val="auto"/>
              </w:rPr>
              <w:t>351,400</w:t>
            </w:r>
          </w:p>
        </w:tc>
        <w:tc>
          <w:tcPr>
            <w:tcW w:w="20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36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00" w:type="dxa"/>
            <w:vAlign w:val="bottom"/>
            <w:shd w:val="clear" w:color="auto" w:fill="939598"/>
          </w:tcPr>
          <w:p>
            <w:pPr>
              <w:spacing w:after="0" w:line="20" w:lineRule="exact"/>
              <w:rPr>
                <w:sz w:val="1"/>
                <w:szCs w:val="1"/>
                <w:color w:val="auto"/>
              </w:rPr>
            </w:pPr>
          </w:p>
        </w:tc>
      </w:tr>
      <w:tr>
        <w:trPr>
          <w:trHeight w:val="242"/>
        </w:trPr>
        <w:tc>
          <w:tcPr>
            <w:tcW w:w="36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Supplemental Plan</w:t>
            </w:r>
          </w:p>
        </w:tc>
        <w:tc>
          <w:tcPr>
            <w:tcW w:w="200" w:type="dxa"/>
            <w:vAlign w:val="bottom"/>
          </w:tcPr>
          <w:p>
            <w:pPr>
              <w:spacing w:after="0"/>
              <w:rPr>
                <w:sz w:val="21"/>
                <w:szCs w:val="21"/>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14</w:t>
            </w:r>
          </w:p>
        </w:tc>
        <w:tc>
          <w:tcPr>
            <w:tcW w:w="1320" w:type="dxa"/>
            <w:vAlign w:val="bottom"/>
            <w:gridSpan w:val="2"/>
          </w:tcPr>
          <w:p>
            <w:pPr>
              <w:jc w:val="right"/>
              <w:ind w:right="200"/>
              <w:spacing w:after="0"/>
              <w:rPr>
                <w:sz w:val="20"/>
                <w:szCs w:val="20"/>
                <w:color w:val="auto"/>
              </w:rPr>
            </w:pPr>
            <w:r>
              <w:rPr>
                <w:rFonts w:ascii="Arial" w:cs="Arial" w:eastAsia="Arial" w:hAnsi="Arial"/>
                <w:sz w:val="16"/>
                <w:szCs w:val="16"/>
                <w:color w:val="auto"/>
              </w:rPr>
              <w:t>6,076,427</w:t>
            </w: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62"/>
        </w:trPr>
        <w:tc>
          <w:tcPr>
            <w:tcW w:w="364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360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2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900" w:type="dxa"/>
            <w:vAlign w:val="bottom"/>
            <w:shd w:val="clear" w:color="auto" w:fill="355675"/>
          </w:tcPr>
          <w:p>
            <w:pPr>
              <w:spacing w:after="0"/>
              <w:rPr>
                <w:sz w:val="5"/>
                <w:szCs w:val="5"/>
                <w:color w:val="auto"/>
              </w:rPr>
            </w:pPr>
          </w:p>
        </w:tc>
      </w:tr>
      <w:tr>
        <w:trPr>
          <w:trHeight w:val="270"/>
        </w:trPr>
        <w:tc>
          <w:tcPr>
            <w:tcW w:w="3640" w:type="dxa"/>
            <w:vAlign w:val="bottom"/>
          </w:tcPr>
          <w:p>
            <w:pPr>
              <w:ind w:left="60"/>
              <w:spacing w:after="0" w:line="270" w:lineRule="exact"/>
              <w:rPr>
                <w:sz w:val="20"/>
                <w:szCs w:val="20"/>
                <w:color w:val="auto"/>
              </w:rPr>
            </w:pPr>
            <w:r>
              <w:rPr>
                <w:rFonts w:ascii="Arial" w:cs="Arial" w:eastAsia="Arial" w:hAnsi="Arial"/>
                <w:sz w:val="16"/>
                <w:szCs w:val="16"/>
                <w:b w:val="1"/>
                <w:bCs w:val="1"/>
                <w:color w:val="355675"/>
              </w:rPr>
              <w:t>Maria L. Lacal</w:t>
            </w:r>
            <w:r>
              <w:rPr>
                <w:rFonts w:ascii="Arial" w:cs="Arial" w:eastAsia="Arial" w:hAnsi="Arial"/>
                <w:sz w:val="26"/>
                <w:szCs w:val="26"/>
                <w:b w:val="1"/>
                <w:bCs w:val="1"/>
                <w:color w:val="355675"/>
                <w:vertAlign w:val="superscript"/>
              </w:rPr>
              <w:t>(5)</w:t>
            </w:r>
          </w:p>
        </w:tc>
        <w:tc>
          <w:tcPr>
            <w:tcW w:w="200" w:type="dxa"/>
            <w:vAlign w:val="bottom"/>
          </w:tcPr>
          <w:p>
            <w:pPr>
              <w:spacing w:after="0"/>
              <w:rPr>
                <w:sz w:val="23"/>
                <w:szCs w:val="23"/>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Retirement Plan</w:t>
            </w:r>
          </w:p>
        </w:tc>
        <w:tc>
          <w:tcPr>
            <w:tcW w:w="200" w:type="dxa"/>
            <w:vAlign w:val="bottom"/>
          </w:tcPr>
          <w:p>
            <w:pPr>
              <w:spacing w:after="0"/>
              <w:rPr>
                <w:sz w:val="23"/>
                <w:szCs w:val="23"/>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15</w:t>
            </w:r>
          </w:p>
        </w:tc>
        <w:tc>
          <w:tcPr>
            <w:tcW w:w="1120" w:type="dxa"/>
            <w:vAlign w:val="bottom"/>
          </w:tcPr>
          <w:p>
            <w:pPr>
              <w:jc w:val="right"/>
              <w:spacing w:after="0"/>
              <w:rPr>
                <w:sz w:val="20"/>
                <w:szCs w:val="20"/>
                <w:color w:val="auto"/>
              </w:rPr>
            </w:pPr>
            <w:r>
              <w:rPr>
                <w:rFonts w:ascii="Arial" w:cs="Arial" w:eastAsia="Arial" w:hAnsi="Arial"/>
                <w:sz w:val="16"/>
                <w:szCs w:val="16"/>
                <w:color w:val="auto"/>
              </w:rPr>
              <w:t>340,547</w:t>
            </w:r>
          </w:p>
        </w:tc>
        <w:tc>
          <w:tcPr>
            <w:tcW w:w="20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36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00" w:type="dxa"/>
            <w:vAlign w:val="bottom"/>
            <w:shd w:val="clear" w:color="auto" w:fill="939598"/>
          </w:tcPr>
          <w:p>
            <w:pPr>
              <w:spacing w:after="0" w:line="20" w:lineRule="exact"/>
              <w:rPr>
                <w:sz w:val="1"/>
                <w:szCs w:val="1"/>
                <w:color w:val="auto"/>
              </w:rPr>
            </w:pPr>
          </w:p>
        </w:tc>
      </w:tr>
      <w:tr>
        <w:trPr>
          <w:trHeight w:val="242"/>
        </w:trPr>
        <w:tc>
          <w:tcPr>
            <w:tcW w:w="36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Supplemental Plan</w:t>
            </w:r>
          </w:p>
        </w:tc>
        <w:tc>
          <w:tcPr>
            <w:tcW w:w="200" w:type="dxa"/>
            <w:vAlign w:val="bottom"/>
          </w:tcPr>
          <w:p>
            <w:pPr>
              <w:spacing w:after="0"/>
              <w:rPr>
                <w:sz w:val="21"/>
                <w:szCs w:val="21"/>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15</w:t>
            </w:r>
          </w:p>
        </w:tc>
        <w:tc>
          <w:tcPr>
            <w:tcW w:w="1320" w:type="dxa"/>
            <w:vAlign w:val="bottom"/>
            <w:gridSpan w:val="2"/>
          </w:tcPr>
          <w:p>
            <w:pPr>
              <w:jc w:val="right"/>
              <w:ind w:right="200"/>
              <w:spacing w:after="0"/>
              <w:rPr>
                <w:sz w:val="20"/>
                <w:szCs w:val="20"/>
                <w:color w:val="auto"/>
              </w:rPr>
            </w:pPr>
            <w:r>
              <w:rPr>
                <w:rFonts w:ascii="Arial" w:cs="Arial" w:eastAsia="Arial" w:hAnsi="Arial"/>
                <w:sz w:val="16"/>
                <w:szCs w:val="16"/>
                <w:color w:val="auto"/>
              </w:rPr>
              <w:t>2,462,670</w:t>
            </w: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62"/>
        </w:trPr>
        <w:tc>
          <w:tcPr>
            <w:tcW w:w="364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360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2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900" w:type="dxa"/>
            <w:vAlign w:val="bottom"/>
            <w:shd w:val="clear" w:color="auto" w:fill="355675"/>
          </w:tcPr>
          <w:p>
            <w:pPr>
              <w:spacing w:after="0"/>
              <w:rPr>
                <w:sz w:val="5"/>
                <w:szCs w:val="5"/>
                <w:color w:val="auto"/>
              </w:rPr>
            </w:pPr>
          </w:p>
        </w:tc>
      </w:tr>
      <w:tr>
        <w:trPr>
          <w:trHeight w:val="270"/>
        </w:trPr>
        <w:tc>
          <w:tcPr>
            <w:tcW w:w="3640" w:type="dxa"/>
            <w:vAlign w:val="bottom"/>
          </w:tcPr>
          <w:p>
            <w:pPr>
              <w:ind w:left="60"/>
              <w:spacing w:after="0" w:line="270" w:lineRule="exact"/>
              <w:rPr>
                <w:sz w:val="20"/>
                <w:szCs w:val="20"/>
                <w:color w:val="auto"/>
              </w:rPr>
            </w:pPr>
            <w:r>
              <w:rPr>
                <w:rFonts w:ascii="Arial" w:cs="Arial" w:eastAsia="Arial" w:hAnsi="Arial"/>
                <w:sz w:val="16"/>
                <w:szCs w:val="16"/>
                <w:b w:val="1"/>
                <w:bCs w:val="1"/>
                <w:color w:val="355675"/>
              </w:rPr>
              <w:t>Robert E. Smith</w:t>
            </w:r>
            <w:r>
              <w:rPr>
                <w:rFonts w:ascii="Arial" w:cs="Arial" w:eastAsia="Arial" w:hAnsi="Arial"/>
                <w:sz w:val="26"/>
                <w:szCs w:val="26"/>
                <w:b w:val="1"/>
                <w:bCs w:val="1"/>
                <w:color w:val="355675"/>
                <w:vertAlign w:val="superscript"/>
              </w:rPr>
              <w:t>(6)</w:t>
            </w:r>
          </w:p>
        </w:tc>
        <w:tc>
          <w:tcPr>
            <w:tcW w:w="200" w:type="dxa"/>
            <w:vAlign w:val="bottom"/>
          </w:tcPr>
          <w:p>
            <w:pPr>
              <w:spacing w:after="0"/>
              <w:rPr>
                <w:sz w:val="23"/>
                <w:szCs w:val="23"/>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Retirement Plan</w:t>
            </w:r>
          </w:p>
        </w:tc>
        <w:tc>
          <w:tcPr>
            <w:tcW w:w="200" w:type="dxa"/>
            <w:vAlign w:val="bottom"/>
          </w:tcPr>
          <w:p>
            <w:pPr>
              <w:spacing w:after="0"/>
              <w:rPr>
                <w:sz w:val="23"/>
                <w:szCs w:val="23"/>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4</w:t>
            </w:r>
          </w:p>
        </w:tc>
        <w:tc>
          <w:tcPr>
            <w:tcW w:w="1120" w:type="dxa"/>
            <w:vAlign w:val="bottom"/>
          </w:tcPr>
          <w:p>
            <w:pPr>
              <w:jc w:val="right"/>
              <w:spacing w:after="0"/>
              <w:rPr>
                <w:sz w:val="20"/>
                <w:szCs w:val="20"/>
                <w:color w:val="auto"/>
              </w:rPr>
            </w:pPr>
            <w:r>
              <w:rPr>
                <w:rFonts w:ascii="Arial" w:cs="Arial" w:eastAsia="Arial" w:hAnsi="Arial"/>
                <w:sz w:val="16"/>
                <w:szCs w:val="16"/>
                <w:color w:val="auto"/>
              </w:rPr>
              <w:t>65,715</w:t>
            </w:r>
          </w:p>
        </w:tc>
        <w:tc>
          <w:tcPr>
            <w:tcW w:w="200" w:type="dxa"/>
            <w:vAlign w:val="bottom"/>
          </w:tcPr>
          <w:p>
            <w:pPr>
              <w:spacing w:after="0"/>
              <w:rPr>
                <w:sz w:val="23"/>
                <w:szCs w:val="23"/>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36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00" w:type="dxa"/>
            <w:vAlign w:val="bottom"/>
            <w:shd w:val="clear" w:color="auto" w:fill="939598"/>
          </w:tcPr>
          <w:p>
            <w:pPr>
              <w:spacing w:after="0" w:line="20" w:lineRule="exact"/>
              <w:rPr>
                <w:sz w:val="1"/>
                <w:szCs w:val="1"/>
                <w:color w:val="auto"/>
              </w:rPr>
            </w:pPr>
          </w:p>
        </w:tc>
      </w:tr>
      <w:tr>
        <w:trPr>
          <w:trHeight w:val="242"/>
        </w:trPr>
        <w:tc>
          <w:tcPr>
            <w:tcW w:w="36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600" w:type="dxa"/>
            <w:vAlign w:val="bottom"/>
          </w:tcPr>
          <w:p>
            <w:pPr>
              <w:spacing w:after="0"/>
              <w:rPr>
                <w:sz w:val="20"/>
                <w:szCs w:val="20"/>
                <w:color w:val="auto"/>
              </w:rPr>
            </w:pPr>
            <w:r>
              <w:rPr>
                <w:rFonts w:ascii="Arial" w:cs="Arial" w:eastAsia="Arial" w:hAnsi="Arial"/>
                <w:sz w:val="16"/>
                <w:szCs w:val="16"/>
                <w:color w:val="auto"/>
              </w:rPr>
              <w:t>Supplemental Plan</w:t>
            </w:r>
          </w:p>
        </w:tc>
        <w:tc>
          <w:tcPr>
            <w:tcW w:w="200" w:type="dxa"/>
            <w:vAlign w:val="bottom"/>
          </w:tcPr>
          <w:p>
            <w:pPr>
              <w:spacing w:after="0"/>
              <w:rPr>
                <w:sz w:val="21"/>
                <w:szCs w:val="21"/>
                <w:color w:val="auto"/>
              </w:rPr>
            </w:pPr>
          </w:p>
        </w:tc>
        <w:tc>
          <w:tcPr>
            <w:tcW w:w="1380" w:type="dxa"/>
            <w:vAlign w:val="bottom"/>
            <w:gridSpan w:val="2"/>
          </w:tcPr>
          <w:p>
            <w:pPr>
              <w:jc w:val="right"/>
              <w:ind w:right="200"/>
              <w:spacing w:after="0"/>
              <w:rPr>
                <w:sz w:val="20"/>
                <w:szCs w:val="20"/>
                <w:color w:val="auto"/>
              </w:rPr>
            </w:pPr>
            <w:r>
              <w:rPr>
                <w:rFonts w:ascii="Arial" w:cs="Arial" w:eastAsia="Arial" w:hAnsi="Arial"/>
                <w:sz w:val="16"/>
                <w:szCs w:val="16"/>
                <w:color w:val="auto"/>
              </w:rPr>
              <w:t>4</w:t>
            </w:r>
          </w:p>
        </w:tc>
        <w:tc>
          <w:tcPr>
            <w:tcW w:w="1120" w:type="dxa"/>
            <w:vAlign w:val="bottom"/>
          </w:tcPr>
          <w:p>
            <w:pPr>
              <w:jc w:val="right"/>
              <w:spacing w:after="0"/>
              <w:rPr>
                <w:sz w:val="20"/>
                <w:szCs w:val="20"/>
                <w:color w:val="auto"/>
              </w:rPr>
            </w:pPr>
            <w:r>
              <w:rPr>
                <w:rFonts w:ascii="Arial" w:cs="Arial" w:eastAsia="Arial" w:hAnsi="Arial"/>
                <w:sz w:val="16"/>
                <w:szCs w:val="16"/>
                <w:color w:val="auto"/>
              </w:rPr>
              <w:t>472,258</w:t>
            </w:r>
          </w:p>
        </w:tc>
        <w:tc>
          <w:tcPr>
            <w:tcW w:w="2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62"/>
        </w:trPr>
        <w:tc>
          <w:tcPr>
            <w:tcW w:w="364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360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1120" w:type="dxa"/>
            <w:vAlign w:val="bottom"/>
            <w:shd w:val="clear" w:color="auto" w:fill="355675"/>
          </w:tcPr>
          <w:p>
            <w:pPr>
              <w:spacing w:after="0"/>
              <w:rPr>
                <w:sz w:val="5"/>
                <w:szCs w:val="5"/>
                <w:color w:val="auto"/>
              </w:rPr>
            </w:pPr>
          </w:p>
        </w:tc>
        <w:tc>
          <w:tcPr>
            <w:tcW w:w="200" w:type="dxa"/>
            <w:vAlign w:val="bottom"/>
          </w:tcPr>
          <w:p>
            <w:pPr>
              <w:spacing w:after="0"/>
              <w:rPr>
                <w:sz w:val="5"/>
                <w:szCs w:val="5"/>
                <w:color w:val="auto"/>
              </w:rPr>
            </w:pPr>
          </w:p>
        </w:tc>
        <w:tc>
          <w:tcPr>
            <w:tcW w:w="900" w:type="dxa"/>
            <w:vAlign w:val="bottom"/>
            <w:shd w:val="clear" w:color="auto" w:fill="355675"/>
          </w:tcPr>
          <w:p>
            <w:pPr>
              <w:spacing w:after="0"/>
              <w:rPr>
                <w:sz w:val="5"/>
                <w:szCs w:val="5"/>
                <w:color w:val="auto"/>
              </w:rPr>
            </w:pPr>
          </w:p>
        </w:tc>
      </w:tr>
    </w:tbl>
    <w:p>
      <w:pPr>
        <w:spacing w:after="0" w:line="126" w:lineRule="exact"/>
        <w:rPr>
          <w:sz w:val="20"/>
          <w:szCs w:val="20"/>
          <w:color w:val="auto"/>
        </w:rPr>
      </w:pPr>
    </w:p>
    <w:p>
      <w:pPr>
        <w:ind w:left="300" w:right="360" w:hanging="292"/>
        <w:spacing w:after="0" w:line="193" w:lineRule="auto"/>
        <w:tabs>
          <w:tab w:leader="none" w:pos="300" w:val="left"/>
        </w:tabs>
        <w:numPr>
          <w:ilvl w:val="0"/>
          <w:numId w:val="99"/>
        </w:numPr>
        <w:rPr>
          <w:rFonts w:ascii="Arial" w:cs="Arial" w:eastAsia="Arial" w:hAnsi="Arial"/>
          <w:sz w:val="24"/>
          <w:szCs w:val="24"/>
          <w:color w:val="auto"/>
          <w:vertAlign w:val="superscript"/>
        </w:rPr>
      </w:pPr>
      <w:r>
        <w:rPr>
          <w:rFonts w:ascii="Arial" w:cs="Arial" w:eastAsia="Arial" w:hAnsi="Arial"/>
          <w:sz w:val="14"/>
          <w:szCs w:val="14"/>
          <w:color w:val="auto"/>
        </w:rPr>
        <w:t>See Note 8 of the Notes to Consolidated Financial Statements in the Pinnacle West/APS Annual Report on Form 10-K for the fiscal year ended December 31, 2021 for additional information about the assumptions used by the Company in calculating pension obligations.</w:t>
      </w:r>
    </w:p>
    <w:p>
      <w:pPr>
        <w:spacing w:after="0" w:line="107" w:lineRule="exact"/>
        <w:rPr>
          <w:rFonts w:ascii="Arial" w:cs="Arial" w:eastAsia="Arial" w:hAnsi="Arial"/>
          <w:sz w:val="24"/>
          <w:szCs w:val="24"/>
          <w:color w:val="auto"/>
          <w:vertAlign w:val="superscript"/>
        </w:rPr>
      </w:pPr>
    </w:p>
    <w:p>
      <w:pPr>
        <w:ind w:left="300" w:right="60" w:hanging="292"/>
        <w:spacing w:after="0" w:line="193" w:lineRule="auto"/>
        <w:tabs>
          <w:tab w:leader="none" w:pos="300" w:val="left"/>
        </w:tabs>
        <w:numPr>
          <w:ilvl w:val="0"/>
          <w:numId w:val="99"/>
        </w:numPr>
        <w:rPr>
          <w:rFonts w:ascii="Arial" w:cs="Arial" w:eastAsia="Arial" w:hAnsi="Arial"/>
          <w:sz w:val="24"/>
          <w:szCs w:val="24"/>
          <w:color w:val="auto"/>
          <w:vertAlign w:val="superscript"/>
        </w:rPr>
      </w:pPr>
      <w:r>
        <w:rPr>
          <w:rFonts w:ascii="Arial" w:cs="Arial" w:eastAsia="Arial" w:hAnsi="Arial"/>
          <w:sz w:val="14"/>
          <w:szCs w:val="14"/>
          <w:color w:val="auto"/>
        </w:rPr>
        <w:t>The amounts shown are the present values of Mr. Guldner’s accumulated benefits for the Retirement Plan to be paid as an annuity and lump sum and for the Supplemental Plan to be paid as a five-year certain payment (payable in 60 monthly installments).</w:t>
      </w:r>
    </w:p>
    <w:p>
      <w:pPr>
        <w:spacing w:after="0" w:line="107" w:lineRule="exact"/>
        <w:rPr>
          <w:rFonts w:ascii="Arial" w:cs="Arial" w:eastAsia="Arial" w:hAnsi="Arial"/>
          <w:sz w:val="24"/>
          <w:szCs w:val="24"/>
          <w:color w:val="auto"/>
          <w:vertAlign w:val="superscript"/>
        </w:rPr>
      </w:pPr>
    </w:p>
    <w:p>
      <w:pPr>
        <w:ind w:left="300" w:right="120" w:hanging="292"/>
        <w:spacing w:after="0" w:line="193" w:lineRule="auto"/>
        <w:tabs>
          <w:tab w:leader="none" w:pos="300" w:val="left"/>
        </w:tabs>
        <w:numPr>
          <w:ilvl w:val="0"/>
          <w:numId w:val="99"/>
        </w:numPr>
        <w:rPr>
          <w:rFonts w:ascii="Arial" w:cs="Arial" w:eastAsia="Arial" w:hAnsi="Arial"/>
          <w:sz w:val="24"/>
          <w:szCs w:val="24"/>
          <w:color w:val="auto"/>
          <w:vertAlign w:val="superscript"/>
        </w:rPr>
      </w:pPr>
      <w:r>
        <w:rPr>
          <w:rFonts w:ascii="Arial" w:cs="Arial" w:eastAsia="Arial" w:hAnsi="Arial"/>
          <w:sz w:val="14"/>
          <w:szCs w:val="14"/>
          <w:color w:val="auto"/>
        </w:rPr>
        <w:t>The amounts shown are the present values of Mr. Geisler’s accumulated benefits for the Retirement Plan to be paid as an annuity and lump sum and for the Supplemental Plan to be paid as an annuity.</w:t>
      </w:r>
    </w:p>
    <w:p>
      <w:pPr>
        <w:spacing w:after="0" w:line="107" w:lineRule="exact"/>
        <w:rPr>
          <w:rFonts w:ascii="Arial" w:cs="Arial" w:eastAsia="Arial" w:hAnsi="Arial"/>
          <w:sz w:val="24"/>
          <w:szCs w:val="24"/>
          <w:color w:val="auto"/>
          <w:vertAlign w:val="superscript"/>
        </w:rPr>
      </w:pPr>
    </w:p>
    <w:p>
      <w:pPr>
        <w:ind w:left="300" w:right="80" w:hanging="292"/>
        <w:spacing w:after="0" w:line="193" w:lineRule="auto"/>
        <w:tabs>
          <w:tab w:leader="none" w:pos="300" w:val="left"/>
        </w:tabs>
        <w:numPr>
          <w:ilvl w:val="0"/>
          <w:numId w:val="99"/>
        </w:numPr>
        <w:rPr>
          <w:rFonts w:ascii="Arial" w:cs="Arial" w:eastAsia="Arial" w:hAnsi="Arial"/>
          <w:sz w:val="24"/>
          <w:szCs w:val="24"/>
          <w:color w:val="auto"/>
          <w:vertAlign w:val="superscript"/>
        </w:rPr>
      </w:pPr>
      <w:r>
        <w:rPr>
          <w:rFonts w:ascii="Arial" w:cs="Arial" w:eastAsia="Arial" w:hAnsi="Arial"/>
          <w:sz w:val="14"/>
          <w:szCs w:val="14"/>
          <w:color w:val="auto"/>
        </w:rPr>
        <w:t>The amounts shown are the present values of Mr. Hatfield’s accumulated benefits for the Retirement Plan to be paid as an annuity and lump sum and for the Supplemental Plan to be paid as a five-year certain payment (payable in 60 monthly installments).</w:t>
      </w:r>
    </w:p>
    <w:p>
      <w:pPr>
        <w:spacing w:after="0" w:line="107" w:lineRule="exact"/>
        <w:rPr>
          <w:rFonts w:ascii="Arial" w:cs="Arial" w:eastAsia="Arial" w:hAnsi="Arial"/>
          <w:sz w:val="24"/>
          <w:szCs w:val="24"/>
          <w:color w:val="auto"/>
          <w:vertAlign w:val="superscript"/>
        </w:rPr>
      </w:pPr>
    </w:p>
    <w:p>
      <w:pPr>
        <w:ind w:left="300" w:right="200" w:hanging="292"/>
        <w:spacing w:after="0" w:line="193" w:lineRule="auto"/>
        <w:tabs>
          <w:tab w:leader="none" w:pos="300" w:val="left"/>
        </w:tabs>
        <w:numPr>
          <w:ilvl w:val="0"/>
          <w:numId w:val="99"/>
        </w:numPr>
        <w:rPr>
          <w:rFonts w:ascii="Arial" w:cs="Arial" w:eastAsia="Arial" w:hAnsi="Arial"/>
          <w:sz w:val="24"/>
          <w:szCs w:val="24"/>
          <w:color w:val="auto"/>
          <w:vertAlign w:val="superscript"/>
        </w:rPr>
      </w:pPr>
      <w:r>
        <w:rPr>
          <w:rFonts w:ascii="Arial" w:cs="Arial" w:eastAsia="Arial" w:hAnsi="Arial"/>
          <w:sz w:val="14"/>
          <w:szCs w:val="14"/>
          <w:color w:val="auto"/>
        </w:rPr>
        <w:t>The amounts shown are the present values of Ms. Lacal’s accumulated benefits for the Retirement Plan to be paid as an annuity and lump sum and for the Supplemental Plan to be paid as an annuity.</w:t>
      </w:r>
    </w:p>
    <w:p>
      <w:pPr>
        <w:spacing w:after="0" w:line="107" w:lineRule="exact"/>
        <w:rPr>
          <w:rFonts w:ascii="Arial" w:cs="Arial" w:eastAsia="Arial" w:hAnsi="Arial"/>
          <w:sz w:val="24"/>
          <w:szCs w:val="24"/>
          <w:color w:val="auto"/>
          <w:vertAlign w:val="superscript"/>
        </w:rPr>
      </w:pPr>
    </w:p>
    <w:p>
      <w:pPr>
        <w:ind w:left="300" w:right="200" w:hanging="292"/>
        <w:spacing w:after="0" w:line="193" w:lineRule="auto"/>
        <w:tabs>
          <w:tab w:leader="none" w:pos="300" w:val="left"/>
        </w:tabs>
        <w:numPr>
          <w:ilvl w:val="0"/>
          <w:numId w:val="99"/>
        </w:numPr>
        <w:rPr>
          <w:rFonts w:ascii="Arial" w:cs="Arial" w:eastAsia="Arial" w:hAnsi="Arial"/>
          <w:sz w:val="24"/>
          <w:szCs w:val="24"/>
          <w:color w:val="auto"/>
          <w:vertAlign w:val="superscript"/>
        </w:rPr>
      </w:pPr>
      <w:r>
        <w:rPr>
          <w:rFonts w:ascii="Arial" w:cs="Arial" w:eastAsia="Arial" w:hAnsi="Arial"/>
          <w:sz w:val="14"/>
          <w:szCs w:val="14"/>
          <w:color w:val="auto"/>
        </w:rPr>
        <w:t>The amounts shown are the present values of Mr. Smith’s accumulated benefits for the Retirement Plan to be paid as an annuity and lump sum and for the Supplemental Plan to be paid as a five-year certain payment (payable in 60 monthly installments).</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87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25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25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96" w:name="page97"/>
    <w:bookmarkEnd w:id="9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Discussion of Pension Benefits</w:t>
      </w:r>
    </w:p>
    <w:p>
      <w:pPr>
        <w:spacing w:after="0" w:line="222"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Retirement Plan and Supplemental Plan</w:t>
      </w:r>
    </w:p>
    <w:p>
      <w:pPr>
        <w:spacing w:after="0" w:line="249" w:lineRule="exact"/>
        <w:rPr>
          <w:sz w:val="20"/>
          <w:szCs w:val="20"/>
          <w:color w:val="auto"/>
        </w:rPr>
      </w:pPr>
    </w:p>
    <w:p>
      <w:pPr>
        <w:spacing w:after="0"/>
        <w:tabs>
          <w:tab w:leader="none" w:pos="5840" w:val="left"/>
        </w:tabs>
        <w:rPr>
          <w:sz w:val="20"/>
          <w:szCs w:val="20"/>
          <w:color w:val="auto"/>
        </w:rPr>
      </w:pPr>
      <w:r>
        <w:rPr>
          <w:rFonts w:ascii="Arial" w:cs="Arial" w:eastAsia="Arial" w:hAnsi="Arial"/>
          <w:sz w:val="18"/>
          <w:szCs w:val="18"/>
          <w:b w:val="1"/>
          <w:bCs w:val="1"/>
          <w:color w:val="008C9F"/>
        </w:rPr>
        <w:t>Retirement Plan</w:t>
      </w:r>
      <w:r>
        <w:rPr>
          <w:sz w:val="20"/>
          <w:szCs w:val="20"/>
          <w:color w:val="auto"/>
        </w:rPr>
        <w:tab/>
      </w:r>
      <w:r>
        <w:rPr>
          <w:rFonts w:ascii="Arial" w:cs="Arial" w:eastAsia="Arial" w:hAnsi="Arial"/>
          <w:sz w:val="17"/>
          <w:szCs w:val="17"/>
          <w:b w:val="1"/>
          <w:bCs w:val="1"/>
          <w:color w:val="355675"/>
        </w:rPr>
        <w:t>Supplemental Plan</w:t>
      </w:r>
    </w:p>
    <w:p>
      <w:pPr>
        <w:spacing w:after="0" w:line="14" w:lineRule="exact"/>
        <w:rPr>
          <w:sz w:val="20"/>
          <w:szCs w:val="20"/>
          <w:color w:val="auto"/>
        </w:rPr>
      </w:pPr>
    </w:p>
    <w:p>
      <w:pPr>
        <w:spacing w:after="0"/>
        <w:tabs>
          <w:tab w:leader="none" w:pos="5840" w:val="left"/>
        </w:tabs>
        <w:rPr>
          <w:sz w:val="20"/>
          <w:szCs w:val="20"/>
          <w:color w:val="auto"/>
        </w:rPr>
      </w:pPr>
      <w:r>
        <w:rPr>
          <w:rFonts w:ascii="Arial" w:cs="Arial" w:eastAsia="Arial" w:hAnsi="Arial"/>
          <w:sz w:val="18"/>
          <w:szCs w:val="18"/>
          <w:color w:val="auto"/>
        </w:rPr>
        <w:t>The Company’s Retirement Plan is a tax-qualified, noncontributory</w:t>
      </w:r>
      <w:r>
        <w:rPr>
          <w:sz w:val="20"/>
          <w:szCs w:val="20"/>
          <w:color w:val="auto"/>
        </w:rPr>
        <w:tab/>
      </w:r>
      <w:r>
        <w:rPr>
          <w:rFonts w:ascii="Arial" w:cs="Arial" w:eastAsia="Arial" w:hAnsi="Arial"/>
          <w:sz w:val="17"/>
          <w:szCs w:val="17"/>
          <w:color w:val="auto"/>
        </w:rPr>
        <w:t>The Supplemental Plan provides additional retirement benefits for</w:t>
      </w:r>
    </w:p>
    <w:p>
      <w:pPr>
        <w:spacing w:after="0" w:line="9" w:lineRule="exact"/>
        <w:rPr>
          <w:sz w:val="20"/>
          <w:szCs w:val="20"/>
          <w:color w:val="auto"/>
        </w:rPr>
      </w:pPr>
    </w:p>
    <w:p>
      <w:pPr>
        <w:spacing w:after="0"/>
        <w:tabs>
          <w:tab w:leader="none" w:pos="5840" w:val="left"/>
        </w:tabs>
        <w:rPr>
          <w:sz w:val="20"/>
          <w:szCs w:val="20"/>
          <w:color w:val="auto"/>
        </w:rPr>
      </w:pPr>
      <w:r>
        <w:rPr>
          <w:rFonts w:ascii="Arial" w:cs="Arial" w:eastAsia="Arial" w:hAnsi="Arial"/>
          <w:sz w:val="18"/>
          <w:szCs w:val="18"/>
          <w:color w:val="auto"/>
        </w:rPr>
        <w:t>retirement plan for salaried and hourly employees.</w:t>
      </w:r>
      <w:r>
        <w:rPr>
          <w:sz w:val="20"/>
          <w:szCs w:val="20"/>
          <w:color w:val="auto"/>
        </w:rPr>
        <w:tab/>
      </w:r>
      <w:r>
        <w:rPr>
          <w:rFonts w:ascii="Arial" w:cs="Arial" w:eastAsia="Arial" w:hAnsi="Arial"/>
          <w:sz w:val="17"/>
          <w:szCs w:val="17"/>
          <w:color w:val="auto"/>
        </w:rPr>
        <w:t>key salaried employees but does not duplicate benefits provided</w:t>
      </w:r>
    </w:p>
    <w:p>
      <w:pPr>
        <w:spacing w:after="0" w:line="9" w:lineRule="exact"/>
        <w:rPr>
          <w:sz w:val="20"/>
          <w:szCs w:val="20"/>
          <w:color w:val="auto"/>
        </w:rPr>
      </w:pPr>
    </w:p>
    <w:p>
      <w:pPr>
        <w:ind w:left="5860"/>
        <w:spacing w:after="0"/>
        <w:rPr>
          <w:sz w:val="20"/>
          <w:szCs w:val="20"/>
          <w:color w:val="auto"/>
        </w:rPr>
      </w:pPr>
      <w:r>
        <w:rPr>
          <w:rFonts w:ascii="Arial" w:cs="Arial" w:eastAsia="Arial" w:hAnsi="Arial"/>
          <w:sz w:val="18"/>
          <w:szCs w:val="18"/>
          <w:color w:val="auto"/>
        </w:rPr>
        <w:t>under the Retirement Plan.</w:t>
      </w:r>
    </w:p>
    <w:p>
      <w:pPr>
        <w:spacing w:after="0" w:line="180" w:lineRule="exact"/>
        <w:rPr>
          <w:sz w:val="20"/>
          <w:szCs w:val="20"/>
          <w:color w:val="auto"/>
        </w:rPr>
      </w:pPr>
    </w:p>
    <w:p>
      <w:pPr>
        <w:ind w:right="200"/>
        <w:spacing w:after="0" w:line="247" w:lineRule="auto"/>
        <w:rPr>
          <w:sz w:val="20"/>
          <w:szCs w:val="20"/>
          <w:color w:val="auto"/>
        </w:rPr>
      </w:pPr>
      <w:r>
        <w:rPr>
          <w:rFonts w:ascii="Arial" w:cs="Arial" w:eastAsia="Arial" w:hAnsi="Arial"/>
          <w:sz w:val="18"/>
          <w:szCs w:val="18"/>
          <w:color w:val="auto"/>
        </w:rPr>
        <w:t>The total benefit is calculated and then benefits payable under the Retirement Plan are paid from a tax-exempt trust and any remaining benefits due under the Supplemental Plan are paid from the general assets of the Company. Messrs. Guldner and Hatfield and Ms. Lacal currently qualify for early retirement, but not normal retirement, under the Retirement Plan and the Supplemental Plan. Messrs. Geisler and Smith do not currently qualify for early or normal retirement under either the Retirement Plan or the Supplemental Plan.</w:t>
      </w:r>
    </w:p>
    <w:p>
      <w:pPr>
        <w:sectPr>
          <w:pgSz w:w="11900" w:h="16838" w:orient="portrait"/>
          <w:cols w:equalWidth="0" w:num="1">
            <w:col w:w="11240"/>
          </w:cols>
          <w:pgMar w:left="320" w:top="125" w:right="339" w:bottom="1440" w:gutter="0" w:footer="0" w:header="0"/>
        </w:sectPr>
      </w:pPr>
    </w:p>
    <w:p>
      <w:pPr>
        <w:spacing w:after="0" w:line="170"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Account Balance</w:t>
      </w:r>
    </w:p>
    <w:p>
      <w:pPr>
        <w:spacing w:after="0" w:line="1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Formula Benefit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1405890" cy="3429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1405890" cy="34290"/>
                    </a:xfrm>
                    <a:prstGeom prst="rect">
                      <a:avLst/>
                    </a:prstGeom>
                    <a:noFill/>
                  </pic:spPr>
                </pic:pic>
              </a:graphicData>
            </a:graphic>
          </wp:anchor>
        </w:drawing>
      </w:r>
    </w:p>
    <w:p>
      <w:pPr>
        <w:spacing w:after="0" w:line="70" w:lineRule="exact"/>
        <w:rPr>
          <w:sz w:val="20"/>
          <w:szCs w:val="20"/>
          <w:color w:val="auto"/>
        </w:rPr>
      </w:pPr>
    </w:p>
    <w:p>
      <w:pPr>
        <w:ind w:left="60" w:right="240"/>
        <w:spacing w:after="0" w:line="374" w:lineRule="auto"/>
        <w:rPr>
          <w:sz w:val="20"/>
          <w:szCs w:val="20"/>
          <w:color w:val="auto"/>
        </w:rPr>
      </w:pPr>
      <w:r>
        <w:rPr>
          <w:rFonts w:ascii="Arial" w:cs="Arial" w:eastAsia="Arial" w:hAnsi="Arial"/>
          <w:sz w:val="16"/>
          <w:szCs w:val="16"/>
          <w:color w:val="auto"/>
        </w:rPr>
        <w:t>Retirement Plan Supplemental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-217170</wp:posOffset>
            </wp:positionV>
            <wp:extent cx="1405890"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140589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1179195</wp:posOffset>
            </wp:positionV>
            <wp:extent cx="1405890" cy="3429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1405890"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12"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23495</wp:posOffset>
            </wp:positionV>
            <wp:extent cx="2760345" cy="342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2760345" cy="34290"/>
                    </a:xfrm>
                    <a:prstGeom prst="rect">
                      <a:avLst/>
                    </a:prstGeom>
                    <a:noFill/>
                  </pic:spPr>
                </pic:pic>
              </a:graphicData>
            </a:graphic>
          </wp:anchor>
        </w:drawing>
      </w:r>
    </w:p>
    <w:p>
      <w:pPr>
        <w:spacing w:after="0" w:line="84" w:lineRule="exact"/>
        <w:rPr>
          <w:sz w:val="20"/>
          <w:szCs w:val="20"/>
          <w:color w:val="auto"/>
        </w:rPr>
      </w:pPr>
    </w:p>
    <w:p>
      <w:pPr>
        <w:spacing w:after="0" w:line="255" w:lineRule="auto"/>
        <w:rPr>
          <w:sz w:val="20"/>
          <w:szCs w:val="20"/>
          <w:color w:val="auto"/>
        </w:rPr>
      </w:pPr>
      <w:r>
        <w:rPr>
          <w:rFonts w:ascii="Arial" w:cs="Arial" w:eastAsia="Arial" w:hAnsi="Arial"/>
          <w:sz w:val="16"/>
          <w:szCs w:val="16"/>
          <w:color w:val="auto"/>
        </w:rPr>
        <w:t>Effective April 1, 2003, the Company changed the benefit accrual formula for both the Retirement Plan and the Supplemental Plan to a retirement account balance formula (the “Account Balance Formula”). Active participants were able to elect to either (1) continue to earn benefits calculated under a traditional formula, or (2) earn benefits calculated</w:t>
      </w:r>
    </w:p>
    <w:p>
      <w:pPr>
        <w:ind w:right="200" w:firstLine="4"/>
        <w:spacing w:after="0" w:line="270" w:lineRule="auto"/>
        <w:tabs>
          <w:tab w:leader="none" w:pos="243" w:val="left"/>
        </w:tabs>
        <w:numPr>
          <w:ilvl w:val="0"/>
          <w:numId w:val="100"/>
        </w:numPr>
        <w:rPr>
          <w:rFonts w:ascii="Arial" w:cs="Arial" w:eastAsia="Arial" w:hAnsi="Arial"/>
          <w:sz w:val="16"/>
          <w:szCs w:val="16"/>
          <w:color w:val="auto"/>
        </w:rPr>
      </w:pPr>
      <w:r>
        <w:rPr>
          <w:rFonts w:ascii="Arial" w:cs="Arial" w:eastAsia="Arial" w:hAnsi="Arial"/>
          <w:sz w:val="16"/>
          <w:szCs w:val="16"/>
          <w:color w:val="auto"/>
        </w:rPr>
        <w:t>under the traditional formula for service through March 31, 2003, and (b) under the Account Balance Formula for service after that date. Messrs. Guldner’s, Geisler’s, Hatfield’s, and Smith’s and Ms. Lacal’s benefits are calculated under the Account Balance Formula.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141605</wp:posOffset>
            </wp:positionV>
            <wp:extent cx="2760345" cy="342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2760345"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12"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How it works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23495</wp:posOffset>
            </wp:positionV>
            <wp:extent cx="2760345" cy="342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2760345" cy="34290"/>
                    </a:xfrm>
                    <a:prstGeom prst="rect">
                      <a:avLst/>
                    </a:prstGeom>
                    <a:noFill/>
                  </pic:spPr>
                </pic:pic>
              </a:graphicData>
            </a:graphic>
          </wp:anchor>
        </w:drawing>
      </w:r>
    </w:p>
    <w:p>
      <w:pPr>
        <w:spacing w:after="0" w:line="84" w:lineRule="exact"/>
        <w:rPr>
          <w:sz w:val="20"/>
          <w:szCs w:val="20"/>
          <w:color w:val="auto"/>
        </w:rPr>
      </w:pPr>
    </w:p>
    <w:p>
      <w:pPr>
        <w:spacing w:after="0" w:line="272" w:lineRule="auto"/>
        <w:rPr>
          <w:sz w:val="20"/>
          <w:szCs w:val="20"/>
          <w:color w:val="auto"/>
        </w:rPr>
      </w:pPr>
      <w:r>
        <w:rPr>
          <w:rFonts w:ascii="Arial" w:cs="Arial" w:eastAsia="Arial" w:hAnsi="Arial"/>
          <w:sz w:val="16"/>
          <w:szCs w:val="16"/>
          <w:color w:val="auto"/>
        </w:rPr>
        <w:t>Under the Account Balance Formula, a notional account is established for each eligible participant and benefits are generally payable at termination of employment. The Company credits monthly amounts (based on the participant’s current monthly compensation) to a participant’s account.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749300</wp:posOffset>
            </wp:positionV>
            <wp:extent cx="2760345" cy="342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2760345" cy="34290"/>
                    </a:xfrm>
                    <a:prstGeom prst="rect">
                      <a:avLst/>
                    </a:prstGeom>
                    <a:noFill/>
                  </pic:spPr>
                </pic:pic>
              </a:graphicData>
            </a:graphic>
          </wp:anchor>
        </w:drawing>
      </w:r>
    </w:p>
    <w:p>
      <w:pPr>
        <w:spacing w:after="0" w:line="1156" w:lineRule="exact"/>
        <w:rPr>
          <w:sz w:val="20"/>
          <w:szCs w:val="20"/>
          <w:color w:val="auto"/>
        </w:rPr>
      </w:pPr>
    </w:p>
    <w:p>
      <w:pPr>
        <w:sectPr>
          <w:pgSz w:w="11900" w:h="16838" w:orient="portrait"/>
          <w:cols w:equalWidth="0" w:num="3">
            <w:col w:w="1660" w:space="720"/>
            <w:col w:w="4340" w:space="180"/>
            <w:col w:w="4340"/>
          </w:cols>
          <w:pgMar w:left="320" w:top="125" w:right="339" w:bottom="1440" w:gutter="0" w:footer="0" w:header="0"/>
          <w:type w:val="continuous"/>
        </w:sectPr>
      </w:pPr>
    </w:p>
    <w:p>
      <w:pPr>
        <w:spacing w:after="0" w:line="233" w:lineRule="exact"/>
        <w:rPr>
          <w:sz w:val="20"/>
          <w:szCs w:val="20"/>
          <w:color w:val="auto"/>
        </w:rPr>
      </w:pPr>
    </w:p>
    <w:p>
      <w:pPr>
        <w:spacing w:after="0"/>
        <w:rPr>
          <w:sz w:val="20"/>
          <w:szCs w:val="20"/>
          <w:color w:val="auto"/>
        </w:rPr>
      </w:pPr>
      <w:r>
        <w:rPr>
          <w:rFonts w:ascii="Arial" w:cs="Arial" w:eastAsia="Arial" w:hAnsi="Arial"/>
          <w:sz w:val="18"/>
          <w:szCs w:val="18"/>
          <w:color w:val="auto"/>
        </w:rPr>
        <w:t>Under the Retirement Plan, Company credits are based on the following formula:</w:t>
      </w:r>
    </w:p>
    <w:p>
      <w:pPr>
        <w:sectPr>
          <w:pgSz w:w="11900" w:h="16838" w:orient="portrait"/>
          <w:cols w:equalWidth="0" w:num="1">
            <w:col w:w="11240"/>
          </w:cols>
          <w:pgMar w:left="320" w:top="125" w:right="339" w:bottom="1440" w:gutter="0" w:footer="0" w:header="0"/>
          <w:type w:val="continuous"/>
        </w:sectPr>
      </w:pPr>
    </w:p>
    <w:p>
      <w:pPr>
        <w:spacing w:after="0" w:line="200" w:lineRule="exact"/>
        <w:rPr>
          <w:sz w:val="20"/>
          <w:szCs w:val="20"/>
          <w:color w:val="auto"/>
        </w:rPr>
      </w:pPr>
    </w:p>
    <w:p>
      <w:pPr>
        <w:spacing w:after="0" w:line="34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Age Plus Whole Years of</w:t>
      </w:r>
    </w:p>
    <w:p>
      <w:pPr>
        <w:spacing w:after="0" w:line="15"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Service at End of Plan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2562860" cy="342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2562860" cy="34290"/>
                    </a:xfrm>
                    <a:prstGeom prst="rect">
                      <a:avLst/>
                    </a:prstGeom>
                    <a:noFill/>
                  </pic:spPr>
                </pic:pic>
              </a:graphicData>
            </a:graphic>
          </wp:anchor>
        </w:drawing>
      </w:r>
    </w:p>
    <w:p>
      <w:pPr>
        <w:spacing w:after="0" w:line="70" w:lineRule="exact"/>
        <w:rPr>
          <w:sz w:val="20"/>
          <w:szCs w:val="20"/>
          <w:color w:val="auto"/>
        </w:rPr>
      </w:pPr>
    </w:p>
    <w:p>
      <w:pPr>
        <w:ind w:left="60"/>
        <w:spacing w:after="0"/>
        <w:rPr>
          <w:sz w:val="20"/>
          <w:szCs w:val="20"/>
          <w:color w:val="auto"/>
        </w:rPr>
      </w:pPr>
      <w:r>
        <w:rPr>
          <w:rFonts w:ascii="Arial" w:cs="Arial" w:eastAsia="Arial" w:hAnsi="Arial"/>
          <w:sz w:val="16"/>
          <w:szCs w:val="16"/>
          <w:color w:val="auto"/>
        </w:rPr>
        <w:t>Less than 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8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40-49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50-59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60-69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70-79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80 and over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342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2562860" cy="34290"/>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217805</wp:posOffset>
            </wp:positionV>
            <wp:extent cx="1191260" cy="23114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Percent of Monthly</w:t>
      </w:r>
    </w:p>
    <w:p>
      <w:pPr>
        <w:spacing w:after="0" w:line="15"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Compensation</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Contribution Rate</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14605</wp:posOffset>
            </wp:positionV>
            <wp:extent cx="883285" cy="342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883285" cy="34290"/>
                    </a:xfrm>
                    <a:prstGeom prst="rect">
                      <a:avLst/>
                    </a:prstGeom>
                    <a:noFill/>
                  </pic:spPr>
                </pic:pic>
              </a:graphicData>
            </a:graphic>
          </wp:anchor>
        </w:drawing>
      </w:r>
    </w:p>
    <w:p>
      <w:pPr>
        <w:spacing w:after="0" w:line="70" w:lineRule="exact"/>
        <w:rPr>
          <w:sz w:val="20"/>
          <w:szCs w:val="20"/>
          <w:color w:val="auto"/>
        </w:rPr>
      </w:pPr>
    </w:p>
    <w:p>
      <w:pPr>
        <w:jc w:val="right"/>
        <w:spacing w:after="0"/>
        <w:rPr>
          <w:sz w:val="20"/>
          <w:szCs w:val="20"/>
          <w:color w:val="auto"/>
        </w:rPr>
      </w:pPr>
      <w:r>
        <w:rPr>
          <w:rFonts w:ascii="Arial" w:cs="Arial" w:eastAsia="Arial" w:hAnsi="Arial"/>
          <w:sz w:val="16"/>
          <w:szCs w:val="16"/>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89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883285" cy="8890"/>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342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883285"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right="120"/>
        <w:spacing w:after="0" w:line="247" w:lineRule="auto"/>
        <w:rPr>
          <w:sz w:val="20"/>
          <w:szCs w:val="20"/>
          <w:color w:val="auto"/>
        </w:rPr>
      </w:pPr>
      <w:r>
        <w:rPr>
          <w:rFonts w:ascii="Arial" w:cs="Arial" w:eastAsia="Arial" w:hAnsi="Arial"/>
          <w:sz w:val="18"/>
          <w:szCs w:val="18"/>
          <w:color w:val="auto"/>
        </w:rPr>
        <w:t>In addition, participants in the Retirement Plan on December 31, 2002 were eligible for up to 10 years of transition credits based on age and years of service (with the maximum transition credit equal to 2.75% of current monthly compensation).</w:t>
      </w:r>
    </w:p>
    <w:p>
      <w:pPr>
        <w:spacing w:after="0" w:line="522" w:lineRule="exact"/>
        <w:rPr>
          <w:sz w:val="20"/>
          <w:szCs w:val="20"/>
          <w:color w:val="auto"/>
        </w:rPr>
      </w:pPr>
    </w:p>
    <w:p>
      <w:pPr>
        <w:sectPr>
          <w:pgSz w:w="11900" w:h="16838" w:orient="portrait"/>
          <w:cols w:equalWidth="0" w:num="3">
            <w:col w:w="3560" w:space="720"/>
            <w:col w:w="1300" w:space="260"/>
            <w:col w:w="5400"/>
          </w:cols>
          <w:pgMar w:left="320" w:top="125" w:right="339" w:bottom="1440" w:gutter="0" w:footer="0" w:header="0"/>
          <w:type w:val="continuous"/>
        </w:sectPr>
      </w:pPr>
    </w:p>
    <w:p>
      <w:pPr>
        <w:spacing w:after="0" w:line="33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97" w:name="page98"/>
    <w:bookmarkEnd w:id="9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color w:val="auto"/>
        </w:rPr>
        <w:t>Under the Supplemental Plan, Company credits are based on the following formula:</w:t>
      </w:r>
    </w:p>
    <w:p>
      <w:pPr>
        <w:sectPr>
          <w:pgSz w:w="11900" w:h="16838" w:orient="portrait"/>
          <w:cols w:equalWidth="0" w:num="1">
            <w:col w:w="11260"/>
          </w:cols>
          <w:pgMar w:left="320" w:top="125" w:right="3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Age at End of Plan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2554605" cy="342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2554605" cy="34290"/>
                    </a:xfrm>
                    <a:prstGeom prst="rect">
                      <a:avLst/>
                    </a:prstGeom>
                    <a:noFill/>
                  </pic:spPr>
                </pic:pic>
              </a:graphicData>
            </a:graphic>
          </wp:anchor>
        </w:drawing>
      </w:r>
    </w:p>
    <w:p>
      <w:pPr>
        <w:spacing w:after="0" w:line="84" w:lineRule="exact"/>
        <w:rPr>
          <w:sz w:val="20"/>
          <w:szCs w:val="20"/>
          <w:color w:val="auto"/>
        </w:rPr>
      </w:pPr>
    </w:p>
    <w:p>
      <w:pPr>
        <w:ind w:left="60"/>
        <w:spacing w:after="0"/>
        <w:rPr>
          <w:sz w:val="20"/>
          <w:szCs w:val="20"/>
          <w:color w:val="auto"/>
        </w:rPr>
      </w:pPr>
      <w:r>
        <w:rPr>
          <w:rFonts w:ascii="Arial" w:cs="Arial" w:eastAsia="Arial" w:hAnsi="Arial"/>
          <w:sz w:val="16"/>
          <w:szCs w:val="16"/>
          <w:color w:val="auto"/>
        </w:rPr>
        <w:t>Less than 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54605" cy="825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35-39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54605" cy="825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40-44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54605" cy="825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45-49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54605" cy="825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50-54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54605" cy="825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55 and over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54605" cy="3429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2554605"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88"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Percent of Monthly</w:t>
      </w:r>
    </w:p>
    <w:p>
      <w:pPr>
        <w:spacing w:after="0" w:line="15"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Compensation</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Contribution Rate</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14605</wp:posOffset>
            </wp:positionV>
            <wp:extent cx="883285" cy="3429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883285" cy="34290"/>
                    </a:xfrm>
                    <a:prstGeom prst="rect">
                      <a:avLst/>
                    </a:prstGeom>
                    <a:noFill/>
                  </pic:spPr>
                </pic:pic>
              </a:graphicData>
            </a:graphic>
          </wp:anchor>
        </w:drawing>
      </w:r>
    </w:p>
    <w:p>
      <w:pPr>
        <w:spacing w:after="0" w:line="70" w:lineRule="exact"/>
        <w:rPr>
          <w:sz w:val="20"/>
          <w:szCs w:val="20"/>
          <w:color w:val="auto"/>
        </w:rPr>
      </w:pPr>
    </w:p>
    <w:p>
      <w:pPr>
        <w:jc w:val="right"/>
        <w:spacing w:after="0"/>
        <w:rPr>
          <w:sz w:val="20"/>
          <w:szCs w:val="20"/>
          <w:color w:val="auto"/>
        </w:rPr>
      </w:pPr>
      <w:r>
        <w:rPr>
          <w:rFonts w:ascii="Arial" w:cs="Arial" w:eastAsia="Arial" w:hAnsi="Arial"/>
          <w:sz w:val="16"/>
          <w:szCs w:val="16"/>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ind w:left="1100"/>
        <w:spacing w:after="0"/>
        <w:rPr>
          <w:sz w:val="20"/>
          <w:szCs w:val="20"/>
          <w:color w:val="auto"/>
        </w:rPr>
      </w:pPr>
      <w:r>
        <w:rPr>
          <w:rFonts w:ascii="Arial" w:cs="Arial" w:eastAsia="Arial" w:hAnsi="Arial"/>
          <w:sz w:val="16"/>
          <w:szCs w:val="16"/>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ind w:left="1100"/>
        <w:spacing w:after="0"/>
        <w:rPr>
          <w:sz w:val="20"/>
          <w:szCs w:val="20"/>
          <w:color w:val="auto"/>
        </w:rPr>
      </w:pPr>
      <w:r>
        <w:rPr>
          <w:rFonts w:ascii="Arial" w:cs="Arial" w:eastAsia="Arial" w:hAnsi="Arial"/>
          <w:sz w:val="16"/>
          <w:szCs w:val="16"/>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ind w:left="1100"/>
        <w:spacing w:after="0"/>
        <w:rPr>
          <w:sz w:val="20"/>
          <w:szCs w:val="20"/>
          <w:color w:val="auto"/>
        </w:rPr>
      </w:pPr>
      <w:r>
        <w:rPr>
          <w:rFonts w:ascii="Arial" w:cs="Arial" w:eastAsia="Arial" w:hAnsi="Arial"/>
          <w:sz w:val="16"/>
          <w:szCs w:val="16"/>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ind w:left="1100"/>
        <w:spacing w:after="0"/>
        <w:rPr>
          <w:sz w:val="20"/>
          <w:szCs w:val="20"/>
          <w:color w:val="auto"/>
        </w:rPr>
      </w:pPr>
      <w:r>
        <w:rPr>
          <w:rFonts w:ascii="Arial" w:cs="Arial" w:eastAsia="Arial" w:hAnsi="Arial"/>
          <w:sz w:val="16"/>
          <w:szCs w:val="16"/>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ind w:left="1100"/>
        <w:spacing w:after="0"/>
        <w:rPr>
          <w:sz w:val="20"/>
          <w:szCs w:val="20"/>
          <w:color w:val="auto"/>
        </w:rPr>
      </w:pPr>
      <w:r>
        <w:rPr>
          <w:rFonts w:ascii="Arial" w:cs="Arial" w:eastAsia="Arial" w:hAnsi="Arial"/>
          <w:sz w:val="16"/>
          <w:szCs w:val="16"/>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342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883285"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both"/>
        <w:ind w:right="160"/>
        <w:spacing w:after="0" w:line="253" w:lineRule="auto"/>
        <w:rPr>
          <w:sz w:val="20"/>
          <w:szCs w:val="20"/>
          <w:color w:val="auto"/>
        </w:rPr>
      </w:pPr>
      <w:r>
        <w:rPr>
          <w:rFonts w:ascii="Arial" w:cs="Arial" w:eastAsia="Arial" w:hAnsi="Arial"/>
          <w:sz w:val="18"/>
          <w:szCs w:val="18"/>
          <w:color w:val="auto"/>
        </w:rPr>
        <w:t>Company credits under the Supplemental Plan stop at the end of the year in which a participant attains 25 years of service (the “25-Year Cap”).</w:t>
      </w:r>
    </w:p>
    <w:p>
      <w:pPr>
        <w:spacing w:after="0" w:line="760" w:lineRule="exact"/>
        <w:rPr>
          <w:sz w:val="20"/>
          <w:szCs w:val="20"/>
          <w:color w:val="auto"/>
        </w:rPr>
      </w:pPr>
    </w:p>
    <w:p>
      <w:pPr>
        <w:sectPr>
          <w:pgSz w:w="11900" w:h="16838" w:orient="portrait"/>
          <w:cols w:equalWidth="0" w:num="3">
            <w:col w:w="3560" w:space="720"/>
            <w:col w:w="1300" w:space="260"/>
            <w:col w:w="5420"/>
          </w:cols>
          <w:pgMar w:left="320" w:top="125" w:right="319" w:bottom="1440" w:gutter="0" w:footer="0" w:header="0"/>
          <w:type w:val="continuous"/>
        </w:sectPr>
      </w:pPr>
    </w:p>
    <w:p>
      <w:pPr>
        <w:spacing w:after="0" w:line="57" w:lineRule="exact"/>
        <w:rPr>
          <w:sz w:val="20"/>
          <w:szCs w:val="20"/>
          <w:color w:val="auto"/>
        </w:rPr>
      </w:pPr>
    </w:p>
    <w:p>
      <w:pPr>
        <w:ind w:right="100"/>
        <w:spacing w:after="0" w:line="244" w:lineRule="auto"/>
        <w:rPr>
          <w:sz w:val="20"/>
          <w:szCs w:val="20"/>
          <w:color w:val="auto"/>
        </w:rPr>
      </w:pPr>
      <w:r>
        <w:rPr>
          <w:rFonts w:ascii="Arial" w:cs="Arial" w:eastAsia="Arial" w:hAnsi="Arial"/>
          <w:sz w:val="18"/>
          <w:szCs w:val="18"/>
          <w:color w:val="auto"/>
        </w:rPr>
        <w:t>For purposes of calculating the Account Balance Formula benefit under the Retirement Plan, compensation consists solely of base salary up to $290,000, including any employee contributions under the Company’s 401(k) plan, flexible benefits plan and qualified transportation arrangement under Section 132(f) of the Code. Amounts voluntarily deferred under other deferred compensation plans, bonuses, incentive pay and long-term equity awards are not taken into account under the Retirement Plan. The Supplemental Plan takes these amounts into account (with certain exceptions) plus base salary beyond the $290,000 limit.</w:t>
      </w:r>
    </w:p>
    <w:p>
      <w:pPr>
        <w:spacing w:after="0" w:line="149" w:lineRule="exact"/>
        <w:rPr>
          <w:sz w:val="20"/>
          <w:szCs w:val="20"/>
          <w:color w:val="auto"/>
        </w:rPr>
      </w:pPr>
    </w:p>
    <w:p>
      <w:pPr>
        <w:ind w:right="220"/>
        <w:spacing w:after="0" w:line="271" w:lineRule="auto"/>
        <w:rPr>
          <w:sz w:val="20"/>
          <w:szCs w:val="20"/>
          <w:color w:val="auto"/>
        </w:rPr>
      </w:pPr>
      <w:r>
        <w:rPr>
          <w:rFonts w:ascii="Arial" w:cs="Arial" w:eastAsia="Arial" w:hAnsi="Arial"/>
          <w:sz w:val="18"/>
          <w:szCs w:val="18"/>
          <w:color w:val="auto"/>
        </w:rPr>
        <w:t>Effective January 1, 2011, the Supplemental Plan was amended to reduce the Company credits for individuals who became participants on or after January 1, 2011 to the levels listed in the following table:</w:t>
      </w:r>
    </w:p>
    <w:p>
      <w:pPr>
        <w:sectPr>
          <w:pgSz w:w="11900" w:h="16838" w:orient="portrait"/>
          <w:cols w:equalWidth="0" w:num="1">
            <w:col w:w="11260"/>
          </w:cols>
          <w:pgMar w:left="320" w:top="125" w:right="31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355675"/>
        </w:rPr>
        <w:t>Age at End of Plan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2562860" cy="342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2562860" cy="34290"/>
                    </a:xfrm>
                    <a:prstGeom prst="rect">
                      <a:avLst/>
                    </a:prstGeom>
                    <a:noFill/>
                  </pic:spPr>
                </pic:pic>
              </a:graphicData>
            </a:graphic>
          </wp:anchor>
        </w:drawing>
      </w:r>
    </w:p>
    <w:p>
      <w:pPr>
        <w:spacing w:after="0" w:line="84" w:lineRule="exact"/>
        <w:rPr>
          <w:sz w:val="20"/>
          <w:szCs w:val="20"/>
          <w:color w:val="auto"/>
        </w:rPr>
      </w:pPr>
    </w:p>
    <w:p>
      <w:pPr>
        <w:ind w:left="60"/>
        <w:spacing w:after="0"/>
        <w:rPr>
          <w:sz w:val="20"/>
          <w:szCs w:val="20"/>
          <w:color w:val="auto"/>
        </w:rPr>
      </w:pPr>
      <w:r>
        <w:rPr>
          <w:rFonts w:ascii="Arial" w:cs="Arial" w:eastAsia="Arial" w:hAnsi="Arial"/>
          <w:sz w:val="16"/>
          <w:szCs w:val="16"/>
          <w:color w:val="auto"/>
        </w:rPr>
        <w:t>Less than 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35-39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40-44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45-49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89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50-54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825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3" w:lineRule="exact"/>
        <w:rPr>
          <w:sz w:val="20"/>
          <w:szCs w:val="20"/>
          <w:color w:val="auto"/>
        </w:rPr>
      </w:pPr>
    </w:p>
    <w:p>
      <w:pPr>
        <w:ind w:left="60"/>
        <w:spacing w:after="0"/>
        <w:rPr>
          <w:sz w:val="20"/>
          <w:szCs w:val="20"/>
          <w:color w:val="auto"/>
        </w:rPr>
      </w:pPr>
      <w:r>
        <w:rPr>
          <w:rFonts w:ascii="Arial" w:cs="Arial" w:eastAsia="Arial" w:hAnsi="Arial"/>
          <w:sz w:val="16"/>
          <w:szCs w:val="16"/>
          <w:color w:val="auto"/>
        </w:rPr>
        <w:t>55 and over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2562860" cy="342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2562860"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30"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Percent of Monthly</w:t>
      </w:r>
    </w:p>
    <w:p>
      <w:pPr>
        <w:spacing w:after="0" w:line="15"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Compensation</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Contribution Rate</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355675"/>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14605</wp:posOffset>
            </wp:positionV>
            <wp:extent cx="883285" cy="3429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883285" cy="34290"/>
                    </a:xfrm>
                    <a:prstGeom prst="rect">
                      <a:avLst/>
                    </a:prstGeom>
                    <a:noFill/>
                  </pic:spPr>
                </pic:pic>
              </a:graphicData>
            </a:graphic>
          </wp:anchor>
        </w:drawing>
      </w:r>
    </w:p>
    <w:p>
      <w:pPr>
        <w:spacing w:after="0" w:line="70" w:lineRule="exact"/>
        <w:rPr>
          <w:sz w:val="20"/>
          <w:szCs w:val="20"/>
          <w:color w:val="auto"/>
        </w:rPr>
      </w:pPr>
    </w:p>
    <w:p>
      <w:pPr>
        <w:jc w:val="right"/>
        <w:spacing w:after="0"/>
        <w:rPr>
          <w:sz w:val="20"/>
          <w:szCs w:val="20"/>
          <w:color w:val="auto"/>
        </w:rPr>
      </w:pPr>
      <w:r>
        <w:rPr>
          <w:rFonts w:ascii="Arial" w:cs="Arial" w:eastAsia="Arial" w:hAnsi="Arial"/>
          <w:sz w:val="16"/>
          <w:szCs w:val="16"/>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883285" cy="8890"/>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825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883285" cy="8255"/>
                    </a:xfrm>
                    <a:prstGeom prst="rect">
                      <a:avLst/>
                    </a:prstGeom>
                    <a:noFill/>
                  </pic:spPr>
                </pic:pic>
              </a:graphicData>
            </a:graphic>
          </wp:anchor>
        </w:drawing>
      </w:r>
    </w:p>
    <w:p>
      <w:pPr>
        <w:spacing w:after="0" w:line="5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29210</wp:posOffset>
            </wp:positionV>
            <wp:extent cx="883285" cy="342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883285" cy="342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right="20"/>
        <w:spacing w:after="0"/>
        <w:rPr>
          <w:sz w:val="20"/>
          <w:szCs w:val="20"/>
          <w:color w:val="auto"/>
        </w:rPr>
      </w:pPr>
      <w:r>
        <w:rPr>
          <w:rFonts w:ascii="Arial" w:cs="Arial" w:eastAsia="Arial" w:hAnsi="Arial"/>
          <w:sz w:val="18"/>
          <w:szCs w:val="18"/>
          <w:color w:val="auto"/>
        </w:rPr>
        <w:t>Individuals who became participants in the Supplemental Plan on or after January 1, 2011 are not entitled to receive a fully subsidized 50% joint and survivor annuity form of benefit, and the 25-Year Cap has been eliminated. Participants promoted to officer status on or after January 1, 2011 are not retroactively treated as officers for their entire period of employment. Messrs. Geisler and Smith became officers after January 1, 2011.</w:t>
      </w:r>
    </w:p>
    <w:p>
      <w:pPr>
        <w:spacing w:after="0" w:line="465" w:lineRule="exact"/>
        <w:rPr>
          <w:sz w:val="20"/>
          <w:szCs w:val="20"/>
          <w:color w:val="auto"/>
        </w:rPr>
      </w:pPr>
    </w:p>
    <w:p>
      <w:pPr>
        <w:sectPr>
          <w:pgSz w:w="11900" w:h="16838" w:orient="portrait"/>
          <w:cols w:equalWidth="0" w:num="3">
            <w:col w:w="3560" w:space="720"/>
            <w:col w:w="1300" w:space="260"/>
            <w:col w:w="5420"/>
          </w:cols>
          <w:pgMar w:left="320" w:top="125" w:right="319" w:bottom="1440" w:gutter="0" w:footer="0" w:header="0"/>
          <w:type w:val="continuous"/>
        </w:sectPr>
      </w:pPr>
    </w:p>
    <w:p>
      <w:pPr>
        <w:spacing w:after="0" w:line="57" w:lineRule="exact"/>
        <w:rPr>
          <w:sz w:val="20"/>
          <w:szCs w:val="20"/>
          <w:color w:val="auto"/>
        </w:rPr>
      </w:pPr>
    </w:p>
    <w:p>
      <w:pPr>
        <w:ind w:right="160"/>
        <w:spacing w:after="0" w:line="244" w:lineRule="auto"/>
        <w:rPr>
          <w:sz w:val="20"/>
          <w:szCs w:val="20"/>
          <w:color w:val="auto"/>
        </w:rPr>
      </w:pPr>
      <w:r>
        <w:rPr>
          <w:rFonts w:ascii="Arial" w:cs="Arial" w:eastAsia="Arial" w:hAnsi="Arial"/>
          <w:sz w:val="18"/>
          <w:szCs w:val="18"/>
          <w:color w:val="auto"/>
        </w:rPr>
        <w:t>Participants typically begin accruing service when hired and are vested after completing three years of service. Under both the Retirement Plan and the Supplemental Plan, Account Balance Formula benefits are eligible to be paid in the form of a level annuity with or without survivorship or as a lump sum. All optional benefit forms available through the Retirement Plan are approximately actuarially equivalent. Under the Supplemental Plan, the 50% joint and survivor benefit is fully subsidized, and the other benefit forms are partially subsidized. The Supplemental Plan offers an additional five-year certain payment option (payable in 60 monthly installments).</w:t>
      </w:r>
    </w:p>
    <w:p>
      <w:pPr>
        <w:spacing w:after="0" w:line="15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89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98" w:name="page99"/>
    <w:bookmarkEnd w:id="9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Nonqualified Deferred Compensation</w:t>
      </w:r>
    </w:p>
    <w:p>
      <w:pPr>
        <w:spacing w:after="0" w:line="27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Executive</w:t>
            </w:r>
          </w:p>
        </w:tc>
        <w:tc>
          <w:tcPr>
            <w:tcW w:w="11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Registrant</w:t>
            </w:r>
          </w:p>
        </w:tc>
        <w:tc>
          <w:tcPr>
            <w:tcW w:w="10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Aggregate</w:t>
            </w:r>
          </w:p>
        </w:tc>
        <w:tc>
          <w:tcPr>
            <w:tcW w:w="9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b w:val="1"/>
                <w:bCs w:val="1"/>
                <w:color w:val="355675"/>
              </w:rPr>
              <w:t>Aggregate</w:t>
            </w:r>
          </w:p>
        </w:tc>
      </w:tr>
      <w:tr>
        <w:trPr>
          <w:trHeight w:val="162"/>
        </w:trPr>
        <w:tc>
          <w:tcPr>
            <w:tcW w:w="5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Contributions</w:t>
            </w:r>
          </w:p>
        </w:tc>
        <w:tc>
          <w:tcPr>
            <w:tcW w:w="11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Contributions</w:t>
            </w:r>
          </w:p>
        </w:tc>
        <w:tc>
          <w:tcPr>
            <w:tcW w:w="10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Earnings in</w:t>
            </w:r>
          </w:p>
        </w:tc>
        <w:tc>
          <w:tcPr>
            <w:tcW w:w="11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Aggregate</w:t>
            </w:r>
          </w:p>
        </w:tc>
        <w:tc>
          <w:tcPr>
            <w:tcW w:w="840" w:type="dxa"/>
            <w:vAlign w:val="bottom"/>
          </w:tcPr>
          <w:p>
            <w:pPr>
              <w:jc w:val="right"/>
              <w:spacing w:after="0"/>
              <w:rPr>
                <w:sz w:val="20"/>
                <w:szCs w:val="20"/>
                <w:color w:val="auto"/>
              </w:rPr>
            </w:pPr>
            <w:r>
              <w:rPr>
                <w:rFonts w:ascii="Arial" w:cs="Arial" w:eastAsia="Arial" w:hAnsi="Arial"/>
                <w:sz w:val="14"/>
                <w:szCs w:val="14"/>
                <w:b w:val="1"/>
                <w:bCs w:val="1"/>
                <w:color w:val="355675"/>
              </w:rPr>
              <w:t>Balance at</w:t>
            </w:r>
          </w:p>
        </w:tc>
      </w:tr>
      <w:tr>
        <w:trPr>
          <w:trHeight w:val="162"/>
        </w:trPr>
        <w:tc>
          <w:tcPr>
            <w:tcW w:w="5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in Last Fiscal</w:t>
            </w:r>
          </w:p>
        </w:tc>
        <w:tc>
          <w:tcPr>
            <w:tcW w:w="11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in Last Fiscal</w:t>
            </w:r>
          </w:p>
        </w:tc>
        <w:tc>
          <w:tcPr>
            <w:tcW w:w="10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Last Fiscal</w:t>
            </w:r>
          </w:p>
        </w:tc>
        <w:tc>
          <w:tcPr>
            <w:tcW w:w="11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Withdrawals/</w:t>
            </w:r>
          </w:p>
        </w:tc>
        <w:tc>
          <w:tcPr>
            <w:tcW w:w="840" w:type="dxa"/>
            <w:vAlign w:val="bottom"/>
          </w:tcPr>
          <w:p>
            <w:pPr>
              <w:jc w:val="right"/>
              <w:spacing w:after="0"/>
              <w:rPr>
                <w:sz w:val="20"/>
                <w:szCs w:val="20"/>
                <w:color w:val="auto"/>
              </w:rPr>
            </w:pPr>
            <w:r>
              <w:rPr>
                <w:rFonts w:ascii="Arial" w:cs="Arial" w:eastAsia="Arial" w:hAnsi="Arial"/>
                <w:sz w:val="14"/>
                <w:szCs w:val="14"/>
                <w:b w:val="1"/>
                <w:bCs w:val="1"/>
                <w:color w:val="355675"/>
              </w:rPr>
              <w:t>Last Fiscal</w:t>
            </w:r>
          </w:p>
        </w:tc>
      </w:tr>
      <w:tr>
        <w:trPr>
          <w:trHeight w:val="162"/>
        </w:trPr>
        <w:tc>
          <w:tcPr>
            <w:tcW w:w="5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Year</w:t>
            </w:r>
          </w:p>
        </w:tc>
        <w:tc>
          <w:tcPr>
            <w:tcW w:w="11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Year</w:t>
            </w:r>
          </w:p>
        </w:tc>
        <w:tc>
          <w:tcPr>
            <w:tcW w:w="10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Year</w:t>
            </w:r>
          </w:p>
        </w:tc>
        <w:tc>
          <w:tcPr>
            <w:tcW w:w="11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Distributions</w:t>
            </w:r>
          </w:p>
        </w:tc>
        <w:tc>
          <w:tcPr>
            <w:tcW w:w="840" w:type="dxa"/>
            <w:vAlign w:val="bottom"/>
          </w:tcPr>
          <w:p>
            <w:pPr>
              <w:jc w:val="right"/>
              <w:spacing w:after="0"/>
              <w:rPr>
                <w:sz w:val="20"/>
                <w:szCs w:val="20"/>
                <w:color w:val="auto"/>
              </w:rPr>
            </w:pPr>
            <w:r>
              <w:rPr>
                <w:rFonts w:ascii="Arial" w:cs="Arial" w:eastAsia="Arial" w:hAnsi="Arial"/>
                <w:sz w:val="14"/>
                <w:szCs w:val="14"/>
                <w:b w:val="1"/>
                <w:bCs w:val="1"/>
                <w:color w:val="355675"/>
              </w:rPr>
              <w:t>Year End</w:t>
            </w:r>
          </w:p>
        </w:tc>
      </w:tr>
      <w:tr>
        <w:trPr>
          <w:trHeight w:val="250"/>
        </w:trPr>
        <w:tc>
          <w:tcPr>
            <w:tcW w:w="5660" w:type="dxa"/>
            <w:vAlign w:val="bottom"/>
          </w:tcPr>
          <w:p>
            <w:pPr>
              <w:ind w:left="60"/>
              <w:spacing w:after="0"/>
              <w:rPr>
                <w:sz w:val="20"/>
                <w:szCs w:val="20"/>
                <w:color w:val="auto"/>
              </w:rPr>
            </w:pPr>
            <w:r>
              <w:rPr>
                <w:rFonts w:ascii="Arial" w:cs="Arial" w:eastAsia="Arial" w:hAnsi="Arial"/>
                <w:sz w:val="14"/>
                <w:szCs w:val="14"/>
                <w:b w:val="1"/>
                <w:bCs w:val="1"/>
                <w:color w:val="355675"/>
              </w:rPr>
              <w:t>Name</w:t>
            </w:r>
          </w:p>
        </w:tc>
        <w:tc>
          <w:tcPr>
            <w:tcW w:w="1400" w:type="dxa"/>
            <w:vAlign w:val="bottom"/>
            <w:gridSpan w:val="3"/>
          </w:tcPr>
          <w:p>
            <w:pPr>
              <w:jc w:val="right"/>
              <w:ind w:right="20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(1)</w:t>
            </w:r>
          </w:p>
        </w:tc>
        <w:tc>
          <w:tcPr>
            <w:tcW w:w="11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020" w:type="dxa"/>
            <w:vAlign w:val="bottom"/>
            <w:gridSpan w:val="2"/>
          </w:tcPr>
          <w:p>
            <w:pPr>
              <w:jc w:val="right"/>
              <w:ind w:right="200"/>
              <w:spacing w:after="0" w:line="216" w:lineRule="exact"/>
              <w:rPr>
                <w:sz w:val="20"/>
                <w:szCs w:val="20"/>
                <w:color w:val="auto"/>
              </w:rPr>
            </w:pPr>
            <w:r>
              <w:rPr>
                <w:rFonts w:ascii="Arial" w:cs="Arial" w:eastAsia="Arial" w:hAnsi="Arial"/>
                <w:sz w:val="14"/>
                <w:szCs w:val="14"/>
                <w:b w:val="1"/>
                <w:bCs w:val="1"/>
                <w:color w:val="355675"/>
              </w:rPr>
              <w:t>($)</w:t>
            </w:r>
            <w:r>
              <w:rPr>
                <w:rFonts w:ascii="Arial" w:cs="Arial" w:eastAsia="Arial" w:hAnsi="Arial"/>
                <w:sz w:val="23"/>
                <w:szCs w:val="23"/>
                <w:b w:val="1"/>
                <w:bCs w:val="1"/>
                <w:color w:val="355675"/>
                <w:vertAlign w:val="superscript"/>
              </w:rPr>
              <w:t>(2)</w:t>
            </w:r>
          </w:p>
        </w:tc>
        <w:tc>
          <w:tcPr>
            <w:tcW w:w="11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84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253"/>
        </w:trPr>
        <w:tc>
          <w:tcPr>
            <w:tcW w:w="566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Jeffrey B. Guldner:</w:t>
            </w:r>
          </w:p>
        </w:tc>
        <w:tc>
          <w:tcPr>
            <w:tcW w:w="200" w:type="dxa"/>
            <w:vAlign w:val="bottom"/>
          </w:tcPr>
          <w:p>
            <w:pPr>
              <w:spacing w:after="0"/>
              <w:rPr>
                <w:sz w:val="21"/>
                <w:szCs w:val="21"/>
                <w:color w:val="auto"/>
              </w:rPr>
            </w:pPr>
          </w:p>
        </w:tc>
        <w:tc>
          <w:tcPr>
            <w:tcW w:w="100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4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40" w:type="dxa"/>
            <w:vAlign w:val="bottom"/>
            <w:tcBorders>
              <w:top w:val="single" w:sz="8" w:color="355675"/>
              <w:bottom w:val="single" w:sz="8" w:color="939598"/>
            </w:tcBorders>
          </w:tcPr>
          <w:p>
            <w:pPr>
              <w:spacing w:after="0"/>
              <w:rPr>
                <w:sz w:val="21"/>
                <w:szCs w:val="21"/>
                <w:color w:val="auto"/>
              </w:rPr>
            </w:pPr>
          </w:p>
        </w:tc>
      </w:tr>
      <w:tr>
        <w:trPr>
          <w:trHeight w:val="281"/>
        </w:trPr>
        <w:tc>
          <w:tcPr>
            <w:tcW w:w="5660" w:type="dxa"/>
            <w:vAlign w:val="bottom"/>
          </w:tcPr>
          <w:p>
            <w:pPr>
              <w:ind w:left="60"/>
              <w:spacing w:after="0" w:line="281" w:lineRule="exact"/>
              <w:rPr>
                <w:sz w:val="20"/>
                <w:szCs w:val="20"/>
                <w:color w:val="auto"/>
              </w:rPr>
            </w:pPr>
            <w:r>
              <w:rPr>
                <w:rFonts w:ascii="Arial" w:cs="Arial" w:eastAsia="Arial" w:hAnsi="Arial"/>
                <w:sz w:val="16"/>
                <w:szCs w:val="16"/>
                <w:color w:val="auto"/>
              </w:rPr>
              <w:t>DCP</w:t>
            </w:r>
            <w:r>
              <w:rPr>
                <w:rFonts w:ascii="Arial" w:cs="Arial" w:eastAsia="Arial" w:hAnsi="Arial"/>
                <w:sz w:val="26"/>
                <w:szCs w:val="26"/>
                <w:color w:val="auto"/>
                <w:vertAlign w:val="superscript"/>
              </w:rPr>
              <w:t>(3)</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132,597</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111,499</w:t>
            </w:r>
          </w:p>
        </w:tc>
        <w:tc>
          <w:tcPr>
            <w:tcW w:w="200" w:type="dxa"/>
            <w:vAlign w:val="bottom"/>
          </w:tcPr>
          <w:p>
            <w:pPr>
              <w:spacing w:after="0"/>
              <w:rPr>
                <w:sz w:val="24"/>
                <w:szCs w:val="24"/>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1,593,168</w:t>
            </w:r>
          </w:p>
        </w:tc>
      </w:tr>
      <w:tr>
        <w:trPr>
          <w:trHeight w:val="20"/>
        </w:trPr>
        <w:tc>
          <w:tcPr>
            <w:tcW w:w="56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shd w:val="clear" w:color="auto" w:fill="939598"/>
          </w:tcPr>
          <w:p>
            <w:pPr>
              <w:spacing w:after="0" w:line="20" w:lineRule="exact"/>
              <w:rPr>
                <w:sz w:val="1"/>
                <w:szCs w:val="1"/>
                <w:color w:val="auto"/>
              </w:rPr>
            </w:pPr>
          </w:p>
        </w:tc>
      </w:tr>
      <w:tr>
        <w:trPr>
          <w:trHeight w:val="311"/>
        </w:trPr>
        <w:tc>
          <w:tcPr>
            <w:tcW w:w="5660" w:type="dxa"/>
            <w:vAlign w:val="bottom"/>
          </w:tcPr>
          <w:p>
            <w:pPr>
              <w:ind w:left="60"/>
              <w:spacing w:after="0" w:line="277" w:lineRule="exact"/>
              <w:rPr>
                <w:sz w:val="20"/>
                <w:szCs w:val="20"/>
                <w:color w:val="auto"/>
              </w:rPr>
            </w:pPr>
            <w:r>
              <w:rPr>
                <w:rFonts w:ascii="Arial" w:cs="Arial" w:eastAsia="Arial" w:hAnsi="Arial"/>
                <w:sz w:val="16"/>
                <w:szCs w:val="16"/>
                <w:color w:val="auto"/>
              </w:rPr>
              <w:t>Supplemental RSUs</w:t>
            </w:r>
            <w:r>
              <w:rPr>
                <w:rFonts w:ascii="Arial" w:cs="Arial" w:eastAsia="Arial" w:hAnsi="Arial"/>
                <w:sz w:val="26"/>
                <w:szCs w:val="26"/>
                <w:color w:val="auto"/>
                <w:vertAlign w:val="superscript"/>
              </w:rPr>
              <w:t>(4)</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383,163</w:t>
            </w:r>
          </w:p>
        </w:tc>
      </w:tr>
      <w:tr>
        <w:trPr>
          <w:trHeight w:val="253"/>
        </w:trPr>
        <w:tc>
          <w:tcPr>
            <w:tcW w:w="566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Theodore N. Geisler:</w:t>
            </w:r>
          </w:p>
        </w:tc>
        <w:tc>
          <w:tcPr>
            <w:tcW w:w="200" w:type="dxa"/>
            <w:vAlign w:val="bottom"/>
          </w:tcPr>
          <w:p>
            <w:pPr>
              <w:spacing w:after="0"/>
              <w:rPr>
                <w:sz w:val="21"/>
                <w:szCs w:val="21"/>
                <w:color w:val="auto"/>
              </w:rPr>
            </w:pPr>
          </w:p>
        </w:tc>
        <w:tc>
          <w:tcPr>
            <w:tcW w:w="100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4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40" w:type="dxa"/>
            <w:vAlign w:val="bottom"/>
            <w:tcBorders>
              <w:top w:val="single" w:sz="8" w:color="355675"/>
              <w:bottom w:val="single" w:sz="8" w:color="939598"/>
            </w:tcBorders>
          </w:tcPr>
          <w:p>
            <w:pPr>
              <w:spacing w:after="0"/>
              <w:rPr>
                <w:sz w:val="21"/>
                <w:szCs w:val="21"/>
                <w:color w:val="auto"/>
              </w:rPr>
            </w:pPr>
          </w:p>
        </w:tc>
      </w:tr>
      <w:tr>
        <w:trPr>
          <w:trHeight w:val="281"/>
        </w:trPr>
        <w:tc>
          <w:tcPr>
            <w:tcW w:w="5660" w:type="dxa"/>
            <w:vAlign w:val="bottom"/>
          </w:tcPr>
          <w:p>
            <w:pPr>
              <w:ind w:left="60"/>
              <w:spacing w:after="0" w:line="281" w:lineRule="exact"/>
              <w:rPr>
                <w:sz w:val="20"/>
                <w:szCs w:val="20"/>
                <w:color w:val="auto"/>
              </w:rPr>
            </w:pPr>
            <w:r>
              <w:rPr>
                <w:rFonts w:ascii="Arial" w:cs="Arial" w:eastAsia="Arial" w:hAnsi="Arial"/>
                <w:sz w:val="16"/>
                <w:szCs w:val="16"/>
                <w:color w:val="auto"/>
              </w:rPr>
              <w:t>DCP</w:t>
            </w:r>
            <w:r>
              <w:rPr>
                <w:rFonts w:ascii="Arial" w:cs="Arial" w:eastAsia="Arial" w:hAnsi="Arial"/>
                <w:sz w:val="26"/>
                <w:szCs w:val="26"/>
                <w:color w:val="auto"/>
                <w:vertAlign w:val="superscript"/>
              </w:rPr>
              <w:t>(3)</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22,461</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4,440</w:t>
            </w: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73,611</w:t>
            </w:r>
          </w:p>
        </w:tc>
      </w:tr>
      <w:tr>
        <w:trPr>
          <w:trHeight w:val="20"/>
        </w:trPr>
        <w:tc>
          <w:tcPr>
            <w:tcW w:w="56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shd w:val="clear" w:color="auto" w:fill="939598"/>
          </w:tcPr>
          <w:p>
            <w:pPr>
              <w:spacing w:after="0" w:line="20" w:lineRule="exact"/>
              <w:rPr>
                <w:sz w:val="1"/>
                <w:szCs w:val="1"/>
                <w:color w:val="auto"/>
              </w:rPr>
            </w:pPr>
          </w:p>
        </w:tc>
      </w:tr>
      <w:tr>
        <w:trPr>
          <w:trHeight w:val="311"/>
        </w:trPr>
        <w:tc>
          <w:tcPr>
            <w:tcW w:w="5660" w:type="dxa"/>
            <w:vAlign w:val="bottom"/>
          </w:tcPr>
          <w:p>
            <w:pPr>
              <w:ind w:left="60"/>
              <w:spacing w:after="0" w:line="277" w:lineRule="exact"/>
              <w:rPr>
                <w:sz w:val="20"/>
                <w:szCs w:val="20"/>
                <w:color w:val="auto"/>
              </w:rPr>
            </w:pPr>
            <w:r>
              <w:rPr>
                <w:rFonts w:ascii="Arial" w:cs="Arial" w:eastAsia="Arial" w:hAnsi="Arial"/>
                <w:sz w:val="16"/>
                <w:szCs w:val="16"/>
                <w:color w:val="auto"/>
              </w:rPr>
              <w:t>Geisler DCP Discretionary Credits</w:t>
            </w:r>
            <w:r>
              <w:rPr>
                <w:rFonts w:ascii="Arial" w:cs="Arial" w:eastAsia="Arial" w:hAnsi="Arial"/>
                <w:sz w:val="26"/>
                <w:szCs w:val="26"/>
                <w:color w:val="auto"/>
                <w:vertAlign w:val="superscript"/>
              </w:rPr>
              <w:t>(5)</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980" w:type="dxa"/>
            <w:vAlign w:val="bottom"/>
          </w:tcPr>
          <w:p>
            <w:pPr>
              <w:jc w:val="right"/>
              <w:spacing w:after="0"/>
              <w:rPr>
                <w:sz w:val="20"/>
                <w:szCs w:val="20"/>
                <w:color w:val="auto"/>
              </w:rPr>
            </w:pPr>
            <w:r>
              <w:rPr>
                <w:rFonts w:ascii="Arial" w:cs="Arial" w:eastAsia="Arial" w:hAnsi="Arial"/>
                <w:sz w:val="16"/>
                <w:szCs w:val="16"/>
                <w:color w:val="auto"/>
              </w:rPr>
              <w:t>50,000</w:t>
            </w:r>
          </w:p>
        </w:tc>
        <w:tc>
          <w:tcPr>
            <w:tcW w:w="20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6"/>
                <w:szCs w:val="16"/>
                <w:color w:val="auto"/>
              </w:rPr>
              <w:t>16,703</w:t>
            </w:r>
          </w:p>
        </w:tc>
        <w:tc>
          <w:tcPr>
            <w:tcW w:w="200" w:type="dxa"/>
            <w:vAlign w:val="bottom"/>
          </w:tcPr>
          <w:p>
            <w:pPr>
              <w:spacing w:after="0"/>
              <w:rPr>
                <w:sz w:val="24"/>
                <w:szCs w:val="24"/>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232,440</w:t>
            </w:r>
          </w:p>
        </w:tc>
      </w:tr>
      <w:tr>
        <w:trPr>
          <w:trHeight w:val="253"/>
        </w:trPr>
        <w:tc>
          <w:tcPr>
            <w:tcW w:w="566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James R. Hatfield:</w:t>
            </w:r>
          </w:p>
        </w:tc>
        <w:tc>
          <w:tcPr>
            <w:tcW w:w="200" w:type="dxa"/>
            <w:vAlign w:val="bottom"/>
          </w:tcPr>
          <w:p>
            <w:pPr>
              <w:spacing w:after="0"/>
              <w:rPr>
                <w:sz w:val="21"/>
                <w:szCs w:val="21"/>
                <w:color w:val="auto"/>
              </w:rPr>
            </w:pPr>
          </w:p>
        </w:tc>
        <w:tc>
          <w:tcPr>
            <w:tcW w:w="100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4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40" w:type="dxa"/>
            <w:vAlign w:val="bottom"/>
            <w:tcBorders>
              <w:top w:val="single" w:sz="8" w:color="355675"/>
              <w:bottom w:val="single" w:sz="8" w:color="939598"/>
            </w:tcBorders>
          </w:tcPr>
          <w:p>
            <w:pPr>
              <w:spacing w:after="0"/>
              <w:rPr>
                <w:sz w:val="21"/>
                <w:szCs w:val="21"/>
                <w:color w:val="auto"/>
              </w:rPr>
            </w:pPr>
          </w:p>
        </w:tc>
      </w:tr>
      <w:tr>
        <w:trPr>
          <w:trHeight w:val="281"/>
        </w:trPr>
        <w:tc>
          <w:tcPr>
            <w:tcW w:w="5660" w:type="dxa"/>
            <w:vAlign w:val="bottom"/>
          </w:tcPr>
          <w:p>
            <w:pPr>
              <w:ind w:left="60"/>
              <w:spacing w:after="0" w:line="281" w:lineRule="exact"/>
              <w:rPr>
                <w:sz w:val="20"/>
                <w:szCs w:val="20"/>
                <w:color w:val="auto"/>
              </w:rPr>
            </w:pPr>
            <w:r>
              <w:rPr>
                <w:rFonts w:ascii="Arial" w:cs="Arial" w:eastAsia="Arial" w:hAnsi="Arial"/>
                <w:sz w:val="16"/>
                <w:szCs w:val="16"/>
                <w:color w:val="auto"/>
              </w:rPr>
              <w:t>DCP</w:t>
            </w:r>
            <w:r>
              <w:rPr>
                <w:rFonts w:ascii="Arial" w:cs="Arial" w:eastAsia="Arial" w:hAnsi="Arial"/>
                <w:sz w:val="26"/>
                <w:szCs w:val="26"/>
                <w:color w:val="auto"/>
                <w:vertAlign w:val="superscript"/>
              </w:rPr>
              <w:t>(3)</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35,000</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31,376</w:t>
            </w:r>
          </w:p>
        </w:tc>
        <w:tc>
          <w:tcPr>
            <w:tcW w:w="200" w:type="dxa"/>
            <w:vAlign w:val="bottom"/>
          </w:tcPr>
          <w:p>
            <w:pPr>
              <w:spacing w:after="0"/>
              <w:rPr>
                <w:sz w:val="24"/>
                <w:szCs w:val="24"/>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454,224</w:t>
            </w:r>
          </w:p>
        </w:tc>
      </w:tr>
      <w:tr>
        <w:trPr>
          <w:trHeight w:val="20"/>
        </w:trPr>
        <w:tc>
          <w:tcPr>
            <w:tcW w:w="56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shd w:val="clear" w:color="auto" w:fill="939598"/>
          </w:tcPr>
          <w:p>
            <w:pPr>
              <w:spacing w:after="0" w:line="20" w:lineRule="exact"/>
              <w:rPr>
                <w:sz w:val="1"/>
                <w:szCs w:val="1"/>
                <w:color w:val="auto"/>
              </w:rPr>
            </w:pPr>
          </w:p>
        </w:tc>
      </w:tr>
      <w:tr>
        <w:trPr>
          <w:trHeight w:val="311"/>
        </w:trPr>
        <w:tc>
          <w:tcPr>
            <w:tcW w:w="5660" w:type="dxa"/>
            <w:vAlign w:val="bottom"/>
          </w:tcPr>
          <w:p>
            <w:pPr>
              <w:ind w:left="60"/>
              <w:spacing w:after="0" w:line="277" w:lineRule="exact"/>
              <w:rPr>
                <w:sz w:val="20"/>
                <w:szCs w:val="20"/>
                <w:color w:val="auto"/>
              </w:rPr>
            </w:pPr>
            <w:r>
              <w:rPr>
                <w:rFonts w:ascii="Arial" w:cs="Arial" w:eastAsia="Arial" w:hAnsi="Arial"/>
                <w:sz w:val="16"/>
                <w:szCs w:val="16"/>
                <w:color w:val="auto"/>
              </w:rPr>
              <w:t>Supplemental RSUs</w:t>
            </w:r>
            <w:r>
              <w:rPr>
                <w:rFonts w:ascii="Arial" w:cs="Arial" w:eastAsia="Arial" w:hAnsi="Arial"/>
                <w:sz w:val="26"/>
                <w:szCs w:val="26"/>
                <w:color w:val="auto"/>
                <w:vertAlign w:val="superscript"/>
              </w:rPr>
              <w:t>(4)</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639,687</w:t>
            </w:r>
          </w:p>
        </w:tc>
      </w:tr>
      <w:tr>
        <w:trPr>
          <w:trHeight w:val="253"/>
        </w:trPr>
        <w:tc>
          <w:tcPr>
            <w:tcW w:w="566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Maria L. Lacal:</w:t>
            </w:r>
          </w:p>
        </w:tc>
        <w:tc>
          <w:tcPr>
            <w:tcW w:w="200" w:type="dxa"/>
            <w:vAlign w:val="bottom"/>
          </w:tcPr>
          <w:p>
            <w:pPr>
              <w:spacing w:after="0"/>
              <w:rPr>
                <w:sz w:val="21"/>
                <w:szCs w:val="21"/>
                <w:color w:val="auto"/>
              </w:rPr>
            </w:pPr>
          </w:p>
        </w:tc>
        <w:tc>
          <w:tcPr>
            <w:tcW w:w="100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4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40" w:type="dxa"/>
            <w:vAlign w:val="bottom"/>
            <w:tcBorders>
              <w:top w:val="single" w:sz="8" w:color="355675"/>
              <w:bottom w:val="single" w:sz="8" w:color="939598"/>
            </w:tcBorders>
          </w:tcPr>
          <w:p>
            <w:pPr>
              <w:spacing w:after="0"/>
              <w:rPr>
                <w:sz w:val="21"/>
                <w:szCs w:val="21"/>
                <w:color w:val="auto"/>
              </w:rPr>
            </w:pPr>
          </w:p>
        </w:tc>
      </w:tr>
      <w:tr>
        <w:trPr>
          <w:trHeight w:val="281"/>
        </w:trPr>
        <w:tc>
          <w:tcPr>
            <w:tcW w:w="5660" w:type="dxa"/>
            <w:vAlign w:val="bottom"/>
          </w:tcPr>
          <w:p>
            <w:pPr>
              <w:ind w:left="60"/>
              <w:spacing w:after="0" w:line="281" w:lineRule="exact"/>
              <w:rPr>
                <w:sz w:val="20"/>
                <w:szCs w:val="20"/>
                <w:color w:val="auto"/>
              </w:rPr>
            </w:pPr>
            <w:r>
              <w:rPr>
                <w:rFonts w:ascii="Arial" w:cs="Arial" w:eastAsia="Arial" w:hAnsi="Arial"/>
                <w:sz w:val="16"/>
                <w:szCs w:val="16"/>
                <w:color w:val="auto"/>
              </w:rPr>
              <w:t>DCP</w:t>
            </w:r>
            <w:r>
              <w:rPr>
                <w:rFonts w:ascii="Arial" w:cs="Arial" w:eastAsia="Arial" w:hAnsi="Arial"/>
                <w:sz w:val="26"/>
                <w:szCs w:val="26"/>
                <w:color w:val="auto"/>
                <w:vertAlign w:val="superscript"/>
              </w:rPr>
              <w:t>(3)</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23,338</w:t>
            </w:r>
          </w:p>
        </w:tc>
        <w:tc>
          <w:tcPr>
            <w:tcW w:w="200" w:type="dxa"/>
            <w:vAlign w:val="bottom"/>
          </w:tcPr>
          <w:p>
            <w:pPr>
              <w:spacing w:after="0"/>
              <w:rPr>
                <w:sz w:val="24"/>
                <w:szCs w:val="24"/>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323,983</w:t>
            </w:r>
          </w:p>
        </w:tc>
      </w:tr>
      <w:tr>
        <w:trPr>
          <w:trHeight w:val="20"/>
        </w:trPr>
        <w:tc>
          <w:tcPr>
            <w:tcW w:w="56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shd w:val="clear" w:color="auto" w:fill="939598"/>
          </w:tcPr>
          <w:p>
            <w:pPr>
              <w:spacing w:after="0" w:line="20" w:lineRule="exact"/>
              <w:rPr>
                <w:sz w:val="1"/>
                <w:szCs w:val="1"/>
                <w:color w:val="auto"/>
              </w:rPr>
            </w:pPr>
          </w:p>
        </w:tc>
      </w:tr>
      <w:tr>
        <w:trPr>
          <w:trHeight w:val="277"/>
        </w:trPr>
        <w:tc>
          <w:tcPr>
            <w:tcW w:w="5660" w:type="dxa"/>
            <w:vAlign w:val="bottom"/>
          </w:tcPr>
          <w:p>
            <w:pPr>
              <w:ind w:left="60"/>
              <w:spacing w:after="0" w:line="277" w:lineRule="exact"/>
              <w:rPr>
                <w:sz w:val="20"/>
                <w:szCs w:val="20"/>
                <w:color w:val="auto"/>
              </w:rPr>
            </w:pPr>
            <w:r>
              <w:rPr>
                <w:rFonts w:ascii="Arial" w:cs="Arial" w:eastAsia="Arial" w:hAnsi="Arial"/>
                <w:sz w:val="16"/>
                <w:szCs w:val="16"/>
                <w:color w:val="auto"/>
              </w:rPr>
              <w:t>Lacal DCP Discretionary Credits</w:t>
            </w:r>
            <w:r>
              <w:rPr>
                <w:rFonts w:ascii="Arial" w:cs="Arial" w:eastAsia="Arial" w:hAnsi="Arial"/>
                <w:sz w:val="26"/>
                <w:szCs w:val="26"/>
                <w:color w:val="auto"/>
                <w:vertAlign w:val="superscript"/>
              </w:rPr>
              <w:t>(5)</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93,357</w:t>
            </w:r>
          </w:p>
        </w:tc>
        <w:tc>
          <w:tcPr>
            <w:tcW w:w="200" w:type="dxa"/>
            <w:vAlign w:val="bottom"/>
          </w:tcPr>
          <w:p>
            <w:pPr>
              <w:spacing w:after="0"/>
              <w:rPr>
                <w:sz w:val="24"/>
                <w:szCs w:val="24"/>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1,296,039</w:t>
            </w:r>
          </w:p>
        </w:tc>
      </w:tr>
      <w:tr>
        <w:trPr>
          <w:trHeight w:val="20"/>
        </w:trPr>
        <w:tc>
          <w:tcPr>
            <w:tcW w:w="56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shd w:val="clear" w:color="auto" w:fill="939598"/>
          </w:tcPr>
          <w:p>
            <w:pPr>
              <w:spacing w:after="0" w:line="20" w:lineRule="exact"/>
              <w:rPr>
                <w:sz w:val="1"/>
                <w:szCs w:val="1"/>
                <w:color w:val="auto"/>
              </w:rPr>
            </w:pPr>
          </w:p>
        </w:tc>
      </w:tr>
      <w:tr>
        <w:trPr>
          <w:trHeight w:val="311"/>
        </w:trPr>
        <w:tc>
          <w:tcPr>
            <w:tcW w:w="5660" w:type="dxa"/>
            <w:vAlign w:val="bottom"/>
          </w:tcPr>
          <w:p>
            <w:pPr>
              <w:ind w:left="60"/>
              <w:spacing w:after="0" w:line="277" w:lineRule="exact"/>
              <w:rPr>
                <w:sz w:val="20"/>
                <w:szCs w:val="20"/>
                <w:color w:val="auto"/>
              </w:rPr>
            </w:pPr>
            <w:r>
              <w:rPr>
                <w:rFonts w:ascii="Arial" w:cs="Arial" w:eastAsia="Arial" w:hAnsi="Arial"/>
                <w:sz w:val="16"/>
                <w:szCs w:val="16"/>
                <w:color w:val="auto"/>
              </w:rPr>
              <w:t>Supplemental RSUs</w:t>
            </w:r>
            <w:r>
              <w:rPr>
                <w:rFonts w:ascii="Arial" w:cs="Arial" w:eastAsia="Arial" w:hAnsi="Arial"/>
                <w:sz w:val="26"/>
                <w:szCs w:val="26"/>
                <w:color w:val="auto"/>
                <w:vertAlign w:val="superscript"/>
              </w:rPr>
              <w:t>(4)</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02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256,101</w:t>
            </w:r>
          </w:p>
        </w:tc>
      </w:tr>
      <w:tr>
        <w:trPr>
          <w:trHeight w:val="253"/>
        </w:trPr>
        <w:tc>
          <w:tcPr>
            <w:tcW w:w="566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355675"/>
              </w:rPr>
              <w:t>Robert E. Smith:</w:t>
            </w:r>
          </w:p>
        </w:tc>
        <w:tc>
          <w:tcPr>
            <w:tcW w:w="200" w:type="dxa"/>
            <w:vAlign w:val="bottom"/>
          </w:tcPr>
          <w:p>
            <w:pPr>
              <w:spacing w:after="0"/>
              <w:rPr>
                <w:sz w:val="21"/>
                <w:szCs w:val="21"/>
                <w:color w:val="auto"/>
              </w:rPr>
            </w:pPr>
          </w:p>
        </w:tc>
        <w:tc>
          <w:tcPr>
            <w:tcW w:w="100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940" w:type="dxa"/>
            <w:vAlign w:val="bottom"/>
            <w:tcBorders>
              <w:top w:val="single" w:sz="8" w:color="355675"/>
              <w:bottom w:val="single" w:sz="8" w:color="939598"/>
            </w:tcBorders>
          </w:tcPr>
          <w:p>
            <w:pPr>
              <w:spacing w:after="0"/>
              <w:rPr>
                <w:sz w:val="21"/>
                <w:szCs w:val="21"/>
                <w:color w:val="auto"/>
              </w:rPr>
            </w:pPr>
          </w:p>
        </w:tc>
        <w:tc>
          <w:tcPr>
            <w:tcW w:w="200" w:type="dxa"/>
            <w:vAlign w:val="bottom"/>
          </w:tcPr>
          <w:p>
            <w:pPr>
              <w:spacing w:after="0"/>
              <w:rPr>
                <w:sz w:val="21"/>
                <w:szCs w:val="21"/>
                <w:color w:val="auto"/>
              </w:rPr>
            </w:pPr>
          </w:p>
        </w:tc>
        <w:tc>
          <w:tcPr>
            <w:tcW w:w="840" w:type="dxa"/>
            <w:vAlign w:val="bottom"/>
            <w:tcBorders>
              <w:top w:val="single" w:sz="8" w:color="355675"/>
              <w:bottom w:val="single" w:sz="8" w:color="939598"/>
            </w:tcBorders>
          </w:tcPr>
          <w:p>
            <w:pPr>
              <w:spacing w:after="0"/>
              <w:rPr>
                <w:sz w:val="21"/>
                <w:szCs w:val="21"/>
                <w:color w:val="auto"/>
              </w:rPr>
            </w:pPr>
          </w:p>
        </w:tc>
      </w:tr>
      <w:tr>
        <w:trPr>
          <w:trHeight w:val="281"/>
        </w:trPr>
        <w:tc>
          <w:tcPr>
            <w:tcW w:w="5660" w:type="dxa"/>
            <w:vAlign w:val="bottom"/>
          </w:tcPr>
          <w:p>
            <w:pPr>
              <w:ind w:left="60"/>
              <w:spacing w:after="0" w:line="281" w:lineRule="exact"/>
              <w:rPr>
                <w:sz w:val="20"/>
                <w:szCs w:val="20"/>
                <w:color w:val="auto"/>
              </w:rPr>
            </w:pPr>
            <w:r>
              <w:rPr>
                <w:rFonts w:ascii="Arial" w:cs="Arial" w:eastAsia="Arial" w:hAnsi="Arial"/>
                <w:sz w:val="16"/>
                <w:szCs w:val="16"/>
                <w:color w:val="auto"/>
              </w:rPr>
              <w:t>DCP</w:t>
            </w:r>
            <w:r>
              <w:rPr>
                <w:rFonts w:ascii="Arial" w:cs="Arial" w:eastAsia="Arial" w:hAnsi="Arial"/>
                <w:sz w:val="26"/>
                <w:szCs w:val="26"/>
                <w:color w:val="auto"/>
                <w:vertAlign w:val="superscript"/>
              </w:rPr>
              <w:t>(3)</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325,406</w:t>
            </w:r>
          </w:p>
        </w:tc>
        <w:tc>
          <w:tcPr>
            <w:tcW w:w="200" w:type="dxa"/>
            <w:vAlign w:val="bottom"/>
          </w:tcPr>
          <w:p>
            <w:pPr>
              <w:spacing w:after="0"/>
              <w:rPr>
                <w:sz w:val="24"/>
                <w:szCs w:val="24"/>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20" w:type="dxa"/>
            <w:vAlign w:val="bottom"/>
          </w:tcPr>
          <w:p>
            <w:pPr>
              <w:jc w:val="right"/>
              <w:spacing w:after="0"/>
              <w:rPr>
                <w:sz w:val="20"/>
                <w:szCs w:val="20"/>
                <w:color w:val="auto"/>
              </w:rPr>
            </w:pPr>
            <w:r>
              <w:rPr>
                <w:rFonts w:ascii="Arial" w:cs="Arial" w:eastAsia="Arial" w:hAnsi="Arial"/>
                <w:sz w:val="16"/>
                <w:szCs w:val="16"/>
                <w:color w:val="auto"/>
              </w:rPr>
              <w:t>40,475</w:t>
            </w:r>
          </w:p>
        </w:tc>
        <w:tc>
          <w:tcPr>
            <w:tcW w:w="200" w:type="dxa"/>
            <w:vAlign w:val="bottom"/>
          </w:tcPr>
          <w:p>
            <w:pPr>
              <w:spacing w:after="0"/>
              <w:rPr>
                <w:sz w:val="24"/>
                <w:szCs w:val="24"/>
                <w:color w:val="auto"/>
              </w:rPr>
            </w:pPr>
          </w:p>
        </w:tc>
        <w:tc>
          <w:tcPr>
            <w:tcW w:w="114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840" w:type="dxa"/>
            <w:vAlign w:val="bottom"/>
          </w:tcPr>
          <w:p>
            <w:pPr>
              <w:jc w:val="right"/>
              <w:spacing w:after="0"/>
              <w:rPr>
                <w:sz w:val="20"/>
                <w:szCs w:val="20"/>
                <w:color w:val="auto"/>
              </w:rPr>
            </w:pPr>
            <w:r>
              <w:rPr>
                <w:rFonts w:ascii="Arial" w:cs="Arial" w:eastAsia="Arial" w:hAnsi="Arial"/>
                <w:sz w:val="16"/>
                <w:szCs w:val="16"/>
                <w:color w:val="auto"/>
              </w:rPr>
              <w:t>648,841</w:t>
            </w:r>
          </w:p>
        </w:tc>
      </w:tr>
      <w:tr>
        <w:trPr>
          <w:trHeight w:val="54"/>
        </w:trPr>
        <w:tc>
          <w:tcPr>
            <w:tcW w:w="566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98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82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940" w:type="dxa"/>
            <w:vAlign w:val="bottom"/>
            <w:shd w:val="clear" w:color="auto" w:fill="355675"/>
          </w:tcPr>
          <w:p>
            <w:pPr>
              <w:spacing w:after="0"/>
              <w:rPr>
                <w:sz w:val="4"/>
                <w:szCs w:val="4"/>
                <w:color w:val="auto"/>
              </w:rPr>
            </w:pPr>
          </w:p>
        </w:tc>
        <w:tc>
          <w:tcPr>
            <w:tcW w:w="200" w:type="dxa"/>
            <w:vAlign w:val="bottom"/>
          </w:tcPr>
          <w:p>
            <w:pPr>
              <w:spacing w:after="0"/>
              <w:rPr>
                <w:sz w:val="4"/>
                <w:szCs w:val="4"/>
                <w:color w:val="auto"/>
              </w:rPr>
            </w:pPr>
          </w:p>
        </w:tc>
        <w:tc>
          <w:tcPr>
            <w:tcW w:w="840" w:type="dxa"/>
            <w:vAlign w:val="bottom"/>
            <w:shd w:val="clear" w:color="auto" w:fill="355675"/>
          </w:tcPr>
          <w:p>
            <w:pPr>
              <w:spacing w:after="0"/>
              <w:rPr>
                <w:sz w:val="4"/>
                <w:szCs w:val="4"/>
                <w:color w:val="auto"/>
              </w:rPr>
            </w:pPr>
          </w:p>
        </w:tc>
      </w:tr>
    </w:tbl>
    <w:p>
      <w:pPr>
        <w:spacing w:after="0" w:line="126" w:lineRule="exact"/>
        <w:rPr>
          <w:sz w:val="20"/>
          <w:szCs w:val="20"/>
          <w:color w:val="auto"/>
        </w:rPr>
      </w:pPr>
    </w:p>
    <w:p>
      <w:pPr>
        <w:ind w:left="300" w:right="520" w:hanging="292"/>
        <w:spacing w:after="0" w:line="206" w:lineRule="auto"/>
        <w:tabs>
          <w:tab w:leader="none" w:pos="300" w:val="left"/>
        </w:tabs>
        <w:numPr>
          <w:ilvl w:val="0"/>
          <w:numId w:val="101"/>
        </w:numPr>
        <w:rPr>
          <w:rFonts w:ascii="Arial" w:cs="Arial" w:eastAsia="Arial" w:hAnsi="Arial"/>
          <w:sz w:val="24"/>
          <w:szCs w:val="24"/>
          <w:color w:val="auto"/>
          <w:vertAlign w:val="superscript"/>
        </w:rPr>
      </w:pPr>
      <w:r>
        <w:rPr>
          <w:rFonts w:ascii="Arial" w:cs="Arial" w:eastAsia="Arial" w:hAnsi="Arial"/>
          <w:sz w:val="14"/>
          <w:szCs w:val="14"/>
          <w:color w:val="auto"/>
        </w:rPr>
        <w:t>The amount of the executive contribution is solely from the voluntary deferral by the executive of the executive’s designated compensation and does not include any separate Company contribution. These deferred amounts are included in the “Salary” and “Non-Equity Incentive Plan Compensation” columns in the Summary Compensation Table.</w:t>
      </w:r>
    </w:p>
    <w:p>
      <w:pPr>
        <w:spacing w:after="0" w:line="107" w:lineRule="exact"/>
        <w:rPr>
          <w:rFonts w:ascii="Arial" w:cs="Arial" w:eastAsia="Arial" w:hAnsi="Arial"/>
          <w:sz w:val="24"/>
          <w:szCs w:val="24"/>
          <w:color w:val="auto"/>
          <w:vertAlign w:val="superscript"/>
        </w:rPr>
      </w:pPr>
    </w:p>
    <w:p>
      <w:pPr>
        <w:jc w:val="both"/>
        <w:ind w:left="300" w:right="180" w:hanging="292"/>
        <w:spacing w:after="0" w:line="193" w:lineRule="auto"/>
        <w:tabs>
          <w:tab w:leader="none" w:pos="300" w:val="left"/>
        </w:tabs>
        <w:numPr>
          <w:ilvl w:val="0"/>
          <w:numId w:val="101"/>
        </w:numPr>
        <w:rPr>
          <w:rFonts w:ascii="Arial" w:cs="Arial" w:eastAsia="Arial" w:hAnsi="Arial"/>
          <w:sz w:val="24"/>
          <w:szCs w:val="24"/>
          <w:color w:val="auto"/>
          <w:vertAlign w:val="superscript"/>
        </w:rPr>
      </w:pPr>
      <w:r>
        <w:rPr>
          <w:rFonts w:ascii="Arial" w:cs="Arial" w:eastAsia="Arial" w:hAnsi="Arial"/>
          <w:sz w:val="14"/>
          <w:szCs w:val="14"/>
          <w:color w:val="auto"/>
        </w:rPr>
        <w:t>A portion of the amounts reported in this column is the above-market portion of interest accrued under the deferred compensation plan (also reported as compensation in the Summary Compensation Table), including: Mr. Guldner — $77,717; Mr. Geisler — $14,647; Mr. Hatfield — $21,735; Ms. Lacal — $82,419; and Mr. Smith — $26,604.</w:t>
      </w:r>
    </w:p>
    <w:p>
      <w:pPr>
        <w:spacing w:after="0" w:line="107" w:lineRule="exact"/>
        <w:rPr>
          <w:rFonts w:ascii="Arial" w:cs="Arial" w:eastAsia="Arial" w:hAnsi="Arial"/>
          <w:sz w:val="24"/>
          <w:szCs w:val="24"/>
          <w:color w:val="auto"/>
          <w:vertAlign w:val="superscript"/>
        </w:rPr>
      </w:pPr>
    </w:p>
    <w:p>
      <w:pPr>
        <w:ind w:left="300" w:right="100" w:hanging="292"/>
        <w:spacing w:after="0" w:line="213" w:lineRule="auto"/>
        <w:tabs>
          <w:tab w:leader="none" w:pos="300" w:val="left"/>
        </w:tabs>
        <w:numPr>
          <w:ilvl w:val="0"/>
          <w:numId w:val="101"/>
        </w:numPr>
        <w:rPr>
          <w:rFonts w:ascii="Arial" w:cs="Arial" w:eastAsia="Arial" w:hAnsi="Arial"/>
          <w:sz w:val="24"/>
          <w:szCs w:val="24"/>
          <w:color w:val="auto"/>
          <w:vertAlign w:val="superscript"/>
        </w:rPr>
      </w:pPr>
      <w:r>
        <w:rPr>
          <w:rFonts w:ascii="Arial" w:cs="Arial" w:eastAsia="Arial" w:hAnsi="Arial"/>
          <w:sz w:val="14"/>
          <w:szCs w:val="14"/>
          <w:color w:val="auto"/>
        </w:rPr>
        <w:t>The historical contributions of each NEO to his aggregate balance at December 31, 2021, including “market rate” interest (as defined by the SEC) from the date of each contribution, is as follows: Mr. Guldner — $1,060,955; Mr. Geisler — $68,060; Mr. Hatfield — $344,709; Ms. Lacal — $294,767; and Mr. Smith — $610,711. Of the totals in this column, the following amounts have been reported in the Summary Compensation Table in this Proxy Statement or in the Company’s prior Proxy Statements: Mr. Guldner — $792,435; Mr. Geisler — $68,094; Mr. Hatfield — $392,493; Ms. Lacal — $447,578; and Mr. Smith — $630,744.</w:t>
      </w:r>
    </w:p>
    <w:p>
      <w:pPr>
        <w:spacing w:after="0" w:line="109" w:lineRule="exact"/>
        <w:rPr>
          <w:rFonts w:ascii="Arial" w:cs="Arial" w:eastAsia="Arial" w:hAnsi="Arial"/>
          <w:sz w:val="24"/>
          <w:szCs w:val="24"/>
          <w:color w:val="auto"/>
          <w:vertAlign w:val="superscript"/>
        </w:rPr>
      </w:pPr>
    </w:p>
    <w:p>
      <w:pPr>
        <w:ind w:left="300" w:right="160" w:hanging="292"/>
        <w:spacing w:after="0" w:line="213" w:lineRule="auto"/>
        <w:tabs>
          <w:tab w:leader="none" w:pos="300" w:val="left"/>
        </w:tabs>
        <w:numPr>
          <w:ilvl w:val="0"/>
          <w:numId w:val="101"/>
        </w:numPr>
        <w:rPr>
          <w:rFonts w:ascii="Arial" w:cs="Arial" w:eastAsia="Arial" w:hAnsi="Arial"/>
          <w:sz w:val="24"/>
          <w:szCs w:val="24"/>
          <w:color w:val="auto"/>
          <w:vertAlign w:val="superscript"/>
        </w:rPr>
      </w:pPr>
      <w:r>
        <w:rPr>
          <w:rFonts w:ascii="Arial" w:cs="Arial" w:eastAsia="Arial" w:hAnsi="Arial"/>
          <w:sz w:val="14"/>
          <w:szCs w:val="14"/>
          <w:color w:val="auto"/>
        </w:rPr>
        <w:t>Supplemental RSUs were granted to NEOs in 2011 (except Messrs. Geisler and Smith) and vested over a four-year period and earned additional Supplemental RSUs resulting from notional dividends on the vested underlying awards. The amount in the “Aggregate Balance at Last Fiscal Year End” column is calculated by multiplying the closing market price of our common stock at the end of 2021 ($70.59 per share as of December 31, 2021) by the number of vested Supplemental RSUs as follows: Mr. Guldner — 5,428; Mr. Hatfield — 9,062; and Ms. Lacal — 3,628.</w:t>
      </w:r>
    </w:p>
    <w:p>
      <w:pPr>
        <w:spacing w:after="0" w:line="109" w:lineRule="exact"/>
        <w:rPr>
          <w:rFonts w:ascii="Arial" w:cs="Arial" w:eastAsia="Arial" w:hAnsi="Arial"/>
          <w:sz w:val="24"/>
          <w:szCs w:val="24"/>
          <w:color w:val="auto"/>
          <w:vertAlign w:val="superscript"/>
        </w:rPr>
      </w:pPr>
    </w:p>
    <w:p>
      <w:pPr>
        <w:ind w:left="300" w:right="240" w:hanging="292"/>
        <w:spacing w:after="0" w:line="193" w:lineRule="auto"/>
        <w:tabs>
          <w:tab w:leader="none" w:pos="300" w:val="left"/>
        </w:tabs>
        <w:numPr>
          <w:ilvl w:val="0"/>
          <w:numId w:val="101"/>
        </w:numPr>
        <w:rPr>
          <w:rFonts w:ascii="Arial" w:cs="Arial" w:eastAsia="Arial" w:hAnsi="Arial"/>
          <w:sz w:val="24"/>
          <w:szCs w:val="24"/>
          <w:color w:val="auto"/>
          <w:vertAlign w:val="superscript"/>
        </w:rPr>
      </w:pPr>
      <w:r>
        <w:rPr>
          <w:rFonts w:ascii="Arial" w:cs="Arial" w:eastAsia="Arial" w:hAnsi="Arial"/>
          <w:sz w:val="14"/>
          <w:szCs w:val="14"/>
          <w:color w:val="auto"/>
        </w:rPr>
        <w:t>The terms of the Geisler DCP Discretionary Credits and Lacal DCP Discretionary Credits are discussed under “Discussion of the Nonqualified Deferred Compensation – DCP”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91440</wp:posOffset>
            </wp:positionV>
            <wp:extent cx="1191260" cy="23114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25" w:lineRule="exact"/>
        <w:rPr>
          <w:sz w:val="20"/>
          <w:szCs w:val="20"/>
          <w:color w:val="auto"/>
        </w:rPr>
      </w:pPr>
    </w:p>
    <w:p>
      <w:pPr>
        <w:spacing w:after="0"/>
        <w:rPr>
          <w:sz w:val="20"/>
          <w:szCs w:val="20"/>
          <w:color w:val="auto"/>
        </w:rPr>
      </w:pPr>
      <w:r>
        <w:rPr>
          <w:rFonts w:ascii="Arial" w:cs="Arial" w:eastAsia="Arial" w:hAnsi="Arial"/>
          <w:sz w:val="13"/>
          <w:szCs w:val="13"/>
          <w:b w:val="1"/>
          <w:bCs w:val="1"/>
          <w:color w:val="355675"/>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74930</wp:posOffset>
            </wp:positionV>
            <wp:extent cx="7153275" cy="215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99" w:name="page100"/>
    <w:bookmarkEnd w:id="9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Discussion of Nonqualified Deferred Compensation</w:t>
      </w:r>
    </w:p>
    <w:p>
      <w:pPr>
        <w:spacing w:after="0" w:line="222" w:lineRule="exact"/>
        <w:rPr>
          <w:sz w:val="20"/>
          <w:szCs w:val="20"/>
          <w:color w:val="auto"/>
        </w:rPr>
      </w:pPr>
    </w:p>
    <w:p>
      <w:pPr>
        <w:spacing w:after="0"/>
        <w:rPr>
          <w:sz w:val="20"/>
          <w:szCs w:val="20"/>
          <w:color w:val="auto"/>
        </w:rPr>
      </w:pPr>
      <w:r>
        <w:rPr>
          <w:rFonts w:ascii="Arial" w:cs="Arial" w:eastAsia="Arial" w:hAnsi="Arial"/>
          <w:sz w:val="29"/>
          <w:szCs w:val="29"/>
          <w:b w:val="1"/>
          <w:bCs w:val="1"/>
          <w:color w:val="008C9F"/>
        </w:rPr>
        <w:t>DCP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161290</wp:posOffset>
            </wp:positionV>
            <wp:extent cx="7132320" cy="389191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132320" cy="389191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The Pinnacle West Capital</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Corporation and Affiliates</w:t>
      </w:r>
    </w:p>
    <w:p>
      <w:pPr>
        <w:spacing w:after="0"/>
        <w:rPr>
          <w:sz w:val="20"/>
          <w:szCs w:val="20"/>
          <w:color w:val="auto"/>
        </w:rPr>
      </w:pPr>
      <w:r>
        <w:rPr>
          <w:rFonts w:ascii="Arial" w:cs="Arial" w:eastAsia="Arial" w:hAnsi="Arial"/>
          <w:sz w:val="18"/>
          <w:szCs w:val="18"/>
          <w:b w:val="1"/>
          <w:bCs w:val="1"/>
          <w:color w:val="008C9F"/>
        </w:rPr>
        <w:t>Deferred Compensation Plan</w:t>
      </w:r>
    </w:p>
    <w:p>
      <w:pPr>
        <w:spacing w:after="0" w:line="194" w:lineRule="exact"/>
        <w:rPr>
          <w:sz w:val="20"/>
          <w:szCs w:val="20"/>
          <w:color w:val="auto"/>
        </w:rPr>
      </w:pPr>
    </w:p>
    <w:p>
      <w:pPr>
        <w:ind w:left="220" w:hanging="212"/>
        <w:spacing w:after="0" w:line="261" w:lineRule="auto"/>
        <w:tabs>
          <w:tab w:leader="none" w:pos="213" w:val="left"/>
        </w:tabs>
        <w:numPr>
          <w:ilvl w:val="0"/>
          <w:numId w:val="102"/>
        </w:numPr>
        <w:rPr>
          <w:rFonts w:ascii="Arial" w:cs="Arial" w:eastAsia="Arial" w:hAnsi="Arial"/>
          <w:sz w:val="17"/>
          <w:szCs w:val="17"/>
          <w:b w:val="1"/>
          <w:bCs w:val="1"/>
          <w:color w:val="355675"/>
        </w:rPr>
      </w:pPr>
      <w:r>
        <w:rPr>
          <w:rFonts w:ascii="Arial" w:cs="Arial" w:eastAsia="Arial" w:hAnsi="Arial"/>
          <w:sz w:val="17"/>
          <w:szCs w:val="17"/>
          <w:color w:val="auto"/>
        </w:rPr>
        <w:t>On December 15, 2004, the Board authorized the adoption of a new nonqualified deferred compensation plan for post-2004 deferrals (the “DCP”).</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5" w:lineRule="exact"/>
        <w:rPr>
          <w:sz w:val="20"/>
          <w:szCs w:val="20"/>
          <w:color w:val="auto"/>
        </w:rPr>
      </w:pPr>
    </w:p>
    <w:p>
      <w:pPr>
        <w:ind w:left="1"/>
        <w:spacing w:after="0"/>
        <w:rPr>
          <w:sz w:val="20"/>
          <w:szCs w:val="20"/>
          <w:color w:val="auto"/>
        </w:rPr>
      </w:pPr>
      <w:r>
        <w:rPr>
          <w:rFonts w:ascii="Arial" w:cs="Arial" w:eastAsia="Arial" w:hAnsi="Arial"/>
          <w:sz w:val="18"/>
          <w:szCs w:val="18"/>
          <w:b w:val="1"/>
          <w:bCs w:val="1"/>
          <w:color w:val="355675"/>
        </w:rPr>
        <w:t>How it works</w:t>
      </w:r>
    </w:p>
    <w:p>
      <w:pPr>
        <w:spacing w:after="0" w:line="216" w:lineRule="exact"/>
        <w:rPr>
          <w:sz w:val="20"/>
          <w:szCs w:val="20"/>
          <w:color w:val="auto"/>
        </w:rPr>
      </w:pPr>
    </w:p>
    <w:p>
      <w:pPr>
        <w:jc w:val="both"/>
        <w:ind w:left="181" w:right="60" w:hanging="181"/>
        <w:spacing w:after="0" w:line="266" w:lineRule="auto"/>
        <w:tabs>
          <w:tab w:leader="none" w:pos="189"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Participation is limited to officers, the Company’s senior management group and directors of the Company and participating affiliates. The Company’s obligations under the DCP are unfunded (except in the limited change of control circumstance discussed below) and unsecured.</w:t>
      </w:r>
    </w:p>
    <w:p>
      <w:pPr>
        <w:spacing w:after="0" w:line="171" w:lineRule="exact"/>
        <w:rPr>
          <w:rFonts w:ascii="Arial" w:cs="Arial" w:eastAsia="Arial" w:hAnsi="Arial"/>
          <w:sz w:val="16"/>
          <w:szCs w:val="16"/>
          <w:b w:val="1"/>
          <w:bCs w:val="1"/>
          <w:color w:val="355675"/>
        </w:rPr>
      </w:pPr>
    </w:p>
    <w:p>
      <w:pPr>
        <w:ind w:left="181" w:right="100" w:hanging="181"/>
        <w:spacing w:after="0" w:line="286" w:lineRule="auto"/>
        <w:tabs>
          <w:tab w:leader="none" w:pos="189"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A participant who is an employee is allowed to defer up to 50% of the participant’s base salary and up to 100% of the participant’s bonus, including regular awards under annual incentive plans, but not special awards.</w:t>
      </w:r>
    </w:p>
    <w:p>
      <w:pPr>
        <w:spacing w:after="0" w:line="155" w:lineRule="exact"/>
        <w:rPr>
          <w:rFonts w:ascii="Arial" w:cs="Arial" w:eastAsia="Arial" w:hAnsi="Arial"/>
          <w:sz w:val="16"/>
          <w:szCs w:val="16"/>
          <w:b w:val="1"/>
          <w:bCs w:val="1"/>
          <w:color w:val="355675"/>
        </w:rPr>
      </w:pPr>
    </w:p>
    <w:p>
      <w:pPr>
        <w:ind w:left="181" w:right="180" w:hanging="181"/>
        <w:spacing w:after="0" w:line="286" w:lineRule="auto"/>
        <w:tabs>
          <w:tab w:leader="none" w:pos="189"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A participant who is a member of the Board is allowed to defer up to 100% of the annual cash fees payable to the participant.</w:t>
      </w:r>
    </w:p>
    <w:p>
      <w:pPr>
        <w:spacing w:after="0" w:line="155" w:lineRule="exact"/>
        <w:rPr>
          <w:rFonts w:ascii="Arial" w:cs="Arial" w:eastAsia="Arial" w:hAnsi="Arial"/>
          <w:sz w:val="16"/>
          <w:szCs w:val="16"/>
          <w:b w:val="1"/>
          <w:bCs w:val="1"/>
          <w:color w:val="355675"/>
        </w:rPr>
      </w:pPr>
    </w:p>
    <w:p>
      <w:pPr>
        <w:ind w:left="181" w:right="100" w:hanging="181"/>
        <w:spacing w:after="0" w:line="259" w:lineRule="auto"/>
        <w:tabs>
          <w:tab w:leader="none" w:pos="180"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Amounts deferred by participants are credited with interest at various rates. The DCP provides for a single rate of interest that will be determined by the plan committee, but which rate shall in no event be less than the rate of interest equal to the 10-year U.S. Treasury Note rate as published on the last business day of the first week of October preceding a plan year. The plan committee set the rate at 7.5% for plan year 2021.</w:t>
      </w:r>
    </w:p>
    <w:p>
      <w:pPr>
        <w:spacing w:after="0" w:line="177" w:lineRule="exact"/>
        <w:rPr>
          <w:rFonts w:ascii="Arial" w:cs="Arial" w:eastAsia="Arial" w:hAnsi="Arial"/>
          <w:sz w:val="16"/>
          <w:szCs w:val="16"/>
          <w:b w:val="1"/>
          <w:bCs w:val="1"/>
          <w:color w:val="355675"/>
        </w:rPr>
      </w:pPr>
    </w:p>
    <w:p>
      <w:pPr>
        <w:ind w:left="181" w:right="140" w:hanging="181"/>
        <w:spacing w:after="0" w:line="259" w:lineRule="auto"/>
        <w:tabs>
          <w:tab w:leader="none" w:pos="189"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Deferral elections of base salary and director’s fees must be made prior to the calendar year in which such base salary or director’s fees will be paid. A deferral election with respect to a bonus must be made before the first day of the calendar year in which the bonus is earned. When making a deferral election, a participant also makes an election regarding the time and form of the participant’s distributions from the DCP.</w:t>
      </w:r>
    </w:p>
    <w:p>
      <w:pPr>
        <w:spacing w:after="0" w:line="177" w:lineRule="exact"/>
        <w:rPr>
          <w:rFonts w:ascii="Arial" w:cs="Arial" w:eastAsia="Arial" w:hAnsi="Arial"/>
          <w:sz w:val="16"/>
          <w:szCs w:val="16"/>
          <w:b w:val="1"/>
          <w:bCs w:val="1"/>
          <w:color w:val="355675"/>
        </w:rPr>
      </w:pPr>
    </w:p>
    <w:p>
      <w:pPr>
        <w:ind w:left="181" w:right="180" w:hanging="181"/>
        <w:spacing w:after="0" w:line="259" w:lineRule="auto"/>
        <w:tabs>
          <w:tab w:leader="none" w:pos="189"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Distributions from the DCP must be made in accordance with Section 409A of the Code. Distributions may be made (1) in January of the fifth year following the year in which an amount was deferred, (2) on account of an unforeseeable financial emergency, (3) either (i) termination of employment or (ii) the later of termination of employment or attainment of age 55, or (4) on account of death before termination of employment.</w:t>
      </w:r>
    </w:p>
    <w:p>
      <w:pPr>
        <w:spacing w:after="0" w:line="177" w:lineRule="exact"/>
        <w:rPr>
          <w:rFonts w:ascii="Arial" w:cs="Arial" w:eastAsia="Arial" w:hAnsi="Arial"/>
          <w:sz w:val="16"/>
          <w:szCs w:val="16"/>
          <w:b w:val="1"/>
          <w:bCs w:val="1"/>
          <w:color w:val="355675"/>
        </w:rPr>
      </w:pPr>
    </w:p>
    <w:p>
      <w:pPr>
        <w:ind w:left="181" w:right="160" w:hanging="181"/>
        <w:spacing w:after="0" w:line="272" w:lineRule="auto"/>
        <w:tabs>
          <w:tab w:leader="none" w:pos="189" w:val="left"/>
        </w:tabs>
        <w:numPr>
          <w:ilvl w:val="0"/>
          <w:numId w:val="103"/>
        </w:numPr>
        <w:rPr>
          <w:rFonts w:ascii="Arial" w:cs="Arial" w:eastAsia="Arial" w:hAnsi="Arial"/>
          <w:sz w:val="16"/>
          <w:szCs w:val="16"/>
          <w:b w:val="1"/>
          <w:bCs w:val="1"/>
          <w:color w:val="355675"/>
        </w:rPr>
      </w:pPr>
      <w:r>
        <w:rPr>
          <w:rFonts w:ascii="Arial" w:cs="Arial" w:eastAsia="Arial" w:hAnsi="Arial"/>
          <w:sz w:val="16"/>
          <w:szCs w:val="16"/>
          <w:color w:val="auto"/>
        </w:rPr>
        <w:t>In the event of termination of employment, attainment of age 55 or death, the benefit is payable in a lump sum or in 5, 10 or 15 equal annual installments, as elected by the partic</w:t>
      </w:r>
      <w:r>
        <w:rPr>
          <w:rFonts w:ascii="Arial" w:cs="Arial" w:eastAsia="Arial" w:hAnsi="Arial"/>
          <w:sz w:val="17"/>
          <w:szCs w:val="17"/>
          <w:color w:val="auto"/>
        </w:rPr>
        <w:t>ipant. Benefits in the other</w:t>
      </w:r>
      <w:r>
        <w:rPr>
          <w:rFonts w:ascii="Arial" w:cs="Arial" w:eastAsia="Arial" w:hAnsi="Arial"/>
          <w:sz w:val="16"/>
          <w:szCs w:val="16"/>
          <w:color w:val="auto"/>
        </w:rPr>
        <w:t xml:space="preserve"> </w:t>
      </w:r>
      <w:r>
        <w:rPr>
          <w:rFonts w:ascii="Arial" w:cs="Arial" w:eastAsia="Arial" w:hAnsi="Arial"/>
          <w:sz w:val="17"/>
          <w:szCs w:val="17"/>
          <w:color w:val="auto"/>
        </w:rPr>
        <w:t>circumstances are generally paid in a lump sum.</w:t>
      </w:r>
    </w:p>
    <w:p>
      <w:pPr>
        <w:spacing w:after="0" w:line="154" w:lineRule="exact"/>
        <w:rPr>
          <w:sz w:val="20"/>
          <w:szCs w:val="20"/>
          <w:color w:val="auto"/>
        </w:rPr>
      </w:pPr>
    </w:p>
    <w:p>
      <w:pPr>
        <w:sectPr>
          <w:pgSz w:w="11900" w:h="16838" w:orient="portrait"/>
          <w:cols w:equalWidth="0" w:num="2">
            <w:col w:w="2640" w:space="419"/>
            <w:col w:w="8201"/>
          </w:cols>
          <w:pgMar w:left="320" w:top="125" w:right="319" w:bottom="1440" w:gutter="0" w:footer="0" w:header="0"/>
          <w:type w:val="continuous"/>
        </w:sectPr>
      </w:pPr>
    </w:p>
    <w:p>
      <w:pPr>
        <w:ind w:right="740"/>
        <w:spacing w:after="0" w:line="271" w:lineRule="auto"/>
        <w:rPr>
          <w:sz w:val="20"/>
          <w:szCs w:val="20"/>
          <w:color w:val="auto"/>
        </w:rPr>
      </w:pPr>
      <w:r>
        <w:rPr>
          <w:rFonts w:ascii="Arial" w:cs="Arial" w:eastAsia="Arial" w:hAnsi="Arial"/>
          <w:sz w:val="18"/>
          <w:szCs w:val="18"/>
          <w:color w:val="auto"/>
        </w:rPr>
        <w:t>Effective January 1, 2009, the Company amended the DCP to permit the Company, in its discretion, to award discretionary credits to participants. Discretionary credits generally will be paid at the time and in the form provided in the written award agreement.</w:t>
      </w:r>
    </w:p>
    <w:p>
      <w:pPr>
        <w:spacing w:after="0" w:line="154" w:lineRule="exact"/>
        <w:rPr>
          <w:sz w:val="20"/>
          <w:szCs w:val="20"/>
          <w:color w:val="auto"/>
        </w:rPr>
      </w:pPr>
    </w:p>
    <w:p>
      <w:pPr>
        <w:ind w:right="20"/>
        <w:spacing w:after="0"/>
        <w:rPr>
          <w:sz w:val="20"/>
          <w:szCs w:val="20"/>
          <w:color w:val="auto"/>
        </w:rPr>
      </w:pPr>
      <w:r>
        <w:rPr>
          <w:rFonts w:ascii="Arial" w:cs="Arial" w:eastAsia="Arial" w:hAnsi="Arial"/>
          <w:sz w:val="18"/>
          <w:szCs w:val="18"/>
          <w:color w:val="auto"/>
        </w:rPr>
        <w:t>The Company made a discretionary credit award to Mr. Geisler in 2019 pursuant to the DCP consisting of $100,000 as of July 1, 2019 and an additional $50,000 on January 1 of each of the next four years thereafter provided Mr. Geisler remains employed by the Company on each such crediting date (the “Geisler DCP Discretionary Credits”). The Geisler DCP Discretionary Credits earn interest in accordance with the DCP. The amounts of the Geisler DCP Discretionary Credits previously credited will fully vest and become payable if, prior to December 31, 2024, the Company terminates Mr. Geisler’s employment without cause, or in the event of his death or disability. If Mr. Geisler terminates employment, for any reason other than those discussed above, prior to December 31, 2024, he forfeits the Geisler DCP Discretionary Credits.</w:t>
      </w:r>
    </w:p>
    <w:p>
      <w:pPr>
        <w:spacing w:after="0" w:line="185" w:lineRule="exact"/>
        <w:rPr>
          <w:sz w:val="20"/>
          <w:szCs w:val="20"/>
          <w:color w:val="auto"/>
        </w:rPr>
      </w:pPr>
    </w:p>
    <w:p>
      <w:pPr>
        <w:ind w:right="400"/>
        <w:spacing w:after="0" w:line="247" w:lineRule="auto"/>
        <w:rPr>
          <w:sz w:val="20"/>
          <w:szCs w:val="20"/>
          <w:color w:val="auto"/>
        </w:rPr>
      </w:pPr>
      <w:r>
        <w:rPr>
          <w:rFonts w:ascii="Arial" w:cs="Arial" w:eastAsia="Arial" w:hAnsi="Arial"/>
          <w:sz w:val="18"/>
          <w:szCs w:val="18"/>
          <w:color w:val="auto"/>
        </w:rPr>
        <w:t>The Company provided credits to Ms. Lacal in 2008 and amended in 2011 consisting of $200,000 on December 17, 2008, $40,000 on January 1, 2010, $50,000 on January 1, 2011, and an additional $ 50,000 each of the next three years thereafter on January 1 (the “2008 Company Credits”). The 2008 Company Credits vested when Ms. Lacal attained age 55 and will be payable to Ms. Lacal following her termination from the Company.</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91</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100" w:name="page101"/>
    <w:bookmarkEnd w:id="10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12" w:lineRule="exact"/>
        <w:rPr>
          <w:sz w:val="20"/>
          <w:szCs w:val="20"/>
          <w:color w:val="auto"/>
        </w:rPr>
      </w:pPr>
    </w:p>
    <w:p>
      <w:pPr>
        <w:ind w:right="40"/>
        <w:spacing w:after="0" w:line="247" w:lineRule="auto"/>
        <w:rPr>
          <w:sz w:val="20"/>
          <w:szCs w:val="20"/>
          <w:color w:val="auto"/>
        </w:rPr>
      </w:pPr>
      <w:r>
        <w:rPr>
          <w:rFonts w:ascii="Arial" w:cs="Arial" w:eastAsia="Arial" w:hAnsi="Arial"/>
          <w:sz w:val="18"/>
          <w:szCs w:val="18"/>
          <w:color w:val="auto"/>
        </w:rPr>
        <w:t>The Company made a discretionary credit award to Ms. Lacal in 2014 pursuant to the DCP consisting of $50,000 on January 1, 2015 and $50,000 on January 1, 2016 (the “2014 Lacal DCP Discretionary Credits”). The 2014 Lacal DCP Discretionary Credits earn interest in accordance with the DCP. The 2014 Lacal DCP Discretionary Credits vested on April 30, 2017 and will be payable to Ms. Lacal following her termination from the Company.</w:t>
      </w:r>
    </w:p>
    <w:p>
      <w:pPr>
        <w:spacing w:after="0" w:line="174" w:lineRule="exact"/>
        <w:rPr>
          <w:sz w:val="20"/>
          <w:szCs w:val="20"/>
          <w:color w:val="auto"/>
        </w:rPr>
      </w:pPr>
    </w:p>
    <w:p>
      <w:pPr>
        <w:spacing w:after="0" w:line="244" w:lineRule="auto"/>
        <w:rPr>
          <w:sz w:val="20"/>
          <w:szCs w:val="20"/>
          <w:color w:val="auto"/>
        </w:rPr>
      </w:pPr>
      <w:r>
        <w:rPr>
          <w:rFonts w:ascii="Arial" w:cs="Arial" w:eastAsia="Arial" w:hAnsi="Arial"/>
          <w:sz w:val="18"/>
          <w:szCs w:val="18"/>
          <w:color w:val="auto"/>
        </w:rPr>
        <w:t>Additionally, the Company made a discretionary credit award to Ms. Lacal in 2016 pursuant to the DCP consisting of $125,000 on July 1, 2017 and an additional $125,000 on July 1, 2018 (the “2016 Lacal DCP Discretionary Credits” and together with the 2008 Company Credits and 2014 Lacal DCP Discretionary Credits, the “Lacal DCP Discretionary Credits”). The 2016 Lacal DCP Discretionary Credits earn interest in accordance with the DCP. The 2016 Lacal DCP Discretionary Credits vested on July 1, 2019 and will be payable to Ms. Lacal following her termination from the Company.</w:t>
      </w:r>
    </w:p>
    <w:p>
      <w:pPr>
        <w:spacing w:after="0" w:line="165"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Potential Payments upon Termination or Change of Control</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This section describes the potential payments that each of the NEOs could receive following termination of employment, including through death, disability, retirement, resignation, involuntary termination (with or without cause) or a change of control of the Company (each, a “Termination Event”). We describe plans, agreements, or arrangements under which each NEO could receive payments following a Termination Event, excluding those that do not discriminate in favor of our executive officers and that are available generally to all salaried employees and awards that are already vested. The description of payments to the NEOs under the various Termination Event scenarios described in this section are not intended to affect the Company’s obligations to the NEOs. Those obligations are subject to, and qualified by, the contracts or arrangements giving rise to such obligations. Unless we note otherwise, the discussion below assumes that any Termination Event took place on December 31, 2021 for each NEO.</w:t>
      </w:r>
    </w:p>
    <w:p>
      <w:pPr>
        <w:spacing w:after="0" w:line="180" w:lineRule="exact"/>
        <w:rPr>
          <w:sz w:val="20"/>
          <w:szCs w:val="20"/>
          <w:color w:val="auto"/>
        </w:rPr>
      </w:pPr>
    </w:p>
    <w:p>
      <w:pPr>
        <w:ind w:right="1040"/>
        <w:spacing w:after="0" w:line="271" w:lineRule="auto"/>
        <w:rPr>
          <w:sz w:val="20"/>
          <w:szCs w:val="20"/>
          <w:color w:val="auto"/>
        </w:rPr>
      </w:pPr>
      <w:r>
        <w:rPr>
          <w:rFonts w:ascii="Arial" w:cs="Arial" w:eastAsia="Arial" w:hAnsi="Arial"/>
          <w:sz w:val="18"/>
          <w:szCs w:val="18"/>
          <w:color w:val="auto"/>
        </w:rPr>
        <w:t>The Company does not have a severance plan that covers the NEOs. We also do not have traditional severance agreements or arrangements with our NEOs. We do have Change of Control Agreements, which are discussed below.</w:t>
      </w:r>
    </w:p>
    <w:p>
      <w:pPr>
        <w:spacing w:after="0" w:line="154" w:lineRule="exact"/>
        <w:rPr>
          <w:sz w:val="20"/>
          <w:szCs w:val="20"/>
          <w:color w:val="auto"/>
        </w:rPr>
      </w:pPr>
    </w:p>
    <w:p>
      <w:pPr>
        <w:ind w:right="120"/>
        <w:spacing w:after="0" w:line="244" w:lineRule="auto"/>
        <w:rPr>
          <w:sz w:val="20"/>
          <w:szCs w:val="20"/>
          <w:color w:val="auto"/>
        </w:rPr>
      </w:pPr>
      <w:r>
        <w:rPr>
          <w:rFonts w:ascii="Arial" w:cs="Arial" w:eastAsia="Arial" w:hAnsi="Arial"/>
          <w:sz w:val="18"/>
          <w:szCs w:val="18"/>
          <w:color w:val="auto"/>
        </w:rPr>
        <w:t>In addition to the termination payments set forth below, the NEOs would also receive a full distribution under the DCP and pension benefits. Amounts payable to Messrs. Guldner, Geisler, Hatfield, and Smith and Ms. Lacal under the DCP are set forth in the Nonqualified Deferred Compensation table, which also shows which part of the payment is interest paid by the Company and which part is the executive’s contribution. The unvested Geisler DCP Discretionary Credits would trigger a payment in connection with certain Termination Events, which are identified below. The agreement is discussed in the Discussion of Nonqualified Deferred Compensation.</w:t>
      </w:r>
    </w:p>
    <w:p>
      <w:pPr>
        <w:spacing w:after="0" w:line="176"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In 2014, APS entered into a Medical Retention Agreement with Ms. Lacal. The purpose of this agreement was to award a retention incentive that can be used to obtain medical insurance of Ms. Lacal’s choice. Pursuant to this agreement, APS will pay Ms. Lacal $260,000 upon her termination with APS as long as she is not involuntarily terminated by APS for cause. This will be paid in a single lump sum payment.</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color w:val="auto"/>
        </w:rPr>
        <w:t>With respect to pension benefits, the amounts that each of the NEOs would receive under the Supplemental Plan in the event of a Termination Event are set forth in the Pension Benefits table; however, assuming that the NEO (excluding Mr. Hatfield who retired in December 2021) had died on December 31, 2021, the amounts payable under the Supplemental Plan, would have been as follows: Mr. Guldner — $3,406,340; Mr. Geisler — $145,725; Ms. Lacal — $2,298,801 and Mr. Smith — $437,995. These amounts are based on the assumption that the Account Balance Formula is paid in the form of an immediate lump sum to his/her spouse. Messrs. Guldner, Geisler, and Smith and Ms. Lacal would have received $3,984,751; $ 142,961; $472,258 and $2,462,670, respectively, in the event of a Termination Event other than death due on December 31, 2021, and these amounts are based on the assumption that the benefit would be payable in five-year installment payments beginning on January 1,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126365</wp:posOffset>
            </wp:positionV>
            <wp:extent cx="1191260" cy="23177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72"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sectPr>
      </w:pPr>
    </w:p>
    <w:bookmarkStart w:id="101" w:name="page102"/>
    <w:bookmarkEnd w:id="10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ind w:left="9100"/>
        <w:spacing w:after="0"/>
        <w:rPr>
          <w:sz w:val="20"/>
          <w:szCs w:val="20"/>
          <w:color w:val="auto"/>
        </w:rPr>
      </w:pPr>
      <w:r>
        <w:rPr>
          <w:rFonts w:ascii="Arial" w:cs="Arial" w:eastAsia="Arial" w:hAnsi="Arial"/>
          <w:sz w:val="18"/>
          <w:szCs w:val="18"/>
          <w:b w:val="1"/>
          <w:bCs w:val="1"/>
          <w:color w:val="355675"/>
        </w:rPr>
        <w:t>Executive Compensation</w:t>
      </w:r>
    </w:p>
    <w:p>
      <w:pPr>
        <w:spacing w:after="0" w:line="212"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With respect to the performance share awards, the recipient must remain employed with the Company throughout the performance period, unless the recipient meets any of the following exceptions, which would trigger a payment in connection with those certain Termination Events. In the case of the recipient’s retirement while qualifying for Early Retirement or Normal Retirement under the Retirement Plan (the “Retirement Qualified Employee”), the employee is deemed to have been employed through the end of the performance period (with payout based on actual performance results). In the case of the recipient’s retirement after reaching age 60 with five years of service, but not otherwise qualifying for Early Retirement or Normal Retirement under the Retirement Plan (a “Late Career Employee”), any performance share payout will vest pro-rata based on the number of days the recipient was employed during the performance period compared to the total number of days in the period. In the event the recipient is terminated for cause (regardless of the recipient’s retirement date), the recipient shall not be deemed to have been employed through the end of the performance period and will forfeit the right to receive any payout. In the event of the death or disability of a Retirement Qualified Employee or a Late Career Employee, the employee is deemed to have been employed through the end of the performance period (with payout based on actual performance results). In the event the recipient’s employment is terminated without cause during the performance period, the CEO, in his discretion and with the Committee’s approval, may determine if, to what extent, and when, any unvested portion of the grant may vest. The performance shares contain confidentiality protections that apply during employment and survive termination, and non-competition and employee solicitation restrictions that survive for a period of one year following termination of employment.</w:t>
      </w:r>
    </w:p>
    <w:p>
      <w:pPr>
        <w:spacing w:after="0" w:line="188"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With respect to RSUs, the recipient must remain employed with the Company through the applicable vesting date, unless the recipient meets any of the following exceptions, which would trigger a payment in connection with those certain Termination Events. If a Retirement Qualified Employee retires, the RSUs will fully vest and will be payable on the dates and in the percentages specified in the vesting schedule. If a Late Career Employee retires, the recipient will receive a pro-rata payout of the portion that would have released on the next vesting date based on the number of days the recipient was employed from the last vesting date. If a Retirement Qualified Employee or a Late Career Employee dies or becomes disabled before the end of the vesting period, any outstanding RSUs will fully vest and will be payable no later than March 15 of the year following the year in which the event occurs. In the event a recipient is terminated for cause, any award the recipient would otherwise be entitled to receive following the date of termination is forfeited. In the event a recipient is terminated without cause, the CEO, in his discretion and with the Committee’s approval, may determine if, and to what extent, any unvested portion of the grant will vest. The RSUs contain confidentiality protections that apply during employment and survive termination, and non-competition and employee solicitation restrictions that survive for a period of one year following termination of employment.</w:t>
      </w:r>
    </w:p>
    <w:p>
      <w:pPr>
        <w:spacing w:after="0" w:line="186" w:lineRule="exact"/>
        <w:rPr>
          <w:sz w:val="20"/>
          <w:szCs w:val="20"/>
          <w:color w:val="auto"/>
        </w:rPr>
      </w:pPr>
    </w:p>
    <w:p>
      <w:pPr>
        <w:ind w:right="60"/>
        <w:spacing w:after="0"/>
        <w:rPr>
          <w:sz w:val="20"/>
          <w:szCs w:val="20"/>
          <w:color w:val="auto"/>
        </w:rPr>
      </w:pPr>
      <w:r>
        <w:rPr>
          <w:rFonts w:ascii="Arial" w:cs="Arial" w:eastAsia="Arial" w:hAnsi="Arial"/>
          <w:sz w:val="18"/>
          <w:szCs w:val="18"/>
          <w:color w:val="auto"/>
        </w:rPr>
        <w:t>As described in the next paragraph, if a recipient’s rights are adequately protected, a change of control will not result in any acceleration of a recipient’s performance shares or RSUs. However, if a change of control occurs and the conditions of the following paragraph are not met, immediately prior to the change of control, the RSUs and performance shares will convert to either cash or stock, at the election of the recipient, and shall immediately vest. In converting the performance shares, the recipient will receive the number of shares of stock or the cash equivalent that would have been earned at the target level of performance, unless the Committee determines that a higher level of attained performance is reasonably ascertainable as of a specified date prior to the closing of the change of control transaction. The dividend equivalent awards will be paid in cash or stock as determined in accordance with the applicable award agreement.</w:t>
      </w:r>
    </w:p>
    <w:p>
      <w:pPr>
        <w:spacing w:after="0" w:line="185"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Prior to a change of control, the Board may determine that no change of control shall be deemed to have occurred or that some or all of the enhancements to the rights of the recipient shall not apply to specified awards. The Board may exercise such override authority only if, before or immediately upon the occurrence of the specified event that would otherwise constitute a change of control, the Board reasonably concludes in good faith, that: (1) recipients holding awards affected by action of the Board override will be protected by legally binding obligations of the Company or the surviving entity or the parent thereof because such awards (A) shall remain outstanding following consummation of all transactions involved in or contemplated by such change of control, (B) shall be assumed and adjusted by the surviving entity resulting from such transactions or the parent thereof, or (C) shall be exchanged for new awards issued by the surviving entity resulting from such transaction or the parent thereof; and (2) changes in the terms of the award resulting from such transactions will not materially impair the value of the awards to the participants or their opportunity for future appreciation in respect of such awards.</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93</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-14605</wp:posOffset>
            </wp:positionV>
            <wp:extent cx="12700" cy="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02" w:name="page103"/>
    <w:bookmarkEnd w:id="10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12"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The Company has entered into identical Change of Control Agreements with each of its executive officers, including each of the NEOs. The Company believes that these agreements provide stability for its key management in the event the Company experiences a change of control. The agreements contain a “double-trigger” that provides for certain payments if, during the two-year period following a change of control of the Company (the “first trigger”), the Company terminates the officer’s employment for any reason other than death, disability or cause or the executive terminates his or her own employment following a significant and detrimental change in the executive’s employment (the “second trigger”). In case of an officer’s retirement, death or disability, no payments are made under the officer’s Change of Control Agreement, except for the payment of accrued benefits; however, if the officer dies following the officer’s receipt of a second trigger termination notice, the officer’s estate will receive the change of control payments the officer would have received if the officer had survived. Pursuant to the Change of Control Agreement, each of the NEOs is obligated to hold in confidence any and all information in his possession as a result of his employment, during and after the NEO’s employment with the Company is terminated.</w:t>
      </w:r>
    </w:p>
    <w:p>
      <w:pPr>
        <w:spacing w:after="0" w:line="180" w:lineRule="exact"/>
        <w:rPr>
          <w:sz w:val="20"/>
          <w:szCs w:val="20"/>
          <w:color w:val="auto"/>
        </w:rPr>
      </w:pPr>
    </w:p>
    <w:p>
      <w:pPr>
        <w:ind w:right="40"/>
        <w:spacing w:after="0"/>
        <w:rPr>
          <w:sz w:val="20"/>
          <w:szCs w:val="20"/>
          <w:color w:val="auto"/>
        </w:rPr>
      </w:pPr>
      <w:r>
        <w:rPr>
          <w:rFonts w:ascii="Arial" w:cs="Arial" w:eastAsia="Arial" w:hAnsi="Arial"/>
          <w:sz w:val="18"/>
          <w:szCs w:val="18"/>
          <w:color w:val="auto"/>
        </w:rPr>
        <w:t>The termination payment, if required, is an amount equal to 2.99 times the sum of the executive’s annual salary at the time of the change of control plus the annual bonus (including incentive plan payments), as determined by an average over the last four years preceding termination. In addition, the executive is entitled to continued medical, dental, and group life insurance benefits at a shared cost until the end of the second year following the calendar year of termination. Outplacement services are also provided. If the limitations described in Section 280G of the Code are exceeded, the Company will not be able to deduct a portion of its payments. In addition, if these limitations are exceeded, Section 4999 of the Code imposes an excise tax on all or part of the total payments. In certain of the agreements, an additional gross-up payment equal to the excise tax (plus any penalties and interest) imposed on or with respect to the total payments is provided.</w:t>
      </w:r>
    </w:p>
    <w:p>
      <w:pPr>
        <w:spacing w:after="0" w:line="185"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In May 2009, the Company determined that, on a going-forward basis, it would no longer provide excise tax gross-up payments in new and materially amended agreements with its NEOs, but provided for an exception that gave the Company the ability to include a limited excise tax gross-up provision in connection with recruiting a new executive to the Company. In 2018, the Committee removed this exception.</w:t>
      </w:r>
    </w:p>
    <w:p>
      <w:pPr>
        <w:spacing w:after="0" w:line="169"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A change of control under the Change of Control Agreement includes: (1) an unrelated third-party’s acquisition of 20% or more of the Company’s or APS’s voting stock; (2) a merger or consolidation where either the Company or APS combines with any other corporation such that (i) the Company’s or APS’s outstanding voting stock immediately prior to merger or consolidation represents less than 60% of the voting stock of the Company or APS immediately after the merger or consolidation or (ii), for all NEOs other than Mr. Guldner, less than a majority of the members of the board of directors of the parent following such merger or consolidation being members of the Company Incumbent Board (defined below) at the time of such Company Incumbent Board’s approval of the execution of the initial agreement providing for such merger or consolidation, but in both circumstances excluding a merger or consolidation effected to implement a recapitalization in which no unrelated third-party acquires more than 20% of the voting stock of the Company or APS; (3) a sale, transfer, or other disposition of all or substantially all of the assets of the Company or APS to an unrelated third-party; or (4) the case where the composition of either the Board of the Company or of APS changes such that the members of the Board of the Company (the “Company Incumbent Board”) or of APS (the “APS Incumbent Board”), as of June 23, 2021 (and with respect to Mr. Guldner as of July 31, 2008), no longer comprises at least two-thirds of the Company’s or APS’s Board of Directors. For purposes of this later provision, a person elected to either Board is treated as a member of the Company Incumbent Board or APS Incumbent Board if his or her nomination or election by shareholders was approved by a two-thirds vote of the members then comprising the Company Incumbent Board or APS Incumbent Board, and it does not include anyone who became a director in an actual or threatened election contest relating to the election of directors.</w:t>
      </w:r>
    </w:p>
    <w:p>
      <w:pPr>
        <w:spacing w:after="0" w:line="188" w:lineRule="exact"/>
        <w:rPr>
          <w:sz w:val="20"/>
          <w:szCs w:val="20"/>
          <w:color w:val="auto"/>
        </w:rPr>
      </w:pPr>
    </w:p>
    <w:p>
      <w:pPr>
        <w:ind w:right="220"/>
        <w:spacing w:after="0" w:line="247" w:lineRule="auto"/>
        <w:rPr>
          <w:sz w:val="20"/>
          <w:szCs w:val="20"/>
          <w:color w:val="auto"/>
        </w:rPr>
      </w:pPr>
      <w:r>
        <w:rPr>
          <w:rFonts w:ascii="Arial" w:cs="Arial" w:eastAsia="Arial" w:hAnsi="Arial"/>
          <w:sz w:val="18"/>
          <w:szCs w:val="18"/>
          <w:color w:val="auto"/>
        </w:rPr>
        <w:t>Each of the agreements terminates on December 31st of each year upon six months advance notice by the Company to the executive officer; if the six months advance notice is not given, the agreements will continue for successive one-year periods until the notice is given. The Company is required to deposit into a trust sufficient funds to pay obligations under the DCP and the Supplemental Plan in the case of an actual or potential change of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122555</wp:posOffset>
            </wp:positionV>
            <wp:extent cx="1191260" cy="23114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03" w:name="page104"/>
    <w:bookmarkEnd w:id="10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ind w:left="9100"/>
        <w:spacing w:after="0"/>
        <w:rPr>
          <w:sz w:val="20"/>
          <w:szCs w:val="20"/>
          <w:color w:val="auto"/>
        </w:rPr>
      </w:pPr>
      <w:r>
        <w:rPr>
          <w:rFonts w:ascii="Arial" w:cs="Arial" w:eastAsia="Arial" w:hAnsi="Arial"/>
          <w:sz w:val="18"/>
          <w:szCs w:val="18"/>
          <w:b w:val="1"/>
          <w:bCs w:val="1"/>
          <w:color w:val="355675"/>
        </w:rPr>
        <w:t>Executive Compensation</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tables quantify the amounts that would have been payable to each NEO if the indicated Termination Event had taken place on</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December 31, 2021. In the tables:</w:t>
      </w:r>
    </w:p>
    <w:p>
      <w:pPr>
        <w:spacing w:after="0" w:line="194" w:lineRule="exact"/>
        <w:rPr>
          <w:sz w:val="20"/>
          <w:szCs w:val="20"/>
          <w:color w:val="auto"/>
        </w:rPr>
      </w:pPr>
    </w:p>
    <w:p>
      <w:pPr>
        <w:jc w:val="both"/>
        <w:ind w:left="260" w:right="400" w:hanging="252"/>
        <w:spacing w:after="0" w:line="253" w:lineRule="auto"/>
        <w:tabs>
          <w:tab w:leader="none" w:pos="260" w:val="left"/>
        </w:tabs>
        <w:numPr>
          <w:ilvl w:val="0"/>
          <w:numId w:val="104"/>
        </w:numPr>
        <w:rPr>
          <w:rFonts w:ascii="Arial" w:cs="Arial" w:eastAsia="Arial" w:hAnsi="Arial"/>
          <w:sz w:val="18"/>
          <w:szCs w:val="18"/>
          <w:b w:val="1"/>
          <w:bCs w:val="1"/>
          <w:color w:val="355675"/>
        </w:rPr>
      </w:pPr>
      <w:r>
        <w:rPr>
          <w:rFonts w:ascii="Arial" w:cs="Arial" w:eastAsia="Arial" w:hAnsi="Arial"/>
          <w:sz w:val="18"/>
          <w:szCs w:val="18"/>
          <w:color w:val="auto"/>
        </w:rPr>
        <w:t>We assume full vesting of outstanding performance shares (at the target level) and RSUs upon a change of control. The performance shares and RSUs, plus, where applicable, dividend equivalents, for the NEOs vest upon a change of control whether or not there is a subsequent termination of employment (subject however, to the Board’s ability to override the vesting).</w:t>
      </w:r>
    </w:p>
    <w:p>
      <w:pPr>
        <w:spacing w:after="0" w:line="155" w:lineRule="exact"/>
        <w:rPr>
          <w:rFonts w:ascii="Arial" w:cs="Arial" w:eastAsia="Arial" w:hAnsi="Arial"/>
          <w:sz w:val="18"/>
          <w:szCs w:val="18"/>
          <w:b w:val="1"/>
          <w:bCs w:val="1"/>
          <w:color w:val="355675"/>
        </w:rPr>
      </w:pPr>
    </w:p>
    <w:p>
      <w:pPr>
        <w:ind w:left="260" w:right="140" w:hanging="252"/>
        <w:spacing w:after="0" w:line="247" w:lineRule="auto"/>
        <w:tabs>
          <w:tab w:leader="none" w:pos="260" w:val="left"/>
        </w:tabs>
        <w:numPr>
          <w:ilvl w:val="0"/>
          <w:numId w:val="104"/>
        </w:numPr>
        <w:rPr>
          <w:rFonts w:ascii="Arial" w:cs="Arial" w:eastAsia="Arial" w:hAnsi="Arial"/>
          <w:sz w:val="18"/>
          <w:szCs w:val="18"/>
          <w:b w:val="1"/>
          <w:bCs w:val="1"/>
          <w:color w:val="355675"/>
        </w:rPr>
      </w:pPr>
      <w:r>
        <w:rPr>
          <w:rFonts w:ascii="Arial" w:cs="Arial" w:eastAsia="Arial" w:hAnsi="Arial"/>
          <w:sz w:val="18"/>
          <w:szCs w:val="18"/>
          <w:color w:val="auto"/>
        </w:rPr>
        <w:t>Retirement benefits payable to Mr. Guldner and Ms. Lacal include full vesting of outstanding performance shares (at the target level) and RSUs, plus, in all cases where applicable, dividend equivalents. Because Mr. Hatfield retired on December 31, 2021, the amounts represent the actual benefits payable to Mr. Hatfield upon his retirement, including a separation payment of $750,000 as set forth in his Transition and Separation Agreement.</w:t>
      </w:r>
    </w:p>
    <w:p>
      <w:pPr>
        <w:spacing w:after="0" w:line="160" w:lineRule="exact"/>
        <w:rPr>
          <w:rFonts w:ascii="Arial" w:cs="Arial" w:eastAsia="Arial" w:hAnsi="Arial"/>
          <w:sz w:val="18"/>
          <w:szCs w:val="18"/>
          <w:b w:val="1"/>
          <w:bCs w:val="1"/>
          <w:color w:val="355675"/>
        </w:rPr>
      </w:pPr>
    </w:p>
    <w:p>
      <w:pPr>
        <w:ind w:left="260" w:right="240" w:hanging="252"/>
        <w:spacing w:after="0" w:line="253" w:lineRule="auto"/>
        <w:tabs>
          <w:tab w:leader="none" w:pos="260" w:val="left"/>
        </w:tabs>
        <w:numPr>
          <w:ilvl w:val="0"/>
          <w:numId w:val="104"/>
        </w:numPr>
        <w:rPr>
          <w:rFonts w:ascii="Arial" w:cs="Arial" w:eastAsia="Arial" w:hAnsi="Arial"/>
          <w:sz w:val="18"/>
          <w:szCs w:val="18"/>
          <w:b w:val="1"/>
          <w:bCs w:val="1"/>
          <w:color w:val="355675"/>
        </w:rPr>
      </w:pPr>
      <w:r>
        <w:rPr>
          <w:rFonts w:ascii="Arial" w:cs="Arial" w:eastAsia="Arial" w:hAnsi="Arial"/>
          <w:sz w:val="18"/>
          <w:szCs w:val="18"/>
          <w:color w:val="auto"/>
        </w:rPr>
        <w:t>Death or disability benefits payable to Mr. Guldner and Ms. Lacal include full vesting of outstanding performance shares (at the target level) and RSUs, plus, in all cases where applicable, dividend equivalents and death or disability benefits payable to Mr. Geisler include $200,000 of the Geisler DCP Discretionary Credits plus interest.</w:t>
      </w:r>
    </w:p>
    <w:p>
      <w:pPr>
        <w:spacing w:after="0" w:line="155" w:lineRule="exact"/>
        <w:rPr>
          <w:rFonts w:ascii="Arial" w:cs="Arial" w:eastAsia="Arial" w:hAnsi="Arial"/>
          <w:sz w:val="18"/>
          <w:szCs w:val="18"/>
          <w:b w:val="1"/>
          <w:bCs w:val="1"/>
          <w:color w:val="355675"/>
        </w:rPr>
      </w:pPr>
    </w:p>
    <w:p>
      <w:pPr>
        <w:ind w:left="260" w:right="240" w:hanging="252"/>
        <w:spacing w:after="0" w:line="253" w:lineRule="auto"/>
        <w:tabs>
          <w:tab w:leader="none" w:pos="260" w:val="left"/>
        </w:tabs>
        <w:numPr>
          <w:ilvl w:val="0"/>
          <w:numId w:val="104"/>
        </w:numPr>
        <w:rPr>
          <w:rFonts w:ascii="Arial" w:cs="Arial" w:eastAsia="Arial" w:hAnsi="Arial"/>
          <w:sz w:val="18"/>
          <w:szCs w:val="18"/>
          <w:b w:val="1"/>
          <w:bCs w:val="1"/>
          <w:color w:val="355675"/>
        </w:rPr>
      </w:pPr>
      <w:r>
        <w:rPr>
          <w:rFonts w:ascii="Arial" w:cs="Arial" w:eastAsia="Arial" w:hAnsi="Arial"/>
          <w:sz w:val="18"/>
          <w:szCs w:val="18"/>
          <w:color w:val="auto"/>
        </w:rPr>
        <w:t>The amounts in the “All Other Termination Events” columns consist of a payment upon termination without cause of $200,000 of the Geisler DCP Discretionary Credits plus interest for Mr. Geisler because all amounts of the Geisler DCP Discretionary Credits previously credited vest and become payable if the Company terminates Mr. Geisler’s employment without cause.</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95</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89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04" w:name="page105"/>
    <w:bookmarkEnd w:id="10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212" w:lineRule="exact"/>
        <w:rPr>
          <w:sz w:val="20"/>
          <w:szCs w:val="20"/>
          <w:color w:val="auto"/>
        </w:rPr>
      </w:pPr>
    </w:p>
    <w:p>
      <w:pPr>
        <w:ind w:right="280"/>
        <w:spacing w:after="0" w:line="271" w:lineRule="auto"/>
        <w:rPr>
          <w:sz w:val="20"/>
          <w:szCs w:val="20"/>
          <w:color w:val="auto"/>
        </w:rPr>
      </w:pPr>
      <w:r>
        <w:rPr>
          <w:rFonts w:ascii="Arial" w:cs="Arial" w:eastAsia="Arial" w:hAnsi="Arial"/>
          <w:sz w:val="18"/>
          <w:szCs w:val="18"/>
          <w:color w:val="auto"/>
        </w:rPr>
        <w:t>Subject to the foregoing, the following tables describe the amounts that would have been payable to each NEO if a Termination Event had taken place on December 31, 2021:</w:t>
      </w:r>
    </w:p>
    <w:p>
      <w:pPr>
        <w:spacing w:after="0" w:line="144" w:lineRule="exact"/>
        <w:rPr>
          <w:sz w:val="20"/>
          <w:szCs w:val="20"/>
          <w:color w:val="auto"/>
        </w:rPr>
      </w:pPr>
    </w:p>
    <w:p>
      <w:pPr>
        <w:spacing w:after="0"/>
        <w:rPr>
          <w:sz w:val="20"/>
          <w:szCs w:val="20"/>
          <w:color w:val="auto"/>
        </w:rPr>
      </w:pPr>
      <w:r>
        <w:rPr>
          <w:rFonts w:ascii="Arial" w:cs="Arial" w:eastAsia="Arial" w:hAnsi="Arial"/>
          <w:sz w:val="22"/>
          <w:szCs w:val="22"/>
          <w:b w:val="1"/>
          <w:bCs w:val="1"/>
          <w:color w:val="008C9F"/>
        </w:rPr>
        <w:t>JEFFREY B. GULDNER:</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5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Qualifying Termination of</w:t>
            </w:r>
          </w:p>
        </w:tc>
        <w:tc>
          <w:tcPr>
            <w:tcW w:w="8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All Other</w:t>
            </w:r>
          </w:p>
        </w:tc>
      </w:tr>
      <w:tr>
        <w:trPr>
          <w:trHeight w:val="162"/>
        </w:trPr>
        <w:tc>
          <w:tcPr>
            <w:tcW w:w="5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Employment in Connection</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Death or</w:t>
            </w:r>
          </w:p>
        </w:tc>
        <w:tc>
          <w:tcPr>
            <w:tcW w:w="10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Termination</w:t>
            </w:r>
          </w:p>
        </w:tc>
      </w:tr>
      <w:tr>
        <w:trPr>
          <w:trHeight w:val="162"/>
        </w:trPr>
        <w:tc>
          <w:tcPr>
            <w:tcW w:w="5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With a Change of Control</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Disability</w:t>
            </w:r>
          </w:p>
        </w:tc>
        <w:tc>
          <w:tcPr>
            <w:tcW w:w="1200" w:type="dxa"/>
            <w:vAlign w:val="bottom"/>
            <w:gridSpan w:val="2"/>
          </w:tcPr>
          <w:p>
            <w:pPr>
              <w:ind w:left="240"/>
              <w:spacing w:after="0"/>
              <w:rPr>
                <w:sz w:val="20"/>
                <w:szCs w:val="20"/>
                <w:color w:val="auto"/>
              </w:rPr>
            </w:pPr>
            <w:r>
              <w:rPr>
                <w:rFonts w:ascii="Arial" w:cs="Arial" w:eastAsia="Arial" w:hAnsi="Arial"/>
                <w:sz w:val="14"/>
                <w:szCs w:val="14"/>
                <w:b w:val="1"/>
                <w:bCs w:val="1"/>
                <w:color w:val="355675"/>
              </w:rPr>
              <w:t>Retirement</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Events</w:t>
            </w:r>
          </w:p>
        </w:tc>
      </w:tr>
      <w:tr>
        <w:trPr>
          <w:trHeight w:val="171"/>
        </w:trPr>
        <w:tc>
          <w:tcPr>
            <w:tcW w:w="5600" w:type="dxa"/>
            <w:vAlign w:val="bottom"/>
          </w:tcPr>
          <w:p>
            <w:pPr>
              <w:ind w:left="60"/>
              <w:spacing w:after="0"/>
              <w:rPr>
                <w:sz w:val="20"/>
                <w:szCs w:val="20"/>
                <w:color w:val="auto"/>
              </w:rPr>
            </w:pPr>
            <w:r>
              <w:rPr>
                <w:rFonts w:ascii="Arial" w:cs="Arial" w:eastAsia="Arial" w:hAnsi="Arial"/>
                <w:sz w:val="14"/>
                <w:szCs w:val="14"/>
                <w:b w:val="1"/>
                <w:bCs w:val="1"/>
                <w:color w:val="355675"/>
              </w:rPr>
              <w:t>Component of Pay</w:t>
            </w: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2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27"/>
        </w:trPr>
        <w:tc>
          <w:tcPr>
            <w:tcW w:w="56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86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88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100" w:type="dxa"/>
            <w:vAlign w:val="bottom"/>
            <w:shd w:val="clear" w:color="auto" w:fill="355675"/>
          </w:tcPr>
          <w:p>
            <w:pPr>
              <w:spacing w:after="0"/>
              <w:rPr>
                <w:sz w:val="2"/>
                <w:szCs w:val="2"/>
                <w:color w:val="auto"/>
              </w:rPr>
            </w:pPr>
          </w:p>
        </w:tc>
      </w:tr>
      <w:tr>
        <w:trPr>
          <w:trHeight w:val="283"/>
        </w:trPr>
        <w:tc>
          <w:tcPr>
            <w:tcW w:w="5600" w:type="dxa"/>
            <w:vAlign w:val="bottom"/>
          </w:tcPr>
          <w:p>
            <w:pPr>
              <w:ind w:left="60"/>
              <w:spacing w:after="0"/>
              <w:rPr>
                <w:sz w:val="20"/>
                <w:szCs w:val="20"/>
                <w:color w:val="auto"/>
              </w:rPr>
            </w:pPr>
            <w:r>
              <w:rPr>
                <w:rFonts w:ascii="Arial" w:cs="Arial" w:eastAsia="Arial" w:hAnsi="Arial"/>
                <w:sz w:val="16"/>
                <w:szCs w:val="16"/>
                <w:color w:val="auto"/>
              </w:rPr>
              <w:t>Performance Shares</w:t>
            </w:r>
          </w:p>
        </w:tc>
        <w:tc>
          <w:tcPr>
            <w:tcW w:w="200" w:type="dxa"/>
            <w:vAlign w:val="bottom"/>
          </w:tcPr>
          <w:p>
            <w:pPr>
              <w:spacing w:after="0"/>
              <w:rPr>
                <w:sz w:val="24"/>
                <w:szCs w:val="24"/>
                <w:color w:val="auto"/>
              </w:rPr>
            </w:pPr>
          </w:p>
        </w:tc>
        <w:tc>
          <w:tcPr>
            <w:tcW w:w="2060" w:type="dxa"/>
            <w:vAlign w:val="bottom"/>
            <w:gridSpan w:val="2"/>
          </w:tcPr>
          <w:p>
            <w:pPr>
              <w:jc w:val="right"/>
              <w:ind w:right="200"/>
              <w:spacing w:after="0" w:line="283" w:lineRule="exact"/>
              <w:rPr>
                <w:sz w:val="20"/>
                <w:szCs w:val="20"/>
                <w:color w:val="auto"/>
              </w:rPr>
            </w:pPr>
            <w:r>
              <w:rPr>
                <w:rFonts w:ascii="Arial" w:cs="Arial" w:eastAsia="Arial" w:hAnsi="Arial"/>
                <w:sz w:val="16"/>
                <w:szCs w:val="16"/>
                <w:color w:val="auto"/>
              </w:rPr>
              <w:t>5,442,505</w:t>
            </w:r>
            <w:r>
              <w:rPr>
                <w:rFonts w:ascii="Arial" w:cs="Arial" w:eastAsia="Arial" w:hAnsi="Arial"/>
                <w:sz w:val="26"/>
                <w:szCs w:val="26"/>
                <w:color w:val="auto"/>
                <w:vertAlign w:val="superscript"/>
              </w:rPr>
              <w:t>(1)</w:t>
            </w: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4,795,845</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4,795,845</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5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77"/>
        </w:trPr>
        <w:tc>
          <w:tcPr>
            <w:tcW w:w="5600" w:type="dxa"/>
            <w:vAlign w:val="bottom"/>
          </w:tcPr>
          <w:p>
            <w:pPr>
              <w:ind w:left="60"/>
              <w:spacing w:after="0"/>
              <w:rPr>
                <w:sz w:val="20"/>
                <w:szCs w:val="20"/>
                <w:color w:val="auto"/>
              </w:rPr>
            </w:pPr>
            <w:r>
              <w:rPr>
                <w:rFonts w:ascii="Arial" w:cs="Arial" w:eastAsia="Arial" w:hAnsi="Arial"/>
                <w:sz w:val="16"/>
                <w:szCs w:val="16"/>
                <w:color w:val="auto"/>
              </w:rPr>
              <w:t>RSUs</w:t>
            </w:r>
          </w:p>
        </w:tc>
        <w:tc>
          <w:tcPr>
            <w:tcW w:w="200" w:type="dxa"/>
            <w:vAlign w:val="bottom"/>
          </w:tcPr>
          <w:p>
            <w:pPr>
              <w:spacing w:after="0"/>
              <w:rPr>
                <w:sz w:val="24"/>
                <w:szCs w:val="24"/>
                <w:color w:val="auto"/>
              </w:rPr>
            </w:pPr>
          </w:p>
        </w:tc>
        <w:tc>
          <w:tcPr>
            <w:tcW w:w="2060" w:type="dxa"/>
            <w:vAlign w:val="bottom"/>
            <w:gridSpan w:val="2"/>
          </w:tcPr>
          <w:p>
            <w:pPr>
              <w:jc w:val="right"/>
              <w:ind w:right="200"/>
              <w:spacing w:after="0" w:line="277" w:lineRule="exact"/>
              <w:rPr>
                <w:sz w:val="20"/>
                <w:szCs w:val="20"/>
                <w:color w:val="auto"/>
              </w:rPr>
            </w:pPr>
            <w:r>
              <w:rPr>
                <w:rFonts w:ascii="Arial" w:cs="Arial" w:eastAsia="Arial" w:hAnsi="Arial"/>
                <w:sz w:val="16"/>
                <w:szCs w:val="16"/>
                <w:color w:val="auto"/>
              </w:rPr>
              <w:t>1,968,022</w:t>
            </w:r>
            <w:r>
              <w:rPr>
                <w:rFonts w:ascii="Arial" w:cs="Arial" w:eastAsia="Arial" w:hAnsi="Arial"/>
                <w:sz w:val="26"/>
                <w:szCs w:val="26"/>
                <w:color w:val="auto"/>
                <w:vertAlign w:val="superscript"/>
              </w:rPr>
              <w:t>(1)</w:t>
            </w: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1,968,022</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2,111,733</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5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29"/>
        </w:trPr>
        <w:tc>
          <w:tcPr>
            <w:tcW w:w="5600" w:type="dxa"/>
            <w:vAlign w:val="bottom"/>
          </w:tcPr>
          <w:p>
            <w:pPr>
              <w:ind w:left="60"/>
              <w:spacing w:after="0"/>
              <w:rPr>
                <w:sz w:val="20"/>
                <w:szCs w:val="20"/>
                <w:color w:val="auto"/>
              </w:rPr>
            </w:pPr>
            <w:r>
              <w:rPr>
                <w:rFonts w:ascii="Arial" w:cs="Arial" w:eastAsia="Arial" w:hAnsi="Arial"/>
                <w:sz w:val="16"/>
                <w:szCs w:val="16"/>
                <w:color w:val="auto"/>
              </w:rPr>
              <w:t>Severance Benefits</w:t>
            </w:r>
          </w:p>
        </w:tc>
        <w:tc>
          <w:tcPr>
            <w:tcW w:w="200" w:type="dxa"/>
            <w:vAlign w:val="bottom"/>
          </w:tcPr>
          <w:p>
            <w:pPr>
              <w:spacing w:after="0"/>
              <w:rPr>
                <w:sz w:val="19"/>
                <w:szCs w:val="19"/>
                <w:color w:val="auto"/>
              </w:rPr>
            </w:pPr>
          </w:p>
        </w:tc>
        <w:tc>
          <w:tcPr>
            <w:tcW w:w="1860" w:type="dxa"/>
            <w:vAlign w:val="bottom"/>
          </w:tcPr>
          <w:p>
            <w:pPr>
              <w:jc w:val="right"/>
              <w:ind w:right="62"/>
              <w:spacing w:after="0"/>
              <w:rPr>
                <w:sz w:val="20"/>
                <w:szCs w:val="20"/>
                <w:color w:val="auto"/>
              </w:rPr>
            </w:pPr>
            <w:r>
              <w:rPr>
                <w:rFonts w:ascii="Arial" w:cs="Arial" w:eastAsia="Arial" w:hAnsi="Arial"/>
                <w:sz w:val="16"/>
                <w:szCs w:val="16"/>
                <w:color w:val="auto"/>
              </w:rPr>
              <w:t>5,733,389</w:t>
            </w:r>
          </w:p>
        </w:tc>
        <w:tc>
          <w:tcPr>
            <w:tcW w:w="200" w:type="dxa"/>
            <w:vAlign w:val="bottom"/>
          </w:tcPr>
          <w:p>
            <w:pPr>
              <w:spacing w:after="0"/>
              <w:rPr>
                <w:sz w:val="19"/>
                <w:szCs w:val="19"/>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Present Value of Medical, Dental, and Life Insurance Benefits</w:t>
            </w:r>
          </w:p>
        </w:tc>
        <w:tc>
          <w:tcPr>
            <w:tcW w:w="200" w:type="dxa"/>
            <w:vAlign w:val="bottom"/>
          </w:tcPr>
          <w:p>
            <w:pPr>
              <w:spacing w:after="0"/>
              <w:rPr>
                <w:sz w:val="20"/>
                <w:szCs w:val="20"/>
                <w:color w:val="auto"/>
              </w:rPr>
            </w:pPr>
          </w:p>
        </w:tc>
        <w:tc>
          <w:tcPr>
            <w:tcW w:w="1860" w:type="dxa"/>
            <w:vAlign w:val="bottom"/>
          </w:tcPr>
          <w:p>
            <w:pPr>
              <w:jc w:val="right"/>
              <w:ind w:right="62"/>
              <w:spacing w:after="0"/>
              <w:rPr>
                <w:sz w:val="20"/>
                <w:szCs w:val="20"/>
                <w:color w:val="auto"/>
              </w:rPr>
            </w:pPr>
            <w:r>
              <w:rPr>
                <w:rFonts w:ascii="Arial" w:cs="Arial" w:eastAsia="Arial" w:hAnsi="Arial"/>
                <w:sz w:val="16"/>
                <w:szCs w:val="16"/>
                <w:color w:val="auto"/>
              </w:rPr>
              <w:t>45,307</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Outplacement Services</w:t>
            </w:r>
          </w:p>
        </w:tc>
        <w:tc>
          <w:tcPr>
            <w:tcW w:w="200" w:type="dxa"/>
            <w:vAlign w:val="bottom"/>
          </w:tcPr>
          <w:p>
            <w:pPr>
              <w:spacing w:after="0"/>
              <w:rPr>
                <w:sz w:val="20"/>
                <w:szCs w:val="20"/>
                <w:color w:val="auto"/>
              </w:rPr>
            </w:pPr>
          </w:p>
        </w:tc>
        <w:tc>
          <w:tcPr>
            <w:tcW w:w="1860" w:type="dxa"/>
            <w:vAlign w:val="bottom"/>
          </w:tcPr>
          <w:p>
            <w:pPr>
              <w:jc w:val="right"/>
              <w:ind w:right="62"/>
              <w:spacing w:after="0"/>
              <w:rPr>
                <w:sz w:val="20"/>
                <w:szCs w:val="20"/>
                <w:color w:val="auto"/>
              </w:rPr>
            </w:pPr>
            <w:r>
              <w:rPr>
                <w:rFonts w:ascii="Arial" w:cs="Arial" w:eastAsia="Arial" w:hAnsi="Arial"/>
                <w:sz w:val="16"/>
                <w:szCs w:val="16"/>
                <w:color w:val="auto"/>
              </w:rPr>
              <w:t>10,000</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Excise Tax Gross-Up</w:t>
            </w:r>
          </w:p>
        </w:tc>
        <w:tc>
          <w:tcPr>
            <w:tcW w:w="200" w:type="dxa"/>
            <w:vAlign w:val="bottom"/>
          </w:tcPr>
          <w:p>
            <w:pPr>
              <w:spacing w:after="0"/>
              <w:rPr>
                <w:sz w:val="20"/>
                <w:szCs w:val="20"/>
                <w:color w:val="auto"/>
              </w:rPr>
            </w:pPr>
          </w:p>
        </w:tc>
        <w:tc>
          <w:tcPr>
            <w:tcW w:w="1860" w:type="dxa"/>
            <w:vAlign w:val="bottom"/>
          </w:tcPr>
          <w:p>
            <w:pPr>
              <w:jc w:val="right"/>
              <w:ind w:right="62"/>
              <w:spacing w:after="0"/>
              <w:rPr>
                <w:sz w:val="20"/>
                <w:szCs w:val="20"/>
                <w:color w:val="auto"/>
              </w:rPr>
            </w:pPr>
            <w:r>
              <w:rPr>
                <w:rFonts w:ascii="Arial" w:cs="Arial" w:eastAsia="Arial" w:hAnsi="Arial"/>
                <w:sz w:val="16"/>
                <w:szCs w:val="16"/>
                <w:color w:val="auto"/>
              </w:rPr>
              <w:t>5,499,008</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3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3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TOTAL:</w:t>
            </w:r>
          </w:p>
        </w:tc>
        <w:tc>
          <w:tcPr>
            <w:tcW w:w="200" w:type="dxa"/>
            <w:vAlign w:val="bottom"/>
          </w:tcPr>
          <w:p>
            <w:pPr>
              <w:spacing w:after="0"/>
              <w:rPr>
                <w:sz w:val="20"/>
                <w:szCs w:val="20"/>
                <w:color w:val="auto"/>
              </w:rPr>
            </w:pPr>
          </w:p>
        </w:tc>
        <w:tc>
          <w:tcPr>
            <w:tcW w:w="1860" w:type="dxa"/>
            <w:vAlign w:val="bottom"/>
          </w:tcPr>
          <w:p>
            <w:pPr>
              <w:jc w:val="right"/>
              <w:ind w:right="62"/>
              <w:spacing w:after="0"/>
              <w:rPr>
                <w:sz w:val="20"/>
                <w:szCs w:val="20"/>
                <w:color w:val="auto"/>
              </w:rPr>
            </w:pPr>
            <w:r>
              <w:rPr>
                <w:rFonts w:ascii="Arial" w:cs="Arial" w:eastAsia="Arial" w:hAnsi="Arial"/>
                <w:sz w:val="16"/>
                <w:szCs w:val="16"/>
                <w:color w:val="auto"/>
              </w:rPr>
              <w:t>18,698,231</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6,763,867</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6,907,578</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35"/>
        </w:trPr>
        <w:tc>
          <w:tcPr>
            <w:tcW w:w="560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186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100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1100" w:type="dxa"/>
            <w:vAlign w:val="bottom"/>
            <w:shd w:val="clear" w:color="auto" w:fill="355675"/>
          </w:tcPr>
          <w:p>
            <w:pPr>
              <w:spacing w:after="0"/>
              <w:rPr>
                <w:sz w:val="3"/>
                <w:szCs w:val="3"/>
                <w:color w:val="auto"/>
              </w:rPr>
            </w:pPr>
          </w:p>
        </w:tc>
      </w:tr>
    </w:tbl>
    <w:p>
      <w:pPr>
        <w:spacing w:after="0" w:line="67" w:lineRule="exact"/>
        <w:rPr>
          <w:sz w:val="20"/>
          <w:szCs w:val="20"/>
          <w:color w:val="auto"/>
        </w:rPr>
      </w:pPr>
    </w:p>
    <w:p>
      <w:pPr>
        <w:ind w:left="300" w:hanging="292"/>
        <w:spacing w:after="0"/>
        <w:tabs>
          <w:tab w:leader="none" w:pos="300" w:val="left"/>
        </w:tabs>
        <w:numPr>
          <w:ilvl w:val="0"/>
          <w:numId w:val="105"/>
        </w:numPr>
        <w:rPr>
          <w:rFonts w:ascii="Arial" w:cs="Arial" w:eastAsia="Arial" w:hAnsi="Arial"/>
          <w:sz w:val="24"/>
          <w:szCs w:val="24"/>
          <w:color w:val="auto"/>
          <w:vertAlign w:val="superscript"/>
        </w:rPr>
      </w:pPr>
      <w:r>
        <w:rPr>
          <w:rFonts w:ascii="Arial" w:cs="Arial" w:eastAsia="Arial" w:hAnsi="Arial"/>
          <w:sz w:val="14"/>
          <w:szCs w:val="14"/>
          <w:color w:val="auto"/>
        </w:rPr>
        <w:t>The performance shares and RSUs are accelerated upon a change of control only if the Board does not exercise its override authority.</w:t>
      </w:r>
    </w:p>
    <w:p>
      <w:pPr>
        <w:spacing w:after="0" w:line="169" w:lineRule="exact"/>
        <w:rPr>
          <w:sz w:val="20"/>
          <w:szCs w:val="20"/>
          <w:color w:val="auto"/>
        </w:rPr>
      </w:pPr>
    </w:p>
    <w:p>
      <w:pPr>
        <w:spacing w:after="0"/>
        <w:rPr>
          <w:sz w:val="20"/>
          <w:szCs w:val="20"/>
          <w:color w:val="auto"/>
        </w:rPr>
      </w:pPr>
      <w:r>
        <w:rPr>
          <w:rFonts w:ascii="Arial" w:cs="Arial" w:eastAsia="Arial" w:hAnsi="Arial"/>
          <w:sz w:val="22"/>
          <w:szCs w:val="22"/>
          <w:b w:val="1"/>
          <w:bCs w:val="1"/>
          <w:color w:val="008C9F"/>
        </w:rPr>
        <w:t>THEODORE N. GEISLER:</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67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Qualifying Termination of</w:t>
            </w:r>
          </w:p>
        </w:tc>
        <w:tc>
          <w:tcPr>
            <w:tcW w:w="8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All Other</w:t>
            </w:r>
          </w:p>
        </w:tc>
      </w:tr>
      <w:tr>
        <w:trPr>
          <w:trHeight w:val="162"/>
        </w:trPr>
        <w:tc>
          <w:tcPr>
            <w:tcW w:w="67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Employment in Connection</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Death or</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Termination</w:t>
            </w:r>
          </w:p>
        </w:tc>
      </w:tr>
      <w:tr>
        <w:trPr>
          <w:trHeight w:val="162"/>
        </w:trPr>
        <w:tc>
          <w:tcPr>
            <w:tcW w:w="67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With a Change of Control</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Disability</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Events</w:t>
            </w:r>
          </w:p>
        </w:tc>
      </w:tr>
      <w:tr>
        <w:trPr>
          <w:trHeight w:val="178"/>
        </w:trPr>
        <w:tc>
          <w:tcPr>
            <w:tcW w:w="678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Component of Pay</w:t>
            </w:r>
          </w:p>
        </w:tc>
        <w:tc>
          <w:tcPr>
            <w:tcW w:w="200" w:type="dxa"/>
            <w:vAlign w:val="bottom"/>
          </w:tcPr>
          <w:p>
            <w:pPr>
              <w:spacing w:after="0"/>
              <w:rPr>
                <w:sz w:val="15"/>
                <w:szCs w:val="15"/>
                <w:color w:val="auto"/>
              </w:rPr>
            </w:pPr>
          </w:p>
        </w:tc>
        <w:tc>
          <w:tcPr>
            <w:tcW w:w="18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c>
          <w:tcPr>
            <w:tcW w:w="200" w:type="dxa"/>
            <w:vAlign w:val="bottom"/>
          </w:tcPr>
          <w:p>
            <w:pPr>
              <w:spacing w:after="0"/>
              <w:rPr>
                <w:sz w:val="15"/>
                <w:szCs w:val="15"/>
                <w:color w:val="auto"/>
              </w:rPr>
            </w:pPr>
          </w:p>
        </w:tc>
        <w:tc>
          <w:tcPr>
            <w:tcW w:w="8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c>
          <w:tcPr>
            <w:tcW w:w="200" w:type="dxa"/>
            <w:vAlign w:val="bottom"/>
          </w:tcPr>
          <w:p>
            <w:pPr>
              <w:spacing w:after="0"/>
              <w:rPr>
                <w:sz w:val="15"/>
                <w:szCs w:val="15"/>
                <w:color w:val="auto"/>
              </w:rPr>
            </w:pPr>
          </w:p>
        </w:tc>
        <w:tc>
          <w:tcPr>
            <w:tcW w:w="110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83"/>
        </w:trPr>
        <w:tc>
          <w:tcPr>
            <w:tcW w:w="678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Performance Shares</w:t>
            </w:r>
          </w:p>
        </w:tc>
        <w:tc>
          <w:tcPr>
            <w:tcW w:w="200" w:type="dxa"/>
            <w:vAlign w:val="bottom"/>
          </w:tcPr>
          <w:p>
            <w:pPr>
              <w:spacing w:after="0"/>
              <w:rPr>
                <w:sz w:val="24"/>
                <w:szCs w:val="24"/>
                <w:color w:val="auto"/>
              </w:rPr>
            </w:pPr>
          </w:p>
        </w:tc>
        <w:tc>
          <w:tcPr>
            <w:tcW w:w="1880" w:type="dxa"/>
            <w:vAlign w:val="bottom"/>
            <w:tcBorders>
              <w:bottom w:val="single" w:sz="8" w:color="939598"/>
            </w:tcBorders>
          </w:tcPr>
          <w:p>
            <w:pPr>
              <w:jc w:val="right"/>
              <w:spacing w:after="0" w:line="283" w:lineRule="exact"/>
              <w:rPr>
                <w:sz w:val="20"/>
                <w:szCs w:val="20"/>
                <w:color w:val="auto"/>
              </w:rPr>
            </w:pPr>
            <w:r>
              <w:rPr>
                <w:rFonts w:ascii="Arial" w:cs="Arial" w:eastAsia="Arial" w:hAnsi="Arial"/>
                <w:sz w:val="16"/>
                <w:szCs w:val="16"/>
                <w:color w:val="auto"/>
              </w:rPr>
              <w:t>895,849</w:t>
            </w:r>
            <w:r>
              <w:rPr>
                <w:rFonts w:ascii="Arial" w:cs="Arial" w:eastAsia="Arial" w:hAnsi="Arial"/>
                <w:sz w:val="26"/>
                <w:szCs w:val="26"/>
                <w:color w:val="auto"/>
                <w:vertAlign w:val="superscript"/>
              </w:rPr>
              <w:t>(1)</w:t>
            </w:r>
          </w:p>
        </w:tc>
        <w:tc>
          <w:tcPr>
            <w:tcW w:w="200" w:type="dxa"/>
            <w:vAlign w:val="bottom"/>
          </w:tcPr>
          <w:p>
            <w:pPr>
              <w:spacing w:after="0"/>
              <w:rPr>
                <w:sz w:val="24"/>
                <w:szCs w:val="24"/>
                <w:color w:val="auto"/>
              </w:rPr>
            </w:pPr>
          </w:p>
        </w:tc>
        <w:tc>
          <w:tcPr>
            <w:tcW w:w="8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77"/>
        </w:trPr>
        <w:tc>
          <w:tcPr>
            <w:tcW w:w="678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RSUs</w:t>
            </w:r>
          </w:p>
        </w:tc>
        <w:tc>
          <w:tcPr>
            <w:tcW w:w="200" w:type="dxa"/>
            <w:vAlign w:val="bottom"/>
          </w:tcPr>
          <w:p>
            <w:pPr>
              <w:spacing w:after="0"/>
              <w:rPr>
                <w:sz w:val="24"/>
                <w:szCs w:val="24"/>
                <w:color w:val="auto"/>
              </w:rPr>
            </w:pPr>
          </w:p>
        </w:tc>
        <w:tc>
          <w:tcPr>
            <w:tcW w:w="1880" w:type="dxa"/>
            <w:vAlign w:val="bottom"/>
            <w:tcBorders>
              <w:bottom w:val="single" w:sz="8" w:color="939598"/>
            </w:tcBorders>
          </w:tcPr>
          <w:p>
            <w:pPr>
              <w:jc w:val="right"/>
              <w:spacing w:after="0" w:line="277" w:lineRule="exact"/>
              <w:rPr>
                <w:sz w:val="20"/>
                <w:szCs w:val="20"/>
                <w:color w:val="auto"/>
              </w:rPr>
            </w:pPr>
            <w:r>
              <w:rPr>
                <w:rFonts w:ascii="Arial" w:cs="Arial" w:eastAsia="Arial" w:hAnsi="Arial"/>
                <w:sz w:val="16"/>
                <w:szCs w:val="16"/>
                <w:color w:val="auto"/>
              </w:rPr>
              <w:t>547,964</w:t>
            </w:r>
            <w:r>
              <w:rPr>
                <w:rFonts w:ascii="Arial" w:cs="Arial" w:eastAsia="Arial" w:hAnsi="Arial"/>
                <w:sz w:val="26"/>
                <w:szCs w:val="26"/>
                <w:color w:val="auto"/>
                <w:vertAlign w:val="superscript"/>
              </w:rPr>
              <w:t>(1)</w:t>
            </w:r>
          </w:p>
        </w:tc>
        <w:tc>
          <w:tcPr>
            <w:tcW w:w="200" w:type="dxa"/>
            <w:vAlign w:val="bottom"/>
          </w:tcPr>
          <w:p>
            <w:pPr>
              <w:spacing w:after="0"/>
              <w:rPr>
                <w:sz w:val="24"/>
                <w:szCs w:val="24"/>
                <w:color w:val="auto"/>
              </w:rPr>
            </w:pPr>
          </w:p>
        </w:tc>
        <w:tc>
          <w:tcPr>
            <w:tcW w:w="8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4"/>
                <w:szCs w:val="24"/>
                <w:color w:val="auto"/>
              </w:rPr>
            </w:pPr>
          </w:p>
        </w:tc>
        <w:tc>
          <w:tcPr>
            <w:tcW w:w="11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30"/>
        </w:trPr>
        <w:tc>
          <w:tcPr>
            <w:tcW w:w="678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Severance Benefits</w:t>
            </w:r>
          </w:p>
        </w:tc>
        <w:tc>
          <w:tcPr>
            <w:tcW w:w="200" w:type="dxa"/>
            <w:vAlign w:val="bottom"/>
          </w:tcPr>
          <w:p>
            <w:pPr>
              <w:spacing w:after="0"/>
              <w:rPr>
                <w:sz w:val="20"/>
                <w:szCs w:val="20"/>
                <w:color w:val="auto"/>
              </w:rPr>
            </w:pPr>
          </w:p>
        </w:tc>
        <w:tc>
          <w:tcPr>
            <w:tcW w:w="1880" w:type="dxa"/>
            <w:vAlign w:val="bottom"/>
            <w:tcBorders>
              <w:bottom w:val="single" w:sz="8" w:color="939598"/>
            </w:tcBorders>
          </w:tcPr>
          <w:p>
            <w:pPr>
              <w:jc w:val="right"/>
              <w:ind w:right="82"/>
              <w:spacing w:after="0"/>
              <w:rPr>
                <w:sz w:val="20"/>
                <w:szCs w:val="20"/>
                <w:color w:val="auto"/>
              </w:rPr>
            </w:pPr>
            <w:r>
              <w:rPr>
                <w:rFonts w:ascii="Arial" w:cs="Arial" w:eastAsia="Arial" w:hAnsi="Arial"/>
                <w:sz w:val="16"/>
                <w:szCs w:val="16"/>
                <w:color w:val="auto"/>
              </w:rPr>
              <w:t>1,876,523</w:t>
            </w:r>
          </w:p>
        </w:tc>
        <w:tc>
          <w:tcPr>
            <w:tcW w:w="200" w:type="dxa"/>
            <w:vAlign w:val="bottom"/>
          </w:tcPr>
          <w:p>
            <w:pPr>
              <w:spacing w:after="0"/>
              <w:rPr>
                <w:sz w:val="20"/>
                <w:szCs w:val="20"/>
                <w:color w:val="auto"/>
              </w:rPr>
            </w:pPr>
          </w:p>
        </w:tc>
        <w:tc>
          <w:tcPr>
            <w:tcW w:w="8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0"/>
                <w:szCs w:val="20"/>
                <w:color w:val="auto"/>
              </w:rPr>
            </w:pPr>
          </w:p>
        </w:tc>
        <w:tc>
          <w:tcPr>
            <w:tcW w:w="11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37"/>
        </w:trPr>
        <w:tc>
          <w:tcPr>
            <w:tcW w:w="678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Present Value of Medical, Dental, and Life Insurance Benefits</w:t>
            </w:r>
          </w:p>
        </w:tc>
        <w:tc>
          <w:tcPr>
            <w:tcW w:w="200" w:type="dxa"/>
            <w:vAlign w:val="bottom"/>
          </w:tcPr>
          <w:p>
            <w:pPr>
              <w:spacing w:after="0"/>
              <w:rPr>
                <w:sz w:val="20"/>
                <w:szCs w:val="20"/>
                <w:color w:val="auto"/>
              </w:rPr>
            </w:pPr>
          </w:p>
        </w:tc>
        <w:tc>
          <w:tcPr>
            <w:tcW w:w="1880" w:type="dxa"/>
            <w:vAlign w:val="bottom"/>
            <w:tcBorders>
              <w:bottom w:val="single" w:sz="8" w:color="939598"/>
            </w:tcBorders>
          </w:tcPr>
          <w:p>
            <w:pPr>
              <w:jc w:val="right"/>
              <w:ind w:right="82"/>
              <w:spacing w:after="0"/>
              <w:rPr>
                <w:sz w:val="20"/>
                <w:szCs w:val="20"/>
                <w:color w:val="auto"/>
              </w:rPr>
            </w:pPr>
            <w:r>
              <w:rPr>
                <w:rFonts w:ascii="Arial" w:cs="Arial" w:eastAsia="Arial" w:hAnsi="Arial"/>
                <w:sz w:val="16"/>
                <w:szCs w:val="16"/>
                <w:color w:val="auto"/>
              </w:rPr>
              <w:t>2,604</w:t>
            </w:r>
          </w:p>
        </w:tc>
        <w:tc>
          <w:tcPr>
            <w:tcW w:w="200" w:type="dxa"/>
            <w:vAlign w:val="bottom"/>
          </w:tcPr>
          <w:p>
            <w:pPr>
              <w:spacing w:after="0"/>
              <w:rPr>
                <w:sz w:val="20"/>
                <w:szCs w:val="20"/>
                <w:color w:val="auto"/>
              </w:rPr>
            </w:pPr>
          </w:p>
        </w:tc>
        <w:tc>
          <w:tcPr>
            <w:tcW w:w="8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0"/>
                <w:szCs w:val="20"/>
                <w:color w:val="auto"/>
              </w:rPr>
            </w:pPr>
          </w:p>
        </w:tc>
        <w:tc>
          <w:tcPr>
            <w:tcW w:w="11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36"/>
        </w:trPr>
        <w:tc>
          <w:tcPr>
            <w:tcW w:w="678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Outplacement Services</w:t>
            </w:r>
          </w:p>
        </w:tc>
        <w:tc>
          <w:tcPr>
            <w:tcW w:w="200" w:type="dxa"/>
            <w:vAlign w:val="bottom"/>
          </w:tcPr>
          <w:p>
            <w:pPr>
              <w:spacing w:after="0"/>
              <w:rPr>
                <w:sz w:val="20"/>
                <w:szCs w:val="20"/>
                <w:color w:val="auto"/>
              </w:rPr>
            </w:pPr>
          </w:p>
        </w:tc>
        <w:tc>
          <w:tcPr>
            <w:tcW w:w="1880" w:type="dxa"/>
            <w:vAlign w:val="bottom"/>
            <w:tcBorders>
              <w:bottom w:val="single" w:sz="8" w:color="939598"/>
            </w:tcBorders>
          </w:tcPr>
          <w:p>
            <w:pPr>
              <w:jc w:val="right"/>
              <w:ind w:right="82"/>
              <w:spacing w:after="0"/>
              <w:rPr>
                <w:sz w:val="20"/>
                <w:szCs w:val="20"/>
                <w:color w:val="auto"/>
              </w:rPr>
            </w:pPr>
            <w:r>
              <w:rPr>
                <w:rFonts w:ascii="Arial" w:cs="Arial" w:eastAsia="Arial" w:hAnsi="Arial"/>
                <w:sz w:val="16"/>
                <w:szCs w:val="16"/>
                <w:color w:val="auto"/>
              </w:rPr>
              <w:t>10,000</w:t>
            </w:r>
          </w:p>
        </w:tc>
        <w:tc>
          <w:tcPr>
            <w:tcW w:w="200" w:type="dxa"/>
            <w:vAlign w:val="bottom"/>
          </w:tcPr>
          <w:p>
            <w:pPr>
              <w:spacing w:after="0"/>
              <w:rPr>
                <w:sz w:val="20"/>
                <w:szCs w:val="20"/>
                <w:color w:val="auto"/>
              </w:rPr>
            </w:pPr>
          </w:p>
        </w:tc>
        <w:tc>
          <w:tcPr>
            <w:tcW w:w="8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0"/>
                <w:szCs w:val="20"/>
                <w:color w:val="auto"/>
              </w:rPr>
            </w:pPr>
          </w:p>
        </w:tc>
        <w:tc>
          <w:tcPr>
            <w:tcW w:w="11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37"/>
        </w:trPr>
        <w:tc>
          <w:tcPr>
            <w:tcW w:w="678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Geisler DCP Discretionary Credits</w:t>
            </w:r>
          </w:p>
        </w:tc>
        <w:tc>
          <w:tcPr>
            <w:tcW w:w="200" w:type="dxa"/>
            <w:vAlign w:val="bottom"/>
          </w:tcPr>
          <w:p>
            <w:pPr>
              <w:spacing w:after="0"/>
              <w:rPr>
                <w:sz w:val="20"/>
                <w:szCs w:val="20"/>
                <w:color w:val="auto"/>
              </w:rPr>
            </w:pPr>
          </w:p>
        </w:tc>
        <w:tc>
          <w:tcPr>
            <w:tcW w:w="1880" w:type="dxa"/>
            <w:vAlign w:val="bottom"/>
            <w:tcBorders>
              <w:bottom w:val="single" w:sz="8" w:color="939598"/>
            </w:tcBorders>
          </w:tcPr>
          <w:p>
            <w:pPr>
              <w:jc w:val="right"/>
              <w:ind w:right="82"/>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0"/>
                <w:szCs w:val="20"/>
                <w:color w:val="auto"/>
              </w:rPr>
            </w:pPr>
          </w:p>
        </w:tc>
        <w:tc>
          <w:tcPr>
            <w:tcW w:w="8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232,440</w:t>
            </w:r>
          </w:p>
        </w:tc>
        <w:tc>
          <w:tcPr>
            <w:tcW w:w="200" w:type="dxa"/>
            <w:vAlign w:val="bottom"/>
          </w:tcPr>
          <w:p>
            <w:pPr>
              <w:spacing w:after="0"/>
              <w:rPr>
                <w:sz w:val="20"/>
                <w:szCs w:val="20"/>
                <w:color w:val="auto"/>
              </w:rPr>
            </w:pPr>
          </w:p>
        </w:tc>
        <w:tc>
          <w:tcPr>
            <w:tcW w:w="11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232,440</w:t>
            </w:r>
          </w:p>
        </w:tc>
      </w:tr>
      <w:tr>
        <w:trPr>
          <w:trHeight w:val="250"/>
        </w:trPr>
        <w:tc>
          <w:tcPr>
            <w:tcW w:w="6780" w:type="dxa"/>
            <w:vAlign w:val="bottom"/>
            <w:tcBorders>
              <w:bottom w:val="single" w:sz="8" w:color="355675"/>
            </w:tcBorders>
          </w:tcPr>
          <w:p>
            <w:pPr>
              <w:ind w:left="60"/>
              <w:spacing w:after="0"/>
              <w:rPr>
                <w:sz w:val="20"/>
                <w:szCs w:val="20"/>
                <w:color w:val="auto"/>
              </w:rPr>
            </w:pPr>
            <w:r>
              <w:rPr>
                <w:rFonts w:ascii="Arial" w:cs="Arial" w:eastAsia="Arial" w:hAnsi="Arial"/>
                <w:sz w:val="16"/>
                <w:szCs w:val="16"/>
                <w:color w:val="auto"/>
              </w:rPr>
              <w:t>TOTAL:</w:t>
            </w:r>
          </w:p>
        </w:tc>
        <w:tc>
          <w:tcPr>
            <w:tcW w:w="200" w:type="dxa"/>
            <w:vAlign w:val="bottom"/>
          </w:tcPr>
          <w:p>
            <w:pPr>
              <w:spacing w:after="0"/>
              <w:rPr>
                <w:sz w:val="21"/>
                <w:szCs w:val="21"/>
                <w:color w:val="auto"/>
              </w:rPr>
            </w:pPr>
          </w:p>
        </w:tc>
        <w:tc>
          <w:tcPr>
            <w:tcW w:w="1880" w:type="dxa"/>
            <w:vAlign w:val="bottom"/>
            <w:tcBorders>
              <w:bottom w:val="single" w:sz="8" w:color="355675"/>
            </w:tcBorders>
          </w:tcPr>
          <w:p>
            <w:pPr>
              <w:jc w:val="right"/>
              <w:ind w:right="82"/>
              <w:spacing w:after="0"/>
              <w:rPr>
                <w:sz w:val="20"/>
                <w:szCs w:val="20"/>
                <w:color w:val="auto"/>
              </w:rPr>
            </w:pPr>
            <w:r>
              <w:rPr>
                <w:rFonts w:ascii="Arial" w:cs="Arial" w:eastAsia="Arial" w:hAnsi="Arial"/>
                <w:sz w:val="16"/>
                <w:szCs w:val="16"/>
                <w:color w:val="auto"/>
              </w:rPr>
              <w:t>3,332,940</w:t>
            </w:r>
          </w:p>
        </w:tc>
        <w:tc>
          <w:tcPr>
            <w:tcW w:w="200" w:type="dxa"/>
            <w:vAlign w:val="bottom"/>
          </w:tcPr>
          <w:p>
            <w:pPr>
              <w:spacing w:after="0"/>
              <w:rPr>
                <w:sz w:val="21"/>
                <w:szCs w:val="21"/>
                <w:color w:val="auto"/>
              </w:rPr>
            </w:pPr>
          </w:p>
        </w:tc>
        <w:tc>
          <w:tcPr>
            <w:tcW w:w="88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232,440</w:t>
            </w:r>
          </w:p>
        </w:tc>
        <w:tc>
          <w:tcPr>
            <w:tcW w:w="200" w:type="dxa"/>
            <w:vAlign w:val="bottom"/>
          </w:tcPr>
          <w:p>
            <w:pPr>
              <w:spacing w:after="0"/>
              <w:rPr>
                <w:sz w:val="21"/>
                <w:szCs w:val="21"/>
                <w:color w:val="auto"/>
              </w:rPr>
            </w:pPr>
          </w:p>
        </w:tc>
        <w:tc>
          <w:tcPr>
            <w:tcW w:w="11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232,440</w:t>
            </w:r>
          </w:p>
        </w:tc>
      </w:tr>
    </w:tbl>
    <w:p>
      <w:pPr>
        <w:spacing w:after="0" w:line="39" w:lineRule="exact"/>
        <w:rPr>
          <w:sz w:val="20"/>
          <w:szCs w:val="20"/>
          <w:color w:val="auto"/>
        </w:rPr>
      </w:pPr>
    </w:p>
    <w:p>
      <w:pPr>
        <w:ind w:left="340" w:hanging="332"/>
        <w:spacing w:after="0"/>
        <w:tabs>
          <w:tab w:leader="none" w:pos="340" w:val="left"/>
        </w:tabs>
        <w:numPr>
          <w:ilvl w:val="0"/>
          <w:numId w:val="106"/>
        </w:numPr>
        <w:rPr>
          <w:rFonts w:ascii="Arial" w:cs="Arial" w:eastAsia="Arial" w:hAnsi="Arial"/>
          <w:sz w:val="30"/>
          <w:szCs w:val="30"/>
          <w:color w:val="auto"/>
          <w:vertAlign w:val="superscript"/>
        </w:rPr>
      </w:pPr>
      <w:r>
        <w:rPr>
          <w:rFonts w:ascii="Arial" w:cs="Arial" w:eastAsia="Arial" w:hAnsi="Arial"/>
          <w:sz w:val="14"/>
          <w:szCs w:val="14"/>
          <w:color w:val="auto"/>
        </w:rPr>
        <w:t>The performance shares and RSUs are accelerated upon a change of control only if the Board does not exercise its override authority.</w:t>
      </w:r>
    </w:p>
    <w:p>
      <w:pPr>
        <w:spacing w:after="0" w:line="178" w:lineRule="exact"/>
        <w:rPr>
          <w:sz w:val="20"/>
          <w:szCs w:val="20"/>
          <w:color w:val="auto"/>
        </w:rPr>
      </w:pPr>
    </w:p>
    <w:p>
      <w:pPr>
        <w:spacing w:after="0"/>
        <w:rPr>
          <w:sz w:val="20"/>
          <w:szCs w:val="20"/>
          <w:color w:val="auto"/>
        </w:rPr>
      </w:pPr>
      <w:r>
        <w:rPr>
          <w:rFonts w:ascii="Arial" w:cs="Arial" w:eastAsia="Arial" w:hAnsi="Arial"/>
          <w:sz w:val="22"/>
          <w:szCs w:val="22"/>
          <w:b w:val="1"/>
          <w:bCs w:val="1"/>
          <w:color w:val="008C9F"/>
        </w:rPr>
        <w:t>JAMES R. HATFIELD</w:t>
      </w:r>
      <w:r>
        <w:rPr>
          <w:rFonts w:ascii="Arial" w:cs="Arial" w:eastAsia="Arial" w:hAnsi="Arial"/>
          <w:sz w:val="35"/>
          <w:szCs w:val="35"/>
          <w:b w:val="1"/>
          <w:bCs w:val="1"/>
          <w:color w:val="008C9F"/>
          <w:vertAlign w:val="superscript"/>
        </w:rPr>
        <w:t>(1)</w:t>
      </w:r>
      <w:r>
        <w:rPr>
          <w:rFonts w:ascii="Arial" w:cs="Arial" w:eastAsia="Arial" w:hAnsi="Arial"/>
          <w:sz w:val="22"/>
          <w:szCs w:val="22"/>
          <w:b w:val="1"/>
          <w:bCs w:val="1"/>
          <w:color w:val="008C9F"/>
        </w:rPr>
        <w:t>:</w:t>
      </w:r>
    </w:p>
    <w:p>
      <w:pPr>
        <w:spacing w:after="0" w:line="120"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46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Arial" w:cs="Arial" w:eastAsia="Arial" w:hAnsi="Arial"/>
                <w:sz w:val="14"/>
                <w:szCs w:val="14"/>
                <w:b w:val="1"/>
                <w:bCs w:val="1"/>
                <w:color w:val="355675"/>
              </w:rPr>
              <w:t>Retirement</w:t>
            </w:r>
          </w:p>
        </w:tc>
      </w:tr>
      <w:tr>
        <w:trPr>
          <w:trHeight w:val="178"/>
        </w:trPr>
        <w:tc>
          <w:tcPr>
            <w:tcW w:w="462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Component of Pay</w:t>
            </w:r>
          </w:p>
        </w:tc>
        <w:tc>
          <w:tcPr>
            <w:tcW w:w="200" w:type="dxa"/>
            <w:vAlign w:val="bottom"/>
          </w:tcPr>
          <w:p>
            <w:pPr>
              <w:spacing w:after="0"/>
              <w:rPr>
                <w:sz w:val="15"/>
                <w:szCs w:val="15"/>
                <w:color w:val="auto"/>
              </w:rPr>
            </w:pPr>
          </w:p>
        </w:tc>
        <w:tc>
          <w:tcPr>
            <w:tcW w:w="80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37"/>
        </w:trPr>
        <w:tc>
          <w:tcPr>
            <w:tcW w:w="462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Performance Shares</w:t>
            </w:r>
          </w:p>
        </w:tc>
        <w:tc>
          <w:tcPr>
            <w:tcW w:w="200" w:type="dxa"/>
            <w:vAlign w:val="bottom"/>
          </w:tcPr>
          <w:p>
            <w:pPr>
              <w:spacing w:after="0"/>
              <w:rPr>
                <w:sz w:val="20"/>
                <w:szCs w:val="20"/>
                <w:color w:val="auto"/>
              </w:rPr>
            </w:pPr>
          </w:p>
        </w:tc>
        <w:tc>
          <w:tcPr>
            <w:tcW w:w="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1,591,247</w:t>
            </w:r>
          </w:p>
        </w:tc>
      </w:tr>
      <w:tr>
        <w:trPr>
          <w:trHeight w:val="236"/>
        </w:trPr>
        <w:tc>
          <w:tcPr>
            <w:tcW w:w="462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RSUs</w:t>
            </w:r>
          </w:p>
        </w:tc>
        <w:tc>
          <w:tcPr>
            <w:tcW w:w="200" w:type="dxa"/>
            <w:vAlign w:val="bottom"/>
          </w:tcPr>
          <w:p>
            <w:pPr>
              <w:spacing w:after="0"/>
              <w:rPr>
                <w:sz w:val="20"/>
                <w:szCs w:val="20"/>
                <w:color w:val="auto"/>
              </w:rPr>
            </w:pPr>
          </w:p>
        </w:tc>
        <w:tc>
          <w:tcPr>
            <w:tcW w:w="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812,141</w:t>
            </w:r>
          </w:p>
        </w:tc>
      </w:tr>
      <w:tr>
        <w:trPr>
          <w:trHeight w:val="237"/>
        </w:trPr>
        <w:tc>
          <w:tcPr>
            <w:tcW w:w="462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Severance Benefits</w:t>
            </w:r>
          </w:p>
        </w:tc>
        <w:tc>
          <w:tcPr>
            <w:tcW w:w="200" w:type="dxa"/>
            <w:vAlign w:val="bottom"/>
          </w:tcPr>
          <w:p>
            <w:pPr>
              <w:spacing w:after="0"/>
              <w:rPr>
                <w:sz w:val="20"/>
                <w:szCs w:val="20"/>
                <w:color w:val="auto"/>
              </w:rPr>
            </w:pPr>
          </w:p>
        </w:tc>
        <w:tc>
          <w:tcPr>
            <w:tcW w:w="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750,000</w:t>
            </w:r>
          </w:p>
        </w:tc>
      </w:tr>
      <w:tr>
        <w:trPr>
          <w:trHeight w:val="236"/>
        </w:trPr>
        <w:tc>
          <w:tcPr>
            <w:tcW w:w="462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Present Value of Medical, Dental, and Life Insurance Benefits</w:t>
            </w:r>
          </w:p>
        </w:tc>
        <w:tc>
          <w:tcPr>
            <w:tcW w:w="200" w:type="dxa"/>
            <w:vAlign w:val="bottom"/>
          </w:tcPr>
          <w:p>
            <w:pPr>
              <w:spacing w:after="0"/>
              <w:rPr>
                <w:sz w:val="20"/>
                <w:szCs w:val="20"/>
                <w:color w:val="auto"/>
              </w:rPr>
            </w:pPr>
          </w:p>
        </w:tc>
        <w:tc>
          <w:tcPr>
            <w:tcW w:w="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37"/>
        </w:trPr>
        <w:tc>
          <w:tcPr>
            <w:tcW w:w="462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Outplacement Services</w:t>
            </w:r>
          </w:p>
        </w:tc>
        <w:tc>
          <w:tcPr>
            <w:tcW w:w="200" w:type="dxa"/>
            <w:vAlign w:val="bottom"/>
          </w:tcPr>
          <w:p>
            <w:pPr>
              <w:spacing w:after="0"/>
              <w:rPr>
                <w:sz w:val="20"/>
                <w:szCs w:val="20"/>
                <w:color w:val="auto"/>
              </w:rPr>
            </w:pPr>
          </w:p>
        </w:tc>
        <w:tc>
          <w:tcPr>
            <w:tcW w:w="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50"/>
        </w:trPr>
        <w:tc>
          <w:tcPr>
            <w:tcW w:w="4620" w:type="dxa"/>
            <w:vAlign w:val="bottom"/>
            <w:tcBorders>
              <w:bottom w:val="single" w:sz="8" w:color="355675"/>
            </w:tcBorders>
          </w:tcPr>
          <w:p>
            <w:pPr>
              <w:ind w:left="60"/>
              <w:spacing w:after="0"/>
              <w:rPr>
                <w:sz w:val="20"/>
                <w:szCs w:val="20"/>
                <w:color w:val="auto"/>
              </w:rPr>
            </w:pPr>
            <w:r>
              <w:rPr>
                <w:rFonts w:ascii="Arial" w:cs="Arial" w:eastAsia="Arial" w:hAnsi="Arial"/>
                <w:sz w:val="16"/>
                <w:szCs w:val="16"/>
                <w:color w:val="auto"/>
              </w:rPr>
              <w:t>TOTAL:</w:t>
            </w:r>
          </w:p>
        </w:tc>
        <w:tc>
          <w:tcPr>
            <w:tcW w:w="200" w:type="dxa"/>
            <w:vAlign w:val="bottom"/>
          </w:tcPr>
          <w:p>
            <w:pPr>
              <w:spacing w:after="0"/>
              <w:rPr>
                <w:sz w:val="21"/>
                <w:szCs w:val="21"/>
                <w:color w:val="auto"/>
              </w:rPr>
            </w:pPr>
          </w:p>
        </w:tc>
        <w:tc>
          <w:tcPr>
            <w:tcW w:w="8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3,153,388</w:t>
            </w:r>
          </w:p>
        </w:tc>
      </w:tr>
    </w:tbl>
    <w:p>
      <w:pPr>
        <w:spacing w:after="0" w:line="67" w:lineRule="exact"/>
        <w:rPr>
          <w:sz w:val="20"/>
          <w:szCs w:val="20"/>
          <w:color w:val="auto"/>
        </w:rPr>
      </w:pPr>
    </w:p>
    <w:p>
      <w:pPr>
        <w:ind w:left="300" w:hanging="292"/>
        <w:spacing w:after="0"/>
        <w:tabs>
          <w:tab w:leader="none" w:pos="300" w:val="left"/>
        </w:tabs>
        <w:numPr>
          <w:ilvl w:val="0"/>
          <w:numId w:val="107"/>
        </w:numPr>
        <w:rPr>
          <w:rFonts w:ascii="Arial" w:cs="Arial" w:eastAsia="Arial" w:hAnsi="Arial"/>
          <w:sz w:val="24"/>
          <w:szCs w:val="24"/>
          <w:color w:val="auto"/>
          <w:vertAlign w:val="superscript"/>
        </w:rPr>
      </w:pPr>
      <w:r>
        <w:rPr>
          <w:rFonts w:ascii="Arial" w:cs="Arial" w:eastAsia="Arial" w:hAnsi="Arial"/>
          <w:sz w:val="14"/>
          <w:szCs w:val="14"/>
          <w:color w:val="auto"/>
        </w:rPr>
        <w:t>Mr. Hatfield retired on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116205</wp:posOffset>
            </wp:positionV>
            <wp:extent cx="1191260" cy="23114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5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05" w:name="page106"/>
    <w:bookmarkEnd w:id="10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355675"/>
        </w:rPr>
        <w:t>Executive Compensation</w:t>
      </w:r>
    </w:p>
    <w:p>
      <w:pPr>
        <w:spacing w:after="0" w:line="202" w:lineRule="exact"/>
        <w:rPr>
          <w:sz w:val="20"/>
          <w:szCs w:val="20"/>
          <w:color w:val="auto"/>
        </w:rPr>
      </w:pPr>
    </w:p>
    <w:p>
      <w:pPr>
        <w:spacing w:after="0"/>
        <w:rPr>
          <w:sz w:val="20"/>
          <w:szCs w:val="20"/>
          <w:color w:val="auto"/>
        </w:rPr>
      </w:pPr>
      <w:r>
        <w:rPr>
          <w:rFonts w:ascii="Arial" w:cs="Arial" w:eastAsia="Arial" w:hAnsi="Arial"/>
          <w:sz w:val="22"/>
          <w:szCs w:val="22"/>
          <w:b w:val="1"/>
          <w:bCs w:val="1"/>
          <w:color w:val="008C9F"/>
        </w:rPr>
        <w:t>MARIA L. LACAL:</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5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Qualifying Termination of</w:t>
            </w:r>
          </w:p>
        </w:tc>
        <w:tc>
          <w:tcPr>
            <w:tcW w:w="8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All Other</w:t>
            </w:r>
          </w:p>
        </w:tc>
      </w:tr>
      <w:tr>
        <w:trPr>
          <w:trHeight w:val="162"/>
        </w:trPr>
        <w:tc>
          <w:tcPr>
            <w:tcW w:w="5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Employment in Connection</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Death or</w:t>
            </w:r>
          </w:p>
        </w:tc>
        <w:tc>
          <w:tcPr>
            <w:tcW w:w="10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Termination</w:t>
            </w:r>
          </w:p>
        </w:tc>
      </w:tr>
      <w:tr>
        <w:trPr>
          <w:trHeight w:val="162"/>
        </w:trPr>
        <w:tc>
          <w:tcPr>
            <w:tcW w:w="5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With a Change of Control</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Disability</w:t>
            </w:r>
          </w:p>
        </w:tc>
        <w:tc>
          <w:tcPr>
            <w:tcW w:w="1200" w:type="dxa"/>
            <w:vAlign w:val="bottom"/>
            <w:gridSpan w:val="2"/>
          </w:tcPr>
          <w:p>
            <w:pPr>
              <w:ind w:left="240"/>
              <w:spacing w:after="0"/>
              <w:rPr>
                <w:sz w:val="20"/>
                <w:szCs w:val="20"/>
                <w:color w:val="auto"/>
              </w:rPr>
            </w:pPr>
            <w:r>
              <w:rPr>
                <w:rFonts w:ascii="Arial" w:cs="Arial" w:eastAsia="Arial" w:hAnsi="Arial"/>
                <w:sz w:val="14"/>
                <w:szCs w:val="14"/>
                <w:b w:val="1"/>
                <w:bCs w:val="1"/>
                <w:color w:val="355675"/>
              </w:rPr>
              <w:t>Retirement</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Events</w:t>
            </w:r>
          </w:p>
        </w:tc>
      </w:tr>
      <w:tr>
        <w:trPr>
          <w:trHeight w:val="171"/>
        </w:trPr>
        <w:tc>
          <w:tcPr>
            <w:tcW w:w="5600" w:type="dxa"/>
            <w:vAlign w:val="bottom"/>
          </w:tcPr>
          <w:p>
            <w:pPr>
              <w:ind w:left="60"/>
              <w:spacing w:after="0"/>
              <w:rPr>
                <w:sz w:val="20"/>
                <w:szCs w:val="20"/>
                <w:color w:val="auto"/>
              </w:rPr>
            </w:pPr>
            <w:r>
              <w:rPr>
                <w:rFonts w:ascii="Arial" w:cs="Arial" w:eastAsia="Arial" w:hAnsi="Arial"/>
                <w:sz w:val="14"/>
                <w:szCs w:val="14"/>
                <w:b w:val="1"/>
                <w:bCs w:val="1"/>
                <w:color w:val="355675"/>
              </w:rPr>
              <w:t>Component of Pay</w:t>
            </w:r>
          </w:p>
        </w:tc>
        <w:tc>
          <w:tcPr>
            <w:tcW w:w="200" w:type="dxa"/>
            <w:vAlign w:val="bottom"/>
          </w:tcPr>
          <w:p>
            <w:pPr>
              <w:spacing w:after="0"/>
              <w:rPr>
                <w:sz w:val="14"/>
                <w:szCs w:val="14"/>
                <w:color w:val="auto"/>
              </w:rPr>
            </w:pPr>
          </w:p>
        </w:tc>
        <w:tc>
          <w:tcPr>
            <w:tcW w:w="20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0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2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w:t>
            </w:r>
          </w:p>
        </w:tc>
        <w:tc>
          <w:tcPr>
            <w:tcW w:w="110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27"/>
        </w:trPr>
        <w:tc>
          <w:tcPr>
            <w:tcW w:w="56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86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88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shd w:val="clear" w:color="auto" w:fill="355675"/>
          </w:tcPr>
          <w:p>
            <w:pPr>
              <w:spacing w:after="0"/>
              <w:rPr>
                <w:sz w:val="2"/>
                <w:szCs w:val="2"/>
                <w:color w:val="auto"/>
              </w:rPr>
            </w:pPr>
          </w:p>
        </w:tc>
        <w:tc>
          <w:tcPr>
            <w:tcW w:w="200" w:type="dxa"/>
            <w:vAlign w:val="bottom"/>
          </w:tcPr>
          <w:p>
            <w:pPr>
              <w:spacing w:after="0"/>
              <w:rPr>
                <w:sz w:val="2"/>
                <w:szCs w:val="2"/>
                <w:color w:val="auto"/>
              </w:rPr>
            </w:pPr>
          </w:p>
        </w:tc>
        <w:tc>
          <w:tcPr>
            <w:tcW w:w="1100" w:type="dxa"/>
            <w:vAlign w:val="bottom"/>
            <w:shd w:val="clear" w:color="auto" w:fill="355675"/>
          </w:tcPr>
          <w:p>
            <w:pPr>
              <w:spacing w:after="0"/>
              <w:rPr>
                <w:sz w:val="2"/>
                <w:szCs w:val="2"/>
                <w:color w:val="auto"/>
              </w:rPr>
            </w:pPr>
          </w:p>
        </w:tc>
      </w:tr>
      <w:tr>
        <w:trPr>
          <w:trHeight w:val="284"/>
        </w:trPr>
        <w:tc>
          <w:tcPr>
            <w:tcW w:w="5600" w:type="dxa"/>
            <w:vAlign w:val="bottom"/>
          </w:tcPr>
          <w:p>
            <w:pPr>
              <w:ind w:left="60"/>
              <w:spacing w:after="0"/>
              <w:rPr>
                <w:sz w:val="20"/>
                <w:szCs w:val="20"/>
                <w:color w:val="auto"/>
              </w:rPr>
            </w:pPr>
            <w:r>
              <w:rPr>
                <w:rFonts w:ascii="Arial" w:cs="Arial" w:eastAsia="Arial" w:hAnsi="Arial"/>
                <w:sz w:val="16"/>
                <w:szCs w:val="16"/>
                <w:color w:val="auto"/>
              </w:rPr>
              <w:t>Performance Shares</w:t>
            </w:r>
          </w:p>
        </w:tc>
        <w:tc>
          <w:tcPr>
            <w:tcW w:w="200" w:type="dxa"/>
            <w:vAlign w:val="bottom"/>
          </w:tcPr>
          <w:p>
            <w:pPr>
              <w:spacing w:after="0"/>
              <w:rPr>
                <w:sz w:val="24"/>
                <w:szCs w:val="24"/>
                <w:color w:val="auto"/>
              </w:rPr>
            </w:pPr>
          </w:p>
        </w:tc>
        <w:tc>
          <w:tcPr>
            <w:tcW w:w="2060" w:type="dxa"/>
            <w:vAlign w:val="bottom"/>
            <w:gridSpan w:val="2"/>
          </w:tcPr>
          <w:p>
            <w:pPr>
              <w:jc w:val="right"/>
              <w:ind w:right="200"/>
              <w:spacing w:after="0" w:line="283" w:lineRule="exact"/>
              <w:rPr>
                <w:sz w:val="20"/>
                <w:szCs w:val="20"/>
                <w:color w:val="auto"/>
              </w:rPr>
            </w:pPr>
            <w:r>
              <w:rPr>
                <w:rFonts w:ascii="Arial" w:cs="Arial" w:eastAsia="Arial" w:hAnsi="Arial"/>
                <w:sz w:val="16"/>
                <w:szCs w:val="16"/>
                <w:color w:val="auto"/>
              </w:rPr>
              <w:t>1,066,457</w:t>
            </w:r>
            <w:r>
              <w:rPr>
                <w:rFonts w:ascii="Arial" w:cs="Arial" w:eastAsia="Arial" w:hAnsi="Arial"/>
                <w:sz w:val="26"/>
                <w:szCs w:val="26"/>
                <w:color w:val="auto"/>
                <w:vertAlign w:val="superscript"/>
              </w:rPr>
              <w:t>(1)</w:t>
            </w: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1,004,521</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1,004,521</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56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49598"/>
          </w:tcPr>
          <w:p>
            <w:pPr>
              <w:spacing w:after="0" w:line="20" w:lineRule="exact"/>
              <w:rPr>
                <w:sz w:val="1"/>
                <w:szCs w:val="1"/>
                <w:color w:val="auto"/>
              </w:rPr>
            </w:pPr>
          </w:p>
        </w:tc>
      </w:tr>
      <w:tr>
        <w:trPr>
          <w:trHeight w:val="277"/>
        </w:trPr>
        <w:tc>
          <w:tcPr>
            <w:tcW w:w="5600" w:type="dxa"/>
            <w:vAlign w:val="bottom"/>
          </w:tcPr>
          <w:p>
            <w:pPr>
              <w:ind w:left="60"/>
              <w:spacing w:after="0"/>
              <w:rPr>
                <w:sz w:val="20"/>
                <w:szCs w:val="20"/>
                <w:color w:val="auto"/>
              </w:rPr>
            </w:pPr>
            <w:r>
              <w:rPr>
                <w:rFonts w:ascii="Arial" w:cs="Arial" w:eastAsia="Arial" w:hAnsi="Arial"/>
                <w:sz w:val="16"/>
                <w:szCs w:val="16"/>
                <w:color w:val="auto"/>
              </w:rPr>
              <w:t>RSUs</w:t>
            </w:r>
          </w:p>
        </w:tc>
        <w:tc>
          <w:tcPr>
            <w:tcW w:w="200" w:type="dxa"/>
            <w:vAlign w:val="bottom"/>
          </w:tcPr>
          <w:p>
            <w:pPr>
              <w:spacing w:after="0"/>
              <w:rPr>
                <w:sz w:val="24"/>
                <w:szCs w:val="24"/>
                <w:color w:val="auto"/>
              </w:rPr>
            </w:pPr>
          </w:p>
        </w:tc>
        <w:tc>
          <w:tcPr>
            <w:tcW w:w="2060" w:type="dxa"/>
            <w:vAlign w:val="bottom"/>
            <w:gridSpan w:val="2"/>
          </w:tcPr>
          <w:p>
            <w:pPr>
              <w:jc w:val="right"/>
              <w:ind w:right="200"/>
              <w:spacing w:after="0" w:line="277" w:lineRule="exact"/>
              <w:rPr>
                <w:sz w:val="20"/>
                <w:szCs w:val="20"/>
                <w:color w:val="auto"/>
              </w:rPr>
            </w:pPr>
            <w:r>
              <w:rPr>
                <w:rFonts w:ascii="Arial" w:cs="Arial" w:eastAsia="Arial" w:hAnsi="Arial"/>
                <w:sz w:val="16"/>
                <w:szCs w:val="16"/>
                <w:color w:val="auto"/>
              </w:rPr>
              <w:t>434,998</w:t>
            </w:r>
            <w:r>
              <w:rPr>
                <w:rFonts w:ascii="Arial" w:cs="Arial" w:eastAsia="Arial" w:hAnsi="Arial"/>
                <w:sz w:val="26"/>
                <w:szCs w:val="26"/>
                <w:color w:val="auto"/>
                <w:vertAlign w:val="superscript"/>
              </w:rPr>
              <w:t>(1)</w:t>
            </w:r>
          </w:p>
        </w:tc>
        <w:tc>
          <w:tcPr>
            <w:tcW w:w="880" w:type="dxa"/>
            <w:vAlign w:val="bottom"/>
          </w:tcPr>
          <w:p>
            <w:pPr>
              <w:jc w:val="right"/>
              <w:spacing w:after="0"/>
              <w:rPr>
                <w:sz w:val="20"/>
                <w:szCs w:val="20"/>
                <w:color w:val="auto"/>
              </w:rPr>
            </w:pPr>
            <w:r>
              <w:rPr>
                <w:rFonts w:ascii="Arial" w:cs="Arial" w:eastAsia="Arial" w:hAnsi="Arial"/>
                <w:sz w:val="16"/>
                <w:szCs w:val="16"/>
                <w:color w:val="auto"/>
              </w:rPr>
              <w:t>434,998</w:t>
            </w:r>
          </w:p>
        </w:tc>
        <w:tc>
          <w:tcPr>
            <w:tcW w:w="20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16"/>
                <w:szCs w:val="16"/>
                <w:color w:val="auto"/>
              </w:rPr>
              <w:t>465,287</w:t>
            </w:r>
          </w:p>
        </w:tc>
        <w:tc>
          <w:tcPr>
            <w:tcW w:w="20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0"/>
        </w:trPr>
        <w:tc>
          <w:tcPr>
            <w:tcW w:w="56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49598"/>
          </w:tcPr>
          <w:p>
            <w:pPr>
              <w:spacing w:after="0" w:line="20" w:lineRule="exact"/>
              <w:rPr>
                <w:sz w:val="1"/>
                <w:szCs w:val="1"/>
                <w:color w:val="auto"/>
              </w:rPr>
            </w:pPr>
          </w:p>
        </w:tc>
      </w:tr>
      <w:tr>
        <w:trPr>
          <w:trHeight w:val="229"/>
        </w:trPr>
        <w:tc>
          <w:tcPr>
            <w:tcW w:w="5600" w:type="dxa"/>
            <w:vAlign w:val="bottom"/>
          </w:tcPr>
          <w:p>
            <w:pPr>
              <w:ind w:left="60"/>
              <w:spacing w:after="0"/>
              <w:rPr>
                <w:sz w:val="20"/>
                <w:szCs w:val="20"/>
                <w:color w:val="auto"/>
              </w:rPr>
            </w:pPr>
            <w:r>
              <w:rPr>
                <w:rFonts w:ascii="Arial" w:cs="Arial" w:eastAsia="Arial" w:hAnsi="Arial"/>
                <w:sz w:val="16"/>
                <w:szCs w:val="16"/>
                <w:color w:val="auto"/>
              </w:rPr>
              <w:t>Severance Benefits</w:t>
            </w:r>
          </w:p>
        </w:tc>
        <w:tc>
          <w:tcPr>
            <w:tcW w:w="200" w:type="dxa"/>
            <w:vAlign w:val="bottom"/>
          </w:tcPr>
          <w:p>
            <w:pPr>
              <w:spacing w:after="0"/>
              <w:rPr>
                <w:sz w:val="19"/>
                <w:szCs w:val="19"/>
                <w:color w:val="auto"/>
              </w:rPr>
            </w:pPr>
          </w:p>
        </w:tc>
        <w:tc>
          <w:tcPr>
            <w:tcW w:w="1860" w:type="dxa"/>
            <w:vAlign w:val="bottom"/>
          </w:tcPr>
          <w:p>
            <w:pPr>
              <w:jc w:val="right"/>
              <w:ind w:right="63"/>
              <w:spacing w:after="0"/>
              <w:rPr>
                <w:sz w:val="20"/>
                <w:szCs w:val="20"/>
                <w:color w:val="auto"/>
              </w:rPr>
            </w:pPr>
            <w:r>
              <w:rPr>
                <w:rFonts w:ascii="Arial" w:cs="Arial" w:eastAsia="Arial" w:hAnsi="Arial"/>
                <w:sz w:val="16"/>
                <w:szCs w:val="16"/>
                <w:color w:val="auto"/>
              </w:rPr>
              <w:t>1,945,239</w:t>
            </w:r>
          </w:p>
        </w:tc>
        <w:tc>
          <w:tcPr>
            <w:tcW w:w="200" w:type="dxa"/>
            <w:vAlign w:val="bottom"/>
          </w:tcPr>
          <w:p>
            <w:pPr>
              <w:spacing w:after="0"/>
              <w:rPr>
                <w:sz w:val="19"/>
                <w:szCs w:val="19"/>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4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Present Value of Medical, Dental, and Life Insurance Benefits</w:t>
            </w:r>
          </w:p>
        </w:tc>
        <w:tc>
          <w:tcPr>
            <w:tcW w:w="200" w:type="dxa"/>
            <w:vAlign w:val="bottom"/>
          </w:tcPr>
          <w:p>
            <w:pPr>
              <w:spacing w:after="0"/>
              <w:rPr>
                <w:sz w:val="20"/>
                <w:szCs w:val="20"/>
                <w:color w:val="auto"/>
              </w:rPr>
            </w:pPr>
          </w:p>
        </w:tc>
        <w:tc>
          <w:tcPr>
            <w:tcW w:w="1860" w:type="dxa"/>
            <w:vAlign w:val="bottom"/>
          </w:tcPr>
          <w:p>
            <w:pPr>
              <w:jc w:val="right"/>
              <w:ind w:right="63"/>
              <w:spacing w:after="0"/>
              <w:rPr>
                <w:sz w:val="20"/>
                <w:szCs w:val="20"/>
                <w:color w:val="auto"/>
              </w:rPr>
            </w:pPr>
            <w:r>
              <w:rPr>
                <w:rFonts w:ascii="Arial" w:cs="Arial" w:eastAsia="Arial" w:hAnsi="Arial"/>
                <w:sz w:val="16"/>
                <w:szCs w:val="16"/>
                <w:color w:val="auto"/>
              </w:rPr>
              <w:t>29,934</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4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Outplacement Services</w:t>
            </w:r>
          </w:p>
        </w:tc>
        <w:tc>
          <w:tcPr>
            <w:tcW w:w="200" w:type="dxa"/>
            <w:vAlign w:val="bottom"/>
          </w:tcPr>
          <w:p>
            <w:pPr>
              <w:spacing w:after="0"/>
              <w:rPr>
                <w:sz w:val="20"/>
                <w:szCs w:val="20"/>
                <w:color w:val="auto"/>
              </w:rPr>
            </w:pPr>
          </w:p>
        </w:tc>
        <w:tc>
          <w:tcPr>
            <w:tcW w:w="1860" w:type="dxa"/>
            <w:vAlign w:val="bottom"/>
          </w:tcPr>
          <w:p>
            <w:pPr>
              <w:jc w:val="right"/>
              <w:ind w:right="63"/>
              <w:spacing w:after="0"/>
              <w:rPr>
                <w:sz w:val="20"/>
                <w:szCs w:val="20"/>
                <w:color w:val="auto"/>
              </w:rPr>
            </w:pPr>
            <w:r>
              <w:rPr>
                <w:rFonts w:ascii="Arial" w:cs="Arial" w:eastAsia="Arial" w:hAnsi="Arial"/>
                <w:sz w:val="16"/>
                <w:szCs w:val="16"/>
                <w:color w:val="auto"/>
              </w:rPr>
              <w:t>10,000</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0</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21"/>
        </w:trPr>
        <w:tc>
          <w:tcPr>
            <w:tcW w:w="56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6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949598"/>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00" w:type="dxa"/>
            <w:vAlign w:val="bottom"/>
            <w:shd w:val="clear" w:color="auto" w:fill="949598"/>
          </w:tcPr>
          <w:p>
            <w:pPr>
              <w:spacing w:after="0" w:line="20" w:lineRule="exact"/>
              <w:rPr>
                <w:sz w:val="1"/>
                <w:szCs w:val="1"/>
                <w:color w:val="auto"/>
              </w:rPr>
            </w:pPr>
          </w:p>
        </w:tc>
      </w:tr>
      <w:tr>
        <w:trPr>
          <w:trHeight w:val="235"/>
        </w:trPr>
        <w:tc>
          <w:tcPr>
            <w:tcW w:w="5600" w:type="dxa"/>
            <w:vAlign w:val="bottom"/>
          </w:tcPr>
          <w:p>
            <w:pPr>
              <w:ind w:left="60"/>
              <w:spacing w:after="0"/>
              <w:rPr>
                <w:sz w:val="20"/>
                <w:szCs w:val="20"/>
                <w:color w:val="auto"/>
              </w:rPr>
            </w:pPr>
            <w:r>
              <w:rPr>
                <w:rFonts w:ascii="Arial" w:cs="Arial" w:eastAsia="Arial" w:hAnsi="Arial"/>
                <w:sz w:val="16"/>
                <w:szCs w:val="16"/>
                <w:color w:val="auto"/>
              </w:rPr>
              <w:t>TOTAL:</w:t>
            </w:r>
          </w:p>
        </w:tc>
        <w:tc>
          <w:tcPr>
            <w:tcW w:w="200" w:type="dxa"/>
            <w:vAlign w:val="bottom"/>
          </w:tcPr>
          <w:p>
            <w:pPr>
              <w:spacing w:after="0"/>
              <w:rPr>
                <w:sz w:val="20"/>
                <w:szCs w:val="20"/>
                <w:color w:val="auto"/>
              </w:rPr>
            </w:pPr>
          </w:p>
        </w:tc>
        <w:tc>
          <w:tcPr>
            <w:tcW w:w="1860" w:type="dxa"/>
            <w:vAlign w:val="bottom"/>
          </w:tcPr>
          <w:p>
            <w:pPr>
              <w:jc w:val="right"/>
              <w:ind w:right="63"/>
              <w:spacing w:after="0"/>
              <w:rPr>
                <w:sz w:val="20"/>
                <w:szCs w:val="20"/>
                <w:color w:val="auto"/>
              </w:rPr>
            </w:pPr>
            <w:r>
              <w:rPr>
                <w:rFonts w:ascii="Arial" w:cs="Arial" w:eastAsia="Arial" w:hAnsi="Arial"/>
                <w:sz w:val="16"/>
                <w:szCs w:val="16"/>
                <w:color w:val="auto"/>
              </w:rPr>
              <w:t>3,486,628</w:t>
            </w:r>
          </w:p>
        </w:tc>
        <w:tc>
          <w:tcPr>
            <w:tcW w:w="200" w:type="dxa"/>
            <w:vAlign w:val="bottom"/>
          </w:tcPr>
          <w:p>
            <w:pPr>
              <w:spacing w:after="0"/>
              <w:rPr>
                <w:sz w:val="20"/>
                <w:szCs w:val="20"/>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6"/>
                <w:szCs w:val="16"/>
                <w:color w:val="auto"/>
              </w:rPr>
              <w:t>1,439,519</w:t>
            </w:r>
          </w:p>
        </w:tc>
        <w:tc>
          <w:tcPr>
            <w:tcW w:w="1200" w:type="dxa"/>
            <w:vAlign w:val="bottom"/>
            <w:gridSpan w:val="2"/>
          </w:tcPr>
          <w:p>
            <w:pPr>
              <w:jc w:val="right"/>
              <w:ind w:right="200"/>
              <w:spacing w:after="0"/>
              <w:rPr>
                <w:sz w:val="20"/>
                <w:szCs w:val="20"/>
                <w:color w:val="auto"/>
              </w:rPr>
            </w:pPr>
            <w:r>
              <w:rPr>
                <w:rFonts w:ascii="Arial" w:cs="Arial" w:eastAsia="Arial" w:hAnsi="Arial"/>
                <w:sz w:val="16"/>
                <w:szCs w:val="16"/>
                <w:color w:val="auto"/>
              </w:rPr>
              <w:t>1,469,808</w:t>
            </w:r>
          </w:p>
        </w:tc>
        <w:tc>
          <w:tcPr>
            <w:tcW w:w="1100" w:type="dxa"/>
            <w:vAlign w:val="bottom"/>
          </w:tcPr>
          <w:p>
            <w:pPr>
              <w:jc w:val="right"/>
              <w:spacing w:after="0"/>
              <w:rPr>
                <w:sz w:val="20"/>
                <w:szCs w:val="20"/>
                <w:color w:val="auto"/>
              </w:rPr>
            </w:pPr>
            <w:r>
              <w:rPr>
                <w:rFonts w:ascii="Arial" w:cs="Arial" w:eastAsia="Arial" w:hAnsi="Arial"/>
                <w:sz w:val="16"/>
                <w:szCs w:val="16"/>
                <w:color w:val="auto"/>
              </w:rPr>
              <w:t>0</w:t>
            </w:r>
          </w:p>
        </w:tc>
      </w:tr>
      <w:tr>
        <w:trPr>
          <w:trHeight w:val="35"/>
        </w:trPr>
        <w:tc>
          <w:tcPr>
            <w:tcW w:w="560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186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1000" w:type="dxa"/>
            <w:vAlign w:val="bottom"/>
            <w:shd w:val="clear" w:color="auto" w:fill="355675"/>
          </w:tcPr>
          <w:p>
            <w:pPr>
              <w:spacing w:after="0"/>
              <w:rPr>
                <w:sz w:val="3"/>
                <w:szCs w:val="3"/>
                <w:color w:val="auto"/>
              </w:rPr>
            </w:pPr>
          </w:p>
        </w:tc>
        <w:tc>
          <w:tcPr>
            <w:tcW w:w="200" w:type="dxa"/>
            <w:vAlign w:val="bottom"/>
          </w:tcPr>
          <w:p>
            <w:pPr>
              <w:spacing w:after="0"/>
              <w:rPr>
                <w:sz w:val="3"/>
                <w:szCs w:val="3"/>
                <w:color w:val="auto"/>
              </w:rPr>
            </w:pPr>
          </w:p>
        </w:tc>
        <w:tc>
          <w:tcPr>
            <w:tcW w:w="1100" w:type="dxa"/>
            <w:vAlign w:val="bottom"/>
            <w:shd w:val="clear" w:color="auto" w:fill="355675"/>
          </w:tcPr>
          <w:p>
            <w:pPr>
              <w:spacing w:after="0"/>
              <w:rPr>
                <w:sz w:val="3"/>
                <w:szCs w:val="3"/>
                <w:color w:val="auto"/>
              </w:rPr>
            </w:pPr>
          </w:p>
        </w:tc>
      </w:tr>
    </w:tbl>
    <w:p>
      <w:pPr>
        <w:spacing w:after="0" w:line="67" w:lineRule="exact"/>
        <w:rPr>
          <w:sz w:val="20"/>
          <w:szCs w:val="20"/>
          <w:color w:val="auto"/>
        </w:rPr>
      </w:pPr>
    </w:p>
    <w:p>
      <w:pPr>
        <w:ind w:left="300" w:hanging="292"/>
        <w:spacing w:after="0"/>
        <w:tabs>
          <w:tab w:leader="none" w:pos="300" w:val="left"/>
        </w:tabs>
        <w:numPr>
          <w:ilvl w:val="0"/>
          <w:numId w:val="108"/>
        </w:numPr>
        <w:rPr>
          <w:rFonts w:ascii="Arial" w:cs="Arial" w:eastAsia="Arial" w:hAnsi="Arial"/>
          <w:sz w:val="24"/>
          <w:szCs w:val="24"/>
          <w:color w:val="auto"/>
          <w:vertAlign w:val="superscript"/>
        </w:rPr>
      </w:pPr>
      <w:r>
        <w:rPr>
          <w:rFonts w:ascii="Arial" w:cs="Arial" w:eastAsia="Arial" w:hAnsi="Arial"/>
          <w:sz w:val="14"/>
          <w:szCs w:val="14"/>
          <w:color w:val="auto"/>
        </w:rPr>
        <w:t>The performance shares and RSUs are accelerated upon a change of control only if the Board does not exercise its override authority.</w:t>
      </w:r>
    </w:p>
    <w:p>
      <w:pPr>
        <w:spacing w:after="0" w:line="169" w:lineRule="exact"/>
        <w:rPr>
          <w:sz w:val="20"/>
          <w:szCs w:val="20"/>
          <w:color w:val="auto"/>
        </w:rPr>
      </w:pPr>
    </w:p>
    <w:p>
      <w:pPr>
        <w:spacing w:after="0"/>
        <w:rPr>
          <w:sz w:val="20"/>
          <w:szCs w:val="20"/>
          <w:color w:val="auto"/>
        </w:rPr>
      </w:pPr>
      <w:r>
        <w:rPr>
          <w:rFonts w:ascii="Arial" w:cs="Arial" w:eastAsia="Arial" w:hAnsi="Arial"/>
          <w:sz w:val="22"/>
          <w:szCs w:val="22"/>
          <w:b w:val="1"/>
          <w:bCs w:val="1"/>
          <w:color w:val="008C9F"/>
        </w:rPr>
        <w:t>ROBERT E. SMITH:</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8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Qualifying Termination</w:t>
            </w:r>
          </w:p>
        </w:tc>
        <w:tc>
          <w:tcPr>
            <w:tcW w:w="1000" w:type="dxa"/>
            <w:vAlign w:val="bottom"/>
          </w:tcPr>
          <w:p>
            <w:pPr>
              <w:spacing w:after="0"/>
              <w:rPr>
                <w:sz w:val="14"/>
                <w:szCs w:val="14"/>
                <w:color w:val="auto"/>
              </w:rPr>
            </w:pPr>
          </w:p>
        </w:tc>
      </w:tr>
      <w:tr>
        <w:trPr>
          <w:trHeight w:val="162"/>
        </w:trPr>
        <w:tc>
          <w:tcPr>
            <w:tcW w:w="8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of Employment in</w:t>
            </w:r>
          </w:p>
        </w:tc>
        <w:tc>
          <w:tcPr>
            <w:tcW w:w="1000" w:type="dxa"/>
            <w:vAlign w:val="bottom"/>
          </w:tcPr>
          <w:p>
            <w:pPr>
              <w:jc w:val="right"/>
              <w:spacing w:after="0"/>
              <w:rPr>
                <w:sz w:val="20"/>
                <w:szCs w:val="20"/>
                <w:color w:val="auto"/>
              </w:rPr>
            </w:pPr>
            <w:r>
              <w:rPr>
                <w:rFonts w:ascii="Arial" w:cs="Arial" w:eastAsia="Arial" w:hAnsi="Arial"/>
                <w:sz w:val="14"/>
                <w:szCs w:val="14"/>
                <w:b w:val="1"/>
                <w:bCs w:val="1"/>
                <w:color w:val="355675"/>
              </w:rPr>
              <w:t>All Other</w:t>
            </w:r>
          </w:p>
        </w:tc>
      </w:tr>
      <w:tr>
        <w:trPr>
          <w:trHeight w:val="162"/>
        </w:trPr>
        <w:tc>
          <w:tcPr>
            <w:tcW w:w="8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Connection With a</w:t>
            </w:r>
          </w:p>
        </w:tc>
        <w:tc>
          <w:tcPr>
            <w:tcW w:w="1000" w:type="dxa"/>
            <w:vAlign w:val="bottom"/>
          </w:tcPr>
          <w:p>
            <w:pPr>
              <w:jc w:val="right"/>
              <w:spacing w:after="0"/>
              <w:rPr>
                <w:sz w:val="20"/>
                <w:szCs w:val="20"/>
                <w:color w:val="auto"/>
              </w:rPr>
            </w:pPr>
            <w:r>
              <w:rPr>
                <w:rFonts w:ascii="Arial" w:cs="Arial" w:eastAsia="Arial" w:hAnsi="Arial"/>
                <w:sz w:val="14"/>
                <w:szCs w:val="14"/>
                <w:b w:val="1"/>
                <w:bCs w:val="1"/>
                <w:color w:val="355675"/>
              </w:rPr>
              <w:t>Termination</w:t>
            </w:r>
          </w:p>
        </w:tc>
      </w:tr>
      <w:tr>
        <w:trPr>
          <w:trHeight w:val="162"/>
        </w:trPr>
        <w:tc>
          <w:tcPr>
            <w:tcW w:w="8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Change of Control</w:t>
            </w:r>
          </w:p>
        </w:tc>
        <w:tc>
          <w:tcPr>
            <w:tcW w:w="1000" w:type="dxa"/>
            <w:vAlign w:val="bottom"/>
          </w:tcPr>
          <w:p>
            <w:pPr>
              <w:jc w:val="right"/>
              <w:spacing w:after="0"/>
              <w:rPr>
                <w:sz w:val="20"/>
                <w:szCs w:val="20"/>
                <w:color w:val="auto"/>
              </w:rPr>
            </w:pPr>
            <w:r>
              <w:rPr>
                <w:rFonts w:ascii="Arial" w:cs="Arial" w:eastAsia="Arial" w:hAnsi="Arial"/>
                <w:sz w:val="14"/>
                <w:szCs w:val="14"/>
                <w:b w:val="1"/>
                <w:bCs w:val="1"/>
                <w:color w:val="355675"/>
              </w:rPr>
              <w:t>Events</w:t>
            </w:r>
          </w:p>
        </w:tc>
      </w:tr>
      <w:tr>
        <w:trPr>
          <w:trHeight w:val="178"/>
        </w:trPr>
        <w:tc>
          <w:tcPr>
            <w:tcW w:w="816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Component of Pay</w:t>
            </w:r>
          </w:p>
        </w:tc>
        <w:tc>
          <w:tcPr>
            <w:tcW w:w="200" w:type="dxa"/>
            <w:vAlign w:val="bottom"/>
          </w:tcPr>
          <w:p>
            <w:pPr>
              <w:spacing w:after="0"/>
              <w:rPr>
                <w:sz w:val="15"/>
                <w:szCs w:val="15"/>
                <w:color w:val="auto"/>
              </w:rPr>
            </w:pPr>
          </w:p>
        </w:tc>
        <w:tc>
          <w:tcPr>
            <w:tcW w:w="16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c>
          <w:tcPr>
            <w:tcW w:w="200" w:type="dxa"/>
            <w:vAlign w:val="bottom"/>
          </w:tcPr>
          <w:p>
            <w:pPr>
              <w:spacing w:after="0"/>
              <w:rPr>
                <w:sz w:val="15"/>
                <w:szCs w:val="15"/>
                <w:color w:val="auto"/>
              </w:rPr>
            </w:pPr>
          </w:p>
        </w:tc>
        <w:tc>
          <w:tcPr>
            <w:tcW w:w="100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84"/>
        </w:trPr>
        <w:tc>
          <w:tcPr>
            <w:tcW w:w="8160" w:type="dxa"/>
            <w:vAlign w:val="bottom"/>
            <w:tcBorders>
              <w:bottom w:val="single" w:sz="8" w:color="939498"/>
            </w:tcBorders>
          </w:tcPr>
          <w:p>
            <w:pPr>
              <w:ind w:left="60"/>
              <w:spacing w:after="0"/>
              <w:rPr>
                <w:sz w:val="20"/>
                <w:szCs w:val="20"/>
                <w:color w:val="auto"/>
              </w:rPr>
            </w:pPr>
            <w:r>
              <w:rPr>
                <w:rFonts w:ascii="Arial" w:cs="Arial" w:eastAsia="Arial" w:hAnsi="Arial"/>
                <w:sz w:val="16"/>
                <w:szCs w:val="16"/>
                <w:color w:val="auto"/>
              </w:rPr>
              <w:t>Performance Shares</w:t>
            </w:r>
          </w:p>
        </w:tc>
        <w:tc>
          <w:tcPr>
            <w:tcW w:w="200" w:type="dxa"/>
            <w:vAlign w:val="bottom"/>
          </w:tcPr>
          <w:p>
            <w:pPr>
              <w:spacing w:after="0"/>
              <w:rPr>
                <w:sz w:val="24"/>
                <w:szCs w:val="24"/>
                <w:color w:val="auto"/>
              </w:rPr>
            </w:pPr>
          </w:p>
        </w:tc>
        <w:tc>
          <w:tcPr>
            <w:tcW w:w="1680" w:type="dxa"/>
            <w:vAlign w:val="bottom"/>
            <w:tcBorders>
              <w:bottom w:val="single" w:sz="8" w:color="939498"/>
            </w:tcBorders>
          </w:tcPr>
          <w:p>
            <w:pPr>
              <w:jc w:val="right"/>
              <w:spacing w:after="0" w:line="283" w:lineRule="exact"/>
              <w:rPr>
                <w:sz w:val="20"/>
                <w:szCs w:val="20"/>
                <w:color w:val="auto"/>
              </w:rPr>
            </w:pPr>
            <w:r>
              <w:rPr>
                <w:rFonts w:ascii="Arial" w:cs="Arial" w:eastAsia="Arial" w:hAnsi="Arial"/>
                <w:sz w:val="16"/>
                <w:szCs w:val="16"/>
                <w:color w:val="auto"/>
              </w:rPr>
              <w:t>1,078,729</w:t>
            </w:r>
            <w:r>
              <w:rPr>
                <w:rFonts w:ascii="Arial" w:cs="Arial" w:eastAsia="Arial" w:hAnsi="Arial"/>
                <w:sz w:val="26"/>
                <w:szCs w:val="26"/>
                <w:color w:val="auto"/>
                <w:vertAlign w:val="superscript"/>
              </w:rPr>
              <w:t>(1)</w:t>
            </w:r>
          </w:p>
        </w:tc>
        <w:tc>
          <w:tcPr>
            <w:tcW w:w="200" w:type="dxa"/>
            <w:vAlign w:val="bottom"/>
          </w:tcPr>
          <w:p>
            <w:pPr>
              <w:spacing w:after="0"/>
              <w:rPr>
                <w:sz w:val="24"/>
                <w:szCs w:val="24"/>
                <w:color w:val="auto"/>
              </w:rPr>
            </w:pPr>
          </w:p>
        </w:tc>
        <w:tc>
          <w:tcPr>
            <w:tcW w:w="1000" w:type="dxa"/>
            <w:vAlign w:val="bottom"/>
            <w:tcBorders>
              <w:bottom w:val="single" w:sz="8" w:color="939498"/>
            </w:tcBorders>
          </w:tcPr>
          <w:p>
            <w:pPr>
              <w:jc w:val="right"/>
              <w:spacing w:after="0"/>
              <w:rPr>
                <w:sz w:val="20"/>
                <w:szCs w:val="20"/>
                <w:color w:val="auto"/>
              </w:rPr>
            </w:pPr>
            <w:r>
              <w:rPr>
                <w:rFonts w:ascii="Arial" w:cs="Arial" w:eastAsia="Arial" w:hAnsi="Arial"/>
                <w:sz w:val="16"/>
                <w:szCs w:val="16"/>
                <w:color w:val="auto"/>
              </w:rPr>
              <w:t>0</w:t>
            </w:r>
          </w:p>
        </w:tc>
      </w:tr>
      <w:tr>
        <w:trPr>
          <w:trHeight w:val="277"/>
        </w:trPr>
        <w:tc>
          <w:tcPr>
            <w:tcW w:w="8160" w:type="dxa"/>
            <w:vAlign w:val="bottom"/>
            <w:tcBorders>
              <w:bottom w:val="single" w:sz="8" w:color="939498"/>
            </w:tcBorders>
          </w:tcPr>
          <w:p>
            <w:pPr>
              <w:ind w:left="60"/>
              <w:spacing w:after="0"/>
              <w:rPr>
                <w:sz w:val="20"/>
                <w:szCs w:val="20"/>
                <w:color w:val="auto"/>
              </w:rPr>
            </w:pPr>
            <w:r>
              <w:rPr>
                <w:rFonts w:ascii="Arial" w:cs="Arial" w:eastAsia="Arial" w:hAnsi="Arial"/>
                <w:sz w:val="16"/>
                <w:szCs w:val="16"/>
                <w:color w:val="auto"/>
              </w:rPr>
              <w:t>RSUs</w:t>
            </w:r>
          </w:p>
        </w:tc>
        <w:tc>
          <w:tcPr>
            <w:tcW w:w="200" w:type="dxa"/>
            <w:vAlign w:val="bottom"/>
          </w:tcPr>
          <w:p>
            <w:pPr>
              <w:spacing w:after="0"/>
              <w:rPr>
                <w:sz w:val="24"/>
                <w:szCs w:val="24"/>
                <w:color w:val="auto"/>
              </w:rPr>
            </w:pPr>
          </w:p>
        </w:tc>
        <w:tc>
          <w:tcPr>
            <w:tcW w:w="1680" w:type="dxa"/>
            <w:vAlign w:val="bottom"/>
            <w:tcBorders>
              <w:bottom w:val="single" w:sz="8" w:color="939498"/>
            </w:tcBorders>
          </w:tcPr>
          <w:p>
            <w:pPr>
              <w:jc w:val="right"/>
              <w:spacing w:after="0" w:line="277" w:lineRule="exact"/>
              <w:rPr>
                <w:sz w:val="20"/>
                <w:szCs w:val="20"/>
                <w:color w:val="auto"/>
              </w:rPr>
            </w:pPr>
            <w:r>
              <w:rPr>
                <w:rFonts w:ascii="Arial" w:cs="Arial" w:eastAsia="Arial" w:hAnsi="Arial"/>
                <w:sz w:val="16"/>
                <w:szCs w:val="16"/>
                <w:color w:val="auto"/>
              </w:rPr>
              <w:t>551,965</w:t>
            </w:r>
            <w:r>
              <w:rPr>
                <w:rFonts w:ascii="Arial" w:cs="Arial" w:eastAsia="Arial" w:hAnsi="Arial"/>
                <w:sz w:val="26"/>
                <w:szCs w:val="26"/>
                <w:color w:val="auto"/>
                <w:vertAlign w:val="superscript"/>
              </w:rPr>
              <w:t>(1)</w:t>
            </w:r>
          </w:p>
        </w:tc>
        <w:tc>
          <w:tcPr>
            <w:tcW w:w="200" w:type="dxa"/>
            <w:vAlign w:val="bottom"/>
          </w:tcPr>
          <w:p>
            <w:pPr>
              <w:spacing w:after="0"/>
              <w:rPr>
                <w:sz w:val="24"/>
                <w:szCs w:val="24"/>
                <w:color w:val="auto"/>
              </w:rPr>
            </w:pPr>
          </w:p>
        </w:tc>
        <w:tc>
          <w:tcPr>
            <w:tcW w:w="1000" w:type="dxa"/>
            <w:vAlign w:val="bottom"/>
            <w:tcBorders>
              <w:bottom w:val="single" w:sz="8" w:color="939498"/>
            </w:tcBorders>
          </w:tcPr>
          <w:p>
            <w:pPr>
              <w:jc w:val="right"/>
              <w:spacing w:after="0"/>
              <w:rPr>
                <w:sz w:val="20"/>
                <w:szCs w:val="20"/>
                <w:color w:val="auto"/>
              </w:rPr>
            </w:pPr>
            <w:r>
              <w:rPr>
                <w:rFonts w:ascii="Arial" w:cs="Arial" w:eastAsia="Arial" w:hAnsi="Arial"/>
                <w:sz w:val="16"/>
                <w:szCs w:val="16"/>
                <w:color w:val="auto"/>
              </w:rPr>
              <w:t>0</w:t>
            </w:r>
          </w:p>
        </w:tc>
      </w:tr>
      <w:tr>
        <w:trPr>
          <w:trHeight w:val="230"/>
        </w:trPr>
        <w:tc>
          <w:tcPr>
            <w:tcW w:w="8160" w:type="dxa"/>
            <w:vAlign w:val="bottom"/>
            <w:tcBorders>
              <w:bottom w:val="single" w:sz="8" w:color="939498"/>
            </w:tcBorders>
          </w:tcPr>
          <w:p>
            <w:pPr>
              <w:ind w:left="60"/>
              <w:spacing w:after="0"/>
              <w:rPr>
                <w:sz w:val="20"/>
                <w:szCs w:val="20"/>
                <w:color w:val="auto"/>
              </w:rPr>
            </w:pPr>
            <w:r>
              <w:rPr>
                <w:rFonts w:ascii="Arial" w:cs="Arial" w:eastAsia="Arial" w:hAnsi="Arial"/>
                <w:sz w:val="16"/>
                <w:szCs w:val="16"/>
                <w:color w:val="auto"/>
              </w:rPr>
              <w:t>Severance Benefits</w:t>
            </w:r>
          </w:p>
        </w:tc>
        <w:tc>
          <w:tcPr>
            <w:tcW w:w="200" w:type="dxa"/>
            <w:vAlign w:val="bottom"/>
          </w:tcPr>
          <w:p>
            <w:pPr>
              <w:spacing w:after="0"/>
              <w:rPr>
                <w:sz w:val="20"/>
                <w:szCs w:val="20"/>
                <w:color w:val="auto"/>
              </w:rPr>
            </w:pPr>
          </w:p>
        </w:tc>
        <w:tc>
          <w:tcPr>
            <w:tcW w:w="1680" w:type="dxa"/>
            <w:vAlign w:val="bottom"/>
            <w:tcBorders>
              <w:bottom w:val="single" w:sz="8" w:color="939498"/>
            </w:tcBorders>
          </w:tcPr>
          <w:p>
            <w:pPr>
              <w:jc w:val="right"/>
              <w:ind w:right="63"/>
              <w:spacing w:after="0"/>
              <w:rPr>
                <w:sz w:val="20"/>
                <w:szCs w:val="20"/>
                <w:color w:val="auto"/>
              </w:rPr>
            </w:pPr>
            <w:r>
              <w:rPr>
                <w:rFonts w:ascii="Arial" w:cs="Arial" w:eastAsia="Arial" w:hAnsi="Arial"/>
                <w:sz w:val="16"/>
                <w:szCs w:val="16"/>
                <w:color w:val="auto"/>
              </w:rPr>
              <w:t>3,245,580</w:t>
            </w:r>
          </w:p>
        </w:tc>
        <w:tc>
          <w:tcPr>
            <w:tcW w:w="200" w:type="dxa"/>
            <w:vAlign w:val="bottom"/>
          </w:tcPr>
          <w:p>
            <w:pPr>
              <w:spacing w:after="0"/>
              <w:rPr>
                <w:sz w:val="20"/>
                <w:szCs w:val="20"/>
                <w:color w:val="auto"/>
              </w:rPr>
            </w:pPr>
          </w:p>
        </w:tc>
        <w:tc>
          <w:tcPr>
            <w:tcW w:w="1000" w:type="dxa"/>
            <w:vAlign w:val="bottom"/>
            <w:tcBorders>
              <w:bottom w:val="single" w:sz="8" w:color="939498"/>
            </w:tcBorders>
          </w:tcPr>
          <w:p>
            <w:pPr>
              <w:jc w:val="right"/>
              <w:spacing w:after="0"/>
              <w:rPr>
                <w:sz w:val="20"/>
                <w:szCs w:val="20"/>
                <w:color w:val="auto"/>
              </w:rPr>
            </w:pPr>
            <w:r>
              <w:rPr>
                <w:rFonts w:ascii="Arial" w:cs="Arial" w:eastAsia="Arial" w:hAnsi="Arial"/>
                <w:sz w:val="16"/>
                <w:szCs w:val="16"/>
                <w:color w:val="auto"/>
              </w:rPr>
              <w:t>0</w:t>
            </w:r>
          </w:p>
        </w:tc>
      </w:tr>
      <w:tr>
        <w:trPr>
          <w:trHeight w:val="237"/>
        </w:trPr>
        <w:tc>
          <w:tcPr>
            <w:tcW w:w="8160" w:type="dxa"/>
            <w:vAlign w:val="bottom"/>
            <w:tcBorders>
              <w:bottom w:val="single" w:sz="8" w:color="939498"/>
            </w:tcBorders>
          </w:tcPr>
          <w:p>
            <w:pPr>
              <w:ind w:left="60"/>
              <w:spacing w:after="0"/>
              <w:rPr>
                <w:sz w:val="20"/>
                <w:szCs w:val="20"/>
                <w:color w:val="auto"/>
              </w:rPr>
            </w:pPr>
            <w:r>
              <w:rPr>
                <w:rFonts w:ascii="Arial" w:cs="Arial" w:eastAsia="Arial" w:hAnsi="Arial"/>
                <w:sz w:val="16"/>
                <w:szCs w:val="16"/>
                <w:color w:val="auto"/>
              </w:rPr>
              <w:t>Present Value of Medical, Dental, and Life Insurance Benefits</w:t>
            </w:r>
          </w:p>
        </w:tc>
        <w:tc>
          <w:tcPr>
            <w:tcW w:w="200" w:type="dxa"/>
            <w:vAlign w:val="bottom"/>
          </w:tcPr>
          <w:p>
            <w:pPr>
              <w:spacing w:after="0"/>
              <w:rPr>
                <w:sz w:val="20"/>
                <w:szCs w:val="20"/>
                <w:color w:val="auto"/>
              </w:rPr>
            </w:pPr>
          </w:p>
        </w:tc>
        <w:tc>
          <w:tcPr>
            <w:tcW w:w="1680" w:type="dxa"/>
            <w:vAlign w:val="bottom"/>
            <w:tcBorders>
              <w:bottom w:val="single" w:sz="8" w:color="939498"/>
            </w:tcBorders>
          </w:tcPr>
          <w:p>
            <w:pPr>
              <w:jc w:val="right"/>
              <w:ind w:right="63"/>
              <w:spacing w:after="0"/>
              <w:rPr>
                <w:sz w:val="20"/>
                <w:szCs w:val="20"/>
                <w:color w:val="auto"/>
              </w:rPr>
            </w:pPr>
            <w:r>
              <w:rPr>
                <w:rFonts w:ascii="Arial" w:cs="Arial" w:eastAsia="Arial" w:hAnsi="Arial"/>
                <w:sz w:val="16"/>
                <w:szCs w:val="16"/>
                <w:color w:val="auto"/>
              </w:rPr>
              <w:t>42,768</w:t>
            </w:r>
          </w:p>
        </w:tc>
        <w:tc>
          <w:tcPr>
            <w:tcW w:w="200" w:type="dxa"/>
            <w:vAlign w:val="bottom"/>
          </w:tcPr>
          <w:p>
            <w:pPr>
              <w:spacing w:after="0"/>
              <w:rPr>
                <w:sz w:val="20"/>
                <w:szCs w:val="20"/>
                <w:color w:val="auto"/>
              </w:rPr>
            </w:pPr>
          </w:p>
        </w:tc>
        <w:tc>
          <w:tcPr>
            <w:tcW w:w="1000" w:type="dxa"/>
            <w:vAlign w:val="bottom"/>
            <w:tcBorders>
              <w:bottom w:val="single" w:sz="8" w:color="939498"/>
            </w:tcBorders>
          </w:tcPr>
          <w:p>
            <w:pPr>
              <w:jc w:val="right"/>
              <w:spacing w:after="0"/>
              <w:rPr>
                <w:sz w:val="20"/>
                <w:szCs w:val="20"/>
                <w:color w:val="auto"/>
              </w:rPr>
            </w:pPr>
            <w:r>
              <w:rPr>
                <w:rFonts w:ascii="Arial" w:cs="Arial" w:eastAsia="Arial" w:hAnsi="Arial"/>
                <w:sz w:val="16"/>
                <w:szCs w:val="16"/>
                <w:color w:val="auto"/>
              </w:rPr>
              <w:t>0</w:t>
            </w:r>
          </w:p>
        </w:tc>
      </w:tr>
      <w:tr>
        <w:trPr>
          <w:trHeight w:val="236"/>
        </w:trPr>
        <w:tc>
          <w:tcPr>
            <w:tcW w:w="8160" w:type="dxa"/>
            <w:vAlign w:val="bottom"/>
            <w:tcBorders>
              <w:bottom w:val="single" w:sz="8" w:color="939498"/>
            </w:tcBorders>
          </w:tcPr>
          <w:p>
            <w:pPr>
              <w:ind w:left="60"/>
              <w:spacing w:after="0"/>
              <w:rPr>
                <w:sz w:val="20"/>
                <w:szCs w:val="20"/>
                <w:color w:val="auto"/>
              </w:rPr>
            </w:pPr>
            <w:r>
              <w:rPr>
                <w:rFonts w:ascii="Arial" w:cs="Arial" w:eastAsia="Arial" w:hAnsi="Arial"/>
                <w:sz w:val="16"/>
                <w:szCs w:val="16"/>
                <w:color w:val="auto"/>
              </w:rPr>
              <w:t>Outplacement Services</w:t>
            </w:r>
          </w:p>
        </w:tc>
        <w:tc>
          <w:tcPr>
            <w:tcW w:w="200" w:type="dxa"/>
            <w:vAlign w:val="bottom"/>
          </w:tcPr>
          <w:p>
            <w:pPr>
              <w:spacing w:after="0"/>
              <w:rPr>
                <w:sz w:val="20"/>
                <w:szCs w:val="20"/>
                <w:color w:val="auto"/>
              </w:rPr>
            </w:pPr>
          </w:p>
        </w:tc>
        <w:tc>
          <w:tcPr>
            <w:tcW w:w="1680" w:type="dxa"/>
            <w:vAlign w:val="bottom"/>
            <w:tcBorders>
              <w:bottom w:val="single" w:sz="8" w:color="939498"/>
            </w:tcBorders>
          </w:tcPr>
          <w:p>
            <w:pPr>
              <w:jc w:val="right"/>
              <w:ind w:right="63"/>
              <w:spacing w:after="0"/>
              <w:rPr>
                <w:sz w:val="20"/>
                <w:szCs w:val="20"/>
                <w:color w:val="auto"/>
              </w:rPr>
            </w:pPr>
            <w:r>
              <w:rPr>
                <w:rFonts w:ascii="Arial" w:cs="Arial" w:eastAsia="Arial" w:hAnsi="Arial"/>
                <w:sz w:val="16"/>
                <w:szCs w:val="16"/>
                <w:color w:val="auto"/>
              </w:rPr>
              <w:t>10,000</w:t>
            </w:r>
          </w:p>
        </w:tc>
        <w:tc>
          <w:tcPr>
            <w:tcW w:w="200" w:type="dxa"/>
            <w:vAlign w:val="bottom"/>
          </w:tcPr>
          <w:p>
            <w:pPr>
              <w:spacing w:after="0"/>
              <w:rPr>
                <w:sz w:val="20"/>
                <w:szCs w:val="20"/>
                <w:color w:val="auto"/>
              </w:rPr>
            </w:pPr>
          </w:p>
        </w:tc>
        <w:tc>
          <w:tcPr>
            <w:tcW w:w="1000" w:type="dxa"/>
            <w:vAlign w:val="bottom"/>
            <w:tcBorders>
              <w:bottom w:val="single" w:sz="8" w:color="939498"/>
            </w:tcBorders>
          </w:tcPr>
          <w:p>
            <w:pPr>
              <w:jc w:val="right"/>
              <w:spacing w:after="0"/>
              <w:rPr>
                <w:sz w:val="20"/>
                <w:szCs w:val="20"/>
                <w:color w:val="auto"/>
              </w:rPr>
            </w:pPr>
            <w:r>
              <w:rPr>
                <w:rFonts w:ascii="Arial" w:cs="Arial" w:eastAsia="Arial" w:hAnsi="Arial"/>
                <w:sz w:val="16"/>
                <w:szCs w:val="16"/>
                <w:color w:val="auto"/>
              </w:rPr>
              <w:t>0</w:t>
            </w:r>
          </w:p>
        </w:tc>
      </w:tr>
      <w:tr>
        <w:trPr>
          <w:trHeight w:val="250"/>
        </w:trPr>
        <w:tc>
          <w:tcPr>
            <w:tcW w:w="8160" w:type="dxa"/>
            <w:vAlign w:val="bottom"/>
            <w:tcBorders>
              <w:bottom w:val="single" w:sz="8" w:color="355675"/>
            </w:tcBorders>
          </w:tcPr>
          <w:p>
            <w:pPr>
              <w:ind w:left="60"/>
              <w:spacing w:after="0"/>
              <w:rPr>
                <w:sz w:val="20"/>
                <w:szCs w:val="20"/>
                <w:color w:val="auto"/>
              </w:rPr>
            </w:pPr>
            <w:r>
              <w:rPr>
                <w:rFonts w:ascii="Arial" w:cs="Arial" w:eastAsia="Arial" w:hAnsi="Arial"/>
                <w:sz w:val="16"/>
                <w:szCs w:val="16"/>
                <w:color w:val="auto"/>
              </w:rPr>
              <w:t>TOTAL:</w:t>
            </w:r>
          </w:p>
        </w:tc>
        <w:tc>
          <w:tcPr>
            <w:tcW w:w="200" w:type="dxa"/>
            <w:vAlign w:val="bottom"/>
          </w:tcPr>
          <w:p>
            <w:pPr>
              <w:spacing w:after="0"/>
              <w:rPr>
                <w:sz w:val="21"/>
                <w:szCs w:val="21"/>
                <w:color w:val="auto"/>
              </w:rPr>
            </w:pPr>
          </w:p>
        </w:tc>
        <w:tc>
          <w:tcPr>
            <w:tcW w:w="1680" w:type="dxa"/>
            <w:vAlign w:val="bottom"/>
            <w:tcBorders>
              <w:bottom w:val="single" w:sz="8" w:color="355675"/>
            </w:tcBorders>
          </w:tcPr>
          <w:p>
            <w:pPr>
              <w:jc w:val="right"/>
              <w:ind w:right="63"/>
              <w:spacing w:after="0"/>
              <w:rPr>
                <w:sz w:val="20"/>
                <w:szCs w:val="20"/>
                <w:color w:val="auto"/>
              </w:rPr>
            </w:pPr>
            <w:r>
              <w:rPr>
                <w:rFonts w:ascii="Arial" w:cs="Arial" w:eastAsia="Arial" w:hAnsi="Arial"/>
                <w:sz w:val="16"/>
                <w:szCs w:val="16"/>
                <w:color w:val="auto"/>
              </w:rPr>
              <w:t>4,929,042</w:t>
            </w:r>
          </w:p>
        </w:tc>
        <w:tc>
          <w:tcPr>
            <w:tcW w:w="200" w:type="dxa"/>
            <w:vAlign w:val="bottom"/>
          </w:tcPr>
          <w:p>
            <w:pPr>
              <w:spacing w:after="0"/>
              <w:rPr>
                <w:sz w:val="21"/>
                <w:szCs w:val="21"/>
                <w:color w:val="auto"/>
              </w:rPr>
            </w:pPr>
          </w:p>
        </w:tc>
        <w:tc>
          <w:tcPr>
            <w:tcW w:w="10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0</w:t>
            </w:r>
          </w:p>
        </w:tc>
      </w:tr>
    </w:tbl>
    <w:p>
      <w:pPr>
        <w:spacing w:after="0" w:line="39" w:lineRule="exact"/>
        <w:rPr>
          <w:sz w:val="20"/>
          <w:szCs w:val="20"/>
          <w:color w:val="auto"/>
        </w:rPr>
      </w:pPr>
    </w:p>
    <w:p>
      <w:pPr>
        <w:ind w:left="340" w:hanging="332"/>
        <w:spacing w:after="0"/>
        <w:tabs>
          <w:tab w:leader="none" w:pos="340" w:val="left"/>
        </w:tabs>
        <w:numPr>
          <w:ilvl w:val="0"/>
          <w:numId w:val="109"/>
        </w:numPr>
        <w:rPr>
          <w:rFonts w:ascii="Arial" w:cs="Arial" w:eastAsia="Arial" w:hAnsi="Arial"/>
          <w:sz w:val="30"/>
          <w:szCs w:val="30"/>
          <w:color w:val="auto"/>
          <w:vertAlign w:val="superscript"/>
        </w:rPr>
      </w:pPr>
      <w:r>
        <w:rPr>
          <w:rFonts w:ascii="Arial" w:cs="Arial" w:eastAsia="Arial" w:hAnsi="Arial"/>
          <w:sz w:val="14"/>
          <w:szCs w:val="14"/>
          <w:color w:val="auto"/>
        </w:rPr>
        <w:t>The performance shares and RSUs are accelerated upon a change of control only if the Board does not exercise its override authority.</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97</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06" w:name="page107"/>
    <w:bookmarkEnd w:id="10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Executive Compensation</w:t>
      </w:r>
    </w:p>
    <w:p>
      <w:pPr>
        <w:spacing w:after="0" w:line="197"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Pay Ratio</w:t>
      </w:r>
    </w:p>
    <w:p>
      <w:pPr>
        <w:spacing w:after="0" w:line="230" w:lineRule="exact"/>
        <w:rPr>
          <w:sz w:val="20"/>
          <w:szCs w:val="20"/>
          <w:color w:val="auto"/>
        </w:rPr>
      </w:pPr>
    </w:p>
    <w:p>
      <w:pPr>
        <w:ind w:right="20"/>
        <w:spacing w:after="0" w:line="242" w:lineRule="auto"/>
        <w:rPr>
          <w:sz w:val="20"/>
          <w:szCs w:val="20"/>
          <w:color w:val="auto"/>
        </w:rPr>
      </w:pPr>
      <w:r>
        <w:rPr>
          <w:rFonts w:ascii="Arial" w:cs="Arial" w:eastAsia="Arial" w:hAnsi="Arial"/>
          <w:sz w:val="18"/>
          <w:szCs w:val="18"/>
          <w:color w:val="auto"/>
        </w:rPr>
        <w:t>As required by Item 402(u) of Regulation S-K, we are providing the annual disclosure of the ratio of the median employee’s annual total compensation to the total annual compensation of Mr. Guldner, our current CEO. For 2021 the median of the annual total compensation of all employees of our Company (other than our CEO) was $ 136,805, and the total annual compensation of our current CEO, as reported in the Summary Compensation Table in this Proxy Statement, was $8,100,157. Based on this information and using the required calculation methodology defined in Item 402(u) of Regulation S–K, for 2021, the ratio of the annual total compensation of our CEO to our median employee’s annual total compensation was 59 to 1.</w:t>
      </w:r>
    </w:p>
    <w:p>
      <w:pPr>
        <w:spacing w:after="0" w:line="179" w:lineRule="exact"/>
        <w:rPr>
          <w:sz w:val="20"/>
          <w:szCs w:val="20"/>
          <w:color w:val="auto"/>
        </w:rPr>
      </w:pPr>
    </w:p>
    <w:p>
      <w:pPr>
        <w:ind w:right="20"/>
        <w:spacing w:after="0" w:line="244" w:lineRule="auto"/>
        <w:rPr>
          <w:sz w:val="20"/>
          <w:szCs w:val="20"/>
          <w:color w:val="auto"/>
        </w:rPr>
      </w:pPr>
      <w:r>
        <w:rPr>
          <w:rFonts w:ascii="Arial" w:cs="Arial" w:eastAsia="Arial" w:hAnsi="Arial"/>
          <w:sz w:val="18"/>
          <w:szCs w:val="18"/>
          <w:color w:val="auto"/>
        </w:rPr>
        <w:t>As permitted by Item 402(u) of Regulation S-K, for fiscal year 2021 we used the same median employee for the pay ratio as was used for the pay ratio in the Proxy Statement for fiscal year 2020. We determined that during 2021, as compared to 2020, there were no material changes in our employee population or our employee compensation arrangements that we believe would significantly impact our pay ratio disclosure. To identify the median employee compensation from our employee population, as well as to determine the annual total compensation of our median employee and our CEO, we took the following steps:</w:t>
      </w:r>
    </w:p>
    <w:p>
      <w:pPr>
        <w:spacing w:after="0" w:line="176" w:lineRule="exact"/>
        <w:rPr>
          <w:sz w:val="20"/>
          <w:szCs w:val="20"/>
          <w:color w:val="auto"/>
        </w:rPr>
      </w:pPr>
    </w:p>
    <w:p>
      <w:pPr>
        <w:ind w:left="260" w:right="220" w:hanging="252"/>
        <w:spacing w:after="0" w:line="271" w:lineRule="auto"/>
        <w:tabs>
          <w:tab w:leader="none" w:pos="260" w:val="left"/>
        </w:tabs>
        <w:numPr>
          <w:ilvl w:val="0"/>
          <w:numId w:val="110"/>
        </w:numPr>
        <w:rPr>
          <w:rFonts w:ascii="Arial" w:cs="Arial" w:eastAsia="Arial" w:hAnsi="Arial"/>
          <w:sz w:val="18"/>
          <w:szCs w:val="18"/>
          <w:b w:val="1"/>
          <w:bCs w:val="1"/>
          <w:color w:val="355675"/>
        </w:rPr>
      </w:pPr>
      <w:r>
        <w:rPr>
          <w:rFonts w:ascii="Arial" w:cs="Arial" w:eastAsia="Arial" w:hAnsi="Arial"/>
          <w:sz w:val="18"/>
          <w:szCs w:val="18"/>
          <w:color w:val="auto"/>
        </w:rPr>
        <w:t>We determined that, as of December 31, 2021, our employee population consisted of approximately 5,872 individuals, all of which were located in the United States. This population consisted of our full- time, part-time, temporary and seasonal employees.</w:t>
      </w:r>
    </w:p>
    <w:p>
      <w:pPr>
        <w:spacing w:after="0" w:line="153" w:lineRule="exact"/>
        <w:rPr>
          <w:rFonts w:ascii="Arial" w:cs="Arial" w:eastAsia="Arial" w:hAnsi="Arial"/>
          <w:sz w:val="18"/>
          <w:szCs w:val="18"/>
          <w:b w:val="1"/>
          <w:bCs w:val="1"/>
          <w:color w:val="355675"/>
        </w:rPr>
      </w:pPr>
    </w:p>
    <w:p>
      <w:pPr>
        <w:ind w:left="260" w:right="220" w:hanging="252"/>
        <w:spacing w:after="0" w:line="253" w:lineRule="auto"/>
        <w:tabs>
          <w:tab w:leader="none" w:pos="260" w:val="left"/>
        </w:tabs>
        <w:numPr>
          <w:ilvl w:val="0"/>
          <w:numId w:val="110"/>
        </w:numPr>
        <w:rPr>
          <w:rFonts w:ascii="Arial" w:cs="Arial" w:eastAsia="Arial" w:hAnsi="Arial"/>
          <w:sz w:val="18"/>
          <w:szCs w:val="18"/>
          <w:b w:val="1"/>
          <w:bCs w:val="1"/>
          <w:color w:val="355675"/>
        </w:rPr>
      </w:pPr>
      <w:r>
        <w:rPr>
          <w:rFonts w:ascii="Arial" w:cs="Arial" w:eastAsia="Arial" w:hAnsi="Arial"/>
          <w:sz w:val="18"/>
          <w:szCs w:val="18"/>
          <w:color w:val="auto"/>
        </w:rPr>
        <w:t>To identify the median employee from our employee population, we compared the total amount of salary, wages, overtime and premium pay, and an estimated cash incentive assuming a target payout under the 2021 Incentive Plans of our employees as reflected in our payroll records on December 31, 2021.</w:t>
      </w:r>
    </w:p>
    <w:p>
      <w:pPr>
        <w:spacing w:after="0" w:line="168" w:lineRule="exact"/>
        <w:rPr>
          <w:rFonts w:ascii="Arial" w:cs="Arial" w:eastAsia="Arial" w:hAnsi="Arial"/>
          <w:sz w:val="18"/>
          <w:szCs w:val="18"/>
          <w:b w:val="1"/>
          <w:bCs w:val="1"/>
          <w:color w:val="355675"/>
        </w:rPr>
      </w:pPr>
    </w:p>
    <w:p>
      <w:pPr>
        <w:ind w:left="260" w:hanging="252"/>
        <w:spacing w:after="0" w:line="253" w:lineRule="auto"/>
        <w:tabs>
          <w:tab w:leader="none" w:pos="260" w:val="left"/>
        </w:tabs>
        <w:numPr>
          <w:ilvl w:val="0"/>
          <w:numId w:val="110"/>
        </w:numPr>
        <w:rPr>
          <w:rFonts w:ascii="Arial" w:cs="Arial" w:eastAsia="Arial" w:hAnsi="Arial"/>
          <w:sz w:val="18"/>
          <w:szCs w:val="18"/>
          <w:b w:val="1"/>
          <w:bCs w:val="1"/>
          <w:color w:val="355675"/>
        </w:rPr>
      </w:pPr>
      <w:r>
        <w:rPr>
          <w:rFonts w:ascii="Arial" w:cs="Arial" w:eastAsia="Arial" w:hAnsi="Arial"/>
          <w:sz w:val="18"/>
          <w:szCs w:val="18"/>
          <w:color w:val="auto"/>
        </w:rPr>
        <w:t>We identified our median employee using this compensation measure, which was consistently applied to all our employees included in the calculation. Since all our employees are located in the United States, as is our CEO, we did not make any cost-of-living adjustments in identifying the median employee.</w:t>
      </w:r>
    </w:p>
    <w:p>
      <w:pPr>
        <w:spacing w:after="0" w:line="168" w:lineRule="exact"/>
        <w:rPr>
          <w:rFonts w:ascii="Arial" w:cs="Arial" w:eastAsia="Arial" w:hAnsi="Arial"/>
          <w:sz w:val="18"/>
          <w:szCs w:val="18"/>
          <w:b w:val="1"/>
          <w:bCs w:val="1"/>
          <w:color w:val="355675"/>
        </w:rPr>
      </w:pPr>
    </w:p>
    <w:p>
      <w:pPr>
        <w:ind w:left="260" w:right="40" w:hanging="252"/>
        <w:spacing w:after="0" w:line="242" w:lineRule="auto"/>
        <w:tabs>
          <w:tab w:leader="none" w:pos="260" w:val="left"/>
        </w:tabs>
        <w:numPr>
          <w:ilvl w:val="0"/>
          <w:numId w:val="110"/>
        </w:numPr>
        <w:rPr>
          <w:rFonts w:ascii="Arial" w:cs="Arial" w:eastAsia="Arial" w:hAnsi="Arial"/>
          <w:sz w:val="18"/>
          <w:szCs w:val="18"/>
          <w:b w:val="1"/>
          <w:bCs w:val="1"/>
          <w:color w:val="355675"/>
        </w:rPr>
      </w:pPr>
      <w:r>
        <w:rPr>
          <w:rFonts w:ascii="Arial" w:cs="Arial" w:eastAsia="Arial" w:hAnsi="Arial"/>
          <w:sz w:val="18"/>
          <w:szCs w:val="18"/>
          <w:color w:val="auto"/>
        </w:rPr>
        <w:t>Once we identified our median employee, we combined all of the elements of such employee’s compensation for 2021 in accordance with the requirements of Item 402(c)(2)(x) of Regulation S-K, resulting in annual total compensation of $136,805. The difference between such employee’s salary, wages, overtime and premium pay, and an estimated cash incentive assuming a target payout under the APS Incentive Plan and the employee’s annual total compensation includes the amount the Company contributed under the 401(k) plan for the employee, the actual amount paid under the APS Incentive Plan and the estimated aggregate change in the actuarial present value from December 31, 2020 to December 31, 2021 of the employee’s accumulated benefits payable under all defined pension plans.</w:t>
      </w:r>
    </w:p>
    <w:p>
      <w:pPr>
        <w:spacing w:after="0" w:line="178" w:lineRule="exact"/>
        <w:rPr>
          <w:rFonts w:ascii="Arial" w:cs="Arial" w:eastAsia="Arial" w:hAnsi="Arial"/>
          <w:sz w:val="18"/>
          <w:szCs w:val="18"/>
          <w:b w:val="1"/>
          <w:bCs w:val="1"/>
          <w:color w:val="355675"/>
        </w:rPr>
      </w:pPr>
    </w:p>
    <w:p>
      <w:pPr>
        <w:ind w:left="260" w:right="480" w:hanging="252"/>
        <w:spacing w:after="0" w:line="271" w:lineRule="auto"/>
        <w:tabs>
          <w:tab w:leader="none" w:pos="260" w:val="left"/>
        </w:tabs>
        <w:numPr>
          <w:ilvl w:val="0"/>
          <w:numId w:val="110"/>
        </w:numPr>
        <w:rPr>
          <w:rFonts w:ascii="Arial" w:cs="Arial" w:eastAsia="Arial" w:hAnsi="Arial"/>
          <w:sz w:val="18"/>
          <w:szCs w:val="18"/>
          <w:b w:val="1"/>
          <w:bCs w:val="1"/>
          <w:color w:val="355675"/>
        </w:rPr>
      </w:pPr>
      <w:r>
        <w:rPr>
          <w:rFonts w:ascii="Arial" w:cs="Arial" w:eastAsia="Arial" w:hAnsi="Arial"/>
          <w:sz w:val="18"/>
          <w:szCs w:val="18"/>
          <w:color w:val="auto"/>
        </w:rPr>
        <w:t>With respect to the annual total compensation of our CEO, we used the amount reported in the “Total” column of our 2021 Summary Compensation Table included in this Proxy Statement for Mr. Guldner.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126365</wp:posOffset>
            </wp:positionV>
            <wp:extent cx="1191260" cy="23177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73"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07" w:name="page108"/>
    <w:bookmarkEnd w:id="10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28"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Audit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7132320" cy="514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213360</wp:posOffset>
            </wp:positionV>
            <wp:extent cx="7132320" cy="103695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132320" cy="1036955"/>
                    </a:xfrm>
                    <a:prstGeom prst="rect">
                      <a:avLst/>
                    </a:prstGeom>
                    <a:noFill/>
                  </pic:spPr>
                </pic:pic>
              </a:graphicData>
            </a:graphic>
          </wp:anchor>
        </w:drawing>
      </w:r>
    </w:p>
    <w:p>
      <w:pPr>
        <w:spacing w:after="0" w:line="380" w:lineRule="exact"/>
        <w:rPr>
          <w:sz w:val="20"/>
          <w:szCs w:val="20"/>
          <w:color w:val="auto"/>
        </w:rPr>
      </w:pPr>
    </w:p>
    <w:p>
      <w:pPr>
        <w:ind w:left="100" w:right="480"/>
        <w:spacing w:after="0" w:line="298" w:lineRule="auto"/>
        <w:rPr>
          <w:sz w:val="20"/>
          <w:szCs w:val="20"/>
          <w:color w:val="auto"/>
        </w:rPr>
      </w:pPr>
      <w:r>
        <w:rPr>
          <w:rFonts w:ascii="Arial" w:cs="Arial" w:eastAsia="Arial" w:hAnsi="Arial"/>
          <w:sz w:val="32"/>
          <w:szCs w:val="32"/>
          <w:b w:val="1"/>
          <w:bCs w:val="1"/>
          <w:color w:val="355675"/>
        </w:rPr>
        <w:t>Proposal 3: Ratification of The Appointment of Deloitte &amp; Touche LLP as the Independent Accountant for the Company</w:t>
      </w:r>
    </w:p>
    <w:p>
      <w:pPr>
        <w:spacing w:after="0" w:line="2" w:lineRule="exact"/>
        <w:rPr>
          <w:sz w:val="20"/>
          <w:szCs w:val="20"/>
          <w:color w:val="auto"/>
        </w:rPr>
      </w:pPr>
    </w:p>
    <w:p>
      <w:pPr>
        <w:ind w:left="1040" w:right="300"/>
        <w:spacing w:after="0" w:line="271" w:lineRule="auto"/>
        <w:rPr>
          <w:sz w:val="20"/>
          <w:szCs w:val="20"/>
          <w:color w:val="auto"/>
        </w:rPr>
      </w:pPr>
      <w:r>
        <w:rPr>
          <w:rFonts w:ascii="Arial" w:cs="Arial" w:eastAsia="Arial" w:hAnsi="Arial"/>
          <w:sz w:val="18"/>
          <w:szCs w:val="18"/>
          <w:color w:val="auto"/>
        </w:rPr>
        <w:t xml:space="preserve">The Board of Directors unanimously recommends a vote </w:t>
      </w:r>
      <w:r>
        <w:rPr>
          <w:rFonts w:ascii="Arial" w:cs="Arial" w:eastAsia="Arial" w:hAnsi="Arial"/>
          <w:sz w:val="18"/>
          <w:szCs w:val="18"/>
          <w:b w:val="1"/>
          <w:bCs w:val="1"/>
          <w:color w:val="355675"/>
        </w:rPr>
        <w:t>FOR</w:t>
      </w:r>
      <w:r>
        <w:rPr>
          <w:rFonts w:ascii="Arial" w:cs="Arial" w:eastAsia="Arial" w:hAnsi="Arial"/>
          <w:sz w:val="18"/>
          <w:szCs w:val="18"/>
          <w:color w:val="auto"/>
        </w:rPr>
        <w:t xml:space="preserve"> ratification of the appointment of Deloitte &amp; Touche LLP as the Company’s independent accountant for the year ending December 31, 2022</w:t>
      </w:r>
    </w:p>
    <w:p>
      <w:pPr>
        <w:spacing w:after="0" w:line="383" w:lineRule="exact"/>
        <w:rPr>
          <w:sz w:val="20"/>
          <w:szCs w:val="20"/>
          <w:color w:val="auto"/>
        </w:rPr>
      </w:pPr>
    </w:p>
    <w:p>
      <w:pPr>
        <w:ind w:right="60"/>
        <w:spacing w:after="0" w:line="242" w:lineRule="auto"/>
        <w:rPr>
          <w:sz w:val="20"/>
          <w:szCs w:val="20"/>
          <w:color w:val="auto"/>
        </w:rPr>
      </w:pPr>
      <w:r>
        <w:rPr>
          <w:rFonts w:ascii="Arial" w:cs="Arial" w:eastAsia="Arial" w:hAnsi="Arial"/>
          <w:sz w:val="18"/>
          <w:szCs w:val="18"/>
          <w:color w:val="auto"/>
        </w:rPr>
        <w:t>The Audit Committee has appointed Deloitte &amp; Touche LLP (“D&amp;T”) as the Company’s independent accountant for the year ending December 31, 2022 and, as a matter of good corporate governance, has directed management to submit such appointment for ratification by the shareholders at the Annual Meeting. In the event the shareholders fail to ratify the appointment, the Audit Committee may reconsider this appointment. Even if the appointment is ratified, the Audit Committee, in its discretion, may direct the appointment of a different independent accounting firm at any time during the year if the Audit Committee determines that such a change would be in the Company’s and the shareholders’ best interests.</w:t>
      </w:r>
    </w:p>
    <w:p>
      <w:pPr>
        <w:spacing w:after="0" w:line="164"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The Independent Accountant</w:t>
      </w:r>
    </w:p>
    <w:p>
      <w:pPr>
        <w:spacing w:after="0" w:line="230" w:lineRule="exact"/>
        <w:rPr>
          <w:sz w:val="20"/>
          <w:szCs w:val="20"/>
          <w:color w:val="auto"/>
        </w:rPr>
      </w:pPr>
    </w:p>
    <w:p>
      <w:pPr>
        <w:ind w:right="60"/>
        <w:spacing w:after="0" w:line="244" w:lineRule="auto"/>
        <w:rPr>
          <w:sz w:val="20"/>
          <w:szCs w:val="20"/>
          <w:color w:val="auto"/>
        </w:rPr>
      </w:pPr>
      <w:r>
        <w:rPr>
          <w:rFonts w:ascii="Arial" w:cs="Arial" w:eastAsia="Arial" w:hAnsi="Arial"/>
          <w:sz w:val="18"/>
          <w:szCs w:val="18"/>
          <w:color w:val="auto"/>
        </w:rPr>
        <w:t>The Audit Committee evaluates the selection of the independent accountant each year, and has appointed D&amp;T, independent accountant, to examine the Company’s financial statements for the year ending December 31, 2022, and, pursuant to Proposal 3, has requested shareholder ratification of this appointment. The Audit Committee has discussed the qualifications and performance of D&amp;T and believes that the continued retention of D&amp;T to serve as the Company’s independent accountant is in the best interest of the Company and its shareholders.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color w:val="auto"/>
        </w:rPr>
        <w:t>In making the determination to retain D&amp;T for 2022, the Audit Committee considered, among other things:</w:t>
      </w:r>
    </w:p>
    <w:p>
      <w:pPr>
        <w:spacing w:after="0" w:line="212" w:lineRule="exact"/>
        <w:rPr>
          <w:sz w:val="20"/>
          <w:szCs w:val="20"/>
          <w:color w:val="auto"/>
        </w:rPr>
      </w:pPr>
    </w:p>
    <w:p>
      <w:pPr>
        <w:ind w:left="260" w:hanging="252"/>
        <w:spacing w:after="0"/>
        <w:tabs>
          <w:tab w:leader="none" w:pos="260" w:val="left"/>
        </w:tabs>
        <w:numPr>
          <w:ilvl w:val="0"/>
          <w:numId w:val="111"/>
        </w:numPr>
        <w:rPr>
          <w:rFonts w:ascii="Arial" w:cs="Arial" w:eastAsia="Arial" w:hAnsi="Arial"/>
          <w:sz w:val="18"/>
          <w:szCs w:val="18"/>
          <w:b w:val="1"/>
          <w:bCs w:val="1"/>
          <w:color w:val="355675"/>
        </w:rPr>
      </w:pPr>
      <w:r>
        <w:rPr>
          <w:rFonts w:ascii="Arial" w:cs="Arial" w:eastAsia="Arial" w:hAnsi="Arial"/>
          <w:sz w:val="18"/>
          <w:szCs w:val="18"/>
          <w:color w:val="auto"/>
        </w:rPr>
        <w:t>D&amp;T’s technical expertise, particularly with respect to the complex area of utility regulatory accounting;</w:t>
      </w:r>
    </w:p>
    <w:p>
      <w:pPr>
        <w:spacing w:after="0" w:line="198"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1"/>
        </w:numPr>
        <w:rPr>
          <w:rFonts w:ascii="Arial" w:cs="Arial" w:eastAsia="Arial" w:hAnsi="Arial"/>
          <w:sz w:val="18"/>
          <w:szCs w:val="18"/>
          <w:b w:val="1"/>
          <w:bCs w:val="1"/>
          <w:color w:val="355675"/>
        </w:rPr>
      </w:pPr>
      <w:r>
        <w:rPr>
          <w:rFonts w:ascii="Arial" w:cs="Arial" w:eastAsia="Arial" w:hAnsi="Arial"/>
          <w:sz w:val="18"/>
          <w:szCs w:val="18"/>
          <w:color w:val="auto"/>
        </w:rPr>
        <w:t>Management’s and D&amp;T’s review of D&amp;T’s historical and recent performance;</w:t>
      </w:r>
    </w:p>
    <w:p>
      <w:pPr>
        <w:spacing w:after="0" w:line="198"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1"/>
        </w:numPr>
        <w:rPr>
          <w:rFonts w:ascii="Arial" w:cs="Arial" w:eastAsia="Arial" w:hAnsi="Arial"/>
          <w:sz w:val="18"/>
          <w:szCs w:val="18"/>
          <w:b w:val="1"/>
          <w:bCs w:val="1"/>
          <w:color w:val="355675"/>
        </w:rPr>
      </w:pPr>
      <w:r>
        <w:rPr>
          <w:rFonts w:ascii="Arial" w:cs="Arial" w:eastAsia="Arial" w:hAnsi="Arial"/>
          <w:sz w:val="18"/>
          <w:szCs w:val="18"/>
          <w:color w:val="auto"/>
        </w:rPr>
        <w:t>The quality and candor of D&amp;T’s communications with the Audit Committee and management;</w:t>
      </w:r>
    </w:p>
    <w:p>
      <w:pPr>
        <w:spacing w:after="0" w:line="198" w:lineRule="exact"/>
        <w:rPr>
          <w:rFonts w:ascii="Arial" w:cs="Arial" w:eastAsia="Arial" w:hAnsi="Arial"/>
          <w:sz w:val="18"/>
          <w:szCs w:val="18"/>
          <w:b w:val="1"/>
          <w:bCs w:val="1"/>
          <w:color w:val="355675"/>
        </w:rPr>
      </w:pPr>
    </w:p>
    <w:p>
      <w:pPr>
        <w:ind w:left="260" w:right="560" w:hanging="252"/>
        <w:spacing w:after="0" w:line="271" w:lineRule="auto"/>
        <w:tabs>
          <w:tab w:leader="none" w:pos="260" w:val="left"/>
        </w:tabs>
        <w:numPr>
          <w:ilvl w:val="0"/>
          <w:numId w:val="111"/>
        </w:numPr>
        <w:rPr>
          <w:rFonts w:ascii="Arial" w:cs="Arial" w:eastAsia="Arial" w:hAnsi="Arial"/>
          <w:sz w:val="18"/>
          <w:szCs w:val="18"/>
          <w:b w:val="1"/>
          <w:bCs w:val="1"/>
          <w:color w:val="355675"/>
        </w:rPr>
      </w:pPr>
      <w:r>
        <w:rPr>
          <w:rFonts w:ascii="Arial" w:cs="Arial" w:eastAsia="Arial" w:hAnsi="Arial"/>
          <w:sz w:val="18"/>
          <w:szCs w:val="18"/>
          <w:color w:val="auto"/>
        </w:rPr>
        <w:t>D&amp;T’s independence and tenure as our auditor, including the benefits and independence risks of having a long-tenured auditor, and controls and processes that help ensure D&amp;T’s independence (see the additional information below);</w:t>
      </w:r>
    </w:p>
    <w:p>
      <w:pPr>
        <w:spacing w:after="0" w:line="140"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1"/>
        </w:numPr>
        <w:rPr>
          <w:rFonts w:ascii="Arial" w:cs="Arial" w:eastAsia="Arial" w:hAnsi="Arial"/>
          <w:sz w:val="18"/>
          <w:szCs w:val="18"/>
          <w:b w:val="1"/>
          <w:bCs w:val="1"/>
          <w:color w:val="355675"/>
        </w:rPr>
      </w:pPr>
      <w:r>
        <w:rPr>
          <w:rFonts w:ascii="Arial" w:cs="Arial" w:eastAsia="Arial" w:hAnsi="Arial"/>
          <w:sz w:val="18"/>
          <w:szCs w:val="18"/>
          <w:color w:val="auto"/>
        </w:rPr>
        <w:t>How effectively D&amp;T demonstrated its independent judgment, objectivity, and professional skepticism; and</w:t>
      </w:r>
    </w:p>
    <w:p>
      <w:pPr>
        <w:spacing w:after="0" w:line="198" w:lineRule="exact"/>
        <w:rPr>
          <w:rFonts w:ascii="Arial" w:cs="Arial" w:eastAsia="Arial" w:hAnsi="Arial"/>
          <w:sz w:val="18"/>
          <w:szCs w:val="18"/>
          <w:b w:val="1"/>
          <w:bCs w:val="1"/>
          <w:color w:val="355675"/>
        </w:rPr>
      </w:pPr>
    </w:p>
    <w:p>
      <w:pPr>
        <w:ind w:left="260" w:right="180" w:hanging="252"/>
        <w:spacing w:after="0" w:line="271" w:lineRule="auto"/>
        <w:tabs>
          <w:tab w:leader="none" w:pos="260" w:val="left"/>
        </w:tabs>
        <w:numPr>
          <w:ilvl w:val="0"/>
          <w:numId w:val="111"/>
        </w:numPr>
        <w:rPr>
          <w:rFonts w:ascii="Arial" w:cs="Arial" w:eastAsia="Arial" w:hAnsi="Arial"/>
          <w:sz w:val="18"/>
          <w:szCs w:val="18"/>
          <w:b w:val="1"/>
          <w:bCs w:val="1"/>
          <w:color w:val="355675"/>
        </w:rPr>
      </w:pPr>
      <w:r>
        <w:rPr>
          <w:rFonts w:ascii="Arial" w:cs="Arial" w:eastAsia="Arial" w:hAnsi="Arial"/>
          <w:sz w:val="18"/>
          <w:szCs w:val="18"/>
          <w:color w:val="auto"/>
        </w:rPr>
        <w:t>The fees paid to D&amp;T, which are reviewed and approved by the Audit Committee and then monitored by the Audit Committee throughout the year.</w:t>
      </w:r>
    </w:p>
    <w:p>
      <w:pPr>
        <w:spacing w:after="0" w:line="154" w:lineRule="exact"/>
        <w:rPr>
          <w:sz w:val="20"/>
          <w:szCs w:val="20"/>
          <w:color w:val="auto"/>
        </w:rPr>
      </w:pPr>
    </w:p>
    <w:p>
      <w:pPr>
        <w:jc w:val="both"/>
        <w:ind w:right="120"/>
        <w:spacing w:after="0" w:line="253" w:lineRule="auto"/>
        <w:rPr>
          <w:sz w:val="20"/>
          <w:szCs w:val="20"/>
          <w:color w:val="auto"/>
        </w:rPr>
      </w:pPr>
      <w:r>
        <w:rPr>
          <w:rFonts w:ascii="Arial" w:cs="Arial" w:eastAsia="Arial" w:hAnsi="Arial"/>
          <w:sz w:val="18"/>
          <w:szCs w:val="18"/>
          <w:color w:val="auto"/>
        </w:rPr>
        <w:t>D&amp;T served as the Company’s independent accountant for the year ended December 31, 2021. Representatives of that firm are expected to participate in the Annual Meeting. These representatives will have an opportunity to make a statement if they so desire and will be available to respond to appropriate questions.</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940" w:type="dxa"/>
            <w:vAlign w:val="bottom"/>
          </w:tcPr>
          <w:p>
            <w:pPr>
              <w:ind w:left="9380"/>
              <w:spacing w:after="0"/>
              <w:rPr>
                <w:sz w:val="20"/>
                <w:szCs w:val="20"/>
                <w:color w:val="auto"/>
              </w:rPr>
            </w:pPr>
            <w:r>
              <w:rPr>
                <w:rFonts w:ascii="Arial" w:cs="Arial" w:eastAsia="Arial" w:hAnsi="Arial"/>
                <w:sz w:val="14"/>
                <w:szCs w:val="14"/>
                <w:color w:val="355675"/>
              </w:rPr>
              <w:t>2022 Proxy Statement</w:t>
            </w:r>
          </w:p>
        </w:tc>
        <w:tc>
          <w:tcPr>
            <w:tcW w:w="320" w:type="dxa"/>
            <w:vAlign w:val="bottom"/>
          </w:tcPr>
          <w:p>
            <w:pPr>
              <w:jc w:val="right"/>
              <w:spacing w:after="0"/>
              <w:rPr>
                <w:sz w:val="20"/>
                <w:szCs w:val="20"/>
                <w:color w:val="auto"/>
              </w:rPr>
            </w:pPr>
            <w:r>
              <w:rPr>
                <w:rFonts w:ascii="Arial" w:cs="Arial" w:eastAsia="Arial" w:hAnsi="Arial"/>
                <w:sz w:val="14"/>
                <w:szCs w:val="14"/>
                <w:b w:val="1"/>
                <w:bCs w:val="1"/>
                <w:color w:val="355675"/>
              </w:rPr>
              <w:t>99</w:t>
            </w:r>
          </w:p>
        </w:tc>
      </w:tr>
      <w:tr>
        <w:trPr>
          <w:trHeight w:val="93"/>
        </w:trPr>
        <w:tc>
          <w:tcPr>
            <w:tcW w:w="109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08" w:name="page109"/>
    <w:bookmarkEnd w:id="10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Audit Matters</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Benefits of a Long-Tenured Independent Accountant</w:t>
      </w:r>
    </w:p>
    <w:p>
      <w:pPr>
        <w:spacing w:after="0" w:line="237"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D&amp;T has served as the independent accountant for Pinnacle West since its inception in 1985, and APS since 1932. The Committee carefully considered the tenure of D&amp;T as our independent accountant in making its decision to select D&amp;T as the independent accountant for 2022, including the following benefits that come with long tenure:</w:t>
      </w:r>
    </w:p>
    <w:p>
      <w:pPr>
        <w:spacing w:after="0" w:line="169" w:lineRule="exact"/>
        <w:rPr>
          <w:sz w:val="20"/>
          <w:szCs w:val="20"/>
          <w:color w:val="auto"/>
        </w:rPr>
      </w:pPr>
    </w:p>
    <w:p>
      <w:pPr>
        <w:ind w:left="260" w:hanging="252"/>
        <w:spacing w:after="0" w:line="253" w:lineRule="auto"/>
        <w:tabs>
          <w:tab w:leader="none" w:pos="260" w:val="left"/>
        </w:tabs>
        <w:numPr>
          <w:ilvl w:val="0"/>
          <w:numId w:val="112"/>
        </w:numPr>
        <w:rPr>
          <w:rFonts w:ascii="Arial" w:cs="Arial" w:eastAsia="Arial" w:hAnsi="Arial"/>
          <w:sz w:val="18"/>
          <w:szCs w:val="18"/>
          <w:b w:val="1"/>
          <w:bCs w:val="1"/>
          <w:color w:val="355675"/>
        </w:rPr>
      </w:pPr>
      <w:r>
        <w:rPr>
          <w:rFonts w:ascii="Arial" w:cs="Arial" w:eastAsia="Arial" w:hAnsi="Arial"/>
          <w:sz w:val="18"/>
          <w:szCs w:val="18"/>
          <w:color w:val="auto"/>
        </w:rPr>
        <w:t>Through more than 80 years of experience with the Company and APS, D&amp;T has gained institutional knowledge of and deep expertise regarding our business operations, including the complexities of a business that is highly regulated at both the state and federal level, our accounting policies and practices and our internal controls over financial reporting; and</w:t>
      </w:r>
    </w:p>
    <w:p>
      <w:pPr>
        <w:spacing w:after="0" w:line="168" w:lineRule="exact"/>
        <w:rPr>
          <w:rFonts w:ascii="Arial" w:cs="Arial" w:eastAsia="Arial" w:hAnsi="Arial"/>
          <w:sz w:val="18"/>
          <w:szCs w:val="18"/>
          <w:b w:val="1"/>
          <w:bCs w:val="1"/>
          <w:color w:val="355675"/>
        </w:rPr>
      </w:pPr>
    </w:p>
    <w:p>
      <w:pPr>
        <w:ind w:left="260" w:right="140" w:hanging="252"/>
        <w:spacing w:after="0" w:line="271" w:lineRule="auto"/>
        <w:tabs>
          <w:tab w:leader="none" w:pos="260" w:val="left"/>
        </w:tabs>
        <w:numPr>
          <w:ilvl w:val="0"/>
          <w:numId w:val="112"/>
        </w:numPr>
        <w:rPr>
          <w:rFonts w:ascii="Arial" w:cs="Arial" w:eastAsia="Arial" w:hAnsi="Arial"/>
          <w:sz w:val="18"/>
          <w:szCs w:val="18"/>
          <w:b w:val="1"/>
          <w:bCs w:val="1"/>
          <w:color w:val="355675"/>
        </w:rPr>
      </w:pPr>
      <w:r>
        <w:rPr>
          <w:rFonts w:ascii="Arial" w:cs="Arial" w:eastAsia="Arial" w:hAnsi="Arial"/>
          <w:sz w:val="18"/>
          <w:szCs w:val="18"/>
          <w:color w:val="auto"/>
        </w:rPr>
        <w:t>Bringing on a new auditor requires a significant time commitment that could result in additional costs to the Company as well as distract management’s focus on financial reporting and internal controls.</w:t>
      </w:r>
    </w:p>
    <w:p>
      <w:pPr>
        <w:spacing w:after="0" w:line="142"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Accountant’s Independence Controls</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In further making its selection of D&amp;T as the independent accountant for 2022, the Committee took into account the following controls over</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D&amp;T:</w:t>
      </w:r>
    </w:p>
    <w:p>
      <w:pPr>
        <w:spacing w:after="0" w:line="194" w:lineRule="exact"/>
        <w:rPr>
          <w:sz w:val="20"/>
          <w:szCs w:val="20"/>
          <w:color w:val="auto"/>
        </w:rPr>
      </w:pPr>
    </w:p>
    <w:p>
      <w:pPr>
        <w:ind w:left="260" w:right="120" w:hanging="252"/>
        <w:spacing w:after="0" w:line="271" w:lineRule="auto"/>
        <w:tabs>
          <w:tab w:leader="none" w:pos="260" w:val="left"/>
        </w:tabs>
        <w:numPr>
          <w:ilvl w:val="0"/>
          <w:numId w:val="113"/>
        </w:numPr>
        <w:rPr>
          <w:rFonts w:ascii="Arial" w:cs="Arial" w:eastAsia="Arial" w:hAnsi="Arial"/>
          <w:sz w:val="18"/>
          <w:szCs w:val="18"/>
          <w:b w:val="1"/>
          <w:bCs w:val="1"/>
          <w:color w:val="355675"/>
        </w:rPr>
      </w:pPr>
      <w:r>
        <w:rPr>
          <w:rFonts w:ascii="Arial" w:cs="Arial" w:eastAsia="Arial" w:hAnsi="Arial"/>
          <w:sz w:val="18"/>
          <w:szCs w:val="18"/>
          <w:color w:val="auto"/>
        </w:rPr>
        <w:t>The Audit Committee’s oversight of D&amp;T, which included meeting with D&amp;T multiple times in 2021, private meetings from time to time as requested by the Audit Committee members, and a committee-directed process for selecting the lead partner;</w:t>
      </w:r>
    </w:p>
    <w:p>
      <w:pPr>
        <w:spacing w:after="0" w:line="113" w:lineRule="exact"/>
        <w:rPr>
          <w:rFonts w:ascii="Arial" w:cs="Arial" w:eastAsia="Arial" w:hAnsi="Arial"/>
          <w:sz w:val="18"/>
          <w:szCs w:val="18"/>
          <w:b w:val="1"/>
          <w:bCs w:val="1"/>
          <w:color w:val="355675"/>
        </w:rPr>
      </w:pPr>
    </w:p>
    <w:p>
      <w:pPr>
        <w:ind w:left="260" w:right="500" w:hanging="252"/>
        <w:spacing w:after="0" w:line="271" w:lineRule="auto"/>
        <w:tabs>
          <w:tab w:leader="none" w:pos="260" w:val="left"/>
        </w:tabs>
        <w:numPr>
          <w:ilvl w:val="0"/>
          <w:numId w:val="113"/>
        </w:numPr>
        <w:rPr>
          <w:rFonts w:ascii="Arial" w:cs="Arial" w:eastAsia="Arial" w:hAnsi="Arial"/>
          <w:sz w:val="18"/>
          <w:szCs w:val="18"/>
          <w:b w:val="1"/>
          <w:bCs w:val="1"/>
          <w:color w:val="355675"/>
        </w:rPr>
      </w:pPr>
      <w:r>
        <w:rPr>
          <w:rFonts w:ascii="Arial" w:cs="Arial" w:eastAsia="Arial" w:hAnsi="Arial"/>
          <w:sz w:val="18"/>
          <w:szCs w:val="18"/>
          <w:color w:val="auto"/>
        </w:rPr>
        <w:t>Pre-approval policies of all services performed by D&amp;T for the Company, and allowing the engagement of D&amp;T only when the Audit Committee or its Chair believes D&amp;T is best suited for the job;</w:t>
      </w:r>
    </w:p>
    <w:p>
      <w:pPr>
        <w:spacing w:after="0" w:line="113"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3"/>
        </w:numPr>
        <w:rPr>
          <w:rFonts w:ascii="Arial" w:cs="Arial" w:eastAsia="Arial" w:hAnsi="Arial"/>
          <w:sz w:val="18"/>
          <w:szCs w:val="18"/>
          <w:b w:val="1"/>
          <w:bCs w:val="1"/>
          <w:color w:val="355675"/>
        </w:rPr>
      </w:pPr>
      <w:r>
        <w:rPr>
          <w:rFonts w:ascii="Arial" w:cs="Arial" w:eastAsia="Arial" w:hAnsi="Arial"/>
          <w:sz w:val="18"/>
          <w:szCs w:val="18"/>
          <w:color w:val="auto"/>
        </w:rPr>
        <w:t>D&amp;T conducts periodic internal quality reviews of its audit work and rotates lead partners every five years; and</w:t>
      </w:r>
    </w:p>
    <w:p>
      <w:pPr>
        <w:spacing w:after="0" w:line="171" w:lineRule="exact"/>
        <w:rPr>
          <w:rFonts w:ascii="Arial" w:cs="Arial" w:eastAsia="Arial" w:hAnsi="Arial"/>
          <w:sz w:val="18"/>
          <w:szCs w:val="18"/>
          <w:b w:val="1"/>
          <w:bCs w:val="1"/>
          <w:color w:val="355675"/>
        </w:rPr>
      </w:pPr>
    </w:p>
    <w:p>
      <w:pPr>
        <w:ind w:left="260" w:right="580" w:hanging="252"/>
        <w:spacing w:after="0" w:line="271" w:lineRule="auto"/>
        <w:tabs>
          <w:tab w:leader="none" w:pos="260" w:val="left"/>
        </w:tabs>
        <w:numPr>
          <w:ilvl w:val="0"/>
          <w:numId w:val="113"/>
        </w:numPr>
        <w:rPr>
          <w:rFonts w:ascii="Arial" w:cs="Arial" w:eastAsia="Arial" w:hAnsi="Arial"/>
          <w:sz w:val="18"/>
          <w:szCs w:val="18"/>
          <w:b w:val="1"/>
          <w:bCs w:val="1"/>
          <w:color w:val="355675"/>
        </w:rPr>
      </w:pPr>
      <w:r>
        <w:rPr>
          <w:rFonts w:ascii="Arial" w:cs="Arial" w:eastAsia="Arial" w:hAnsi="Arial"/>
          <w:sz w:val="18"/>
          <w:szCs w:val="18"/>
          <w:color w:val="auto"/>
        </w:rPr>
        <w:t>As an independent public accounting firm, D&amp;T is subject to Public Company Accounting Oversight Board (“PCAOB”) inspections, independent peer reviews, and PCAOB and SEC oversight.</w:t>
      </w:r>
    </w:p>
    <w:p>
      <w:pPr>
        <w:spacing w:after="0" w:line="142" w:lineRule="exact"/>
        <w:rPr>
          <w:sz w:val="20"/>
          <w:szCs w:val="20"/>
          <w:color w:val="auto"/>
        </w:rPr>
      </w:pPr>
    </w:p>
    <w:p>
      <w:pPr>
        <w:spacing w:after="0"/>
        <w:rPr>
          <w:sz w:val="20"/>
          <w:szCs w:val="20"/>
          <w:color w:val="auto"/>
        </w:rPr>
      </w:pPr>
      <w:r>
        <w:rPr>
          <w:rFonts w:ascii="Arial" w:cs="Arial" w:eastAsia="Arial" w:hAnsi="Arial"/>
          <w:sz w:val="32"/>
          <w:szCs w:val="32"/>
          <w:b w:val="1"/>
          <w:bCs w:val="1"/>
          <w:color w:val="008C9F"/>
        </w:rPr>
        <w:t>Pre-Approval Policies</w:t>
      </w:r>
    </w:p>
    <w:p>
      <w:pPr>
        <w:spacing w:after="0" w:line="237"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As part of its oversight responsibility with respect to the independent accountant and in order to assure that the services provided by the independent accountant do not impair the independent accountant’s independence, the Audit Committee has established pre-approval policies with respect to work performed by D&amp;T for the Company. Under that policy, the Audit Committee pre-approves each audit service and non-audit service to be provided by D&amp;T. The Audit Committee has delegated to the Chair of the Audit Committee the authority to pre-approve audit and non-audit services to be performed by D&amp;T if the services are not expected to cost more than $100,000. Each audit and non-audit service presented to the Chair for pre-approval must be described in sufficient detail so that the Chair knows precisely what services the Chair is being asked to pre-approve so that he can make a well-reasoned assessment of the impact of the service on the independent accountant’s independence. The Chair must report any pre-approval decisions to the Audit Committee at its next scheduled meeting. All of the services performed by D&amp;T in 2021 for the Company were pre-approved by the Audit Committee or the Chair of the Audit Committee consistent with the pre-approval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126365</wp:posOffset>
            </wp:positionV>
            <wp:extent cx="1191260" cy="23114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99"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160"/>
          </w:cols>
          <w:pgMar w:left="320" w:top="125" w:right="419" w:bottom="1440" w:gutter="0" w:footer="0" w:header="0"/>
        </w:sectPr>
      </w:pPr>
    </w:p>
    <w:bookmarkStart w:id="109" w:name="page110"/>
    <w:bookmarkEnd w:id="10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55675"/>
        </w:rPr>
        <w:t>Audit Matters</w:t>
      </w:r>
    </w:p>
    <w:p>
      <w:pPr>
        <w:spacing w:after="0" w:line="197"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Audit Fees</w:t>
      </w:r>
    </w:p>
    <w:p>
      <w:pPr>
        <w:spacing w:after="0" w:line="230" w:lineRule="exact"/>
        <w:rPr>
          <w:sz w:val="20"/>
          <w:szCs w:val="20"/>
          <w:color w:val="auto"/>
        </w:rPr>
      </w:pPr>
    </w:p>
    <w:p>
      <w:pPr>
        <w:spacing w:after="0"/>
        <w:rPr>
          <w:sz w:val="20"/>
          <w:szCs w:val="20"/>
          <w:color w:val="auto"/>
        </w:rPr>
      </w:pPr>
      <w:r>
        <w:rPr>
          <w:rFonts w:ascii="Arial" w:cs="Arial" w:eastAsia="Arial" w:hAnsi="Arial"/>
          <w:sz w:val="18"/>
          <w:szCs w:val="18"/>
          <w:color w:val="auto"/>
        </w:rPr>
        <w:t>The following fees were paid to D&amp;T for the last two fiscal years:</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9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355675"/>
              </w:rPr>
              <w:t>2020</w:t>
            </w:r>
          </w:p>
        </w:tc>
        <w:tc>
          <w:tcPr>
            <w:tcW w:w="780" w:type="dxa"/>
            <w:vAlign w:val="bottom"/>
          </w:tcPr>
          <w:p>
            <w:pPr>
              <w:jc w:val="right"/>
              <w:spacing w:after="0"/>
              <w:rPr>
                <w:sz w:val="20"/>
                <w:szCs w:val="20"/>
                <w:color w:val="auto"/>
              </w:rPr>
            </w:pPr>
            <w:r>
              <w:rPr>
                <w:rFonts w:ascii="Arial" w:cs="Arial" w:eastAsia="Arial" w:hAnsi="Arial"/>
                <w:sz w:val="14"/>
                <w:szCs w:val="14"/>
                <w:b w:val="1"/>
                <w:bCs w:val="1"/>
                <w:color w:val="355675"/>
              </w:rPr>
              <w:t>2021</w:t>
            </w:r>
          </w:p>
        </w:tc>
      </w:tr>
      <w:tr>
        <w:trPr>
          <w:trHeight w:val="178"/>
        </w:trPr>
        <w:tc>
          <w:tcPr>
            <w:tcW w:w="9320" w:type="dxa"/>
            <w:vAlign w:val="bottom"/>
            <w:tcBorders>
              <w:bottom w:val="single" w:sz="8" w:color="355675"/>
            </w:tcBorders>
          </w:tcPr>
          <w:p>
            <w:pPr>
              <w:ind w:left="60"/>
              <w:spacing w:after="0"/>
              <w:rPr>
                <w:sz w:val="20"/>
                <w:szCs w:val="20"/>
                <w:color w:val="auto"/>
              </w:rPr>
            </w:pPr>
            <w:r>
              <w:rPr>
                <w:rFonts w:ascii="Arial" w:cs="Arial" w:eastAsia="Arial" w:hAnsi="Arial"/>
                <w:sz w:val="14"/>
                <w:szCs w:val="14"/>
                <w:b w:val="1"/>
                <w:bCs w:val="1"/>
                <w:color w:val="355675"/>
              </w:rPr>
              <w:t>Types of service</w:t>
            </w:r>
          </w:p>
        </w:tc>
        <w:tc>
          <w:tcPr>
            <w:tcW w:w="200" w:type="dxa"/>
            <w:vAlign w:val="bottom"/>
          </w:tcPr>
          <w:p>
            <w:pPr>
              <w:spacing w:after="0"/>
              <w:rPr>
                <w:sz w:val="15"/>
                <w:szCs w:val="15"/>
                <w:color w:val="auto"/>
              </w:rPr>
            </w:pPr>
          </w:p>
        </w:tc>
        <w:tc>
          <w:tcPr>
            <w:tcW w:w="74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c>
          <w:tcPr>
            <w:tcW w:w="200" w:type="dxa"/>
            <w:vAlign w:val="bottom"/>
          </w:tcPr>
          <w:p>
            <w:pPr>
              <w:spacing w:after="0"/>
              <w:rPr>
                <w:sz w:val="15"/>
                <w:szCs w:val="15"/>
                <w:color w:val="auto"/>
              </w:rPr>
            </w:pPr>
          </w:p>
        </w:tc>
        <w:tc>
          <w:tcPr>
            <w:tcW w:w="780" w:type="dxa"/>
            <w:vAlign w:val="bottom"/>
            <w:tcBorders>
              <w:bottom w:val="single" w:sz="8" w:color="355675"/>
            </w:tcBorders>
          </w:tcPr>
          <w:p>
            <w:pPr>
              <w:jc w:val="right"/>
              <w:spacing w:after="0"/>
              <w:rPr>
                <w:sz w:val="20"/>
                <w:szCs w:val="20"/>
                <w:color w:val="auto"/>
              </w:rPr>
            </w:pPr>
            <w:r>
              <w:rPr>
                <w:rFonts w:ascii="Arial" w:cs="Arial" w:eastAsia="Arial" w:hAnsi="Arial"/>
                <w:sz w:val="14"/>
                <w:szCs w:val="14"/>
                <w:b w:val="1"/>
                <w:bCs w:val="1"/>
                <w:color w:val="355675"/>
              </w:rPr>
              <w:t>($)</w:t>
            </w:r>
          </w:p>
        </w:tc>
      </w:tr>
      <w:tr>
        <w:trPr>
          <w:trHeight w:val="283"/>
        </w:trPr>
        <w:tc>
          <w:tcPr>
            <w:tcW w:w="9320" w:type="dxa"/>
            <w:vAlign w:val="bottom"/>
            <w:tcBorders>
              <w:bottom w:val="single" w:sz="8" w:color="939598"/>
            </w:tcBorders>
          </w:tcPr>
          <w:p>
            <w:pPr>
              <w:ind w:left="60"/>
              <w:spacing w:after="0" w:line="283" w:lineRule="exact"/>
              <w:rPr>
                <w:sz w:val="20"/>
                <w:szCs w:val="20"/>
                <w:color w:val="auto"/>
              </w:rPr>
            </w:pPr>
            <w:r>
              <w:rPr>
                <w:rFonts w:ascii="Arial" w:cs="Arial" w:eastAsia="Arial" w:hAnsi="Arial"/>
                <w:sz w:val="16"/>
                <w:szCs w:val="16"/>
                <w:color w:val="auto"/>
              </w:rPr>
              <w:t>Audit Fees</w:t>
            </w:r>
            <w:r>
              <w:rPr>
                <w:rFonts w:ascii="Arial" w:cs="Arial" w:eastAsia="Arial" w:hAnsi="Arial"/>
                <w:sz w:val="26"/>
                <w:szCs w:val="26"/>
                <w:color w:val="auto"/>
                <w:vertAlign w:val="superscript"/>
              </w:rPr>
              <w:t>(1)</w:t>
            </w:r>
          </w:p>
        </w:tc>
        <w:tc>
          <w:tcPr>
            <w:tcW w:w="200" w:type="dxa"/>
            <w:vAlign w:val="bottom"/>
          </w:tcPr>
          <w:p>
            <w:pPr>
              <w:spacing w:after="0"/>
              <w:rPr>
                <w:sz w:val="24"/>
                <w:szCs w:val="24"/>
                <w:color w:val="auto"/>
              </w:rPr>
            </w:pPr>
          </w:p>
        </w:tc>
        <w:tc>
          <w:tcPr>
            <w:tcW w:w="7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3,068,097</w:t>
            </w:r>
          </w:p>
        </w:tc>
        <w:tc>
          <w:tcPr>
            <w:tcW w:w="200" w:type="dxa"/>
            <w:vAlign w:val="bottom"/>
          </w:tcPr>
          <w:p>
            <w:pPr>
              <w:spacing w:after="0"/>
              <w:rPr>
                <w:sz w:val="24"/>
                <w:szCs w:val="24"/>
                <w:color w:val="auto"/>
              </w:rPr>
            </w:pPr>
          </w:p>
        </w:tc>
        <w:tc>
          <w:tcPr>
            <w:tcW w:w="7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w w:val="98"/>
              </w:rPr>
              <w:t>3,085,950</w:t>
            </w:r>
          </w:p>
        </w:tc>
      </w:tr>
      <w:tr>
        <w:trPr>
          <w:trHeight w:val="277"/>
        </w:trPr>
        <w:tc>
          <w:tcPr>
            <w:tcW w:w="9320" w:type="dxa"/>
            <w:vAlign w:val="bottom"/>
            <w:tcBorders>
              <w:bottom w:val="single" w:sz="8" w:color="939598"/>
            </w:tcBorders>
          </w:tcPr>
          <w:p>
            <w:pPr>
              <w:ind w:left="60"/>
              <w:spacing w:after="0" w:line="277" w:lineRule="exact"/>
              <w:rPr>
                <w:sz w:val="20"/>
                <w:szCs w:val="20"/>
                <w:color w:val="auto"/>
              </w:rPr>
            </w:pPr>
            <w:r>
              <w:rPr>
                <w:rFonts w:ascii="Arial" w:cs="Arial" w:eastAsia="Arial" w:hAnsi="Arial"/>
                <w:sz w:val="16"/>
                <w:szCs w:val="16"/>
                <w:color w:val="auto"/>
              </w:rPr>
              <w:t>Audit-Related Fees</w:t>
            </w:r>
            <w:r>
              <w:rPr>
                <w:rFonts w:ascii="Arial" w:cs="Arial" w:eastAsia="Arial" w:hAnsi="Arial"/>
                <w:sz w:val="26"/>
                <w:szCs w:val="26"/>
                <w:color w:val="auto"/>
                <w:vertAlign w:val="superscript"/>
              </w:rPr>
              <w:t>(2)</w:t>
            </w:r>
          </w:p>
        </w:tc>
        <w:tc>
          <w:tcPr>
            <w:tcW w:w="200" w:type="dxa"/>
            <w:vAlign w:val="bottom"/>
          </w:tcPr>
          <w:p>
            <w:pPr>
              <w:spacing w:after="0"/>
              <w:rPr>
                <w:sz w:val="24"/>
                <w:szCs w:val="24"/>
                <w:color w:val="auto"/>
              </w:rPr>
            </w:pPr>
          </w:p>
        </w:tc>
        <w:tc>
          <w:tcPr>
            <w:tcW w:w="7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403,360</w:t>
            </w:r>
          </w:p>
        </w:tc>
        <w:tc>
          <w:tcPr>
            <w:tcW w:w="200" w:type="dxa"/>
            <w:vAlign w:val="bottom"/>
          </w:tcPr>
          <w:p>
            <w:pPr>
              <w:spacing w:after="0"/>
              <w:rPr>
                <w:sz w:val="24"/>
                <w:szCs w:val="24"/>
                <w:color w:val="auto"/>
              </w:rPr>
            </w:pPr>
          </w:p>
        </w:tc>
        <w:tc>
          <w:tcPr>
            <w:tcW w:w="7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416,908</w:t>
            </w:r>
          </w:p>
        </w:tc>
      </w:tr>
      <w:tr>
        <w:trPr>
          <w:trHeight w:val="230"/>
        </w:trPr>
        <w:tc>
          <w:tcPr>
            <w:tcW w:w="9320" w:type="dxa"/>
            <w:vAlign w:val="bottom"/>
            <w:tcBorders>
              <w:bottom w:val="single" w:sz="8" w:color="939598"/>
            </w:tcBorders>
          </w:tcPr>
          <w:p>
            <w:pPr>
              <w:ind w:left="60"/>
              <w:spacing w:after="0"/>
              <w:rPr>
                <w:sz w:val="20"/>
                <w:szCs w:val="20"/>
                <w:color w:val="auto"/>
              </w:rPr>
            </w:pPr>
            <w:r>
              <w:rPr>
                <w:rFonts w:ascii="Arial" w:cs="Arial" w:eastAsia="Arial" w:hAnsi="Arial"/>
                <w:sz w:val="16"/>
                <w:szCs w:val="16"/>
                <w:color w:val="auto"/>
              </w:rPr>
              <w:t>Tax Fees</w:t>
            </w:r>
          </w:p>
        </w:tc>
        <w:tc>
          <w:tcPr>
            <w:tcW w:w="200" w:type="dxa"/>
            <w:vAlign w:val="bottom"/>
          </w:tcPr>
          <w:p>
            <w:pPr>
              <w:spacing w:after="0"/>
              <w:rPr>
                <w:sz w:val="20"/>
                <w:szCs w:val="20"/>
                <w:color w:val="auto"/>
              </w:rPr>
            </w:pPr>
          </w:p>
        </w:tc>
        <w:tc>
          <w:tcPr>
            <w:tcW w:w="74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0"/>
                <w:szCs w:val="20"/>
                <w:color w:val="auto"/>
              </w:rPr>
            </w:pPr>
          </w:p>
        </w:tc>
        <w:tc>
          <w:tcPr>
            <w:tcW w:w="78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0</w:t>
            </w:r>
          </w:p>
        </w:tc>
      </w:tr>
      <w:tr>
        <w:trPr>
          <w:trHeight w:val="250"/>
        </w:trPr>
        <w:tc>
          <w:tcPr>
            <w:tcW w:w="9320" w:type="dxa"/>
            <w:vAlign w:val="bottom"/>
            <w:tcBorders>
              <w:bottom w:val="single" w:sz="8" w:color="355675"/>
            </w:tcBorders>
          </w:tcPr>
          <w:p>
            <w:pPr>
              <w:ind w:left="60"/>
              <w:spacing w:after="0"/>
              <w:rPr>
                <w:sz w:val="20"/>
                <w:szCs w:val="20"/>
                <w:color w:val="auto"/>
              </w:rPr>
            </w:pPr>
            <w:r>
              <w:rPr>
                <w:rFonts w:ascii="Arial" w:cs="Arial" w:eastAsia="Arial" w:hAnsi="Arial"/>
                <w:sz w:val="16"/>
                <w:szCs w:val="16"/>
                <w:color w:val="auto"/>
              </w:rPr>
              <w:t>All Other Fees</w:t>
            </w:r>
          </w:p>
        </w:tc>
        <w:tc>
          <w:tcPr>
            <w:tcW w:w="200" w:type="dxa"/>
            <w:vAlign w:val="bottom"/>
          </w:tcPr>
          <w:p>
            <w:pPr>
              <w:spacing w:after="0"/>
              <w:rPr>
                <w:sz w:val="21"/>
                <w:szCs w:val="21"/>
                <w:color w:val="auto"/>
              </w:rPr>
            </w:pPr>
          </w:p>
        </w:tc>
        <w:tc>
          <w:tcPr>
            <w:tcW w:w="74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0</w:t>
            </w:r>
          </w:p>
        </w:tc>
        <w:tc>
          <w:tcPr>
            <w:tcW w:w="200" w:type="dxa"/>
            <w:vAlign w:val="bottom"/>
          </w:tcPr>
          <w:p>
            <w:pPr>
              <w:spacing w:after="0"/>
              <w:rPr>
                <w:sz w:val="21"/>
                <w:szCs w:val="21"/>
                <w:color w:val="auto"/>
              </w:rPr>
            </w:pPr>
          </w:p>
        </w:tc>
        <w:tc>
          <w:tcPr>
            <w:tcW w:w="78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0</w:t>
            </w:r>
          </w:p>
        </w:tc>
      </w:tr>
    </w:tbl>
    <w:p>
      <w:pPr>
        <w:spacing w:after="0" w:line="67" w:lineRule="exact"/>
        <w:rPr>
          <w:sz w:val="20"/>
          <w:szCs w:val="20"/>
          <w:color w:val="auto"/>
        </w:rPr>
      </w:pPr>
    </w:p>
    <w:p>
      <w:pPr>
        <w:ind w:left="300" w:hanging="292"/>
        <w:spacing w:after="0"/>
        <w:tabs>
          <w:tab w:leader="none" w:pos="300" w:val="left"/>
        </w:tabs>
        <w:numPr>
          <w:ilvl w:val="0"/>
          <w:numId w:val="114"/>
        </w:numPr>
        <w:rPr>
          <w:rFonts w:ascii="Arial" w:cs="Arial" w:eastAsia="Arial" w:hAnsi="Arial"/>
          <w:sz w:val="24"/>
          <w:szCs w:val="24"/>
          <w:color w:val="auto"/>
          <w:vertAlign w:val="superscript"/>
        </w:rPr>
      </w:pPr>
      <w:r>
        <w:rPr>
          <w:rFonts w:ascii="Arial" w:cs="Arial" w:eastAsia="Arial" w:hAnsi="Arial"/>
          <w:sz w:val="14"/>
          <w:szCs w:val="14"/>
          <w:color w:val="auto"/>
        </w:rPr>
        <w:t>The aggregate fees billed for services rendered for the audit of annual financial statements and for review of financial statements included in reports on Form 10-Q.</w:t>
      </w:r>
    </w:p>
    <w:p>
      <w:pPr>
        <w:spacing w:after="0" w:line="133" w:lineRule="exact"/>
        <w:rPr>
          <w:rFonts w:ascii="Arial" w:cs="Arial" w:eastAsia="Arial" w:hAnsi="Arial"/>
          <w:sz w:val="24"/>
          <w:szCs w:val="24"/>
          <w:color w:val="auto"/>
          <w:vertAlign w:val="superscript"/>
        </w:rPr>
      </w:pPr>
    </w:p>
    <w:p>
      <w:pPr>
        <w:ind w:left="300" w:right="220" w:hanging="292"/>
        <w:spacing w:after="0" w:line="193" w:lineRule="auto"/>
        <w:tabs>
          <w:tab w:leader="none" w:pos="300" w:val="left"/>
        </w:tabs>
        <w:numPr>
          <w:ilvl w:val="0"/>
          <w:numId w:val="114"/>
        </w:numPr>
        <w:rPr>
          <w:rFonts w:ascii="Arial" w:cs="Arial" w:eastAsia="Arial" w:hAnsi="Arial"/>
          <w:sz w:val="24"/>
          <w:szCs w:val="24"/>
          <w:color w:val="auto"/>
          <w:vertAlign w:val="superscript"/>
        </w:rPr>
      </w:pPr>
      <w:r>
        <w:rPr>
          <w:rFonts w:ascii="Arial" w:cs="Arial" w:eastAsia="Arial" w:hAnsi="Arial"/>
          <w:sz w:val="14"/>
          <w:szCs w:val="14"/>
          <w:color w:val="auto"/>
        </w:rPr>
        <w:t>The aggregate fees billed for assurance and related services that are reasonably related to the performance of the audit or review of the financial statements and are not included in Audit Fees reported above, which primarily consist of fees for employee benefit plan audits performed in 2020 and 2021.</w:t>
      </w:r>
    </w:p>
    <w:p>
      <w:pPr>
        <w:spacing w:after="0" w:line="164"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Report of the Audit Committee</w:t>
      </w:r>
    </w:p>
    <w:p>
      <w:pPr>
        <w:spacing w:after="0" w:line="230" w:lineRule="exact"/>
        <w:rPr>
          <w:sz w:val="20"/>
          <w:szCs w:val="20"/>
          <w:color w:val="auto"/>
        </w:rPr>
      </w:pPr>
    </w:p>
    <w:p>
      <w:pPr>
        <w:spacing w:after="0"/>
        <w:rPr>
          <w:sz w:val="20"/>
          <w:szCs w:val="20"/>
          <w:color w:val="auto"/>
        </w:rPr>
      </w:pPr>
      <w:r>
        <w:rPr>
          <w:rFonts w:ascii="Arial" w:cs="Arial" w:eastAsia="Arial" w:hAnsi="Arial"/>
          <w:sz w:val="18"/>
          <w:szCs w:val="18"/>
          <w:color w:val="auto"/>
        </w:rPr>
        <w:t>The Audit Committee is comprised solely of independent directors. Each member meets the NYSE financial literacy requirements, and Ms.</w:t>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Bryan and Mr. Nordstrom are “audit committee financial experts” under the SEC rules.</w:t>
      </w:r>
    </w:p>
    <w:p>
      <w:pPr>
        <w:spacing w:after="0" w:line="194" w:lineRule="exact"/>
        <w:rPr>
          <w:sz w:val="20"/>
          <w:szCs w:val="20"/>
          <w:color w:val="auto"/>
        </w:rPr>
      </w:pPr>
    </w:p>
    <w:p>
      <w:pPr>
        <w:spacing w:after="0" w:line="247" w:lineRule="auto"/>
        <w:rPr>
          <w:sz w:val="20"/>
          <w:szCs w:val="20"/>
          <w:color w:val="auto"/>
        </w:rPr>
      </w:pPr>
      <w:r>
        <w:rPr>
          <w:rFonts w:ascii="Arial" w:cs="Arial" w:eastAsia="Arial" w:hAnsi="Arial"/>
          <w:sz w:val="18"/>
          <w:szCs w:val="18"/>
          <w:color w:val="auto"/>
        </w:rPr>
        <w:t>In accordance with its written charter adopted by the Board, the primary function of the Audit Committee is to assist Board oversight of: (a) the integrity of the Company’s financial statements; (b) the independent accountant’s qualifications and independence; (c) the performance of the Company’s internal audit function and independent accountant; and (d) compliance by the Company with legal and regulatory requirements.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color w:val="auto"/>
        </w:rPr>
        <w:t>The Audit Committee reports as follows:</w:t>
      </w:r>
    </w:p>
    <w:p>
      <w:pPr>
        <w:spacing w:after="0" w:line="212" w:lineRule="exact"/>
        <w:rPr>
          <w:sz w:val="20"/>
          <w:szCs w:val="20"/>
          <w:color w:val="auto"/>
        </w:rPr>
      </w:pPr>
    </w:p>
    <w:p>
      <w:pPr>
        <w:ind w:left="300" w:right="100" w:hanging="292"/>
        <w:spacing w:after="0"/>
        <w:tabs>
          <w:tab w:leader="none" w:pos="30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Audit Committee has discussed and reviewed the audited financial statements of the Company as of and for the fiscal year ended December 31, 2021, with the Company’s management and the independent accountant, D&amp;T. The Audit Committee is directly responsible for the oversight of the Company’s independent accountant. Management is responsible for the Company’s financial reporting process, including the Company’s system of internal controls and for the preparation of financial statements in accordance with accounting principles generally accepted in the United States of America. The independent accountant is responsible for auditing and rendering an opinion on those financial statements, as well as auditing certain aspects of the Company’s internal controls. The Audit Committee’s responsibility is to monitor these processes.</w:t>
      </w:r>
    </w:p>
    <w:p>
      <w:pPr>
        <w:spacing w:after="0" w:line="184" w:lineRule="exact"/>
        <w:rPr>
          <w:rFonts w:ascii="Arial" w:cs="Arial" w:eastAsia="Arial" w:hAnsi="Arial"/>
          <w:sz w:val="18"/>
          <w:szCs w:val="18"/>
          <w:color w:val="auto"/>
        </w:rPr>
      </w:pPr>
    </w:p>
    <w:p>
      <w:pPr>
        <w:ind w:left="300" w:right="300" w:hanging="292"/>
        <w:spacing w:after="0" w:line="271" w:lineRule="auto"/>
        <w:tabs>
          <w:tab w:leader="none" w:pos="30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Audit Committee has discussed with D&amp;T the matters required to be discussed by the Statement on Auditing Standards No.1301, Communications with Audit Committees, as amended, and as adopted by the PCAOB.</w:t>
      </w:r>
    </w:p>
    <w:p>
      <w:pPr>
        <w:spacing w:after="0" w:line="153" w:lineRule="exact"/>
        <w:rPr>
          <w:rFonts w:ascii="Arial" w:cs="Arial" w:eastAsia="Arial" w:hAnsi="Arial"/>
          <w:sz w:val="18"/>
          <w:szCs w:val="18"/>
          <w:color w:val="auto"/>
        </w:rPr>
      </w:pPr>
    </w:p>
    <w:p>
      <w:pPr>
        <w:ind w:left="300" w:right="180" w:hanging="292"/>
        <w:spacing w:after="0" w:line="247" w:lineRule="auto"/>
        <w:tabs>
          <w:tab w:leader="none" w:pos="30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Audit Committee has obtained from D&amp;T and reviewed the written disclosures and the letter required by applicable requirements of the PCAOB regarding the independent accountant’s communications with the Audit Committee concerning independence. The Committee discussed with D&amp;T any relationships that may impact D&amp;T’s objectivity and independence and satisfied itself as to the accountant’s independence.</w:t>
      </w:r>
    </w:p>
    <w:p>
      <w:pPr>
        <w:spacing w:after="0" w:line="170" w:lineRule="exact"/>
        <w:rPr>
          <w:sz w:val="20"/>
          <w:szCs w:val="20"/>
          <w:color w:val="auto"/>
        </w:rPr>
      </w:pPr>
    </w:p>
    <w:p>
      <w:pPr>
        <w:jc w:val="right"/>
        <w:spacing w:after="0"/>
        <w:tabs>
          <w:tab w:leader="none" w:pos="22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0" w:name="page111"/>
    <w:bookmarkEnd w:id="11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Audit Matters</w:t>
      </w:r>
    </w:p>
    <w:p>
      <w:pPr>
        <w:spacing w:after="0" w:line="212" w:lineRule="exact"/>
        <w:rPr>
          <w:sz w:val="20"/>
          <w:szCs w:val="20"/>
          <w:color w:val="auto"/>
        </w:rPr>
      </w:pPr>
    </w:p>
    <w:p>
      <w:pPr>
        <w:ind w:left="300" w:hanging="292"/>
        <w:spacing w:after="0" w:line="271" w:lineRule="auto"/>
        <w:tabs>
          <w:tab w:leader="none" w:pos="30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Based on the foregoing, the Audit Committee has recommended to the Board that the Company’s audited financial statements be included in the Company’s Annual Report on Form 10-K for the fiscal year ended December 31, 2021, for filing with the SEC.</w:t>
      </w:r>
    </w:p>
    <w:p>
      <w:pPr>
        <w:sectPr>
          <w:pgSz w:w="11900" w:h="16838" w:orient="portrait"/>
          <w:cols w:equalWidth="0" w:num="1">
            <w:col w:w="10600"/>
          </w:cols>
          <w:pgMar w:left="320" w:top="125" w:right="979" w:bottom="1440" w:gutter="0" w:footer="0" w:header="0"/>
        </w:sectPr>
      </w:pPr>
    </w:p>
    <w:p>
      <w:pPr>
        <w:spacing w:after="0" w:line="140" w:lineRule="exact"/>
        <w:rPr>
          <w:sz w:val="20"/>
          <w:szCs w:val="20"/>
          <w:color w:val="auto"/>
        </w:rPr>
      </w:pPr>
    </w:p>
    <w:p>
      <w:pPr>
        <w:spacing w:after="0"/>
        <w:rPr>
          <w:sz w:val="20"/>
          <w:szCs w:val="20"/>
          <w:color w:val="auto"/>
        </w:rPr>
      </w:pPr>
      <w:r>
        <w:rPr>
          <w:rFonts w:ascii="Arial" w:cs="Arial" w:eastAsia="Arial" w:hAnsi="Arial"/>
          <w:sz w:val="17"/>
          <w:szCs w:val="17"/>
          <w:color w:val="auto"/>
        </w:rPr>
        <w:t>AUDIT COMMITTEE CHAIR</w:t>
      </w:r>
    </w:p>
    <w:p>
      <w:pPr>
        <w:spacing w:after="0" w:line="20" w:lineRule="exact"/>
        <w:rPr>
          <w:sz w:val="20"/>
          <w:szCs w:val="20"/>
          <w:color w:val="auto"/>
        </w:rPr>
      </w:pPr>
      <w:r>
        <w:rPr>
          <w:sz w:val="20"/>
          <w:szCs w:val="20"/>
          <w:color w:val="auto"/>
        </w:rPr>
        <w:br w:type="column"/>
      </w:r>
    </w:p>
    <w:p>
      <w:pPr>
        <w:spacing w:after="0" w:line="120" w:lineRule="exact"/>
        <w:rPr>
          <w:sz w:val="20"/>
          <w:szCs w:val="20"/>
          <w:color w:val="auto"/>
        </w:rPr>
      </w:pPr>
    </w:p>
    <w:p>
      <w:pPr>
        <w:spacing w:after="0"/>
        <w:rPr>
          <w:sz w:val="20"/>
          <w:szCs w:val="20"/>
          <w:color w:val="auto"/>
        </w:rPr>
      </w:pPr>
      <w:r>
        <w:rPr>
          <w:rFonts w:ascii="Arial" w:cs="Arial" w:eastAsia="Arial" w:hAnsi="Arial"/>
          <w:sz w:val="17"/>
          <w:szCs w:val="17"/>
          <w:color w:val="auto"/>
        </w:rPr>
        <w:t>AUDIT COMMITTEE MEMBERS</w:t>
      </w:r>
    </w:p>
    <w:p>
      <w:pPr>
        <w:spacing w:after="0" w:line="200" w:lineRule="exact"/>
        <w:rPr>
          <w:sz w:val="20"/>
          <w:szCs w:val="20"/>
          <w:color w:val="auto"/>
        </w:rPr>
      </w:pPr>
    </w:p>
    <w:p>
      <w:pPr>
        <w:sectPr>
          <w:pgSz w:w="11900" w:h="16838" w:orient="portrait"/>
          <w:cols w:equalWidth="0" w:num="2">
            <w:col w:w="5920" w:space="720"/>
            <w:col w:w="3960"/>
          </w:cols>
          <w:pgMar w:left="320" w:top="125" w:right="979" w:bottom="1440" w:gutter="0" w:footer="0" w:header="0"/>
          <w:type w:val="continuous"/>
        </w:sectPr>
      </w:pPr>
    </w:p>
    <w:p>
      <w:pPr>
        <w:spacing w:after="0" w:line="40" w:lineRule="exact"/>
        <w:rPr>
          <w:sz w:val="20"/>
          <w:szCs w:val="20"/>
          <w:color w:val="auto"/>
        </w:rPr>
      </w:pPr>
    </w:p>
    <w:p>
      <w:pPr>
        <w:spacing w:after="0"/>
        <w:rPr>
          <w:sz w:val="20"/>
          <w:szCs w:val="20"/>
          <w:color w:val="auto"/>
        </w:rPr>
      </w:pPr>
      <w:r>
        <w:rPr>
          <w:rFonts w:ascii="Arial" w:cs="Arial" w:eastAsia="Arial" w:hAnsi="Arial"/>
          <w:sz w:val="21"/>
          <w:szCs w:val="21"/>
          <w:b w:val="1"/>
          <w:bCs w:val="1"/>
          <w:color w:val="355675"/>
        </w:rPr>
        <w:t>Bruce J. Nordstrom</w:t>
      </w:r>
    </w:p>
    <w:p>
      <w:pPr>
        <w:spacing w:after="0" w:line="20" w:lineRule="exact"/>
        <w:rPr>
          <w:sz w:val="20"/>
          <w:szCs w:val="20"/>
          <w:color w:val="auto"/>
        </w:rPr>
      </w:pPr>
      <w:r>
        <w:rPr>
          <w:sz w:val="20"/>
          <w:szCs w:val="20"/>
          <w:color w:val="auto"/>
        </w:rPr>
        <w:br w:type="column"/>
      </w:r>
    </w:p>
    <w:p>
      <w:pPr>
        <w:spacing w:after="0" w:line="20" w:lineRule="exact"/>
        <w:rPr>
          <w:sz w:val="20"/>
          <w:szCs w:val="20"/>
          <w:color w:val="auto"/>
        </w:rPr>
      </w:pPr>
    </w:p>
    <w:p>
      <w:pPr>
        <w:spacing w:after="0"/>
        <w:rPr>
          <w:sz w:val="20"/>
          <w:szCs w:val="20"/>
          <w:color w:val="auto"/>
        </w:rPr>
      </w:pPr>
      <w:r>
        <w:rPr>
          <w:rFonts w:ascii="Arial" w:cs="Arial" w:eastAsia="Arial" w:hAnsi="Arial"/>
          <w:sz w:val="22"/>
          <w:szCs w:val="22"/>
          <w:b w:val="1"/>
          <w:bCs w:val="1"/>
          <w:color w:val="355675"/>
        </w:rPr>
        <w:t>Glynis A. Bryan</w:t>
      </w:r>
    </w:p>
    <w:p>
      <w:pPr>
        <w:spacing w:after="0" w:line="12" w:lineRule="exact"/>
        <w:rPr>
          <w:sz w:val="20"/>
          <w:szCs w:val="20"/>
          <w:color w:val="auto"/>
        </w:rPr>
      </w:pPr>
    </w:p>
    <w:p>
      <w:pPr>
        <w:spacing w:after="0"/>
        <w:rPr>
          <w:sz w:val="20"/>
          <w:szCs w:val="20"/>
          <w:color w:val="auto"/>
        </w:rPr>
      </w:pPr>
      <w:r>
        <w:rPr>
          <w:rFonts w:ascii="Arial" w:cs="Arial" w:eastAsia="Arial" w:hAnsi="Arial"/>
          <w:sz w:val="21"/>
          <w:szCs w:val="21"/>
          <w:b w:val="1"/>
          <w:bCs w:val="1"/>
          <w:color w:val="355675"/>
        </w:rPr>
        <w:t>Denis A. Cortese, M.D.</w:t>
      </w:r>
    </w:p>
    <w:p>
      <w:pPr>
        <w:spacing w:after="0" w:line="231" w:lineRule="auto"/>
        <w:rPr>
          <w:sz w:val="20"/>
          <w:szCs w:val="20"/>
          <w:color w:val="auto"/>
        </w:rPr>
      </w:pPr>
      <w:r>
        <w:rPr>
          <w:rFonts w:ascii="Arial" w:cs="Arial" w:eastAsia="Arial" w:hAnsi="Arial"/>
          <w:sz w:val="22"/>
          <w:szCs w:val="22"/>
          <w:b w:val="1"/>
          <w:bCs w:val="1"/>
          <w:color w:val="355675"/>
        </w:rPr>
        <w:t>Dale E. Klein, Ph.D.</w:t>
      </w:r>
    </w:p>
    <w:p>
      <w:pPr>
        <w:spacing w:after="0" w:line="1" w:lineRule="exact"/>
        <w:rPr>
          <w:sz w:val="20"/>
          <w:szCs w:val="20"/>
          <w:color w:val="auto"/>
        </w:rPr>
      </w:pPr>
    </w:p>
    <w:p>
      <w:pPr>
        <w:spacing w:after="0"/>
        <w:rPr>
          <w:sz w:val="20"/>
          <w:szCs w:val="20"/>
          <w:color w:val="auto"/>
        </w:rPr>
      </w:pPr>
      <w:r>
        <w:rPr>
          <w:rFonts w:ascii="Arial" w:cs="Arial" w:eastAsia="Arial" w:hAnsi="Arial"/>
          <w:sz w:val="22"/>
          <w:szCs w:val="22"/>
          <w:b w:val="1"/>
          <w:bCs w:val="1"/>
          <w:color w:val="355675"/>
        </w:rPr>
        <w:t>Paula J. Sims</w:t>
      </w:r>
    </w:p>
    <w:p>
      <w:pPr>
        <w:spacing w:after="0" w:line="200" w:lineRule="exact"/>
        <w:rPr>
          <w:sz w:val="20"/>
          <w:szCs w:val="20"/>
          <w:color w:val="auto"/>
        </w:rPr>
      </w:pPr>
    </w:p>
    <w:p>
      <w:pPr>
        <w:sectPr>
          <w:pgSz w:w="11900" w:h="16838" w:orient="portrait"/>
          <w:cols w:equalWidth="0" w:num="2">
            <w:col w:w="5920" w:space="720"/>
            <w:col w:w="3960"/>
          </w:cols>
          <w:pgMar w:left="320" w:top="125" w:right="979" w:bottom="1440" w:gutter="0" w:footer="0" w:header="0"/>
          <w:type w:val="continuous"/>
        </w:sectPr>
      </w:pP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Mr. de la Melena, Jr. joined the Audit Committee after this report was approved by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153670</wp:posOffset>
            </wp:positionV>
            <wp:extent cx="1191260" cy="23177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0600"/>
          </w:cols>
          <w:pgMar w:left="320" w:top="125" w:right="979" w:bottom="1440" w:gutter="0" w:footer="0" w:header="0"/>
          <w:type w:val="continuous"/>
        </w:sectPr>
      </w:pPr>
    </w:p>
    <w:bookmarkStart w:id="111" w:name="page112"/>
    <w:bookmarkEnd w:id="11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Stock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pacing w:after="0" w:line="28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008C9F"/>
        </w:rPr>
        <w:t>Ownership of Pinnacle West Stock</w:t>
      </w:r>
    </w:p>
    <w:p>
      <w:pPr>
        <w:spacing w:after="0" w:line="219" w:lineRule="exact"/>
        <w:rPr>
          <w:sz w:val="20"/>
          <w:szCs w:val="20"/>
          <w:color w:val="auto"/>
        </w:rPr>
      </w:pPr>
    </w:p>
    <w:p>
      <w:pPr>
        <w:jc w:val="both"/>
        <w:ind w:right="360"/>
        <w:spacing w:after="0" w:line="253" w:lineRule="auto"/>
        <w:rPr>
          <w:sz w:val="20"/>
          <w:szCs w:val="20"/>
          <w:color w:val="auto"/>
        </w:rPr>
      </w:pPr>
      <w:r>
        <w:rPr>
          <w:rFonts w:ascii="Arial" w:cs="Arial" w:eastAsia="Arial" w:hAnsi="Arial"/>
          <w:sz w:val="18"/>
          <w:szCs w:val="18"/>
          <w:color w:val="auto"/>
        </w:rPr>
        <w:t>The following table shows the amount of Pinnacle West common stock owned by the Company’s Directors, the NEOs, our Directors and executive officers as a group, and those persons who beneficially own more than 5% of the Company’s common stock. Unless otherwise indicated, each shareholder listed below has sole voting and investment power with respect to the shares beneficially owned.</w:t>
      </w:r>
    </w:p>
    <w:p>
      <w:pPr>
        <w:spacing w:after="0" w:line="169" w:lineRule="exact"/>
        <w:rPr>
          <w:sz w:val="20"/>
          <w:szCs w:val="20"/>
          <w:color w:val="auto"/>
        </w:rPr>
      </w:pPr>
    </w:p>
    <w:p>
      <w:pPr>
        <w:ind w:right="160"/>
        <w:spacing w:after="0" w:line="271" w:lineRule="auto"/>
        <w:rPr>
          <w:sz w:val="20"/>
          <w:szCs w:val="20"/>
          <w:color w:val="auto"/>
        </w:rPr>
      </w:pPr>
      <w:r>
        <w:rPr>
          <w:rFonts w:ascii="Arial" w:cs="Arial" w:eastAsia="Arial" w:hAnsi="Arial"/>
          <w:sz w:val="18"/>
          <w:szCs w:val="18"/>
          <w:color w:val="auto"/>
        </w:rPr>
        <w:t>The address of each of the listed shareholders not otherwise set forth below is P.O. Box 53999, Mail Station 8602, Phoenix, Arizona 85072-3999. Unless otherwise indicated, all information is as of March 10, 2022, the Record Date for the Annual Meeting.</w:t>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8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Number of shares</w:t>
            </w:r>
          </w:p>
        </w:tc>
        <w:tc>
          <w:tcPr>
            <w:tcW w:w="1120" w:type="dxa"/>
            <w:vAlign w:val="bottom"/>
          </w:tcPr>
          <w:p>
            <w:pPr>
              <w:spacing w:after="0"/>
              <w:rPr>
                <w:sz w:val="14"/>
                <w:szCs w:val="14"/>
                <w:color w:val="auto"/>
              </w:rPr>
            </w:pPr>
          </w:p>
        </w:tc>
      </w:tr>
      <w:tr>
        <w:trPr>
          <w:trHeight w:val="171"/>
        </w:trPr>
        <w:tc>
          <w:tcPr>
            <w:tcW w:w="8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Beneficially</w:t>
            </w:r>
          </w:p>
        </w:tc>
        <w:tc>
          <w:tcPr>
            <w:tcW w:w="1120" w:type="dxa"/>
            <w:vAlign w:val="bottom"/>
          </w:tcPr>
          <w:p>
            <w:pPr>
              <w:jc w:val="right"/>
              <w:spacing w:after="0"/>
              <w:rPr>
                <w:sz w:val="20"/>
                <w:szCs w:val="20"/>
                <w:color w:val="auto"/>
              </w:rPr>
            </w:pPr>
            <w:r>
              <w:rPr>
                <w:rFonts w:ascii="Arial" w:cs="Arial" w:eastAsia="Arial" w:hAnsi="Arial"/>
                <w:sz w:val="14"/>
                <w:szCs w:val="14"/>
                <w:b w:val="1"/>
                <w:bCs w:val="1"/>
                <w:color w:val="355675"/>
              </w:rPr>
              <w:t>Percent of</w:t>
            </w:r>
          </w:p>
        </w:tc>
      </w:tr>
      <w:tr>
        <w:trPr>
          <w:trHeight w:val="180"/>
        </w:trPr>
        <w:tc>
          <w:tcPr>
            <w:tcW w:w="8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900" w:type="dxa"/>
            <w:vAlign w:val="bottom"/>
            <w:gridSpan w:val="2"/>
          </w:tcPr>
          <w:p>
            <w:pPr>
              <w:jc w:val="right"/>
              <w:ind w:right="100"/>
              <w:spacing w:after="0" w:line="180" w:lineRule="exact"/>
              <w:rPr>
                <w:sz w:val="20"/>
                <w:szCs w:val="20"/>
                <w:color w:val="auto"/>
              </w:rPr>
            </w:pPr>
            <w:r>
              <w:rPr>
                <w:rFonts w:ascii="Arial" w:cs="Arial" w:eastAsia="Arial" w:hAnsi="Arial"/>
                <w:sz w:val="13"/>
                <w:szCs w:val="13"/>
                <w:b w:val="1"/>
                <w:bCs w:val="1"/>
                <w:color w:val="355675"/>
              </w:rPr>
              <w:t>Owned</w:t>
            </w:r>
            <w:r>
              <w:rPr>
                <w:rFonts w:ascii="Arial" w:cs="Arial" w:eastAsia="Arial" w:hAnsi="Arial"/>
                <w:sz w:val="20"/>
                <w:szCs w:val="20"/>
                <w:b w:val="1"/>
                <w:bCs w:val="1"/>
                <w:color w:val="355675"/>
                <w:vertAlign w:val="superscript"/>
              </w:rPr>
              <w:t>(1)</w:t>
            </w:r>
          </w:p>
        </w:tc>
        <w:tc>
          <w:tcPr>
            <w:tcW w:w="1120" w:type="dxa"/>
            <w:vAlign w:val="bottom"/>
          </w:tcPr>
          <w:p>
            <w:pPr>
              <w:jc w:val="right"/>
              <w:spacing w:after="0"/>
              <w:rPr>
                <w:sz w:val="20"/>
                <w:szCs w:val="20"/>
                <w:color w:val="auto"/>
              </w:rPr>
            </w:pPr>
            <w:r>
              <w:rPr>
                <w:rFonts w:ascii="Arial" w:cs="Arial" w:eastAsia="Arial" w:hAnsi="Arial"/>
                <w:sz w:val="14"/>
                <w:szCs w:val="14"/>
                <w:b w:val="1"/>
                <w:bCs w:val="1"/>
                <w:color w:val="355675"/>
              </w:rPr>
              <w:t>Class</w:t>
            </w:r>
          </w:p>
        </w:tc>
      </w:tr>
      <w:tr>
        <w:trPr>
          <w:trHeight w:val="178"/>
        </w:trPr>
        <w:tc>
          <w:tcPr>
            <w:tcW w:w="8220" w:type="dxa"/>
            <w:vAlign w:val="bottom"/>
            <w:gridSpan w:val="2"/>
          </w:tcPr>
          <w:p>
            <w:pPr>
              <w:ind w:left="60"/>
              <w:spacing w:after="0"/>
              <w:rPr>
                <w:sz w:val="20"/>
                <w:szCs w:val="20"/>
                <w:color w:val="auto"/>
              </w:rPr>
            </w:pPr>
            <w:r>
              <w:rPr>
                <w:rFonts w:ascii="Arial" w:cs="Arial" w:eastAsia="Arial" w:hAnsi="Arial"/>
                <w:sz w:val="14"/>
                <w:szCs w:val="14"/>
                <w:b w:val="1"/>
                <w:bCs w:val="1"/>
                <w:color w:val="355675"/>
              </w:rPr>
              <w:t>Name</w:t>
            </w:r>
          </w:p>
        </w:tc>
        <w:tc>
          <w:tcPr>
            <w:tcW w:w="1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w:t>
            </w:r>
          </w:p>
        </w:tc>
        <w:tc>
          <w:tcPr>
            <w:tcW w:w="112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189"/>
        </w:trPr>
        <w:tc>
          <w:tcPr>
            <w:tcW w:w="8100" w:type="dxa"/>
            <w:vAlign w:val="bottom"/>
            <w:tcBorders>
              <w:top w:val="single" w:sz="8" w:color="355675"/>
              <w:bottom w:val="single" w:sz="8" w:color="939598"/>
            </w:tcBorders>
          </w:tcPr>
          <w:p>
            <w:pPr>
              <w:ind w:left="60"/>
              <w:spacing w:after="0"/>
              <w:rPr>
                <w:sz w:val="20"/>
                <w:szCs w:val="20"/>
                <w:color w:val="auto"/>
              </w:rPr>
            </w:pPr>
            <w:r>
              <w:rPr>
                <w:rFonts w:ascii="Arial" w:cs="Arial" w:eastAsia="Arial" w:hAnsi="Arial"/>
                <w:sz w:val="16"/>
                <w:szCs w:val="16"/>
                <w:b w:val="1"/>
                <w:bCs w:val="1"/>
                <w:color w:val="auto"/>
              </w:rPr>
              <w:t>Directors:</w:t>
            </w:r>
          </w:p>
        </w:tc>
        <w:tc>
          <w:tcPr>
            <w:tcW w:w="120" w:type="dxa"/>
            <w:vAlign w:val="bottom"/>
          </w:tcPr>
          <w:p>
            <w:pPr>
              <w:spacing w:after="0"/>
              <w:rPr>
                <w:sz w:val="16"/>
                <w:szCs w:val="16"/>
                <w:color w:val="auto"/>
              </w:rPr>
            </w:pPr>
          </w:p>
        </w:tc>
        <w:tc>
          <w:tcPr>
            <w:tcW w:w="1800" w:type="dxa"/>
            <w:vAlign w:val="bottom"/>
            <w:tcBorders>
              <w:top w:val="single" w:sz="8" w:color="355675"/>
              <w:bottom w:val="single" w:sz="8" w:color="939598"/>
            </w:tcBorders>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Borders>
              <w:top w:val="single" w:sz="8" w:color="355675"/>
              <w:bottom w:val="single" w:sz="8" w:color="939598"/>
            </w:tcBorders>
          </w:tcPr>
          <w:p>
            <w:pPr>
              <w:spacing w:after="0"/>
              <w:rPr>
                <w:sz w:val="16"/>
                <w:szCs w:val="16"/>
                <w:color w:val="auto"/>
              </w:rPr>
            </w:pP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Glynis A. Bryan</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3,107</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Denis A. Cortese, M.D.</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19,619</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Richard P. Fox</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11,003</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Gonzalo A. de la Melena, Jr.</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646</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Jeffrey B. Guldner</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33,281</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Dale E. Klein, Ph.D.</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23,594</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Humberto S. Lopez</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59,177</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Kathryn L. Munro</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36,094</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Bruce J. Nordstrom</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32,801</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Paula J. Sims</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8,953</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William H. Spence</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2,843</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James E. Trevathan Jr.</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5,781</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9"/>
        </w:trPr>
        <w:tc>
          <w:tcPr>
            <w:tcW w:w="8100" w:type="dxa"/>
            <w:vAlign w:val="bottom"/>
            <w:tcBorders>
              <w:bottom w:val="single" w:sz="8" w:color="355675"/>
            </w:tcBorders>
          </w:tcPr>
          <w:p>
            <w:pPr>
              <w:ind w:left="280"/>
              <w:spacing w:after="0" w:line="183" w:lineRule="exact"/>
              <w:rPr>
                <w:sz w:val="20"/>
                <w:szCs w:val="20"/>
                <w:color w:val="auto"/>
              </w:rPr>
            </w:pPr>
            <w:r>
              <w:rPr>
                <w:rFonts w:ascii="Arial" w:cs="Arial" w:eastAsia="Arial" w:hAnsi="Arial"/>
                <w:sz w:val="16"/>
                <w:szCs w:val="16"/>
                <w:b w:val="1"/>
                <w:bCs w:val="1"/>
                <w:color w:val="355675"/>
              </w:rPr>
              <w:t>David P. Wagener</w:t>
            </w:r>
          </w:p>
        </w:tc>
        <w:tc>
          <w:tcPr>
            <w:tcW w:w="120" w:type="dxa"/>
            <w:vAlign w:val="bottom"/>
          </w:tcPr>
          <w:p>
            <w:pPr>
              <w:spacing w:after="0"/>
              <w:rPr>
                <w:sz w:val="16"/>
                <w:szCs w:val="16"/>
                <w:color w:val="auto"/>
              </w:rPr>
            </w:pPr>
          </w:p>
        </w:tc>
        <w:tc>
          <w:tcPr>
            <w:tcW w:w="1800" w:type="dxa"/>
            <w:vAlign w:val="bottom"/>
            <w:tcBorders>
              <w:bottom w:val="single" w:sz="8" w:color="355675"/>
            </w:tcBorders>
          </w:tcPr>
          <w:p>
            <w:pPr>
              <w:jc w:val="right"/>
              <w:spacing w:after="0" w:line="183" w:lineRule="exact"/>
              <w:rPr>
                <w:sz w:val="20"/>
                <w:szCs w:val="20"/>
                <w:color w:val="auto"/>
              </w:rPr>
            </w:pPr>
            <w:r>
              <w:rPr>
                <w:rFonts w:ascii="Arial" w:cs="Arial" w:eastAsia="Arial" w:hAnsi="Arial"/>
                <w:sz w:val="16"/>
                <w:szCs w:val="16"/>
                <w:color w:val="auto"/>
              </w:rPr>
              <w:t>17,449</w:t>
            </w:r>
          </w:p>
        </w:tc>
        <w:tc>
          <w:tcPr>
            <w:tcW w:w="100" w:type="dxa"/>
            <w:vAlign w:val="bottom"/>
          </w:tcPr>
          <w:p>
            <w:pPr>
              <w:spacing w:after="0"/>
              <w:rPr>
                <w:sz w:val="16"/>
                <w:szCs w:val="16"/>
                <w:color w:val="auto"/>
              </w:rPr>
            </w:pPr>
          </w:p>
        </w:tc>
        <w:tc>
          <w:tcPr>
            <w:tcW w:w="1120" w:type="dxa"/>
            <w:vAlign w:val="bottom"/>
            <w:tcBorders>
              <w:bottom w:val="single" w:sz="8" w:color="355675"/>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89"/>
        </w:trPr>
        <w:tc>
          <w:tcPr>
            <w:tcW w:w="8100" w:type="dxa"/>
            <w:vAlign w:val="bottom"/>
            <w:tcBorders>
              <w:bottom w:val="single" w:sz="8" w:color="939598"/>
            </w:tcBorders>
          </w:tcPr>
          <w:p>
            <w:pPr>
              <w:ind w:left="60"/>
              <w:spacing w:after="0"/>
              <w:rPr>
                <w:sz w:val="20"/>
                <w:szCs w:val="20"/>
                <w:color w:val="auto"/>
              </w:rPr>
            </w:pPr>
            <w:r>
              <w:rPr>
                <w:rFonts w:ascii="Arial" w:cs="Arial" w:eastAsia="Arial" w:hAnsi="Arial"/>
                <w:sz w:val="16"/>
                <w:szCs w:val="16"/>
                <w:b w:val="1"/>
                <w:bCs w:val="1"/>
                <w:color w:val="auto"/>
              </w:rPr>
              <w:t>Other NEOs:</w:t>
            </w:r>
          </w:p>
        </w:tc>
        <w:tc>
          <w:tcPr>
            <w:tcW w:w="120" w:type="dxa"/>
            <w:vAlign w:val="bottom"/>
          </w:tcPr>
          <w:p>
            <w:pPr>
              <w:spacing w:after="0"/>
              <w:rPr>
                <w:sz w:val="16"/>
                <w:szCs w:val="16"/>
                <w:color w:val="auto"/>
              </w:rPr>
            </w:pPr>
          </w:p>
        </w:tc>
        <w:tc>
          <w:tcPr>
            <w:tcW w:w="1800" w:type="dxa"/>
            <w:vAlign w:val="bottom"/>
            <w:tcBorders>
              <w:bottom w:val="single" w:sz="8" w:color="939598"/>
            </w:tcBorders>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Borders>
              <w:bottom w:val="single" w:sz="8" w:color="939598"/>
            </w:tcBorders>
          </w:tcPr>
          <w:p>
            <w:pPr>
              <w:spacing w:after="0"/>
              <w:rPr>
                <w:sz w:val="16"/>
                <w:szCs w:val="16"/>
                <w:color w:val="auto"/>
              </w:rPr>
            </w:pP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Theodore N. Geisler</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5,658</w:t>
            </w:r>
          </w:p>
        </w:tc>
        <w:tc>
          <w:tcPr>
            <w:tcW w:w="100" w:type="dxa"/>
            <w:vAlign w:val="bottom"/>
          </w:tcPr>
          <w:p>
            <w:pPr>
              <w:spacing w:after="0"/>
              <w:rPr>
                <w:sz w:val="15"/>
                <w:szCs w:val="15"/>
                <w:color w:val="auto"/>
              </w:rPr>
            </w:pPr>
          </w:p>
        </w:tc>
        <w:tc>
          <w:tcPr>
            <w:tcW w:w="112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223"/>
        </w:trPr>
        <w:tc>
          <w:tcPr>
            <w:tcW w:w="8100" w:type="dxa"/>
            <w:vAlign w:val="bottom"/>
            <w:tcBorders>
              <w:bottom w:val="single" w:sz="8" w:color="939598"/>
            </w:tcBorders>
          </w:tcPr>
          <w:p>
            <w:pPr>
              <w:ind w:left="280"/>
              <w:spacing w:after="0" w:line="223" w:lineRule="exact"/>
              <w:rPr>
                <w:sz w:val="20"/>
                <w:szCs w:val="20"/>
                <w:color w:val="auto"/>
              </w:rPr>
            </w:pPr>
            <w:r>
              <w:rPr>
                <w:rFonts w:ascii="Arial" w:cs="Arial" w:eastAsia="Arial" w:hAnsi="Arial"/>
                <w:sz w:val="16"/>
                <w:szCs w:val="16"/>
                <w:b w:val="1"/>
                <w:bCs w:val="1"/>
                <w:color w:val="355675"/>
              </w:rPr>
              <w:t>James R. Hatfield</w:t>
            </w:r>
            <w:r>
              <w:rPr>
                <w:rFonts w:ascii="Arial" w:cs="Arial" w:eastAsia="Arial" w:hAnsi="Arial"/>
                <w:sz w:val="25"/>
                <w:szCs w:val="25"/>
                <w:b w:val="1"/>
                <w:bCs w:val="1"/>
                <w:color w:val="355675"/>
                <w:vertAlign w:val="superscript"/>
              </w:rPr>
              <w:t>(3)</w:t>
            </w:r>
          </w:p>
        </w:tc>
        <w:tc>
          <w:tcPr>
            <w:tcW w:w="120" w:type="dxa"/>
            <w:vAlign w:val="bottom"/>
          </w:tcPr>
          <w:p>
            <w:pPr>
              <w:spacing w:after="0"/>
              <w:rPr>
                <w:sz w:val="19"/>
                <w:szCs w:val="19"/>
                <w:color w:val="auto"/>
              </w:rPr>
            </w:pPr>
          </w:p>
        </w:tc>
        <w:tc>
          <w:tcPr>
            <w:tcW w:w="180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34,777</w:t>
            </w:r>
          </w:p>
        </w:tc>
        <w:tc>
          <w:tcPr>
            <w:tcW w:w="100" w:type="dxa"/>
            <w:vAlign w:val="bottom"/>
          </w:tcPr>
          <w:p>
            <w:pPr>
              <w:spacing w:after="0"/>
              <w:rPr>
                <w:sz w:val="19"/>
                <w:szCs w:val="19"/>
                <w:color w:val="auto"/>
              </w:rPr>
            </w:pPr>
          </w:p>
        </w:tc>
        <w:tc>
          <w:tcPr>
            <w:tcW w:w="1120" w:type="dxa"/>
            <w:vAlign w:val="bottom"/>
            <w:tcBorders>
              <w:bottom w:val="single" w:sz="8" w:color="939598"/>
            </w:tcBorders>
          </w:tcPr>
          <w:p>
            <w:pPr>
              <w:jc w:val="right"/>
              <w:spacing w:after="0"/>
              <w:rPr>
                <w:sz w:val="20"/>
                <w:szCs w:val="20"/>
                <w:color w:val="auto"/>
              </w:rPr>
            </w:pPr>
            <w:r>
              <w:rPr>
                <w:rFonts w:ascii="Arial" w:cs="Arial" w:eastAsia="Arial" w:hAnsi="Arial"/>
                <w:sz w:val="16"/>
                <w:szCs w:val="16"/>
                <w:color w:val="auto"/>
              </w:rPr>
              <w:t>*</w:t>
            </w:r>
          </w:p>
        </w:tc>
      </w:tr>
      <w:tr>
        <w:trPr>
          <w:trHeight w:val="183"/>
        </w:trPr>
        <w:tc>
          <w:tcPr>
            <w:tcW w:w="8100" w:type="dxa"/>
            <w:vAlign w:val="bottom"/>
            <w:tcBorders>
              <w:bottom w:val="single" w:sz="8" w:color="939598"/>
            </w:tcBorders>
          </w:tcPr>
          <w:p>
            <w:pPr>
              <w:ind w:left="280"/>
              <w:spacing w:after="0" w:line="183" w:lineRule="exact"/>
              <w:rPr>
                <w:sz w:val="20"/>
                <w:szCs w:val="20"/>
                <w:color w:val="auto"/>
              </w:rPr>
            </w:pPr>
            <w:r>
              <w:rPr>
                <w:rFonts w:ascii="Arial" w:cs="Arial" w:eastAsia="Arial" w:hAnsi="Arial"/>
                <w:sz w:val="16"/>
                <w:szCs w:val="16"/>
                <w:b w:val="1"/>
                <w:bCs w:val="1"/>
                <w:color w:val="355675"/>
              </w:rPr>
              <w:t>Maria L. Lacal</w:t>
            </w:r>
          </w:p>
        </w:tc>
        <w:tc>
          <w:tcPr>
            <w:tcW w:w="120" w:type="dxa"/>
            <w:vAlign w:val="bottom"/>
          </w:tcPr>
          <w:p>
            <w:pPr>
              <w:spacing w:after="0"/>
              <w:rPr>
                <w:sz w:val="15"/>
                <w:szCs w:val="15"/>
                <w:color w:val="auto"/>
              </w:rPr>
            </w:pPr>
          </w:p>
        </w:tc>
        <w:tc>
          <w:tcPr>
            <w:tcW w:w="1800" w:type="dxa"/>
            <w:vAlign w:val="bottom"/>
            <w:tcBorders>
              <w:bottom w:val="single" w:sz="8" w:color="939598"/>
            </w:tcBorders>
          </w:tcPr>
          <w:p>
            <w:pPr>
              <w:jc w:val="right"/>
              <w:spacing w:after="0" w:line="183" w:lineRule="exact"/>
              <w:rPr>
                <w:sz w:val="20"/>
                <w:szCs w:val="20"/>
                <w:color w:val="auto"/>
              </w:rPr>
            </w:pPr>
            <w:r>
              <w:rPr>
                <w:rFonts w:ascii="Arial" w:cs="Arial" w:eastAsia="Arial" w:hAnsi="Arial"/>
                <w:sz w:val="16"/>
                <w:szCs w:val="16"/>
                <w:color w:val="auto"/>
              </w:rPr>
              <w:t>28,250</w:t>
            </w:r>
          </w:p>
        </w:tc>
        <w:tc>
          <w:tcPr>
            <w:tcW w:w="100" w:type="dxa"/>
            <w:vAlign w:val="bottom"/>
          </w:tcPr>
          <w:p>
            <w:pPr>
              <w:spacing w:after="0"/>
              <w:rPr>
                <w:sz w:val="15"/>
                <w:szCs w:val="15"/>
                <w:color w:val="auto"/>
              </w:rPr>
            </w:pPr>
          </w:p>
        </w:tc>
        <w:tc>
          <w:tcPr>
            <w:tcW w:w="1120" w:type="dxa"/>
            <w:vAlign w:val="bottom"/>
            <w:tcBorders>
              <w:bottom w:val="single" w:sz="8" w:color="939598"/>
            </w:tcBorders>
          </w:tcPr>
          <w:p>
            <w:pPr>
              <w:spacing w:after="0"/>
              <w:rPr>
                <w:sz w:val="15"/>
                <w:szCs w:val="15"/>
                <w:color w:val="auto"/>
              </w:rPr>
            </w:pPr>
          </w:p>
        </w:tc>
      </w:tr>
      <w:tr>
        <w:trPr>
          <w:trHeight w:val="190"/>
        </w:trPr>
        <w:tc>
          <w:tcPr>
            <w:tcW w:w="8100" w:type="dxa"/>
            <w:vAlign w:val="bottom"/>
            <w:tcBorders>
              <w:bottom w:val="single" w:sz="8" w:color="355675"/>
            </w:tcBorders>
          </w:tcPr>
          <w:p>
            <w:pPr>
              <w:ind w:left="280"/>
              <w:spacing w:after="0" w:line="183" w:lineRule="exact"/>
              <w:rPr>
                <w:sz w:val="20"/>
                <w:szCs w:val="20"/>
                <w:color w:val="auto"/>
              </w:rPr>
            </w:pPr>
            <w:r>
              <w:rPr>
                <w:rFonts w:ascii="Arial" w:cs="Arial" w:eastAsia="Arial" w:hAnsi="Arial"/>
                <w:sz w:val="16"/>
                <w:szCs w:val="16"/>
                <w:b w:val="1"/>
                <w:bCs w:val="1"/>
                <w:color w:val="355675"/>
              </w:rPr>
              <w:t>Robert E. Smith</w:t>
            </w:r>
          </w:p>
        </w:tc>
        <w:tc>
          <w:tcPr>
            <w:tcW w:w="120" w:type="dxa"/>
            <w:vAlign w:val="bottom"/>
          </w:tcPr>
          <w:p>
            <w:pPr>
              <w:spacing w:after="0"/>
              <w:rPr>
                <w:sz w:val="16"/>
                <w:szCs w:val="16"/>
                <w:color w:val="auto"/>
              </w:rPr>
            </w:pPr>
          </w:p>
        </w:tc>
        <w:tc>
          <w:tcPr>
            <w:tcW w:w="1800" w:type="dxa"/>
            <w:vAlign w:val="bottom"/>
            <w:tcBorders>
              <w:bottom w:val="single" w:sz="8" w:color="355675"/>
            </w:tcBorders>
          </w:tcPr>
          <w:p>
            <w:pPr>
              <w:jc w:val="right"/>
              <w:spacing w:after="0" w:line="183" w:lineRule="exact"/>
              <w:rPr>
                <w:sz w:val="20"/>
                <w:szCs w:val="20"/>
                <w:color w:val="auto"/>
              </w:rPr>
            </w:pPr>
            <w:r>
              <w:rPr>
                <w:rFonts w:ascii="Arial" w:cs="Arial" w:eastAsia="Arial" w:hAnsi="Arial"/>
                <w:sz w:val="16"/>
                <w:szCs w:val="16"/>
                <w:color w:val="auto"/>
              </w:rPr>
              <w:t>5,195</w:t>
            </w:r>
          </w:p>
        </w:tc>
        <w:tc>
          <w:tcPr>
            <w:tcW w:w="100" w:type="dxa"/>
            <w:vAlign w:val="bottom"/>
          </w:tcPr>
          <w:p>
            <w:pPr>
              <w:spacing w:after="0"/>
              <w:rPr>
                <w:sz w:val="16"/>
                <w:szCs w:val="16"/>
                <w:color w:val="auto"/>
              </w:rPr>
            </w:pPr>
          </w:p>
        </w:tc>
        <w:tc>
          <w:tcPr>
            <w:tcW w:w="1120" w:type="dxa"/>
            <w:vAlign w:val="bottom"/>
            <w:tcBorders>
              <w:bottom w:val="single" w:sz="8" w:color="355675"/>
            </w:tcBorders>
          </w:tcPr>
          <w:p>
            <w:pPr>
              <w:jc w:val="right"/>
              <w:spacing w:after="0" w:line="183" w:lineRule="exact"/>
              <w:rPr>
                <w:sz w:val="20"/>
                <w:szCs w:val="20"/>
                <w:color w:val="auto"/>
              </w:rPr>
            </w:pPr>
            <w:r>
              <w:rPr>
                <w:rFonts w:ascii="Arial" w:cs="Arial" w:eastAsia="Arial" w:hAnsi="Arial"/>
                <w:sz w:val="16"/>
                <w:szCs w:val="16"/>
                <w:color w:val="auto"/>
              </w:rPr>
              <w:t>*</w:t>
            </w:r>
          </w:p>
        </w:tc>
      </w:tr>
      <w:tr>
        <w:trPr>
          <w:trHeight w:val="196"/>
        </w:trPr>
        <w:tc>
          <w:tcPr>
            <w:tcW w:w="8100" w:type="dxa"/>
            <w:vAlign w:val="bottom"/>
            <w:tcBorders>
              <w:bottom w:val="single" w:sz="8" w:color="355675"/>
            </w:tcBorders>
          </w:tcPr>
          <w:p>
            <w:pPr>
              <w:ind w:left="60"/>
              <w:spacing w:after="0"/>
              <w:rPr>
                <w:sz w:val="20"/>
                <w:szCs w:val="20"/>
                <w:color w:val="auto"/>
              </w:rPr>
            </w:pPr>
            <w:r>
              <w:rPr>
                <w:rFonts w:ascii="Arial" w:cs="Arial" w:eastAsia="Arial" w:hAnsi="Arial"/>
                <w:sz w:val="16"/>
                <w:szCs w:val="16"/>
                <w:b w:val="1"/>
                <w:bCs w:val="1"/>
                <w:color w:val="auto"/>
              </w:rPr>
              <w:t>All Directors and Executive Officers as a Group (20 Persons):</w:t>
            </w:r>
          </w:p>
        </w:tc>
        <w:tc>
          <w:tcPr>
            <w:tcW w:w="120" w:type="dxa"/>
            <w:vAlign w:val="bottom"/>
          </w:tcPr>
          <w:p>
            <w:pPr>
              <w:spacing w:after="0"/>
              <w:rPr>
                <w:sz w:val="17"/>
                <w:szCs w:val="17"/>
                <w:color w:val="auto"/>
              </w:rPr>
            </w:pPr>
          </w:p>
        </w:tc>
        <w:tc>
          <w:tcPr>
            <w:tcW w:w="18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352,155</w:t>
            </w:r>
          </w:p>
        </w:tc>
        <w:tc>
          <w:tcPr>
            <w:tcW w:w="100" w:type="dxa"/>
            <w:vAlign w:val="bottom"/>
          </w:tcPr>
          <w:p>
            <w:pPr>
              <w:spacing w:after="0"/>
              <w:rPr>
                <w:sz w:val="17"/>
                <w:szCs w:val="17"/>
                <w:color w:val="auto"/>
              </w:rPr>
            </w:pPr>
          </w:p>
        </w:tc>
        <w:tc>
          <w:tcPr>
            <w:tcW w:w="112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w:t>
            </w:r>
          </w:p>
        </w:tc>
      </w:tr>
    </w:tbl>
    <w:p>
      <w:pPr>
        <w:spacing w:after="0" w:line="153" w:lineRule="exact"/>
        <w:rPr>
          <w:sz w:val="20"/>
          <w:szCs w:val="20"/>
          <w:color w:val="auto"/>
        </w:rPr>
      </w:pPr>
    </w:p>
    <w:p>
      <w:pPr>
        <w:jc w:val="right"/>
        <w:spacing w:after="0"/>
        <w:tabs>
          <w:tab w:leader="none" w:pos="22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2" w:name="page113"/>
    <w:bookmarkEnd w:id="11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Stock Matters</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8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Number of shares</w:t>
            </w:r>
          </w:p>
        </w:tc>
        <w:tc>
          <w:tcPr>
            <w:tcW w:w="1120" w:type="dxa"/>
            <w:vAlign w:val="bottom"/>
          </w:tcPr>
          <w:p>
            <w:pPr>
              <w:spacing w:after="0"/>
              <w:rPr>
                <w:sz w:val="14"/>
                <w:szCs w:val="14"/>
                <w:color w:val="auto"/>
              </w:rPr>
            </w:pPr>
          </w:p>
        </w:tc>
      </w:tr>
      <w:tr>
        <w:trPr>
          <w:trHeight w:val="171"/>
        </w:trPr>
        <w:tc>
          <w:tcPr>
            <w:tcW w:w="8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Beneficially</w:t>
            </w:r>
          </w:p>
        </w:tc>
        <w:tc>
          <w:tcPr>
            <w:tcW w:w="1120" w:type="dxa"/>
            <w:vAlign w:val="bottom"/>
          </w:tcPr>
          <w:p>
            <w:pPr>
              <w:jc w:val="right"/>
              <w:spacing w:after="0"/>
              <w:rPr>
                <w:sz w:val="20"/>
                <w:szCs w:val="20"/>
                <w:color w:val="auto"/>
              </w:rPr>
            </w:pPr>
            <w:r>
              <w:rPr>
                <w:rFonts w:ascii="Arial" w:cs="Arial" w:eastAsia="Arial" w:hAnsi="Arial"/>
                <w:sz w:val="14"/>
                <w:szCs w:val="14"/>
                <w:b w:val="1"/>
                <w:bCs w:val="1"/>
                <w:color w:val="355675"/>
              </w:rPr>
              <w:t>Percent of</w:t>
            </w:r>
          </w:p>
        </w:tc>
      </w:tr>
      <w:tr>
        <w:trPr>
          <w:trHeight w:val="180"/>
        </w:trPr>
        <w:tc>
          <w:tcPr>
            <w:tcW w:w="8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900" w:type="dxa"/>
            <w:vAlign w:val="bottom"/>
            <w:gridSpan w:val="2"/>
          </w:tcPr>
          <w:p>
            <w:pPr>
              <w:jc w:val="right"/>
              <w:ind w:right="100"/>
              <w:spacing w:after="0" w:line="180" w:lineRule="exact"/>
              <w:rPr>
                <w:sz w:val="20"/>
                <w:szCs w:val="20"/>
                <w:color w:val="auto"/>
              </w:rPr>
            </w:pPr>
            <w:r>
              <w:rPr>
                <w:rFonts w:ascii="Arial" w:cs="Arial" w:eastAsia="Arial" w:hAnsi="Arial"/>
                <w:sz w:val="13"/>
                <w:szCs w:val="13"/>
                <w:b w:val="1"/>
                <w:bCs w:val="1"/>
                <w:color w:val="355675"/>
              </w:rPr>
              <w:t>Owned</w:t>
            </w:r>
            <w:r>
              <w:rPr>
                <w:rFonts w:ascii="Arial" w:cs="Arial" w:eastAsia="Arial" w:hAnsi="Arial"/>
                <w:sz w:val="20"/>
                <w:szCs w:val="20"/>
                <w:b w:val="1"/>
                <w:bCs w:val="1"/>
                <w:color w:val="355675"/>
                <w:vertAlign w:val="superscript"/>
              </w:rPr>
              <w:t>(1)</w:t>
            </w:r>
          </w:p>
        </w:tc>
        <w:tc>
          <w:tcPr>
            <w:tcW w:w="1120" w:type="dxa"/>
            <w:vAlign w:val="bottom"/>
          </w:tcPr>
          <w:p>
            <w:pPr>
              <w:jc w:val="right"/>
              <w:spacing w:after="0"/>
              <w:rPr>
                <w:sz w:val="20"/>
                <w:szCs w:val="20"/>
                <w:color w:val="auto"/>
              </w:rPr>
            </w:pPr>
            <w:r>
              <w:rPr>
                <w:rFonts w:ascii="Arial" w:cs="Arial" w:eastAsia="Arial" w:hAnsi="Arial"/>
                <w:sz w:val="14"/>
                <w:szCs w:val="14"/>
                <w:b w:val="1"/>
                <w:bCs w:val="1"/>
                <w:color w:val="355675"/>
              </w:rPr>
              <w:t>Class</w:t>
            </w:r>
          </w:p>
        </w:tc>
      </w:tr>
      <w:tr>
        <w:trPr>
          <w:trHeight w:val="178"/>
        </w:trPr>
        <w:tc>
          <w:tcPr>
            <w:tcW w:w="8220" w:type="dxa"/>
            <w:vAlign w:val="bottom"/>
            <w:gridSpan w:val="2"/>
          </w:tcPr>
          <w:p>
            <w:pPr>
              <w:ind w:left="60"/>
              <w:spacing w:after="0"/>
              <w:rPr>
                <w:sz w:val="20"/>
                <w:szCs w:val="20"/>
                <w:color w:val="auto"/>
              </w:rPr>
            </w:pPr>
            <w:r>
              <w:rPr>
                <w:rFonts w:ascii="Arial" w:cs="Arial" w:eastAsia="Arial" w:hAnsi="Arial"/>
                <w:sz w:val="14"/>
                <w:szCs w:val="14"/>
                <w:b w:val="1"/>
                <w:bCs w:val="1"/>
                <w:color w:val="355675"/>
              </w:rPr>
              <w:t>Name</w:t>
            </w:r>
          </w:p>
        </w:tc>
        <w:tc>
          <w:tcPr>
            <w:tcW w:w="1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355675"/>
              </w:rPr>
              <w:t>(#)</w:t>
            </w:r>
          </w:p>
        </w:tc>
        <w:tc>
          <w:tcPr>
            <w:tcW w:w="1120" w:type="dxa"/>
            <w:vAlign w:val="bottom"/>
          </w:tcPr>
          <w:p>
            <w:pPr>
              <w:jc w:val="right"/>
              <w:spacing w:after="0"/>
              <w:rPr>
                <w:sz w:val="20"/>
                <w:szCs w:val="20"/>
                <w:color w:val="auto"/>
              </w:rPr>
            </w:pPr>
            <w:r>
              <w:rPr>
                <w:rFonts w:ascii="Arial" w:cs="Arial" w:eastAsia="Arial" w:hAnsi="Arial"/>
                <w:sz w:val="14"/>
                <w:szCs w:val="14"/>
                <w:b w:val="1"/>
                <w:bCs w:val="1"/>
                <w:color w:val="355675"/>
              </w:rPr>
              <w:t>(%)</w:t>
            </w:r>
          </w:p>
        </w:tc>
      </w:tr>
      <w:tr>
        <w:trPr>
          <w:trHeight w:val="237"/>
        </w:trPr>
        <w:tc>
          <w:tcPr>
            <w:tcW w:w="8100" w:type="dxa"/>
            <w:vAlign w:val="bottom"/>
            <w:tcBorders>
              <w:top w:val="single" w:sz="8" w:color="355675"/>
              <w:bottom w:val="single" w:sz="8" w:color="355675"/>
            </w:tcBorders>
          </w:tcPr>
          <w:p>
            <w:pPr>
              <w:ind w:left="60"/>
              <w:spacing w:after="0" w:line="230" w:lineRule="exact"/>
              <w:rPr>
                <w:sz w:val="20"/>
                <w:szCs w:val="20"/>
                <w:color w:val="auto"/>
              </w:rPr>
            </w:pPr>
            <w:r>
              <w:rPr>
                <w:rFonts w:ascii="Arial" w:cs="Arial" w:eastAsia="Arial" w:hAnsi="Arial"/>
                <w:sz w:val="16"/>
                <w:szCs w:val="16"/>
                <w:b w:val="1"/>
                <w:bCs w:val="1"/>
                <w:color w:val="auto"/>
              </w:rPr>
              <w:t>5% Beneficial Owners:</w:t>
            </w:r>
            <w:r>
              <w:rPr>
                <w:rFonts w:ascii="Arial" w:cs="Arial" w:eastAsia="Arial" w:hAnsi="Arial"/>
                <w:sz w:val="26"/>
                <w:szCs w:val="26"/>
                <w:b w:val="1"/>
                <w:bCs w:val="1"/>
                <w:color w:val="auto"/>
                <w:vertAlign w:val="superscript"/>
              </w:rPr>
              <w:t>(3)</w:t>
            </w:r>
          </w:p>
        </w:tc>
        <w:tc>
          <w:tcPr>
            <w:tcW w:w="120" w:type="dxa"/>
            <w:vAlign w:val="bottom"/>
          </w:tcPr>
          <w:p>
            <w:pPr>
              <w:spacing w:after="0"/>
              <w:rPr>
                <w:sz w:val="20"/>
                <w:szCs w:val="20"/>
                <w:color w:val="auto"/>
              </w:rPr>
            </w:pPr>
          </w:p>
        </w:tc>
        <w:tc>
          <w:tcPr>
            <w:tcW w:w="1800" w:type="dxa"/>
            <w:vAlign w:val="bottom"/>
            <w:tcBorders>
              <w:top w:val="single" w:sz="8" w:color="355675"/>
              <w:bottom w:val="single" w:sz="8" w:color="355675"/>
            </w:tcBorders>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tcBorders>
              <w:top w:val="single" w:sz="8" w:color="355675"/>
              <w:bottom w:val="single" w:sz="8" w:color="355675"/>
            </w:tcBorders>
          </w:tcPr>
          <w:p>
            <w:pPr>
              <w:spacing w:after="0"/>
              <w:rPr>
                <w:sz w:val="20"/>
                <w:szCs w:val="20"/>
                <w:color w:val="auto"/>
              </w:rPr>
            </w:pPr>
          </w:p>
        </w:tc>
      </w:tr>
      <w:tr>
        <w:trPr>
          <w:trHeight w:val="217"/>
        </w:trPr>
        <w:tc>
          <w:tcPr>
            <w:tcW w:w="8100" w:type="dxa"/>
            <w:vAlign w:val="bottom"/>
          </w:tcPr>
          <w:p>
            <w:pPr>
              <w:ind w:left="60"/>
              <w:spacing w:after="0" w:line="217" w:lineRule="exact"/>
              <w:rPr>
                <w:sz w:val="20"/>
                <w:szCs w:val="20"/>
                <w:color w:val="auto"/>
              </w:rPr>
            </w:pPr>
            <w:r>
              <w:rPr>
                <w:rFonts w:ascii="Arial" w:cs="Arial" w:eastAsia="Arial" w:hAnsi="Arial"/>
                <w:sz w:val="16"/>
                <w:szCs w:val="16"/>
                <w:color w:val="auto"/>
              </w:rPr>
              <w:t>BlackRock, Inc. and certain related entities</w:t>
            </w:r>
            <w:r>
              <w:rPr>
                <w:rFonts w:ascii="Arial" w:cs="Arial" w:eastAsia="Arial" w:hAnsi="Arial"/>
                <w:sz w:val="25"/>
                <w:szCs w:val="25"/>
                <w:color w:val="auto"/>
                <w:vertAlign w:val="superscript"/>
              </w:rPr>
              <w:t>(4)</w:t>
            </w:r>
          </w:p>
        </w:tc>
        <w:tc>
          <w:tcPr>
            <w:tcW w:w="12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228"/>
        </w:trPr>
        <w:tc>
          <w:tcPr>
            <w:tcW w:w="8220" w:type="dxa"/>
            <w:vAlign w:val="bottom"/>
            <w:gridSpan w:val="2"/>
          </w:tcPr>
          <w:p>
            <w:pPr>
              <w:ind w:left="240"/>
              <w:spacing w:after="0" w:line="228" w:lineRule="exact"/>
              <w:rPr>
                <w:sz w:val="20"/>
                <w:szCs w:val="20"/>
                <w:color w:val="auto"/>
              </w:rPr>
            </w:pPr>
            <w:r>
              <w:rPr>
                <w:rFonts w:ascii="Arial" w:cs="Arial" w:eastAsia="Arial" w:hAnsi="Arial"/>
                <w:sz w:val="16"/>
                <w:szCs w:val="16"/>
                <w:color w:val="auto"/>
              </w:rPr>
              <w:t>55 East 52</w:t>
            </w:r>
            <w:r>
              <w:rPr>
                <w:rFonts w:ascii="Arial" w:cs="Arial" w:eastAsia="Arial" w:hAnsi="Arial"/>
                <w:sz w:val="26"/>
                <w:szCs w:val="26"/>
                <w:color w:val="auto"/>
                <w:vertAlign w:val="superscript"/>
              </w:rPr>
              <w:t>nd</w:t>
            </w:r>
            <w:r>
              <w:rPr>
                <w:rFonts w:ascii="Arial" w:cs="Arial" w:eastAsia="Arial" w:hAnsi="Arial"/>
                <w:sz w:val="16"/>
                <w:szCs w:val="16"/>
                <w:color w:val="auto"/>
              </w:rPr>
              <w:t xml:space="preserve"> Street</w:t>
            </w:r>
          </w:p>
        </w:tc>
        <w:tc>
          <w:tcPr>
            <w:tcW w:w="18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20" w:type="dxa"/>
            <w:vAlign w:val="bottom"/>
          </w:tcPr>
          <w:p>
            <w:pPr>
              <w:spacing w:after="0"/>
              <w:rPr>
                <w:sz w:val="19"/>
                <w:szCs w:val="19"/>
                <w:color w:val="auto"/>
              </w:rPr>
            </w:pPr>
          </w:p>
        </w:tc>
      </w:tr>
      <w:tr>
        <w:trPr>
          <w:trHeight w:val="203"/>
        </w:trPr>
        <w:tc>
          <w:tcPr>
            <w:tcW w:w="8220" w:type="dxa"/>
            <w:vAlign w:val="bottom"/>
            <w:gridSpan w:val="2"/>
          </w:tcPr>
          <w:p>
            <w:pPr>
              <w:ind w:left="240"/>
              <w:spacing w:after="0"/>
              <w:rPr>
                <w:sz w:val="20"/>
                <w:szCs w:val="20"/>
                <w:color w:val="auto"/>
              </w:rPr>
            </w:pPr>
            <w:r>
              <w:rPr>
                <w:rFonts w:ascii="Arial" w:cs="Arial" w:eastAsia="Arial" w:hAnsi="Arial"/>
                <w:sz w:val="16"/>
                <w:szCs w:val="16"/>
                <w:color w:val="auto"/>
              </w:rPr>
              <w:t>New York, NY 10055</w:t>
            </w:r>
          </w:p>
        </w:tc>
        <w:tc>
          <w:tcPr>
            <w:tcW w:w="1900" w:type="dxa"/>
            <w:vAlign w:val="bottom"/>
            <w:gridSpan w:val="2"/>
          </w:tcPr>
          <w:p>
            <w:pPr>
              <w:jc w:val="right"/>
              <w:ind w:right="100"/>
              <w:spacing w:after="0"/>
              <w:rPr>
                <w:sz w:val="20"/>
                <w:szCs w:val="20"/>
                <w:color w:val="auto"/>
              </w:rPr>
            </w:pPr>
            <w:r>
              <w:rPr>
                <w:rFonts w:ascii="Arial" w:cs="Arial" w:eastAsia="Arial" w:hAnsi="Arial"/>
                <w:sz w:val="16"/>
                <w:szCs w:val="16"/>
                <w:color w:val="auto"/>
              </w:rPr>
              <w:t>9,700,369</w:t>
            </w:r>
          </w:p>
        </w:tc>
        <w:tc>
          <w:tcPr>
            <w:tcW w:w="1120" w:type="dxa"/>
            <w:vAlign w:val="bottom"/>
          </w:tcPr>
          <w:p>
            <w:pPr>
              <w:jc w:val="right"/>
              <w:spacing w:after="0"/>
              <w:rPr>
                <w:sz w:val="20"/>
                <w:szCs w:val="20"/>
                <w:color w:val="auto"/>
              </w:rPr>
            </w:pPr>
            <w:r>
              <w:rPr>
                <w:rFonts w:ascii="Arial" w:cs="Arial" w:eastAsia="Arial" w:hAnsi="Arial"/>
                <w:sz w:val="16"/>
                <w:szCs w:val="16"/>
                <w:color w:val="auto"/>
              </w:rPr>
              <w:t>8.60</w:t>
            </w:r>
          </w:p>
        </w:tc>
      </w:tr>
      <w:tr>
        <w:trPr>
          <w:trHeight w:val="209"/>
        </w:trPr>
        <w:tc>
          <w:tcPr>
            <w:tcW w:w="8100" w:type="dxa"/>
            <w:vAlign w:val="bottom"/>
            <w:tcBorders>
              <w:top w:val="single" w:sz="8" w:color="939598"/>
            </w:tcBorders>
          </w:tcPr>
          <w:p>
            <w:pPr>
              <w:ind w:left="60"/>
              <w:spacing w:after="0" w:line="209" w:lineRule="exact"/>
              <w:rPr>
                <w:sz w:val="20"/>
                <w:szCs w:val="20"/>
                <w:color w:val="auto"/>
              </w:rPr>
            </w:pPr>
            <w:r>
              <w:rPr>
                <w:rFonts w:ascii="Arial" w:cs="Arial" w:eastAsia="Arial" w:hAnsi="Arial"/>
                <w:sz w:val="15"/>
                <w:szCs w:val="15"/>
                <w:color w:val="auto"/>
              </w:rPr>
              <w:t>State Street Corporation and certain related entities</w:t>
            </w:r>
            <w:r>
              <w:rPr>
                <w:rFonts w:ascii="Arial" w:cs="Arial" w:eastAsia="Arial" w:hAnsi="Arial"/>
                <w:sz w:val="24"/>
                <w:szCs w:val="24"/>
                <w:color w:val="auto"/>
                <w:vertAlign w:val="superscript"/>
              </w:rPr>
              <w:t>(5)</w:t>
            </w:r>
          </w:p>
        </w:tc>
        <w:tc>
          <w:tcPr>
            <w:tcW w:w="120" w:type="dxa"/>
            <w:vAlign w:val="bottom"/>
          </w:tcPr>
          <w:p>
            <w:pPr>
              <w:spacing w:after="0"/>
              <w:rPr>
                <w:sz w:val="18"/>
                <w:szCs w:val="18"/>
                <w:color w:val="auto"/>
              </w:rPr>
            </w:pPr>
          </w:p>
        </w:tc>
        <w:tc>
          <w:tcPr>
            <w:tcW w:w="1800" w:type="dxa"/>
            <w:vAlign w:val="bottom"/>
            <w:tcBorders>
              <w:top w:val="single" w:sz="8" w:color="939598"/>
            </w:tcBorders>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tcBorders>
              <w:top w:val="single" w:sz="8" w:color="939598"/>
            </w:tcBorders>
          </w:tcPr>
          <w:p>
            <w:pPr>
              <w:spacing w:after="0"/>
              <w:rPr>
                <w:sz w:val="18"/>
                <w:szCs w:val="18"/>
                <w:color w:val="auto"/>
              </w:rPr>
            </w:pPr>
          </w:p>
        </w:tc>
      </w:tr>
      <w:tr>
        <w:trPr>
          <w:trHeight w:val="189"/>
        </w:trPr>
        <w:tc>
          <w:tcPr>
            <w:tcW w:w="8220" w:type="dxa"/>
            <w:vAlign w:val="bottom"/>
            <w:gridSpan w:val="2"/>
          </w:tcPr>
          <w:p>
            <w:pPr>
              <w:ind w:left="240"/>
              <w:spacing w:after="0"/>
              <w:rPr>
                <w:sz w:val="20"/>
                <w:szCs w:val="20"/>
                <w:color w:val="auto"/>
              </w:rPr>
            </w:pPr>
            <w:r>
              <w:rPr>
                <w:rFonts w:ascii="Arial" w:cs="Arial" w:eastAsia="Arial" w:hAnsi="Arial"/>
                <w:sz w:val="16"/>
                <w:szCs w:val="16"/>
                <w:color w:val="auto"/>
              </w:rPr>
              <w:t>One Lincoln Street</w:t>
            </w:r>
          </w:p>
        </w:tc>
        <w:tc>
          <w:tcPr>
            <w:tcW w:w="18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r>
      <w:tr>
        <w:trPr>
          <w:trHeight w:val="203"/>
        </w:trPr>
        <w:tc>
          <w:tcPr>
            <w:tcW w:w="8220" w:type="dxa"/>
            <w:vAlign w:val="bottom"/>
            <w:gridSpan w:val="2"/>
          </w:tcPr>
          <w:p>
            <w:pPr>
              <w:ind w:left="240"/>
              <w:spacing w:after="0"/>
              <w:rPr>
                <w:sz w:val="20"/>
                <w:szCs w:val="20"/>
                <w:color w:val="auto"/>
              </w:rPr>
            </w:pPr>
            <w:r>
              <w:rPr>
                <w:rFonts w:ascii="Arial" w:cs="Arial" w:eastAsia="Arial" w:hAnsi="Arial"/>
                <w:sz w:val="16"/>
                <w:szCs w:val="16"/>
                <w:color w:val="auto"/>
              </w:rPr>
              <w:t>Boston, MA 02111</w:t>
            </w:r>
          </w:p>
        </w:tc>
        <w:tc>
          <w:tcPr>
            <w:tcW w:w="1900" w:type="dxa"/>
            <w:vAlign w:val="bottom"/>
            <w:gridSpan w:val="2"/>
          </w:tcPr>
          <w:p>
            <w:pPr>
              <w:jc w:val="right"/>
              <w:ind w:right="100"/>
              <w:spacing w:after="0"/>
              <w:rPr>
                <w:sz w:val="20"/>
                <w:szCs w:val="20"/>
                <w:color w:val="auto"/>
              </w:rPr>
            </w:pPr>
            <w:r>
              <w:rPr>
                <w:rFonts w:ascii="Arial" w:cs="Arial" w:eastAsia="Arial" w:hAnsi="Arial"/>
                <w:sz w:val="16"/>
                <w:szCs w:val="16"/>
                <w:color w:val="auto"/>
              </w:rPr>
              <w:t>5,840,218</w:t>
            </w:r>
          </w:p>
        </w:tc>
        <w:tc>
          <w:tcPr>
            <w:tcW w:w="1120" w:type="dxa"/>
            <w:vAlign w:val="bottom"/>
          </w:tcPr>
          <w:p>
            <w:pPr>
              <w:jc w:val="right"/>
              <w:spacing w:after="0"/>
              <w:rPr>
                <w:sz w:val="20"/>
                <w:szCs w:val="20"/>
                <w:color w:val="auto"/>
              </w:rPr>
            </w:pPr>
            <w:r>
              <w:rPr>
                <w:rFonts w:ascii="Arial" w:cs="Arial" w:eastAsia="Arial" w:hAnsi="Arial"/>
                <w:sz w:val="16"/>
                <w:szCs w:val="16"/>
                <w:color w:val="auto"/>
              </w:rPr>
              <w:t>5.18</w:t>
            </w:r>
          </w:p>
        </w:tc>
      </w:tr>
      <w:tr>
        <w:trPr>
          <w:trHeight w:val="209"/>
        </w:trPr>
        <w:tc>
          <w:tcPr>
            <w:tcW w:w="8100" w:type="dxa"/>
            <w:vAlign w:val="bottom"/>
            <w:tcBorders>
              <w:top w:val="single" w:sz="8" w:color="939598"/>
            </w:tcBorders>
          </w:tcPr>
          <w:p>
            <w:pPr>
              <w:ind w:left="60"/>
              <w:spacing w:after="0" w:line="209" w:lineRule="exact"/>
              <w:rPr>
                <w:sz w:val="20"/>
                <w:szCs w:val="20"/>
                <w:color w:val="auto"/>
              </w:rPr>
            </w:pPr>
            <w:r>
              <w:rPr>
                <w:rFonts w:ascii="Arial" w:cs="Arial" w:eastAsia="Arial" w:hAnsi="Arial"/>
                <w:sz w:val="15"/>
                <w:szCs w:val="15"/>
                <w:color w:val="auto"/>
              </w:rPr>
              <w:t>The Vanguard Group Inc.</w:t>
            </w:r>
            <w:r>
              <w:rPr>
                <w:rFonts w:ascii="Arial" w:cs="Arial" w:eastAsia="Arial" w:hAnsi="Arial"/>
                <w:sz w:val="24"/>
                <w:szCs w:val="24"/>
                <w:color w:val="auto"/>
                <w:vertAlign w:val="superscript"/>
              </w:rPr>
              <w:t>(6)</w:t>
            </w:r>
          </w:p>
        </w:tc>
        <w:tc>
          <w:tcPr>
            <w:tcW w:w="120" w:type="dxa"/>
            <w:vAlign w:val="bottom"/>
          </w:tcPr>
          <w:p>
            <w:pPr>
              <w:spacing w:after="0"/>
              <w:rPr>
                <w:sz w:val="18"/>
                <w:szCs w:val="18"/>
                <w:color w:val="auto"/>
              </w:rPr>
            </w:pPr>
          </w:p>
        </w:tc>
        <w:tc>
          <w:tcPr>
            <w:tcW w:w="1800" w:type="dxa"/>
            <w:vAlign w:val="bottom"/>
            <w:tcBorders>
              <w:top w:val="single" w:sz="8" w:color="939598"/>
            </w:tcBorders>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tcBorders>
              <w:top w:val="single" w:sz="8" w:color="939598"/>
            </w:tcBorders>
          </w:tcPr>
          <w:p>
            <w:pPr>
              <w:spacing w:after="0"/>
              <w:rPr>
                <w:sz w:val="18"/>
                <w:szCs w:val="18"/>
                <w:color w:val="auto"/>
              </w:rPr>
            </w:pPr>
          </w:p>
        </w:tc>
      </w:tr>
      <w:tr>
        <w:trPr>
          <w:trHeight w:val="189"/>
        </w:trPr>
        <w:tc>
          <w:tcPr>
            <w:tcW w:w="8220" w:type="dxa"/>
            <w:vAlign w:val="bottom"/>
            <w:gridSpan w:val="2"/>
          </w:tcPr>
          <w:p>
            <w:pPr>
              <w:ind w:left="240"/>
              <w:spacing w:after="0"/>
              <w:rPr>
                <w:sz w:val="20"/>
                <w:szCs w:val="20"/>
                <w:color w:val="auto"/>
              </w:rPr>
            </w:pPr>
            <w:r>
              <w:rPr>
                <w:rFonts w:ascii="Arial" w:cs="Arial" w:eastAsia="Arial" w:hAnsi="Arial"/>
                <w:sz w:val="16"/>
                <w:szCs w:val="16"/>
                <w:color w:val="auto"/>
              </w:rPr>
              <w:t>100 Vanguard Boulevard</w:t>
            </w:r>
          </w:p>
        </w:tc>
        <w:tc>
          <w:tcPr>
            <w:tcW w:w="18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r>
      <w:tr>
        <w:trPr>
          <w:trHeight w:val="203"/>
        </w:trPr>
        <w:tc>
          <w:tcPr>
            <w:tcW w:w="8220" w:type="dxa"/>
            <w:vAlign w:val="bottom"/>
            <w:gridSpan w:val="2"/>
          </w:tcPr>
          <w:p>
            <w:pPr>
              <w:ind w:left="240"/>
              <w:spacing w:after="0"/>
              <w:rPr>
                <w:sz w:val="20"/>
                <w:szCs w:val="20"/>
                <w:color w:val="auto"/>
              </w:rPr>
            </w:pPr>
            <w:r>
              <w:rPr>
                <w:rFonts w:ascii="Arial" w:cs="Arial" w:eastAsia="Arial" w:hAnsi="Arial"/>
                <w:sz w:val="16"/>
                <w:szCs w:val="16"/>
                <w:color w:val="auto"/>
              </w:rPr>
              <w:t>Malvern, PA 19355</w:t>
            </w:r>
          </w:p>
        </w:tc>
        <w:tc>
          <w:tcPr>
            <w:tcW w:w="1900" w:type="dxa"/>
            <w:vAlign w:val="bottom"/>
            <w:gridSpan w:val="2"/>
          </w:tcPr>
          <w:p>
            <w:pPr>
              <w:jc w:val="right"/>
              <w:ind w:right="100"/>
              <w:spacing w:after="0"/>
              <w:rPr>
                <w:sz w:val="20"/>
                <w:szCs w:val="20"/>
                <w:color w:val="auto"/>
              </w:rPr>
            </w:pPr>
            <w:r>
              <w:rPr>
                <w:rFonts w:ascii="Arial" w:cs="Arial" w:eastAsia="Arial" w:hAnsi="Arial"/>
                <w:sz w:val="16"/>
                <w:szCs w:val="16"/>
                <w:color w:val="auto"/>
              </w:rPr>
              <w:t>13,097,183</w:t>
            </w:r>
          </w:p>
        </w:tc>
        <w:tc>
          <w:tcPr>
            <w:tcW w:w="1120" w:type="dxa"/>
            <w:vAlign w:val="bottom"/>
          </w:tcPr>
          <w:p>
            <w:pPr>
              <w:jc w:val="right"/>
              <w:spacing w:after="0"/>
              <w:rPr>
                <w:sz w:val="20"/>
                <w:szCs w:val="20"/>
                <w:color w:val="auto"/>
              </w:rPr>
            </w:pPr>
            <w:r>
              <w:rPr>
                <w:rFonts w:ascii="Arial" w:cs="Arial" w:eastAsia="Arial" w:hAnsi="Arial"/>
                <w:sz w:val="16"/>
                <w:szCs w:val="16"/>
                <w:color w:val="auto"/>
              </w:rPr>
              <w:t>11.61</w:t>
            </w:r>
          </w:p>
        </w:tc>
      </w:tr>
      <w:tr>
        <w:trPr>
          <w:trHeight w:val="209"/>
        </w:trPr>
        <w:tc>
          <w:tcPr>
            <w:tcW w:w="8100" w:type="dxa"/>
            <w:vAlign w:val="bottom"/>
            <w:tcBorders>
              <w:top w:val="single" w:sz="8" w:color="939598"/>
            </w:tcBorders>
          </w:tcPr>
          <w:p>
            <w:pPr>
              <w:ind w:left="60"/>
              <w:spacing w:after="0" w:line="209" w:lineRule="exact"/>
              <w:rPr>
                <w:sz w:val="20"/>
                <w:szCs w:val="20"/>
                <w:color w:val="auto"/>
              </w:rPr>
            </w:pPr>
            <w:r>
              <w:rPr>
                <w:rFonts w:ascii="Arial" w:cs="Arial" w:eastAsia="Arial" w:hAnsi="Arial"/>
                <w:sz w:val="15"/>
                <w:szCs w:val="15"/>
                <w:color w:val="auto"/>
              </w:rPr>
              <w:t>Lazard Asset Management, LLC</w:t>
            </w:r>
            <w:r>
              <w:rPr>
                <w:rFonts w:ascii="Arial" w:cs="Arial" w:eastAsia="Arial" w:hAnsi="Arial"/>
                <w:sz w:val="24"/>
                <w:szCs w:val="24"/>
                <w:color w:val="auto"/>
                <w:vertAlign w:val="superscript"/>
              </w:rPr>
              <w:t>(7)</w:t>
            </w:r>
          </w:p>
        </w:tc>
        <w:tc>
          <w:tcPr>
            <w:tcW w:w="120" w:type="dxa"/>
            <w:vAlign w:val="bottom"/>
          </w:tcPr>
          <w:p>
            <w:pPr>
              <w:spacing w:after="0"/>
              <w:rPr>
                <w:sz w:val="18"/>
                <w:szCs w:val="18"/>
                <w:color w:val="auto"/>
              </w:rPr>
            </w:pPr>
          </w:p>
        </w:tc>
        <w:tc>
          <w:tcPr>
            <w:tcW w:w="1800" w:type="dxa"/>
            <w:vAlign w:val="bottom"/>
            <w:tcBorders>
              <w:top w:val="single" w:sz="8" w:color="939598"/>
            </w:tcBorders>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tcBorders>
              <w:top w:val="single" w:sz="8" w:color="939598"/>
            </w:tcBorders>
          </w:tcPr>
          <w:p>
            <w:pPr>
              <w:spacing w:after="0"/>
              <w:rPr>
                <w:sz w:val="18"/>
                <w:szCs w:val="18"/>
                <w:color w:val="auto"/>
              </w:rPr>
            </w:pPr>
          </w:p>
        </w:tc>
      </w:tr>
      <w:tr>
        <w:trPr>
          <w:trHeight w:val="189"/>
        </w:trPr>
        <w:tc>
          <w:tcPr>
            <w:tcW w:w="8220" w:type="dxa"/>
            <w:vAlign w:val="bottom"/>
            <w:gridSpan w:val="2"/>
          </w:tcPr>
          <w:p>
            <w:pPr>
              <w:ind w:left="240"/>
              <w:spacing w:after="0"/>
              <w:rPr>
                <w:sz w:val="20"/>
                <w:szCs w:val="20"/>
                <w:color w:val="auto"/>
              </w:rPr>
            </w:pPr>
            <w:r>
              <w:rPr>
                <w:rFonts w:ascii="Arial" w:cs="Arial" w:eastAsia="Arial" w:hAnsi="Arial"/>
                <w:sz w:val="16"/>
                <w:szCs w:val="16"/>
                <w:color w:val="auto"/>
              </w:rPr>
              <w:t>30 Rockefeller Plaza</w:t>
            </w:r>
          </w:p>
        </w:tc>
        <w:tc>
          <w:tcPr>
            <w:tcW w:w="18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r>
      <w:tr>
        <w:trPr>
          <w:trHeight w:val="210"/>
        </w:trPr>
        <w:tc>
          <w:tcPr>
            <w:tcW w:w="8100" w:type="dxa"/>
            <w:vAlign w:val="bottom"/>
            <w:tcBorders>
              <w:bottom w:val="single" w:sz="8" w:color="355675"/>
            </w:tcBorders>
          </w:tcPr>
          <w:p>
            <w:pPr>
              <w:ind w:left="240"/>
              <w:spacing w:after="0"/>
              <w:rPr>
                <w:sz w:val="20"/>
                <w:szCs w:val="20"/>
                <w:color w:val="auto"/>
              </w:rPr>
            </w:pPr>
            <w:r>
              <w:rPr>
                <w:rFonts w:ascii="Arial" w:cs="Arial" w:eastAsia="Arial" w:hAnsi="Arial"/>
                <w:sz w:val="16"/>
                <w:szCs w:val="16"/>
                <w:color w:val="auto"/>
              </w:rPr>
              <w:t>New York, New York 10112</w:t>
            </w:r>
          </w:p>
        </w:tc>
        <w:tc>
          <w:tcPr>
            <w:tcW w:w="120" w:type="dxa"/>
            <w:vAlign w:val="bottom"/>
          </w:tcPr>
          <w:p>
            <w:pPr>
              <w:spacing w:after="0"/>
              <w:rPr>
                <w:sz w:val="18"/>
                <w:szCs w:val="18"/>
                <w:color w:val="auto"/>
              </w:rPr>
            </w:pPr>
          </w:p>
        </w:tc>
        <w:tc>
          <w:tcPr>
            <w:tcW w:w="180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10,767,862</w:t>
            </w:r>
          </w:p>
        </w:tc>
        <w:tc>
          <w:tcPr>
            <w:tcW w:w="100" w:type="dxa"/>
            <w:vAlign w:val="bottom"/>
          </w:tcPr>
          <w:p>
            <w:pPr>
              <w:spacing w:after="0"/>
              <w:rPr>
                <w:sz w:val="18"/>
                <w:szCs w:val="18"/>
                <w:color w:val="auto"/>
              </w:rPr>
            </w:pPr>
          </w:p>
        </w:tc>
        <w:tc>
          <w:tcPr>
            <w:tcW w:w="1120" w:type="dxa"/>
            <w:vAlign w:val="bottom"/>
            <w:tcBorders>
              <w:bottom w:val="single" w:sz="8" w:color="355675"/>
            </w:tcBorders>
          </w:tcPr>
          <w:p>
            <w:pPr>
              <w:jc w:val="right"/>
              <w:spacing w:after="0"/>
              <w:rPr>
                <w:sz w:val="20"/>
                <w:szCs w:val="20"/>
                <w:color w:val="auto"/>
              </w:rPr>
            </w:pPr>
            <w:r>
              <w:rPr>
                <w:rFonts w:ascii="Arial" w:cs="Arial" w:eastAsia="Arial" w:hAnsi="Arial"/>
                <w:sz w:val="16"/>
                <w:szCs w:val="16"/>
                <w:color w:val="auto"/>
              </w:rPr>
              <w:t>9.54</w:t>
            </w:r>
          </w:p>
        </w:tc>
      </w:tr>
    </w:tbl>
    <w:p>
      <w:pPr>
        <w:spacing w:after="0" w:line="153" w:lineRule="exact"/>
        <w:rPr>
          <w:sz w:val="20"/>
          <w:szCs w:val="20"/>
          <w:color w:val="auto"/>
        </w:rPr>
      </w:pPr>
    </w:p>
    <w:p>
      <w:pPr>
        <w:ind w:left="300" w:hanging="292"/>
        <w:spacing w:after="0"/>
        <w:tabs>
          <w:tab w:leader="none" w:pos="300" w:val="left"/>
        </w:tabs>
        <w:numPr>
          <w:ilvl w:val="0"/>
          <w:numId w:val="117"/>
        </w:numPr>
        <w:rPr>
          <w:rFonts w:ascii="Arial" w:cs="Arial" w:eastAsia="Arial" w:hAnsi="Arial"/>
          <w:sz w:val="14"/>
          <w:szCs w:val="14"/>
          <w:color w:val="auto"/>
        </w:rPr>
      </w:pPr>
      <w:r>
        <w:rPr>
          <w:rFonts w:ascii="Arial" w:cs="Arial" w:eastAsia="Arial" w:hAnsi="Arial"/>
          <w:sz w:val="14"/>
          <w:szCs w:val="14"/>
          <w:color w:val="auto"/>
        </w:rPr>
        <w:t>Represents less than 1% of the outstanding common stock.</w:t>
      </w:r>
    </w:p>
    <w:p>
      <w:pPr>
        <w:spacing w:after="0" w:line="36" w:lineRule="exact"/>
        <w:rPr>
          <w:sz w:val="20"/>
          <w:szCs w:val="20"/>
          <w:color w:val="auto"/>
        </w:rPr>
      </w:pPr>
    </w:p>
    <w:p>
      <w:pPr>
        <w:ind w:left="300" w:hanging="292"/>
        <w:spacing w:after="0"/>
        <w:tabs>
          <w:tab w:leader="none" w:pos="300" w:val="left"/>
        </w:tabs>
        <w:numPr>
          <w:ilvl w:val="0"/>
          <w:numId w:val="118"/>
        </w:numPr>
        <w:rPr>
          <w:rFonts w:ascii="Arial" w:cs="Arial" w:eastAsia="Arial" w:hAnsi="Arial"/>
          <w:sz w:val="24"/>
          <w:szCs w:val="24"/>
          <w:color w:val="auto"/>
          <w:vertAlign w:val="superscript"/>
        </w:rPr>
      </w:pPr>
      <w:r>
        <w:rPr>
          <w:rFonts w:ascii="Arial" w:cs="Arial" w:eastAsia="Arial" w:hAnsi="Arial"/>
          <w:sz w:val="14"/>
          <w:szCs w:val="14"/>
          <w:color w:val="auto"/>
        </w:rPr>
        <w:t>Includes: vested Supplemental RSUs (as defined on page 86 of this Proxy Statement) for the NEOs; vested RSUs and SUs payable in stock for the Directors; and</w:t>
      </w:r>
    </w:p>
    <w:p>
      <w:pPr>
        <w:ind w:left="300"/>
        <w:spacing w:after="0"/>
        <w:rPr>
          <w:rFonts w:ascii="Arial" w:cs="Arial" w:eastAsia="Arial" w:hAnsi="Arial"/>
          <w:sz w:val="24"/>
          <w:szCs w:val="24"/>
          <w:color w:val="auto"/>
          <w:vertAlign w:val="superscript"/>
        </w:rPr>
      </w:pPr>
      <w:r>
        <w:rPr>
          <w:rFonts w:ascii="Arial" w:cs="Arial" w:eastAsia="Arial" w:hAnsi="Arial"/>
          <w:sz w:val="14"/>
          <w:szCs w:val="14"/>
          <w:color w:val="auto"/>
        </w:rPr>
        <w:t>associated dividends payable in stock; as follows: Mr. Guldner — 5,493; Mr. Hatfield — 9,062; Ms. Lacal — 3,672 Ms. Bryan — 2,586; Mr. Fox — 5,112; Dr. Klein —</w:t>
      </w:r>
    </w:p>
    <w:p>
      <w:pPr>
        <w:spacing w:after="0" w:line="1" w:lineRule="exact"/>
        <w:rPr>
          <w:rFonts w:ascii="Arial" w:cs="Arial" w:eastAsia="Arial" w:hAnsi="Arial"/>
          <w:sz w:val="24"/>
          <w:szCs w:val="24"/>
          <w:color w:val="auto"/>
          <w:vertAlign w:val="superscript"/>
        </w:rPr>
      </w:pPr>
    </w:p>
    <w:p>
      <w:pPr>
        <w:ind w:left="300"/>
        <w:spacing w:after="0"/>
        <w:rPr>
          <w:rFonts w:ascii="Arial" w:cs="Arial" w:eastAsia="Arial" w:hAnsi="Arial"/>
          <w:sz w:val="24"/>
          <w:szCs w:val="24"/>
          <w:color w:val="auto"/>
          <w:vertAlign w:val="superscript"/>
        </w:rPr>
      </w:pPr>
      <w:r>
        <w:rPr>
          <w:rFonts w:ascii="Arial" w:cs="Arial" w:eastAsia="Arial" w:hAnsi="Arial"/>
          <w:sz w:val="14"/>
          <w:szCs w:val="14"/>
          <w:color w:val="auto"/>
        </w:rPr>
        <w:t>23,494; Ms. Munro — 17,854; Ms. Sims — 3,247; and Mr. Trevathan — 4,904. The following shares are held jointly: Dr. Klein — 100; Mr. Nordstrom — 31,301; Mr. Smith —</w:t>
      </w:r>
    </w:p>
    <w:p>
      <w:pPr>
        <w:spacing w:after="0" w:line="1" w:lineRule="exact"/>
        <w:rPr>
          <w:rFonts w:ascii="Arial" w:cs="Arial" w:eastAsia="Arial" w:hAnsi="Arial"/>
          <w:sz w:val="24"/>
          <w:szCs w:val="24"/>
          <w:color w:val="auto"/>
          <w:vertAlign w:val="superscript"/>
        </w:rPr>
      </w:pPr>
    </w:p>
    <w:p>
      <w:pPr>
        <w:ind w:left="300" w:right="80"/>
        <w:spacing w:after="0" w:line="264" w:lineRule="auto"/>
        <w:rPr>
          <w:rFonts w:ascii="Arial" w:cs="Arial" w:eastAsia="Arial" w:hAnsi="Arial"/>
          <w:sz w:val="24"/>
          <w:szCs w:val="24"/>
          <w:color w:val="auto"/>
          <w:vertAlign w:val="superscript"/>
        </w:rPr>
      </w:pPr>
      <w:r>
        <w:rPr>
          <w:rFonts w:ascii="Arial" w:cs="Arial" w:eastAsia="Arial" w:hAnsi="Arial"/>
          <w:sz w:val="14"/>
          <w:szCs w:val="14"/>
          <w:color w:val="auto"/>
        </w:rPr>
        <w:t>5,195; and Mr. Trevathan — 877. The following shares are held in joint trusts: Dr. Cortese — 19,619; Mr. Geisler — 5,652; Mr. Hatfield — 25,715; Mr. Lopez — 59,177; Ms. Munro — 18,240; and Mr. Wagener — 17,449.</w:t>
      </w:r>
    </w:p>
    <w:p>
      <w:pPr>
        <w:spacing w:after="0" w:line="5" w:lineRule="exact"/>
        <w:rPr>
          <w:rFonts w:ascii="Arial" w:cs="Arial" w:eastAsia="Arial" w:hAnsi="Arial"/>
          <w:sz w:val="24"/>
          <w:szCs w:val="24"/>
          <w:color w:val="auto"/>
          <w:vertAlign w:val="superscript"/>
        </w:rPr>
      </w:pPr>
    </w:p>
    <w:p>
      <w:pPr>
        <w:ind w:left="300" w:hanging="292"/>
        <w:spacing w:after="0"/>
        <w:tabs>
          <w:tab w:leader="none" w:pos="300" w:val="left"/>
        </w:tabs>
        <w:numPr>
          <w:ilvl w:val="0"/>
          <w:numId w:val="118"/>
        </w:numPr>
        <w:rPr>
          <w:rFonts w:ascii="Arial" w:cs="Arial" w:eastAsia="Arial" w:hAnsi="Arial"/>
          <w:sz w:val="24"/>
          <w:szCs w:val="24"/>
          <w:color w:val="auto"/>
          <w:vertAlign w:val="superscript"/>
        </w:rPr>
      </w:pPr>
      <w:r>
        <w:rPr>
          <w:rFonts w:ascii="Arial" w:cs="Arial" w:eastAsia="Arial" w:hAnsi="Arial"/>
          <w:sz w:val="14"/>
          <w:szCs w:val="14"/>
          <w:color w:val="auto"/>
        </w:rPr>
        <w:t>Mr. Hatfield retied on December 31, 2021.</w:t>
      </w:r>
    </w:p>
    <w:p>
      <w:pPr>
        <w:spacing w:after="0" w:line="120" w:lineRule="exact"/>
        <w:rPr>
          <w:rFonts w:ascii="Arial" w:cs="Arial" w:eastAsia="Arial" w:hAnsi="Arial"/>
          <w:sz w:val="24"/>
          <w:szCs w:val="24"/>
          <w:color w:val="auto"/>
          <w:vertAlign w:val="superscript"/>
        </w:rPr>
      </w:pPr>
    </w:p>
    <w:p>
      <w:pPr>
        <w:ind w:left="300" w:hanging="292"/>
        <w:spacing w:after="0" w:line="183" w:lineRule="auto"/>
        <w:tabs>
          <w:tab w:leader="none" w:pos="300" w:val="left"/>
        </w:tabs>
        <w:numPr>
          <w:ilvl w:val="0"/>
          <w:numId w:val="118"/>
        </w:numPr>
        <w:rPr>
          <w:rFonts w:ascii="Arial" w:cs="Arial" w:eastAsia="Arial" w:hAnsi="Arial"/>
          <w:sz w:val="20"/>
          <w:szCs w:val="20"/>
          <w:color w:val="auto"/>
          <w:vertAlign w:val="superscript"/>
        </w:rPr>
      </w:pPr>
      <w:r>
        <w:rPr>
          <w:rFonts w:ascii="Arial" w:cs="Arial" w:eastAsia="Arial" w:hAnsi="Arial"/>
          <w:sz w:val="12"/>
          <w:szCs w:val="12"/>
          <w:color w:val="auto"/>
        </w:rPr>
        <w:t>The Company makes no representations as to the accuracy or completeness of the information in the filings reported in footnotes 4-7.</w:t>
      </w:r>
    </w:p>
    <w:p>
      <w:pPr>
        <w:spacing w:after="0" w:line="121" w:lineRule="exact"/>
        <w:rPr>
          <w:rFonts w:ascii="Arial" w:cs="Arial" w:eastAsia="Arial" w:hAnsi="Arial"/>
          <w:sz w:val="20"/>
          <w:szCs w:val="20"/>
          <w:color w:val="auto"/>
          <w:vertAlign w:val="superscript"/>
        </w:rPr>
      </w:pPr>
    </w:p>
    <w:p>
      <w:pPr>
        <w:ind w:left="300" w:right="60" w:hanging="292"/>
        <w:spacing w:after="0" w:line="200" w:lineRule="auto"/>
        <w:tabs>
          <w:tab w:leader="none" w:pos="300" w:val="left"/>
        </w:tabs>
        <w:numPr>
          <w:ilvl w:val="0"/>
          <w:numId w:val="118"/>
        </w:numPr>
        <w:rPr>
          <w:rFonts w:ascii="Arial" w:cs="Arial" w:eastAsia="Arial" w:hAnsi="Arial"/>
          <w:sz w:val="24"/>
          <w:szCs w:val="24"/>
          <w:color w:val="auto"/>
          <w:vertAlign w:val="superscript"/>
        </w:rPr>
      </w:pPr>
      <w:r>
        <w:rPr>
          <w:rFonts w:ascii="Arial" w:cs="Arial" w:eastAsia="Arial" w:hAnsi="Arial"/>
          <w:sz w:val="14"/>
          <w:szCs w:val="14"/>
          <w:color w:val="auto"/>
        </w:rPr>
        <w:t>BlackRock, Inc. Schedule 13G/A filing, dated February 1, 2022, relating to a parent holding company and certain affiliates, reports beneficial ownership as of December 31, 2021 of 9,700,36910,387,249 shares, with sole voting power as to 8,537,608 shares and sole dispositive power as to 9,700,369 shares. The Company maintains normal commercial relationships with BlackRock, Inc. and its subsidiaries. The Company does not consider these relationships to be material.</w:t>
      </w:r>
    </w:p>
    <w:p>
      <w:pPr>
        <w:spacing w:after="0" w:line="108" w:lineRule="exact"/>
        <w:rPr>
          <w:rFonts w:ascii="Arial" w:cs="Arial" w:eastAsia="Arial" w:hAnsi="Arial"/>
          <w:sz w:val="24"/>
          <w:szCs w:val="24"/>
          <w:color w:val="auto"/>
          <w:vertAlign w:val="superscript"/>
        </w:rPr>
      </w:pPr>
    </w:p>
    <w:p>
      <w:pPr>
        <w:ind w:left="300" w:right="140" w:hanging="292"/>
        <w:spacing w:after="0" w:line="206" w:lineRule="auto"/>
        <w:tabs>
          <w:tab w:leader="none" w:pos="300" w:val="left"/>
        </w:tabs>
        <w:numPr>
          <w:ilvl w:val="0"/>
          <w:numId w:val="118"/>
        </w:numPr>
        <w:rPr>
          <w:rFonts w:ascii="Arial" w:cs="Arial" w:eastAsia="Arial" w:hAnsi="Arial"/>
          <w:sz w:val="24"/>
          <w:szCs w:val="24"/>
          <w:color w:val="auto"/>
          <w:vertAlign w:val="superscript"/>
        </w:rPr>
      </w:pPr>
      <w:r>
        <w:rPr>
          <w:rFonts w:ascii="Arial" w:cs="Arial" w:eastAsia="Arial" w:hAnsi="Arial"/>
          <w:sz w:val="14"/>
          <w:szCs w:val="14"/>
          <w:color w:val="auto"/>
        </w:rPr>
        <w:t>State Street Corporation Schedule 13G filing, filed February 11, 2022, relating to a parent holding company and certain affiliates, reports beneficial ownership as of December 31, 2021 of 5,840,218 shares, with shared voting power as to 5,329,999 and shared dispositive power as to 5,839,518 shares. The Company maintains normal commercial relationships with State Street Corporation and its subsidiaries. The Company does not consider these relationships to be material.</w:t>
      </w:r>
    </w:p>
    <w:p>
      <w:pPr>
        <w:spacing w:after="0" w:line="107" w:lineRule="exact"/>
        <w:rPr>
          <w:rFonts w:ascii="Arial" w:cs="Arial" w:eastAsia="Arial" w:hAnsi="Arial"/>
          <w:sz w:val="24"/>
          <w:szCs w:val="24"/>
          <w:color w:val="auto"/>
          <w:vertAlign w:val="superscript"/>
        </w:rPr>
      </w:pPr>
    </w:p>
    <w:p>
      <w:pPr>
        <w:ind w:left="300" w:right="60" w:hanging="292"/>
        <w:spacing w:after="0" w:line="193" w:lineRule="auto"/>
        <w:tabs>
          <w:tab w:leader="none" w:pos="300" w:val="left"/>
        </w:tabs>
        <w:numPr>
          <w:ilvl w:val="0"/>
          <w:numId w:val="118"/>
        </w:numPr>
        <w:rPr>
          <w:rFonts w:ascii="Arial" w:cs="Arial" w:eastAsia="Arial" w:hAnsi="Arial"/>
          <w:sz w:val="24"/>
          <w:szCs w:val="24"/>
          <w:color w:val="auto"/>
          <w:vertAlign w:val="superscript"/>
        </w:rPr>
      </w:pPr>
      <w:r>
        <w:rPr>
          <w:rFonts w:ascii="Arial" w:cs="Arial" w:eastAsia="Arial" w:hAnsi="Arial"/>
          <w:sz w:val="14"/>
          <w:szCs w:val="14"/>
          <w:color w:val="auto"/>
        </w:rPr>
        <w:t>The Vanguard Group, Inc. Schedule 13G/A, dated February 9, 2022, reports beneficial ownership as of December 31, 2021 of 13,097,183 shares with shared voting power as to 1,95,615 shares, shared dispositive power as to 496,539 shares, and sole dispositive power as to 12,600,644 shares.</w:t>
      </w:r>
    </w:p>
    <w:p>
      <w:pPr>
        <w:spacing w:after="0" w:line="107" w:lineRule="exact"/>
        <w:rPr>
          <w:rFonts w:ascii="Arial" w:cs="Arial" w:eastAsia="Arial" w:hAnsi="Arial"/>
          <w:sz w:val="24"/>
          <w:szCs w:val="24"/>
          <w:color w:val="auto"/>
          <w:vertAlign w:val="superscript"/>
        </w:rPr>
      </w:pPr>
    </w:p>
    <w:p>
      <w:pPr>
        <w:ind w:left="300" w:right="360" w:hanging="292"/>
        <w:spacing w:after="0" w:line="193" w:lineRule="auto"/>
        <w:tabs>
          <w:tab w:leader="none" w:pos="300" w:val="left"/>
        </w:tabs>
        <w:numPr>
          <w:ilvl w:val="0"/>
          <w:numId w:val="118"/>
        </w:numPr>
        <w:rPr>
          <w:rFonts w:ascii="Arial" w:cs="Arial" w:eastAsia="Arial" w:hAnsi="Arial"/>
          <w:sz w:val="24"/>
          <w:szCs w:val="24"/>
          <w:color w:val="auto"/>
          <w:vertAlign w:val="superscript"/>
        </w:rPr>
      </w:pPr>
      <w:r>
        <w:rPr>
          <w:rFonts w:ascii="Arial" w:cs="Arial" w:eastAsia="Arial" w:hAnsi="Arial"/>
          <w:sz w:val="14"/>
          <w:szCs w:val="14"/>
          <w:color w:val="auto"/>
        </w:rPr>
        <w:t>Lazard Asset Management, LLC Schedule 13G, dated February 1, 2022, reports beneficial ownership as of December 31, 2021 of 10,767,862 shares, with sole voting power as to 10,114,049 shares and sole dispositive power as to 10,767,862 shares.</w:t>
      </w:r>
    </w:p>
    <w:p>
      <w:pPr>
        <w:spacing w:after="0" w:line="164"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Section 16(a) Beneficial Ownership Reporting Compliance</w:t>
      </w:r>
    </w:p>
    <w:p>
      <w:pPr>
        <w:spacing w:after="0" w:line="230" w:lineRule="exact"/>
        <w:rPr>
          <w:sz w:val="20"/>
          <w:szCs w:val="20"/>
          <w:color w:val="auto"/>
        </w:rPr>
      </w:pPr>
    </w:p>
    <w:p>
      <w:pPr>
        <w:ind w:right="140"/>
        <w:spacing w:after="0" w:line="247" w:lineRule="auto"/>
        <w:rPr>
          <w:sz w:val="20"/>
          <w:szCs w:val="20"/>
          <w:color w:val="auto"/>
        </w:rPr>
      </w:pPr>
      <w:r>
        <w:rPr>
          <w:rFonts w:ascii="Arial" w:cs="Arial" w:eastAsia="Arial" w:hAnsi="Arial"/>
          <w:sz w:val="18"/>
          <w:szCs w:val="18"/>
          <w:color w:val="auto"/>
        </w:rPr>
        <w:t>Section 16(a) of the Securities Exchange Act of 1934, as amended (the “Exchange Act”), requires the Company’s directors and executive officers, and persons who own more than 10% of the Company’s common stock, to file reports of ownership and changes of ownership with the SEC. The Company believes that all other directors, executive officers, and greater than 10% beneficial owners complied with their respective Section 16(a) reporting requirements for fiscal year 2021 on a timely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122555</wp:posOffset>
            </wp:positionV>
            <wp:extent cx="1191260" cy="231775"/>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3" w:name="page114"/>
    <w:bookmarkEnd w:id="11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82"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Shareholder Proposal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7132320" cy="514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213360</wp:posOffset>
            </wp:positionV>
            <wp:extent cx="7132320" cy="116586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7132320" cy="1165860"/>
                    </a:xfrm>
                    <a:prstGeom prst="rect">
                      <a:avLst/>
                    </a:prstGeom>
                    <a:noFill/>
                  </pic:spPr>
                </pic:pic>
              </a:graphicData>
            </a:graphic>
          </wp:anchor>
        </w:drawing>
      </w:r>
    </w:p>
    <w:p>
      <w:pPr>
        <w:spacing w:after="0" w:line="200" w:lineRule="exact"/>
        <w:rPr>
          <w:sz w:val="20"/>
          <w:szCs w:val="20"/>
          <w:color w:val="auto"/>
        </w:rPr>
      </w:pPr>
    </w:p>
    <w:p>
      <w:pPr>
        <w:spacing w:after="0" w:line="288" w:lineRule="exact"/>
        <w:rPr>
          <w:sz w:val="20"/>
          <w:szCs w:val="20"/>
          <w:color w:val="auto"/>
        </w:rPr>
      </w:pPr>
    </w:p>
    <w:p>
      <w:pPr>
        <w:ind w:left="2160" w:right="960" w:hanging="1970"/>
        <w:spacing w:after="0" w:line="298" w:lineRule="auto"/>
        <w:rPr>
          <w:sz w:val="20"/>
          <w:szCs w:val="20"/>
          <w:color w:val="auto"/>
        </w:rPr>
      </w:pPr>
      <w:r>
        <w:rPr>
          <w:rFonts w:ascii="Arial" w:cs="Arial" w:eastAsia="Arial" w:hAnsi="Arial"/>
          <w:sz w:val="32"/>
          <w:szCs w:val="32"/>
          <w:b w:val="1"/>
          <w:bCs w:val="1"/>
          <w:color w:val="355675"/>
        </w:rPr>
        <w:t>Proposal 4: Shareholder Proposal Seeking to Reduce Ownership Threshold to Call Special Shareholder Meetings</w:t>
      </w:r>
    </w:p>
    <w:p>
      <w:pPr>
        <w:spacing w:after="0" w:line="97" w:lineRule="exact"/>
        <w:rPr>
          <w:sz w:val="20"/>
          <w:szCs w:val="20"/>
          <w:color w:val="auto"/>
        </w:rPr>
      </w:pPr>
    </w:p>
    <w:p>
      <w:pPr>
        <w:ind w:left="1180"/>
        <w:spacing w:after="0"/>
        <w:rPr>
          <w:sz w:val="20"/>
          <w:szCs w:val="20"/>
          <w:color w:val="auto"/>
        </w:rPr>
      </w:pPr>
      <w:r>
        <w:rPr>
          <w:rFonts w:ascii="Arial" w:cs="Arial" w:eastAsia="Arial" w:hAnsi="Arial"/>
          <w:sz w:val="18"/>
          <w:szCs w:val="18"/>
          <w:color w:val="auto"/>
        </w:rPr>
        <w:t xml:space="preserve">The Board of Directors recommends a vote </w:t>
      </w:r>
      <w:r>
        <w:rPr>
          <w:rFonts w:ascii="Arial" w:cs="Arial" w:eastAsia="Arial" w:hAnsi="Arial"/>
          <w:sz w:val="18"/>
          <w:szCs w:val="18"/>
          <w:b w:val="1"/>
          <w:bCs w:val="1"/>
          <w:color w:val="FF0800"/>
        </w:rPr>
        <w:t>AGAINST</w:t>
      </w:r>
      <w:r>
        <w:rPr>
          <w:rFonts w:ascii="Arial" w:cs="Arial" w:eastAsia="Arial" w:hAnsi="Arial"/>
          <w:sz w:val="18"/>
          <w:szCs w:val="18"/>
          <w:color w:val="auto"/>
        </w:rPr>
        <w:t xml:space="preserve"> this proposal</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right="20"/>
        <w:spacing w:after="0" w:line="247" w:lineRule="auto"/>
        <w:rPr>
          <w:sz w:val="20"/>
          <w:szCs w:val="20"/>
          <w:color w:val="auto"/>
        </w:rPr>
      </w:pPr>
      <w:r>
        <w:rPr>
          <w:rFonts w:ascii="Arial" w:cs="Arial" w:eastAsia="Arial" w:hAnsi="Arial"/>
          <w:sz w:val="18"/>
          <w:szCs w:val="18"/>
          <w:color w:val="auto"/>
        </w:rPr>
        <w:t>Mr. John Chevedden, 2215 Nelson Avenue, No. 205, Redondo Beach, California 90278, a beneficial owner of 50 shares of common stock of the Company, the proponent of a shareholder proposal, has stated that he intends to present a proposal at the Annual Meeting. The proposal and supporting statement, for which the Board of Directors accepts no responsibility, is set forth below. The Board of Directors opposes the shareholder proposal for the reasons set forth following the shareholder proposal.</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Proposal 4 – Special Shareholder Meeting Improvement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1308100</wp:posOffset>
            </wp:positionH>
            <wp:positionV relativeFrom="paragraph">
              <wp:posOffset>146050</wp:posOffset>
            </wp:positionV>
            <wp:extent cx="4500245" cy="88265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4500245" cy="882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right="300"/>
        <w:spacing w:after="0" w:line="271" w:lineRule="auto"/>
        <w:rPr>
          <w:sz w:val="20"/>
          <w:szCs w:val="20"/>
          <w:color w:val="auto"/>
        </w:rPr>
      </w:pPr>
      <w:r>
        <w:rPr>
          <w:rFonts w:ascii="Arial" w:cs="Arial" w:eastAsia="Arial" w:hAnsi="Arial"/>
          <w:sz w:val="18"/>
          <w:szCs w:val="18"/>
          <w:color w:val="auto"/>
        </w:rPr>
        <w:t>Shareholders ask our board to take the steps necessary to amend the appropriate company governing documents to give the owners of a combined 10% of our outstanding common stock the power to call a special shareholder meeting.</w:t>
      </w:r>
    </w:p>
    <w:p>
      <w:pPr>
        <w:spacing w:after="0" w:line="154" w:lineRule="exact"/>
        <w:rPr>
          <w:sz w:val="20"/>
          <w:szCs w:val="20"/>
          <w:color w:val="auto"/>
        </w:rPr>
      </w:pPr>
    </w:p>
    <w:p>
      <w:pPr>
        <w:ind w:right="120"/>
        <w:spacing w:after="0" w:line="271" w:lineRule="auto"/>
        <w:rPr>
          <w:sz w:val="20"/>
          <w:szCs w:val="20"/>
          <w:color w:val="auto"/>
        </w:rPr>
      </w:pPr>
      <w:r>
        <w:rPr>
          <w:rFonts w:ascii="Arial" w:cs="Arial" w:eastAsia="Arial" w:hAnsi="Arial"/>
          <w:sz w:val="18"/>
          <w:szCs w:val="18"/>
          <w:color w:val="auto"/>
        </w:rPr>
        <w:t>One of the main purposes of this proposal is to give shareholders the right to formally participate in calling for a special shareholder meeting regardless of their length of stock ownership to the fullest extent possible.</w:t>
      </w:r>
    </w:p>
    <w:p>
      <w:pPr>
        <w:spacing w:after="0" w:line="154"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Currently it takes a theoretical 15% of all shares outstanding to call for a special shareholder meeting. However the face value of 15% is deceiving because there are big strings attached. All shares not held for a continuous full year are 100% disqualified from formal participation in calling for a special shareholder meeting.</w:t>
      </w:r>
    </w:p>
    <w:p>
      <w:pPr>
        <w:spacing w:after="0" w:line="169" w:lineRule="exact"/>
        <w:rPr>
          <w:sz w:val="20"/>
          <w:szCs w:val="20"/>
          <w:color w:val="auto"/>
        </w:rPr>
      </w:pPr>
    </w:p>
    <w:p>
      <w:pPr>
        <w:ind w:right="480"/>
        <w:spacing w:after="0" w:line="253" w:lineRule="auto"/>
        <w:rPr>
          <w:sz w:val="20"/>
          <w:szCs w:val="20"/>
          <w:color w:val="auto"/>
        </w:rPr>
      </w:pPr>
      <w:r>
        <w:rPr>
          <w:rFonts w:ascii="Arial" w:cs="Arial" w:eastAsia="Arial" w:hAnsi="Arial"/>
          <w:sz w:val="18"/>
          <w:szCs w:val="18"/>
          <w:color w:val="auto"/>
        </w:rPr>
        <w:t>This is particularly damaging because the shareholders who recently purchased Pinnacle West stock may be the most informed shareholders. Plus such shareholders do not have so much leverage when engaging with management because they are second-class shareholders when it comes to calling for a special shareholder meeting.</w:t>
      </w:r>
    </w:p>
    <w:p>
      <w:pPr>
        <w:spacing w:after="0" w:line="169" w:lineRule="exact"/>
        <w:rPr>
          <w:sz w:val="20"/>
          <w:szCs w:val="20"/>
          <w:color w:val="auto"/>
        </w:rPr>
      </w:pPr>
    </w:p>
    <w:p>
      <w:pPr>
        <w:ind w:right="640"/>
        <w:spacing w:after="0" w:line="271" w:lineRule="auto"/>
        <w:rPr>
          <w:sz w:val="20"/>
          <w:szCs w:val="20"/>
          <w:color w:val="auto"/>
        </w:rPr>
      </w:pPr>
      <w:r>
        <w:rPr>
          <w:rFonts w:ascii="Arial" w:cs="Arial" w:eastAsia="Arial" w:hAnsi="Arial"/>
          <w:sz w:val="18"/>
          <w:szCs w:val="18"/>
          <w:color w:val="auto"/>
        </w:rPr>
        <w:t>Plus the shareholders who own 15% of shares for one full year may determine that they own 30% of PNW stock when length of stock ownership is factored out.</w:t>
      </w:r>
    </w:p>
    <w:p>
      <w:pPr>
        <w:spacing w:after="0" w:line="154" w:lineRule="exact"/>
        <w:rPr>
          <w:sz w:val="20"/>
          <w:szCs w:val="20"/>
          <w:color w:val="auto"/>
        </w:rPr>
      </w:pPr>
    </w:p>
    <w:p>
      <w:pPr>
        <w:ind w:right="300"/>
        <w:spacing w:after="0" w:line="271" w:lineRule="auto"/>
        <w:rPr>
          <w:sz w:val="20"/>
          <w:szCs w:val="20"/>
          <w:color w:val="auto"/>
        </w:rPr>
      </w:pPr>
      <w:r>
        <w:rPr>
          <w:rFonts w:ascii="Arial" w:cs="Arial" w:eastAsia="Arial" w:hAnsi="Arial"/>
          <w:sz w:val="18"/>
          <w:szCs w:val="18"/>
          <w:color w:val="auto"/>
        </w:rPr>
        <w:t>And it goes downhill from here. Shares that are not held net long are excluded. And shares that do not have the time to vote at the annual meeting are not a prospective class of shares to join a group calling for a special shareholder meeting.</w:t>
      </w:r>
    </w:p>
    <w:p>
      <w:pPr>
        <w:spacing w:after="0" w:line="163" w:lineRule="exact"/>
        <w:rPr>
          <w:sz w:val="20"/>
          <w:szCs w:val="20"/>
          <w:color w:val="auto"/>
        </w:rPr>
      </w:pPr>
    </w:p>
    <w:p>
      <w:pPr>
        <w:jc w:val="right"/>
        <w:spacing w:after="0"/>
        <w:tabs>
          <w:tab w:leader="none" w:pos="22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4" w:name="page115"/>
    <w:bookmarkEnd w:id="11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Shareholder Proposal</w:t>
      </w:r>
    </w:p>
    <w:p>
      <w:pPr>
        <w:spacing w:after="0" w:line="212" w:lineRule="exact"/>
        <w:rPr>
          <w:sz w:val="20"/>
          <w:szCs w:val="20"/>
          <w:color w:val="auto"/>
        </w:rPr>
      </w:pPr>
    </w:p>
    <w:p>
      <w:pPr>
        <w:ind w:right="240"/>
        <w:spacing w:after="0" w:line="271" w:lineRule="auto"/>
        <w:rPr>
          <w:sz w:val="20"/>
          <w:szCs w:val="20"/>
          <w:color w:val="auto"/>
        </w:rPr>
      </w:pPr>
      <w:r>
        <w:rPr>
          <w:rFonts w:ascii="Arial" w:cs="Arial" w:eastAsia="Arial" w:hAnsi="Arial"/>
          <w:sz w:val="18"/>
          <w:szCs w:val="18"/>
          <w:color w:val="auto"/>
        </w:rPr>
        <w:t>Thus the face value of 15% can slip to 30% of shares held regardless of length of stock ownership and can slip further to approach 40% of shares held regardless of length of stock ownership that are held (but not held net long) and that vote at the annual meeting.</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color w:val="auto"/>
        </w:rPr>
        <w:t>A potential 40% stock ownership threshold to call a special shareholder meeting is nothing for management to brag about.</w:t>
      </w:r>
    </w:p>
    <w:p>
      <w:pPr>
        <w:spacing w:after="0" w:line="212" w:lineRule="exact"/>
        <w:rPr>
          <w:sz w:val="20"/>
          <w:szCs w:val="20"/>
          <w:color w:val="auto"/>
        </w:rPr>
      </w:pPr>
    </w:p>
    <w:p>
      <w:pPr>
        <w:ind w:right="820"/>
        <w:spacing w:after="0" w:line="271" w:lineRule="auto"/>
        <w:rPr>
          <w:sz w:val="20"/>
          <w:szCs w:val="20"/>
          <w:color w:val="auto"/>
        </w:rPr>
      </w:pPr>
      <w:r>
        <w:rPr>
          <w:rFonts w:ascii="Arial" w:cs="Arial" w:eastAsia="Arial" w:hAnsi="Arial"/>
          <w:sz w:val="18"/>
          <w:szCs w:val="18"/>
          <w:color w:val="auto"/>
        </w:rPr>
        <w:t>Plus we are excluded from any right to act by written consent by the not friendly to shareholders laws of Arizona. A large number of companies provide shareholders with the right to act by written consent and the right to call a special shareholder meeting.</w:t>
      </w:r>
    </w:p>
    <w:p>
      <w:pPr>
        <w:spacing w:after="0" w:line="154" w:lineRule="exact"/>
        <w:rPr>
          <w:sz w:val="20"/>
          <w:szCs w:val="20"/>
          <w:color w:val="auto"/>
        </w:rPr>
      </w:pPr>
    </w:p>
    <w:p>
      <w:pPr>
        <w:ind w:right="40"/>
        <w:spacing w:after="0" w:line="271" w:lineRule="auto"/>
        <w:rPr>
          <w:sz w:val="20"/>
          <w:szCs w:val="20"/>
          <w:color w:val="auto"/>
        </w:rPr>
      </w:pPr>
      <w:r>
        <w:rPr>
          <w:rFonts w:ascii="Arial" w:cs="Arial" w:eastAsia="Arial" w:hAnsi="Arial"/>
          <w:sz w:val="18"/>
          <w:szCs w:val="18"/>
          <w:color w:val="auto"/>
        </w:rPr>
        <w:t>Southwest Airlines and Target are companies that do not provide for shareholder written consent and yet provide for 10% of shares to call for a special shareholder meeting.</w:t>
      </w:r>
    </w:p>
    <w:p>
      <w:pPr>
        <w:spacing w:after="0" w:line="154" w:lineRule="exact"/>
        <w:rPr>
          <w:sz w:val="20"/>
          <w:szCs w:val="20"/>
          <w:color w:val="auto"/>
        </w:rPr>
      </w:pPr>
    </w:p>
    <w:p>
      <w:pPr>
        <w:ind w:right="320"/>
        <w:spacing w:after="0" w:line="271" w:lineRule="auto"/>
        <w:rPr>
          <w:sz w:val="20"/>
          <w:szCs w:val="20"/>
          <w:color w:val="auto"/>
        </w:rPr>
      </w:pPr>
      <w:r>
        <w:rPr>
          <w:rFonts w:ascii="Arial" w:cs="Arial" w:eastAsia="Arial" w:hAnsi="Arial"/>
          <w:sz w:val="18"/>
          <w:szCs w:val="18"/>
          <w:color w:val="auto"/>
        </w:rPr>
        <w:t>We need an improved right to call for a special shareholder meeting to make up for its current severe limitation at PNW and absolutely no right to act by written consent.</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color w:val="auto"/>
        </w:rPr>
        <w:t>Please vote yes:</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Special Shareholder Meeting Improvement – Proposal 4</w:t>
      </w:r>
    </w:p>
    <w:p>
      <w:pPr>
        <w:spacing w:after="0" w:line="200"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Board of Directors Response</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The Board of Directors has carefully reviewed the proposal and recommends that the shareholders vote </w:t>
      </w:r>
      <w:r>
        <w:rPr>
          <w:rFonts w:ascii="Arial" w:cs="Arial" w:eastAsia="Arial" w:hAnsi="Arial"/>
          <w:sz w:val="18"/>
          <w:szCs w:val="18"/>
          <w:b w:val="1"/>
          <w:bCs w:val="1"/>
          <w:color w:val="FF0800"/>
        </w:rPr>
        <w:t>AGAINST</w:t>
      </w:r>
      <w:r>
        <w:rPr>
          <w:rFonts w:ascii="Arial" w:cs="Arial" w:eastAsia="Arial" w:hAnsi="Arial"/>
          <w:sz w:val="18"/>
          <w:szCs w:val="18"/>
          <w:color w:val="auto"/>
        </w:rPr>
        <w:t xml:space="preserve"> it.</w:t>
      </w:r>
    </w:p>
    <w:p>
      <w:pPr>
        <w:spacing w:after="0" w:line="200" w:lineRule="exact"/>
        <w:rPr>
          <w:sz w:val="20"/>
          <w:szCs w:val="20"/>
          <w:color w:val="auto"/>
        </w:rPr>
      </w:pPr>
    </w:p>
    <w:p>
      <w:pPr>
        <w:ind w:right="600"/>
        <w:spacing w:after="0" w:line="298" w:lineRule="auto"/>
        <w:rPr>
          <w:sz w:val="20"/>
          <w:szCs w:val="20"/>
          <w:color w:val="auto"/>
        </w:rPr>
      </w:pPr>
      <w:r>
        <w:rPr>
          <w:rFonts w:ascii="Arial" w:cs="Arial" w:eastAsia="Arial" w:hAnsi="Arial"/>
          <w:sz w:val="32"/>
          <w:szCs w:val="32"/>
          <w:b w:val="1"/>
          <w:bCs w:val="1"/>
          <w:color w:val="355675"/>
        </w:rPr>
        <w:t>Our Shareholders Already have the Right to Call Special Shareholder Meetings</w:t>
      </w:r>
    </w:p>
    <w:p>
      <w:pPr>
        <w:spacing w:after="0" w:line="70" w:lineRule="exact"/>
        <w:rPr>
          <w:sz w:val="20"/>
          <w:szCs w:val="20"/>
          <w:color w:val="auto"/>
        </w:rPr>
      </w:pPr>
    </w:p>
    <w:p>
      <w:pPr>
        <w:spacing w:after="0" w:line="242" w:lineRule="auto"/>
        <w:rPr>
          <w:sz w:val="20"/>
          <w:szCs w:val="20"/>
          <w:color w:val="auto"/>
        </w:rPr>
      </w:pPr>
      <w:r>
        <w:rPr>
          <w:rFonts w:ascii="Arial" w:cs="Arial" w:eastAsia="Arial" w:hAnsi="Arial"/>
          <w:sz w:val="18"/>
          <w:szCs w:val="18"/>
          <w:color w:val="auto"/>
        </w:rPr>
        <w:t>The Board recognizes the importance of giving shareholders the meaningful ability to call special meetings in appropriate circumstances. And the Board believes that our existing special meeting right, with its 15% ownership threshold and one-year holding requirement, is the most appropriate at this time because it preserves a reasonable and appropriate balance between providing shareholders with the right to call a special meeting while protecting against unnecessary waste of corporate resources and disruption associated with convening a special meeting called by a minority of potentially short-term shareholders. Our existing 15% threshold is also the same as, or lower than, the special meeting rights at 88.75% of the 471 S&amp;P 500 companies surveyed by FactSet.</w:t>
      </w:r>
    </w:p>
    <w:p>
      <w:pPr>
        <w:spacing w:after="0" w:line="179"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 xml:space="preserve">Reducing the threshold to 10% could cause Pinnacle West to spend time and resources on a special meeting </w:t>
      </w:r>
      <w:r>
        <w:rPr>
          <w:rFonts w:ascii="Arial" w:cs="Arial" w:eastAsia="Arial" w:hAnsi="Arial"/>
          <w:sz w:val="18"/>
          <w:szCs w:val="18"/>
          <w:b w:val="1"/>
          <w:bCs w:val="1"/>
          <w:color w:val="355675"/>
        </w:rPr>
        <w:t>even if holders of up to 90%</w:t>
      </w:r>
      <w:r>
        <w:rPr>
          <w:rFonts w:ascii="Arial" w:cs="Arial" w:eastAsia="Arial" w:hAnsi="Arial"/>
          <w:sz w:val="18"/>
          <w:szCs w:val="18"/>
          <w:color w:val="auto"/>
        </w:rPr>
        <w:t xml:space="preserve"> </w:t>
      </w:r>
      <w:r>
        <w:rPr>
          <w:rFonts w:ascii="Arial" w:cs="Arial" w:eastAsia="Arial" w:hAnsi="Arial"/>
          <w:sz w:val="18"/>
          <w:szCs w:val="18"/>
          <w:b w:val="1"/>
          <w:bCs w:val="1"/>
          <w:color w:val="355675"/>
        </w:rPr>
        <w:t>of our shares do not want a special meeting</w:t>
      </w:r>
      <w:r>
        <w:rPr>
          <w:rFonts w:ascii="Arial" w:cs="Arial" w:eastAsia="Arial" w:hAnsi="Arial"/>
          <w:sz w:val="18"/>
          <w:szCs w:val="18"/>
          <w:color w:val="000000"/>
        </w:rPr>
        <w:t>. If the proposal were adopted, a relatively small minority of shareholders – potentially with</w:t>
      </w:r>
      <w:r>
        <w:rPr>
          <w:rFonts w:ascii="Arial" w:cs="Arial" w:eastAsia="Arial" w:hAnsi="Arial"/>
          <w:sz w:val="18"/>
          <w:szCs w:val="18"/>
          <w:b w:val="1"/>
          <w:bCs w:val="1"/>
          <w:color w:val="355675"/>
        </w:rPr>
        <w:t xml:space="preserve"> </w:t>
      </w:r>
      <w:r>
        <w:rPr>
          <w:rFonts w:ascii="Arial" w:cs="Arial" w:eastAsia="Arial" w:hAnsi="Arial"/>
          <w:sz w:val="18"/>
          <w:szCs w:val="18"/>
          <w:color w:val="000000"/>
        </w:rPr>
        <w:t xml:space="preserve">narrow, short-term interests – </w:t>
      </w:r>
      <w:r>
        <w:rPr>
          <w:rFonts w:ascii="Arial" w:cs="Arial" w:eastAsia="Arial" w:hAnsi="Arial"/>
          <w:sz w:val="18"/>
          <w:szCs w:val="18"/>
          <w:b w:val="1"/>
          <w:bCs w:val="1"/>
          <w:color w:val="355675"/>
        </w:rPr>
        <w:t>could call an unlimited number of special meetings</w:t>
      </w:r>
      <w:r>
        <w:rPr>
          <w:rFonts w:ascii="Arial" w:cs="Arial" w:eastAsia="Arial" w:hAnsi="Arial"/>
          <w:sz w:val="18"/>
          <w:szCs w:val="18"/>
          <w:color w:val="000000"/>
        </w:rPr>
        <w:t>, without regard to how the direct costs and other burdens might impact the Company’s future success or the interests of the vast majority of shareholders. Holding a special meeting at the request of such a small minority of shareholders has the potential to injure the Company as they demand significant attention from the Board of Directors and senior management and they disrupt normal business operations. As a result, we believe special meetings should be limited to when there are urgent and important strategic matters or profound fiduciary concerns. Moreover, eliminating our current one-year holding requirement would allow shareholders with only short-term interests to call special meetings to advance those interests without regard to the interests of Pinnacle West and our broader shareholder base.</w:t>
      </w:r>
    </w:p>
    <w:p>
      <w:pPr>
        <w:spacing w:after="0" w:line="172"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Our Shareholders Have Rejected Similar Proposals Twice Since 2019</w:t>
      </w:r>
    </w:p>
    <w:p>
      <w:pPr>
        <w:spacing w:after="0" w:line="237" w:lineRule="exact"/>
        <w:rPr>
          <w:sz w:val="20"/>
          <w:szCs w:val="20"/>
          <w:color w:val="auto"/>
        </w:rPr>
      </w:pPr>
    </w:p>
    <w:p>
      <w:pPr>
        <w:jc w:val="both"/>
        <w:ind w:right="20"/>
        <w:spacing w:after="0" w:line="253" w:lineRule="auto"/>
        <w:rPr>
          <w:sz w:val="20"/>
          <w:szCs w:val="20"/>
          <w:color w:val="auto"/>
        </w:rPr>
      </w:pPr>
      <w:r>
        <w:rPr>
          <w:rFonts w:ascii="Arial" w:cs="Arial" w:eastAsia="Arial" w:hAnsi="Arial"/>
          <w:sz w:val="18"/>
          <w:szCs w:val="18"/>
          <w:color w:val="auto"/>
        </w:rPr>
        <w:t>In 2019, we received a substantially similar proposal from this proponent requesting that we reduce the threshold to call a special meeting to 10% from 25%. At the 2019 Annual Meeting, shareholders voted in favor of management, rejecting the proposal by a margin of 7.2%. As part of our annual shareholder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119380</wp:posOffset>
            </wp:positionV>
            <wp:extent cx="1191260" cy="23114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61"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5" w:name="page116"/>
    <w:bookmarkEnd w:id="11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9380"/>
        <w:spacing w:after="0"/>
        <w:rPr>
          <w:sz w:val="20"/>
          <w:szCs w:val="20"/>
          <w:color w:val="auto"/>
        </w:rPr>
      </w:pPr>
      <w:r>
        <w:rPr>
          <w:rFonts w:ascii="Arial" w:cs="Arial" w:eastAsia="Arial" w:hAnsi="Arial"/>
          <w:sz w:val="17"/>
          <w:szCs w:val="17"/>
          <w:b w:val="1"/>
          <w:bCs w:val="1"/>
          <w:color w:val="355675"/>
        </w:rPr>
        <w:t>Shareholder Proposal</w:t>
      </w:r>
    </w:p>
    <w:p>
      <w:pPr>
        <w:spacing w:after="0" w:line="223" w:lineRule="exact"/>
        <w:rPr>
          <w:sz w:val="20"/>
          <w:szCs w:val="20"/>
          <w:color w:val="auto"/>
        </w:rPr>
      </w:pPr>
    </w:p>
    <w:p>
      <w:pPr>
        <w:jc w:val="both"/>
        <w:spacing w:after="0" w:line="241" w:lineRule="auto"/>
        <w:rPr>
          <w:sz w:val="20"/>
          <w:szCs w:val="20"/>
          <w:color w:val="auto"/>
        </w:rPr>
      </w:pPr>
      <w:r>
        <w:rPr>
          <w:rFonts w:ascii="Arial" w:cs="Arial" w:eastAsia="Arial" w:hAnsi="Arial"/>
          <w:sz w:val="18"/>
          <w:szCs w:val="18"/>
          <w:color w:val="auto"/>
        </w:rPr>
        <w:t>program, we discussed the topic with shareholders to get a better understanding of their preferences with regards to the threshold to calling a special meeting. As a result of these discussions, we found that there was no consensus from our shareholders as to what they believed the proper threshold should be, though a majority of them did not believe 10% was the proper threshold, as reflected in the 2019 vote results.</w:t>
      </w:r>
    </w:p>
    <w:p>
      <w:pPr>
        <w:spacing w:after="0" w:line="2" w:lineRule="exact"/>
        <w:rPr>
          <w:sz w:val="20"/>
          <w:szCs w:val="20"/>
          <w:color w:val="auto"/>
        </w:rPr>
      </w:pPr>
    </w:p>
    <w:p>
      <w:pPr>
        <w:ind w:right="80"/>
        <w:spacing w:after="0" w:line="250" w:lineRule="auto"/>
        <w:rPr>
          <w:sz w:val="20"/>
          <w:szCs w:val="20"/>
          <w:color w:val="auto"/>
        </w:rPr>
      </w:pPr>
      <w:r>
        <w:rPr>
          <w:rFonts w:ascii="Arial" w:cs="Arial" w:eastAsia="Arial" w:hAnsi="Arial"/>
          <w:sz w:val="18"/>
          <w:szCs w:val="18"/>
          <w:color w:val="auto"/>
        </w:rPr>
        <w:t>However, during our conversations with shareholders, some shareholders did express a preference of a threshold less than 25%. As a result of this engagement with our shareholders, our Board took action in response.</w:t>
      </w:r>
    </w:p>
    <w:p>
      <w:pPr>
        <w:spacing w:after="0" w:line="172" w:lineRule="exact"/>
        <w:rPr>
          <w:sz w:val="20"/>
          <w:szCs w:val="20"/>
          <w:color w:val="auto"/>
        </w:rPr>
      </w:pPr>
    </w:p>
    <w:p>
      <w:pPr>
        <w:ind w:right="160"/>
        <w:spacing w:after="0" w:line="244" w:lineRule="auto"/>
        <w:rPr>
          <w:sz w:val="20"/>
          <w:szCs w:val="20"/>
          <w:color w:val="auto"/>
        </w:rPr>
      </w:pPr>
      <w:r>
        <w:rPr>
          <w:rFonts w:ascii="Arial" w:cs="Arial" w:eastAsia="Arial" w:hAnsi="Arial"/>
          <w:sz w:val="18"/>
          <w:szCs w:val="18"/>
          <w:color w:val="auto"/>
        </w:rPr>
        <w:t>In February 2020, after thoughtful deliberation, the Board of Directors voted to amend the Company’s Bylaws to reduce the threshold required to call a special meeting. Shareholders holding 15% or more of the Company’s outstanding shares of common stock have the right to call special meetings, provided certain conditions and requirements are met, including a one-year holding period. The Board strongly believes that the current 15% threshold is a reasonable and meaningful threshold affording shareholders a significant right and is part of an entire suite of rights that the Company provides to its shareholders.</w:t>
      </w:r>
    </w:p>
    <w:p>
      <w:pPr>
        <w:spacing w:after="0" w:line="176" w:lineRule="exact"/>
        <w:rPr>
          <w:sz w:val="20"/>
          <w:szCs w:val="20"/>
          <w:color w:val="auto"/>
        </w:rPr>
      </w:pPr>
    </w:p>
    <w:p>
      <w:pPr>
        <w:ind w:right="220"/>
        <w:spacing w:after="0" w:line="247" w:lineRule="auto"/>
        <w:rPr>
          <w:sz w:val="20"/>
          <w:szCs w:val="20"/>
          <w:color w:val="auto"/>
        </w:rPr>
      </w:pPr>
      <w:r>
        <w:rPr>
          <w:rFonts w:ascii="Arial" w:cs="Arial" w:eastAsia="Arial" w:hAnsi="Arial"/>
          <w:sz w:val="18"/>
          <w:szCs w:val="18"/>
          <w:color w:val="auto"/>
        </w:rPr>
        <w:t>For the 2020 Proxy Statement we also received a substantially similar proposal from the proponent, again requesting that we reduce the threshold to call a special meeting to 10%. At the 2020 Annual Meeting, shareholders voted in favor of management, this time rejecting the proposal by a margin of 22.88%. In light of our shareholders’ rejection of similar proposals twice since 2019, our Board believes that the changes requested by the proposal are unnecessary and not in the best interests of our shareholders.</w:t>
      </w:r>
    </w:p>
    <w:p>
      <w:pPr>
        <w:spacing w:after="0" w:line="163" w:lineRule="exact"/>
        <w:rPr>
          <w:sz w:val="20"/>
          <w:szCs w:val="20"/>
          <w:color w:val="auto"/>
        </w:rPr>
      </w:pPr>
    </w:p>
    <w:p>
      <w:pPr>
        <w:ind w:right="1080"/>
        <w:spacing w:after="0" w:line="298" w:lineRule="auto"/>
        <w:rPr>
          <w:sz w:val="20"/>
          <w:szCs w:val="20"/>
          <w:color w:val="auto"/>
        </w:rPr>
      </w:pPr>
      <w:r>
        <w:rPr>
          <w:rFonts w:ascii="Arial" w:cs="Arial" w:eastAsia="Arial" w:hAnsi="Arial"/>
          <w:sz w:val="32"/>
          <w:szCs w:val="32"/>
          <w:b w:val="1"/>
          <w:bCs w:val="1"/>
          <w:color w:val="355675"/>
        </w:rPr>
        <w:t>We Have Established Multiple Governance Mechanisms to Ensure Accountability of the Board and Management to Shareholders</w:t>
      </w:r>
    </w:p>
    <w:p>
      <w:pPr>
        <w:spacing w:after="0" w:line="70" w:lineRule="exact"/>
        <w:rPr>
          <w:sz w:val="20"/>
          <w:szCs w:val="20"/>
          <w:color w:val="auto"/>
        </w:rPr>
      </w:pPr>
    </w:p>
    <w:p>
      <w:pPr>
        <w:ind w:right="260"/>
        <w:spacing w:after="0" w:line="247" w:lineRule="auto"/>
        <w:rPr>
          <w:sz w:val="20"/>
          <w:szCs w:val="20"/>
          <w:color w:val="auto"/>
        </w:rPr>
      </w:pPr>
      <w:r>
        <w:rPr>
          <w:rFonts w:ascii="Arial" w:cs="Arial" w:eastAsia="Arial" w:hAnsi="Arial"/>
          <w:sz w:val="18"/>
          <w:szCs w:val="18"/>
          <w:color w:val="auto"/>
        </w:rPr>
        <w:t>In addition to the existing right of shareholders to call a special meeting by shareholders holding 15% of the Company’s outstanding stock, the Board has in place robust corporate governance policies that provide shareholders with a meaningful voice to communicate their priorities to the Board and management. While the Proponent dismisses or ignores these rights, they are meaningful opportunities for shareholders to voice their concerns. These rights include:</w:t>
      </w:r>
    </w:p>
    <w:p>
      <w:pPr>
        <w:spacing w:after="0" w:line="174" w:lineRule="exact"/>
        <w:rPr>
          <w:sz w:val="20"/>
          <w:szCs w:val="20"/>
          <w:color w:val="auto"/>
        </w:rPr>
      </w:pPr>
    </w:p>
    <w:p>
      <w:pPr>
        <w:ind w:left="260" w:hanging="252"/>
        <w:spacing w:after="0"/>
        <w:tabs>
          <w:tab w:leader="none" w:pos="260" w:val="left"/>
        </w:tabs>
        <w:numPr>
          <w:ilvl w:val="0"/>
          <w:numId w:val="119"/>
        </w:numPr>
        <w:rPr>
          <w:rFonts w:ascii="Arial" w:cs="Arial" w:eastAsia="Arial" w:hAnsi="Arial"/>
          <w:sz w:val="18"/>
          <w:szCs w:val="18"/>
          <w:b w:val="1"/>
          <w:bCs w:val="1"/>
          <w:color w:val="355675"/>
        </w:rPr>
      </w:pPr>
      <w:r>
        <w:rPr>
          <w:rFonts w:ascii="Arial" w:cs="Arial" w:eastAsia="Arial" w:hAnsi="Arial"/>
          <w:sz w:val="18"/>
          <w:szCs w:val="18"/>
          <w:color w:val="auto"/>
        </w:rPr>
        <w:t>Annual director elections with a director resignation policy;</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9"/>
        </w:numPr>
        <w:rPr>
          <w:rFonts w:ascii="Arial" w:cs="Arial" w:eastAsia="Arial" w:hAnsi="Arial"/>
          <w:sz w:val="18"/>
          <w:szCs w:val="18"/>
          <w:b w:val="1"/>
          <w:bCs w:val="1"/>
          <w:color w:val="355675"/>
        </w:rPr>
      </w:pPr>
      <w:r>
        <w:rPr>
          <w:rFonts w:ascii="Arial" w:cs="Arial" w:eastAsia="Arial" w:hAnsi="Arial"/>
          <w:sz w:val="18"/>
          <w:szCs w:val="18"/>
          <w:color w:val="auto"/>
        </w:rPr>
        <w:t>Annual votes on the advisory “say-on-pay” vote on executive compensation;</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9"/>
        </w:numPr>
        <w:rPr>
          <w:rFonts w:ascii="Arial" w:cs="Arial" w:eastAsia="Arial" w:hAnsi="Arial"/>
          <w:sz w:val="18"/>
          <w:szCs w:val="18"/>
          <w:b w:val="1"/>
          <w:bCs w:val="1"/>
          <w:color w:val="355675"/>
        </w:rPr>
      </w:pPr>
      <w:r>
        <w:rPr>
          <w:rFonts w:ascii="Arial" w:cs="Arial" w:eastAsia="Arial" w:hAnsi="Arial"/>
          <w:sz w:val="18"/>
          <w:szCs w:val="18"/>
          <w:color w:val="auto"/>
        </w:rPr>
        <w:t>Market-standard proxy access bylaw provision, which is described on page 23 of this Proxy Statement;</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9"/>
        </w:numPr>
        <w:rPr>
          <w:rFonts w:ascii="Arial" w:cs="Arial" w:eastAsia="Arial" w:hAnsi="Arial"/>
          <w:sz w:val="18"/>
          <w:szCs w:val="18"/>
          <w:b w:val="1"/>
          <w:bCs w:val="1"/>
          <w:color w:val="355675"/>
        </w:rPr>
      </w:pPr>
      <w:r>
        <w:rPr>
          <w:rFonts w:ascii="Arial" w:cs="Arial" w:eastAsia="Arial" w:hAnsi="Arial"/>
          <w:sz w:val="18"/>
          <w:szCs w:val="18"/>
          <w:color w:val="auto"/>
        </w:rPr>
        <w:t>Cumulative voting for the election of directors; and</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19"/>
        </w:numPr>
        <w:rPr>
          <w:rFonts w:ascii="Arial" w:cs="Arial" w:eastAsia="Arial" w:hAnsi="Arial"/>
          <w:sz w:val="18"/>
          <w:szCs w:val="18"/>
          <w:b w:val="1"/>
          <w:bCs w:val="1"/>
          <w:color w:val="355675"/>
        </w:rPr>
      </w:pPr>
      <w:r>
        <w:rPr>
          <w:rFonts w:ascii="Arial" w:cs="Arial" w:eastAsia="Arial" w:hAnsi="Arial"/>
          <w:sz w:val="18"/>
          <w:szCs w:val="18"/>
          <w:color w:val="auto"/>
        </w:rPr>
        <w:t>No supermajority voting provisions.</w:t>
      </w:r>
    </w:p>
    <w:p>
      <w:pPr>
        <w:spacing w:after="0" w:line="347"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 xml:space="preserve">In addition, Pinnacle West </w:t>
      </w:r>
      <w:r>
        <w:rPr>
          <w:rFonts w:ascii="Arial" w:cs="Arial" w:eastAsia="Arial" w:hAnsi="Arial"/>
          <w:sz w:val="18"/>
          <w:szCs w:val="18"/>
          <w:b w:val="1"/>
          <w:bCs w:val="1"/>
          <w:color w:val="355675"/>
        </w:rPr>
        <w:t>regularly engages with shareholders</w:t>
      </w:r>
      <w:r>
        <w:rPr>
          <w:rFonts w:ascii="Arial" w:cs="Arial" w:eastAsia="Arial" w:hAnsi="Arial"/>
          <w:sz w:val="18"/>
          <w:szCs w:val="18"/>
          <w:color w:val="auto"/>
        </w:rPr>
        <w:t xml:space="preserve"> to solicit and discuss their views on governance, executive compensation, and other matters, and feedback received from shareholders as part of our engagement program is provided to the Board. Our shareholder engagement program is described on pages 42-43 of this Proxy Statement.</w:t>
      </w:r>
    </w:p>
    <w:p>
      <w:pPr>
        <w:spacing w:after="0" w:line="169" w:lineRule="exact"/>
        <w:rPr>
          <w:sz w:val="20"/>
          <w:szCs w:val="20"/>
          <w:color w:val="auto"/>
        </w:rPr>
      </w:pPr>
    </w:p>
    <w:p>
      <w:pPr>
        <w:ind w:right="560"/>
        <w:spacing w:after="0" w:line="271" w:lineRule="auto"/>
        <w:rPr>
          <w:sz w:val="20"/>
          <w:szCs w:val="20"/>
          <w:color w:val="auto"/>
        </w:rPr>
      </w:pPr>
      <w:r>
        <w:rPr>
          <w:rFonts w:ascii="Arial" w:cs="Arial" w:eastAsia="Arial" w:hAnsi="Arial"/>
          <w:sz w:val="18"/>
          <w:szCs w:val="18"/>
          <w:color w:val="auto"/>
        </w:rPr>
        <w:t>Our strong corporate governance policies and practices, including the ability of a reasonable minority of shareholders to call special meetings, already provide our shareholders with a significant ability to raise important matters with the Board and senior management.</w:t>
      </w:r>
    </w:p>
    <w:p>
      <w:pPr>
        <w:spacing w:after="0" w:line="154" w:lineRule="exact"/>
        <w:rPr>
          <w:sz w:val="20"/>
          <w:szCs w:val="20"/>
          <w:color w:val="auto"/>
        </w:rPr>
      </w:pPr>
    </w:p>
    <w:p>
      <w:pPr>
        <w:ind w:right="140"/>
        <w:spacing w:after="0" w:line="281" w:lineRule="auto"/>
        <w:rPr>
          <w:sz w:val="20"/>
          <w:szCs w:val="20"/>
          <w:color w:val="auto"/>
        </w:rPr>
      </w:pPr>
      <w:r>
        <w:rPr>
          <w:rFonts w:ascii="Arial" w:cs="Arial" w:eastAsia="Arial" w:hAnsi="Arial"/>
          <w:sz w:val="18"/>
          <w:szCs w:val="18"/>
          <w:color w:val="auto"/>
        </w:rPr>
        <w:t xml:space="preserve">Accordingly, we believe that this shareholder proposal is not in the best interests of Pinnacle West and its shareholders, and for the reasons described above, </w:t>
      </w:r>
      <w:r>
        <w:rPr>
          <w:rFonts w:ascii="Arial" w:cs="Arial" w:eastAsia="Arial" w:hAnsi="Arial"/>
          <w:sz w:val="18"/>
          <w:szCs w:val="18"/>
          <w:b w:val="1"/>
          <w:bCs w:val="1"/>
          <w:color w:val="355675"/>
        </w:rPr>
        <w:t>the Board recommends that shareholders vote</w:t>
      </w:r>
      <w:r>
        <w:rPr>
          <w:rFonts w:ascii="Arial" w:cs="Arial" w:eastAsia="Arial" w:hAnsi="Arial"/>
          <w:sz w:val="18"/>
          <w:szCs w:val="18"/>
          <w:color w:val="auto"/>
        </w:rPr>
        <w:t xml:space="preserve"> </w:t>
      </w:r>
      <w:r>
        <w:rPr>
          <w:rFonts w:ascii="Arial" w:cs="Arial" w:eastAsia="Arial" w:hAnsi="Arial"/>
          <w:sz w:val="18"/>
          <w:szCs w:val="18"/>
          <w:b w:val="1"/>
          <w:bCs w:val="1"/>
          <w:color w:val="FF0800"/>
        </w:rPr>
        <w:t>AGAINST</w:t>
      </w:r>
      <w:r>
        <w:rPr>
          <w:rFonts w:ascii="Arial" w:cs="Arial" w:eastAsia="Arial" w:hAnsi="Arial"/>
          <w:sz w:val="18"/>
          <w:szCs w:val="18"/>
          <w:color w:val="auto"/>
        </w:rPr>
        <w:t xml:space="preserve"> </w:t>
      </w:r>
      <w:r>
        <w:rPr>
          <w:rFonts w:ascii="Arial" w:cs="Arial" w:eastAsia="Arial" w:hAnsi="Arial"/>
          <w:sz w:val="18"/>
          <w:szCs w:val="18"/>
          <w:b w:val="1"/>
          <w:bCs w:val="1"/>
          <w:color w:val="355675"/>
        </w:rPr>
        <w:t>this shareholder proposal</w:t>
      </w:r>
      <w:r>
        <w:rPr>
          <w:rFonts w:ascii="Arial" w:cs="Arial" w:eastAsia="Arial" w:hAnsi="Arial"/>
          <w:sz w:val="18"/>
          <w:szCs w:val="18"/>
          <w:color w:val="auto"/>
        </w:rPr>
        <w:t>.</w:t>
      </w:r>
    </w:p>
    <w:p>
      <w:pPr>
        <w:spacing w:after="0" w:line="146" w:lineRule="exact"/>
        <w:rPr>
          <w:sz w:val="20"/>
          <w:szCs w:val="20"/>
          <w:color w:val="auto"/>
        </w:rPr>
      </w:pPr>
    </w:p>
    <w:p>
      <w:pPr>
        <w:jc w:val="right"/>
        <w:spacing w:after="0"/>
        <w:tabs>
          <w:tab w:leader="none" w:pos="22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6" w:name="page117"/>
    <w:bookmarkEnd w:id="11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82"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General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pacing w:after="0" w:line="282"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Time, Date and Place</w:t>
      </w:r>
    </w:p>
    <w:p>
      <w:pPr>
        <w:spacing w:after="0" w:line="230"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The Company’s 2022 Annual Meeting of Shareholders (“Annual Meeting”) will be held at 1:30 p.m. Eastern Daylight Time, on Wednesday, May 18, 2022. The Annual Meeting will not be held at a physical location, but will instead be held virtually, where shareholders will participate by accessing a website using the Internet. The Annual Meeting will be accessed at www.virtualshareholdermeeting.com/PNW. To participate in the Annual Meeting, you will need the 16-digit control number included on the proxy card, the Internet Notice or the voting instruction form. Online check-in will begin at 1:15 p.m. Eastern Daylight Time, and you should allow ample time for the online check-in proceedings. We will have technicians standing by ready to assist you with any technical difficulties you may have accessing the virtual meeting. If you encounter any difficulties accessing the virtual meeting during the check-in or meeting time, please call: 844-986-0822 (domestic) or 303-562-9302 (international). An audio broadcast of the Annual Meeting will be available by telephone toll-free at 877-328-2502 (domestic) or 412-317-5419 (international). Upon dialing in, you will need to provide your 16-digit control number. Depending on concerns about the Coronavirus or COVID-19, we may need to postpone the meeting. The Company would publicly announce a determination to postpone the meeting in a press release available at www.pinnaclewest.com as soon as practicable before the meeting.</w:t>
      </w:r>
    </w:p>
    <w:p>
      <w:pPr>
        <w:spacing w:after="0" w:line="186" w:lineRule="exact"/>
        <w:rPr>
          <w:sz w:val="20"/>
          <w:szCs w:val="20"/>
          <w:color w:val="auto"/>
        </w:rPr>
      </w:pPr>
    </w:p>
    <w:p>
      <w:pPr>
        <w:ind w:right="140"/>
        <w:spacing w:after="0" w:line="242" w:lineRule="auto"/>
        <w:rPr>
          <w:sz w:val="20"/>
          <w:szCs w:val="20"/>
          <w:color w:val="auto"/>
        </w:rPr>
      </w:pPr>
      <w:r>
        <w:rPr>
          <w:rFonts w:ascii="Arial" w:cs="Arial" w:eastAsia="Arial" w:hAnsi="Arial"/>
          <w:sz w:val="18"/>
          <w:szCs w:val="18"/>
          <w:color w:val="auto"/>
        </w:rPr>
        <w:t>We continue to believe that the virtual -only format is in the best interests of our shareholders, given the time and expense of an in-person meeting compared to the shareholder participation at those meetings. The number of non-employee shareholders actually attending our Annual Meetings of Shareholders had significantly dwindled before we converted to the virtual only format. For the past five in-person meetings, only about 30 shareholders attended each of the meetings. The meetings, on average, lasted less than 45 minutes, including the formal business portion of the meeting, the remarks by the CEO, a video highlighting the Company’s performance, and the question and answer period. A virtual meeting allows all of our shareholders, regardless of location, the ability to participate in the Annual Meeting.</w:t>
      </w:r>
    </w:p>
    <w:p>
      <w:pPr>
        <w:spacing w:after="0" w:line="179" w:lineRule="exact"/>
        <w:rPr>
          <w:sz w:val="20"/>
          <w:szCs w:val="20"/>
          <w:color w:val="auto"/>
        </w:rPr>
      </w:pPr>
    </w:p>
    <w:p>
      <w:pPr>
        <w:ind w:right="20"/>
        <w:spacing w:after="0" w:line="242" w:lineRule="auto"/>
        <w:rPr>
          <w:sz w:val="20"/>
          <w:szCs w:val="20"/>
          <w:color w:val="auto"/>
        </w:rPr>
      </w:pPr>
      <w:r>
        <w:rPr>
          <w:rFonts w:ascii="Arial" w:cs="Arial" w:eastAsia="Arial" w:hAnsi="Arial"/>
          <w:sz w:val="18"/>
          <w:szCs w:val="18"/>
          <w:color w:val="auto"/>
        </w:rPr>
        <w:t>Our virtual meeting will be governed by our Rules of Conduct, which we use for both in-person and virtual meetings. Shareholders at the virtual-only meeting will have the same rights as at an in-person meeting, including the rights to vote and ask questions through the virtual meeting platform. In the event we are not able to answer all the questions that are asked during the meeting, a list of all questions asked that comply with the Rules of Conduct that were not responded to during the meeting, and our response, will be posted on our website shortly after the meeting. Given the concerns about Coronavirus, or COVID-19, we may alter the agenda of the 2022 Annual Meeting to accommodate the safety of our employees who work to make the Annual Meeting possible.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125730</wp:posOffset>
            </wp:positionV>
            <wp:extent cx="1191260" cy="231775"/>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371"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sectPr>
      </w:pPr>
    </w:p>
    <w:bookmarkStart w:id="117" w:name="page118"/>
    <w:bookmarkEnd w:id="117"/>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355675"/>
        </w:rPr>
        <w:t>General Information</w:t>
      </w:r>
    </w:p>
    <w:p>
      <w:pPr>
        <w:spacing w:after="0" w:line="197"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Notice of Internet Availability</w:t>
      </w:r>
    </w:p>
    <w:p>
      <w:pPr>
        <w:spacing w:after="0" w:line="230" w:lineRule="exact"/>
        <w:rPr>
          <w:sz w:val="20"/>
          <w:szCs w:val="20"/>
          <w:color w:val="auto"/>
        </w:rPr>
      </w:pPr>
    </w:p>
    <w:p>
      <w:pPr>
        <w:ind w:right="60"/>
        <w:spacing w:after="0" w:line="247" w:lineRule="auto"/>
        <w:rPr>
          <w:sz w:val="20"/>
          <w:szCs w:val="20"/>
          <w:color w:val="auto"/>
        </w:rPr>
      </w:pPr>
      <w:r>
        <w:rPr>
          <w:rFonts w:ascii="Arial" w:cs="Arial" w:eastAsia="Arial" w:hAnsi="Arial"/>
          <w:sz w:val="18"/>
          <w:szCs w:val="18"/>
          <w:color w:val="auto"/>
        </w:rPr>
        <w:t>Unless you elected to receive printed copies of the proxy materials in prior years, you will receive a Notice of Internet Availability of Proxy Materials by mail, or if you so elected, by electronic mail (the “Internet Notice”). The Internet Notice will tell you how to access and review the proxy materials. If you received an Internet Notice by mail and would like to receive a printed copy of the proxy materials, you should follow the instructions included on the Internet Notice.</w:t>
      </w:r>
    </w:p>
    <w:p>
      <w:pPr>
        <w:spacing w:after="0" w:line="174" w:lineRule="exact"/>
        <w:rPr>
          <w:sz w:val="20"/>
          <w:szCs w:val="20"/>
          <w:color w:val="auto"/>
        </w:rPr>
      </w:pPr>
    </w:p>
    <w:p>
      <w:pPr>
        <w:ind w:right="320"/>
        <w:spacing w:after="0" w:line="271" w:lineRule="auto"/>
        <w:rPr>
          <w:sz w:val="20"/>
          <w:szCs w:val="20"/>
          <w:color w:val="auto"/>
        </w:rPr>
      </w:pPr>
      <w:r>
        <w:rPr>
          <w:rFonts w:ascii="Arial" w:cs="Arial" w:eastAsia="Arial" w:hAnsi="Arial"/>
          <w:sz w:val="18"/>
          <w:szCs w:val="18"/>
          <w:color w:val="auto"/>
        </w:rPr>
        <w:t>The Internet Notice is first being sent to shareholders on or about April 5, 2022. The Proxy Statement and the form of proxy relating to the Annual Meeting are first being made available to shareholders on or about April 5, 2022.</w:t>
      </w:r>
    </w:p>
    <w:p>
      <w:pPr>
        <w:spacing w:after="0" w:line="139"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Record Date; Shareholders Entitled to Vote</w:t>
      </w:r>
    </w:p>
    <w:p>
      <w:pPr>
        <w:spacing w:after="0" w:line="230" w:lineRule="exact"/>
        <w:rPr>
          <w:sz w:val="20"/>
          <w:szCs w:val="20"/>
          <w:color w:val="auto"/>
        </w:rPr>
      </w:pPr>
    </w:p>
    <w:p>
      <w:pPr>
        <w:spacing w:after="0" w:line="247" w:lineRule="auto"/>
        <w:rPr>
          <w:sz w:val="20"/>
          <w:szCs w:val="20"/>
          <w:color w:val="auto"/>
        </w:rPr>
      </w:pPr>
      <w:r>
        <w:rPr>
          <w:rFonts w:ascii="Arial" w:cs="Arial" w:eastAsia="Arial" w:hAnsi="Arial"/>
          <w:sz w:val="18"/>
          <w:szCs w:val="18"/>
          <w:color w:val="auto"/>
        </w:rPr>
        <w:t>All shareholders at the close of business on March 10, 2022 (the “Record Date”) are entitled to vote at the meeting. Each holder of outstanding Company common stock is entitled to one vote per share held as of the Record Date on all matters on which shareholders are entitled to vote, except for the election of directors, in which case “cumulative” voting applies (see “Vote Required — Election of directors”). At the close of business on the Record Date, there were 112,996,356 shares of common stock outstanding.</w:t>
      </w:r>
    </w:p>
    <w:p>
      <w:pPr>
        <w:spacing w:after="0" w:line="159"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Voting</w:t>
      </w:r>
    </w:p>
    <w:p>
      <w:pPr>
        <w:spacing w:after="0" w:line="230" w:lineRule="exact"/>
        <w:rPr>
          <w:sz w:val="20"/>
          <w:szCs w:val="20"/>
          <w:color w:val="auto"/>
        </w:rPr>
      </w:pPr>
    </w:p>
    <w:p>
      <w:pPr>
        <w:ind w:left="640" w:right="40"/>
        <w:spacing w:after="0" w:line="271" w:lineRule="auto"/>
        <w:rPr>
          <w:sz w:val="20"/>
          <w:szCs w:val="20"/>
          <w:color w:val="auto"/>
        </w:rPr>
      </w:pPr>
      <w:r>
        <w:rPr>
          <w:rFonts w:ascii="Arial" w:cs="Arial" w:eastAsia="Arial" w:hAnsi="Arial"/>
          <w:sz w:val="18"/>
          <w:szCs w:val="18"/>
          <w:b w:val="1"/>
          <w:bCs w:val="1"/>
          <w:color w:val="355675"/>
        </w:rPr>
        <w:t xml:space="preserve">VOTE PRIOR TO THE ANNUAL MEETING BY INTERNET. </w:t>
      </w:r>
      <w:r>
        <w:rPr>
          <w:rFonts w:ascii="Arial" w:cs="Arial" w:eastAsia="Arial" w:hAnsi="Arial"/>
          <w:sz w:val="18"/>
          <w:szCs w:val="18"/>
          <w:color w:val="000000"/>
        </w:rPr>
        <w:t>The website address for Internet voting is on the proxy card, the Internet</w:t>
      </w:r>
      <w:r>
        <w:rPr>
          <w:rFonts w:ascii="Arial" w:cs="Arial" w:eastAsia="Arial" w:hAnsi="Arial"/>
          <w:sz w:val="18"/>
          <w:szCs w:val="18"/>
          <w:b w:val="1"/>
          <w:bCs w:val="1"/>
          <w:color w:val="355675"/>
        </w:rPr>
        <w:t xml:space="preserve"> </w:t>
      </w:r>
      <w:r>
        <w:rPr>
          <w:rFonts w:ascii="Arial" w:cs="Arial" w:eastAsia="Arial" w:hAnsi="Arial"/>
          <w:sz w:val="18"/>
          <w:szCs w:val="18"/>
          <w:color w:val="000000"/>
        </w:rPr>
        <w:t>Notice and the voting instruction form. Internet voting is available 24 hours 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-284480</wp:posOffset>
            </wp:positionV>
            <wp:extent cx="299720" cy="19685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299720" cy="196850"/>
                    </a:xfrm>
                    <a:prstGeom prst="rect">
                      <a:avLst/>
                    </a:prstGeom>
                    <a:noFill/>
                  </pic:spPr>
                </pic:pic>
              </a:graphicData>
            </a:graphic>
          </wp:anchor>
        </w:drawing>
      </w:r>
    </w:p>
    <w:p>
      <w:pPr>
        <w:spacing w:after="0" w:line="120" w:lineRule="exact"/>
        <w:rPr>
          <w:sz w:val="20"/>
          <w:szCs w:val="20"/>
          <w:color w:val="auto"/>
        </w:rPr>
      </w:pPr>
    </w:p>
    <w:p>
      <w:pPr>
        <w:ind w:left="640" w:right="340"/>
        <w:spacing w:after="0" w:line="271" w:lineRule="auto"/>
        <w:rPr>
          <w:sz w:val="20"/>
          <w:szCs w:val="20"/>
          <w:color w:val="auto"/>
        </w:rPr>
      </w:pPr>
      <w:r>
        <w:rPr>
          <w:rFonts w:ascii="Arial" w:cs="Arial" w:eastAsia="Arial" w:hAnsi="Arial"/>
          <w:sz w:val="18"/>
          <w:szCs w:val="18"/>
          <w:b w:val="1"/>
          <w:bCs w:val="1"/>
          <w:color w:val="355675"/>
        </w:rPr>
        <w:t xml:space="preserve">VOTE PRIOR TO THE ANNUAL MEETING BY TELEPHONE. </w:t>
      </w:r>
      <w:r>
        <w:rPr>
          <w:rFonts w:ascii="Arial" w:cs="Arial" w:eastAsia="Arial" w:hAnsi="Arial"/>
          <w:sz w:val="18"/>
          <w:szCs w:val="18"/>
          <w:color w:val="000000"/>
        </w:rPr>
        <w:t>The toll-free number for telephone voting is on the proxy card, the</w:t>
      </w:r>
      <w:r>
        <w:rPr>
          <w:rFonts w:ascii="Arial" w:cs="Arial" w:eastAsia="Arial" w:hAnsi="Arial"/>
          <w:sz w:val="18"/>
          <w:szCs w:val="18"/>
          <w:b w:val="1"/>
          <w:bCs w:val="1"/>
          <w:color w:val="355675"/>
        </w:rPr>
        <w:t xml:space="preserve"> </w:t>
      </w:r>
      <w:r>
        <w:rPr>
          <w:rFonts w:ascii="Arial" w:cs="Arial" w:eastAsia="Arial" w:hAnsi="Arial"/>
          <w:sz w:val="18"/>
          <w:szCs w:val="18"/>
          <w:color w:val="000000"/>
        </w:rPr>
        <w:t>Internet Notice and the voting instruction form. Telephone voting is available 24 hours 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-284480</wp:posOffset>
            </wp:positionV>
            <wp:extent cx="213995" cy="34290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213995" cy="342900"/>
                    </a:xfrm>
                    <a:prstGeom prst="rect">
                      <a:avLst/>
                    </a:prstGeom>
                    <a:noFill/>
                  </pic:spPr>
                </pic:pic>
              </a:graphicData>
            </a:graphic>
          </wp:anchor>
        </w:drawing>
      </w:r>
    </w:p>
    <w:p>
      <w:pPr>
        <w:spacing w:after="0" w:line="255" w:lineRule="exact"/>
        <w:rPr>
          <w:sz w:val="20"/>
          <w:szCs w:val="20"/>
          <w:color w:val="auto"/>
        </w:rPr>
      </w:pPr>
    </w:p>
    <w:p>
      <w:pPr>
        <w:ind w:left="640" w:right="140"/>
        <w:spacing w:after="0" w:line="271" w:lineRule="auto"/>
        <w:rPr>
          <w:sz w:val="20"/>
          <w:szCs w:val="20"/>
          <w:color w:val="auto"/>
        </w:rPr>
      </w:pPr>
      <w:r>
        <w:rPr>
          <w:rFonts w:ascii="Arial" w:cs="Arial" w:eastAsia="Arial" w:hAnsi="Arial"/>
          <w:sz w:val="18"/>
          <w:szCs w:val="18"/>
          <w:b w:val="1"/>
          <w:bCs w:val="1"/>
          <w:color w:val="355675"/>
        </w:rPr>
        <w:t xml:space="preserve">VOTE PRIOR TO THE ANNUAL MEETING BY SCANNING THE QR CODE. </w:t>
      </w:r>
      <w:r>
        <w:rPr>
          <w:rFonts w:ascii="Arial" w:cs="Arial" w:eastAsia="Arial" w:hAnsi="Arial"/>
          <w:sz w:val="18"/>
          <w:szCs w:val="18"/>
          <w:color w:val="000000"/>
        </w:rPr>
        <w:t>The QR code is on the proxy card, the Internet Notice</w:t>
      </w:r>
      <w:r>
        <w:rPr>
          <w:rFonts w:ascii="Arial" w:cs="Arial" w:eastAsia="Arial" w:hAnsi="Arial"/>
          <w:sz w:val="18"/>
          <w:szCs w:val="18"/>
          <w:b w:val="1"/>
          <w:bCs w:val="1"/>
          <w:color w:val="355675"/>
        </w:rPr>
        <w:t xml:space="preserve"> </w:t>
      </w:r>
      <w:r>
        <w:rPr>
          <w:rFonts w:ascii="Arial" w:cs="Arial" w:eastAsia="Arial" w:hAnsi="Arial"/>
          <w:sz w:val="18"/>
          <w:szCs w:val="18"/>
          <w:color w:val="000000"/>
        </w:rPr>
        <w:t>and the voting instruction form, and is available 24 hours 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-284480</wp:posOffset>
            </wp:positionV>
            <wp:extent cx="257175" cy="26606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257175" cy="266065"/>
                    </a:xfrm>
                    <a:prstGeom prst="rect">
                      <a:avLst/>
                    </a:prstGeom>
                    <a:noFill/>
                  </pic:spPr>
                </pic:pic>
              </a:graphicData>
            </a:graphic>
          </wp:anchor>
        </w:drawing>
      </w:r>
    </w:p>
    <w:p>
      <w:pPr>
        <w:spacing w:after="0" w:line="134" w:lineRule="exact"/>
        <w:rPr>
          <w:sz w:val="20"/>
          <w:szCs w:val="20"/>
          <w:color w:val="auto"/>
        </w:rPr>
      </w:pPr>
    </w:p>
    <w:p>
      <w:pPr>
        <w:ind w:left="640" w:right="160"/>
        <w:spacing w:after="0" w:line="271" w:lineRule="auto"/>
        <w:rPr>
          <w:sz w:val="20"/>
          <w:szCs w:val="20"/>
          <w:color w:val="auto"/>
        </w:rPr>
      </w:pPr>
      <w:r>
        <w:rPr>
          <w:rFonts w:ascii="Arial" w:cs="Arial" w:eastAsia="Arial" w:hAnsi="Arial"/>
          <w:sz w:val="18"/>
          <w:szCs w:val="18"/>
          <w:b w:val="1"/>
          <w:bCs w:val="1"/>
          <w:color w:val="355675"/>
        </w:rPr>
        <w:t xml:space="preserve">VOTE PRIOR TO THE ANNUAL MEETING BY MAIL. </w:t>
      </w:r>
      <w:r>
        <w:rPr>
          <w:rFonts w:ascii="Arial" w:cs="Arial" w:eastAsia="Arial" w:hAnsi="Arial"/>
          <w:sz w:val="18"/>
          <w:szCs w:val="18"/>
          <w:color w:val="000000"/>
        </w:rPr>
        <w:t>You may vote by mail by promptly marking, signing, dating, and mailing your</w:t>
      </w:r>
      <w:r>
        <w:rPr>
          <w:rFonts w:ascii="Arial" w:cs="Arial" w:eastAsia="Arial" w:hAnsi="Arial"/>
          <w:sz w:val="18"/>
          <w:szCs w:val="18"/>
          <w:b w:val="1"/>
          <w:bCs w:val="1"/>
          <w:color w:val="355675"/>
        </w:rPr>
        <w:t xml:space="preserve"> </w:t>
      </w:r>
      <w:r>
        <w:rPr>
          <w:rFonts w:ascii="Arial" w:cs="Arial" w:eastAsia="Arial" w:hAnsi="Arial"/>
          <w:sz w:val="18"/>
          <w:szCs w:val="18"/>
          <w:color w:val="000000"/>
        </w:rPr>
        <w:t>proxy card or voting instruction form (a postage-paid envelope is provided for mailing in the United States).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-275590</wp:posOffset>
            </wp:positionV>
            <wp:extent cx="257175" cy="19685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257175" cy="196850"/>
                    </a:xfrm>
                    <a:prstGeom prst="rect">
                      <a:avLst/>
                    </a:prstGeom>
                    <a:noFill/>
                  </pic:spPr>
                </pic:pic>
              </a:graphicData>
            </a:graphic>
          </wp:anchor>
        </w:drawing>
      </w:r>
    </w:p>
    <w:p>
      <w:pPr>
        <w:spacing w:after="0" w:line="120" w:lineRule="exact"/>
        <w:rPr>
          <w:sz w:val="20"/>
          <w:szCs w:val="20"/>
          <w:color w:val="auto"/>
        </w:rPr>
      </w:pPr>
    </w:p>
    <w:p>
      <w:pPr>
        <w:ind w:left="640" w:right="320"/>
        <w:spacing w:after="0" w:line="271" w:lineRule="auto"/>
        <w:rPr>
          <w:sz w:val="20"/>
          <w:szCs w:val="20"/>
          <w:color w:val="auto"/>
        </w:rPr>
      </w:pPr>
      <w:r>
        <w:rPr>
          <w:rFonts w:ascii="Arial" w:cs="Arial" w:eastAsia="Arial" w:hAnsi="Arial"/>
          <w:sz w:val="18"/>
          <w:szCs w:val="18"/>
          <w:b w:val="1"/>
          <w:bCs w:val="1"/>
          <w:color w:val="355675"/>
        </w:rPr>
        <w:t xml:space="preserve">VOTE DURING THE ANNUAL MEETING OVER THE INTERNET. </w:t>
      </w:r>
      <w:r>
        <w:rPr>
          <w:rFonts w:ascii="Arial" w:cs="Arial" w:eastAsia="Arial" w:hAnsi="Arial"/>
          <w:sz w:val="18"/>
          <w:szCs w:val="18"/>
          <w:color w:val="000000"/>
        </w:rPr>
        <w:t>To participate in the Annual Meeting, you will need the 16-digit</w:t>
      </w:r>
      <w:r>
        <w:rPr>
          <w:rFonts w:ascii="Arial" w:cs="Arial" w:eastAsia="Arial" w:hAnsi="Arial"/>
          <w:sz w:val="18"/>
          <w:szCs w:val="18"/>
          <w:b w:val="1"/>
          <w:bCs w:val="1"/>
          <w:color w:val="355675"/>
        </w:rPr>
        <w:t xml:space="preserve"> </w:t>
      </w:r>
      <w:r>
        <w:rPr>
          <w:rFonts w:ascii="Arial" w:cs="Arial" w:eastAsia="Arial" w:hAnsi="Arial"/>
          <w:sz w:val="18"/>
          <w:szCs w:val="18"/>
          <w:color w:val="000000"/>
        </w:rPr>
        <w:t>control number included on the proxy card, the Internet Notice or the voting instruction form.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-284480</wp:posOffset>
            </wp:positionV>
            <wp:extent cx="257175" cy="25717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257175" cy="257175"/>
                    </a:xfrm>
                    <a:prstGeom prst="rect">
                      <a:avLst/>
                    </a:prstGeom>
                    <a:noFill/>
                  </pic:spPr>
                </pic:pic>
              </a:graphicData>
            </a:graphic>
          </wp:anchor>
        </w:drawing>
      </w:r>
    </w:p>
    <w:p>
      <w:pPr>
        <w:spacing w:after="0" w:line="120" w:lineRule="exact"/>
        <w:rPr>
          <w:sz w:val="20"/>
          <w:szCs w:val="20"/>
          <w:color w:val="auto"/>
        </w:rPr>
      </w:pPr>
    </w:p>
    <w:p>
      <w:pPr>
        <w:ind w:left="640" w:right="220"/>
        <w:spacing w:after="0" w:line="247" w:lineRule="auto"/>
        <w:rPr>
          <w:sz w:val="20"/>
          <w:szCs w:val="20"/>
          <w:color w:val="auto"/>
        </w:rPr>
      </w:pPr>
      <w:r>
        <w:rPr>
          <w:rFonts w:ascii="Arial" w:cs="Arial" w:eastAsia="Arial" w:hAnsi="Arial"/>
          <w:sz w:val="18"/>
          <w:szCs w:val="18"/>
          <w:color w:val="auto"/>
        </w:rPr>
        <w:t>Shares held in your name or shares for which you are the beneficial owner but not the shareholder of record may be voted electronically during the formal business portion of the Annual Meeting. Shares held in the Pinnacle West 401(k) Plan cannot be voted during the Annual Meeting. If you hold shares in the Pinnacle West 401(k) Plan, you will need to submit your vote to the plan trustee no later than midnight on May 15, 2022 to vote your shares.</w:t>
      </w:r>
    </w:p>
    <w:p>
      <w:pPr>
        <w:spacing w:after="0" w:line="130" w:lineRule="exact"/>
        <w:rPr>
          <w:sz w:val="20"/>
          <w:szCs w:val="20"/>
          <w:color w:val="auto"/>
        </w:rPr>
      </w:pPr>
    </w:p>
    <w:p>
      <w:pPr>
        <w:jc w:val="right"/>
        <w:spacing w:after="0"/>
        <w:tabs>
          <w:tab w:leader="none" w:pos="22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4"/>
          <w:szCs w:val="14"/>
          <w:b w:val="1"/>
          <w:bCs w:val="1"/>
          <w:color w:val="355675"/>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8" w:name="page119"/>
    <w:bookmarkEnd w:id="118"/>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General Information</w:t>
      </w:r>
    </w:p>
    <w:p>
      <w:pPr>
        <w:spacing w:after="0" w:line="212" w:lineRule="exact"/>
        <w:rPr>
          <w:sz w:val="20"/>
          <w:szCs w:val="20"/>
          <w:color w:val="auto"/>
        </w:rPr>
      </w:pPr>
    </w:p>
    <w:p>
      <w:pPr>
        <w:ind w:right="160"/>
        <w:spacing w:after="0" w:line="242" w:lineRule="auto"/>
        <w:rPr>
          <w:sz w:val="20"/>
          <w:szCs w:val="20"/>
          <w:color w:val="auto"/>
        </w:rPr>
      </w:pPr>
      <w:r>
        <w:rPr>
          <w:rFonts w:ascii="Arial" w:cs="Arial" w:eastAsia="Arial" w:hAnsi="Arial"/>
          <w:sz w:val="18"/>
          <w:szCs w:val="18"/>
          <w:color w:val="auto"/>
        </w:rPr>
        <w:t>You may change your vote by: re-voting by telephone; re-voting by Internet; or re-voting during the formal business portion of the Annual Meeting. For shares held in your name, you may change your vote by re-submitting a signed proxy card. In addition, for shares held in your name, you may also revoke a previously submitted proxy card by filing with our Corporate Secretary a written notice of revocation. For shares for which you are the beneficial owner but not the shareholder of record, you may change your vote by re-submitting a signed voting instruction form to your broker. In addition, for shares for which you are the beneficial owner but not the shareholder of record, you should contact your broker if you would like to revoke your vote.</w:t>
      </w:r>
    </w:p>
    <w:p>
      <w:pPr>
        <w:spacing w:after="0" w:line="179" w:lineRule="exact"/>
        <w:rPr>
          <w:sz w:val="20"/>
          <w:szCs w:val="20"/>
          <w:color w:val="auto"/>
        </w:rPr>
      </w:pPr>
    </w:p>
    <w:p>
      <w:pPr>
        <w:ind w:right="200"/>
        <w:spacing w:after="0" w:line="253" w:lineRule="auto"/>
        <w:rPr>
          <w:sz w:val="20"/>
          <w:szCs w:val="20"/>
          <w:color w:val="auto"/>
        </w:rPr>
      </w:pPr>
      <w:r>
        <w:rPr>
          <w:rFonts w:ascii="Arial" w:cs="Arial" w:eastAsia="Arial" w:hAnsi="Arial"/>
          <w:sz w:val="18"/>
          <w:szCs w:val="18"/>
          <w:color w:val="auto"/>
        </w:rPr>
        <w:t>Your vote is confidential. Only the following persons have access to your vote: election inspectors; individuals who help with the processing and counting of votes; and persons who need access for legal reasons. All votes will be counted by an independent inspector of elections appointed for the Annual Meeting.</w:t>
      </w:r>
    </w:p>
    <w:p>
      <w:pPr>
        <w:spacing w:after="0" w:line="154"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Quorum</w:t>
      </w:r>
    </w:p>
    <w:p>
      <w:pPr>
        <w:spacing w:after="0" w:line="230" w:lineRule="exact"/>
        <w:rPr>
          <w:sz w:val="20"/>
          <w:szCs w:val="20"/>
          <w:color w:val="auto"/>
        </w:rPr>
      </w:pPr>
    </w:p>
    <w:p>
      <w:pPr>
        <w:spacing w:after="0" w:line="244" w:lineRule="auto"/>
        <w:rPr>
          <w:sz w:val="20"/>
          <w:szCs w:val="20"/>
          <w:color w:val="auto"/>
        </w:rPr>
      </w:pPr>
      <w:r>
        <w:rPr>
          <w:rFonts w:ascii="Arial" w:cs="Arial" w:eastAsia="Arial" w:hAnsi="Arial"/>
          <w:sz w:val="18"/>
          <w:szCs w:val="18"/>
          <w:color w:val="auto"/>
        </w:rPr>
        <w:t>The presence, in person or by proxy, of a majority of the outstanding shares of our common stock is necessary to constitute a quorum at the Annual Meeting. In counting the votes to determine whether a quorum exists, shares that are entitled to vote but are not voted at the direction of the beneficial owner (called abstentions) and votes withheld by brokers in the absence of instructions from beneficial owners (called broker non-votes) will be counted for purposes of determining whether there is a quorum. Shares owned by the Company are not considered outstanding or present at the meeting.</w:t>
      </w:r>
    </w:p>
    <w:p>
      <w:pPr>
        <w:spacing w:after="0" w:line="161"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Vote Required</w:t>
      </w:r>
    </w:p>
    <w:p>
      <w:pPr>
        <w:spacing w:after="0" w:line="219"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Election of Directors</w:t>
      </w:r>
    </w:p>
    <w:p>
      <w:pPr>
        <w:spacing w:after="0" w:line="237" w:lineRule="exact"/>
        <w:rPr>
          <w:sz w:val="20"/>
          <w:szCs w:val="20"/>
          <w:color w:val="auto"/>
        </w:rPr>
      </w:pPr>
    </w:p>
    <w:p>
      <w:pPr>
        <w:ind w:right="100"/>
        <w:spacing w:after="0"/>
        <w:rPr>
          <w:sz w:val="20"/>
          <w:szCs w:val="20"/>
          <w:color w:val="auto"/>
        </w:rPr>
      </w:pPr>
      <w:r>
        <w:rPr>
          <w:rFonts w:ascii="Arial" w:cs="Arial" w:eastAsia="Arial" w:hAnsi="Arial"/>
          <w:sz w:val="18"/>
          <w:szCs w:val="18"/>
          <w:color w:val="auto"/>
        </w:rPr>
        <w:t>Individuals receiving the highest number of votes will be elected. The number of votes that a shareholder may, but is not required to, cast is calculated by multiplying the number of shares of common stock owned by the shareholder, as of the Record Date, by the number of directors to be elected. Any shareholder may cumulate his or her votes by casting them for any one nominee or by distributing them among two or more nominees. Abstentions will not be counted toward a nominee’s total and will have no effect on the election of directors. You may not cumulate your votes against a nominee. If you hold shares in your own name and would like to exercise your cumulative voting rights, you must do so by mail. If you hold shares beneficially through a broker, trustee or other nominee and wish to cumulate votes, you should follow the instructions on the voting instruction form.</w:t>
      </w:r>
    </w:p>
    <w:p>
      <w:pPr>
        <w:spacing w:after="0" w:line="173" w:lineRule="exact"/>
        <w:rPr>
          <w:sz w:val="20"/>
          <w:szCs w:val="20"/>
          <w:color w:val="auto"/>
        </w:rPr>
      </w:pPr>
    </w:p>
    <w:p>
      <w:pPr>
        <w:spacing w:after="0"/>
        <w:rPr>
          <w:sz w:val="20"/>
          <w:szCs w:val="20"/>
          <w:color w:val="auto"/>
        </w:rPr>
      </w:pPr>
      <w:r>
        <w:rPr>
          <w:rFonts w:ascii="Arial" w:cs="Arial" w:eastAsia="Arial" w:hAnsi="Arial"/>
          <w:sz w:val="32"/>
          <w:szCs w:val="32"/>
          <w:b w:val="1"/>
          <w:bCs w:val="1"/>
          <w:color w:val="355675"/>
        </w:rPr>
        <w:t>Say-on-Pay Vote</w:t>
      </w:r>
    </w:p>
    <w:p>
      <w:pPr>
        <w:spacing w:after="0" w:line="237" w:lineRule="exact"/>
        <w:rPr>
          <w:sz w:val="20"/>
          <w:szCs w:val="20"/>
          <w:color w:val="auto"/>
        </w:rPr>
      </w:pPr>
    </w:p>
    <w:p>
      <w:pPr>
        <w:ind w:right="100"/>
        <w:spacing w:after="0"/>
        <w:rPr>
          <w:sz w:val="20"/>
          <w:szCs w:val="20"/>
          <w:color w:val="auto"/>
        </w:rPr>
      </w:pPr>
      <w:r>
        <w:rPr>
          <w:rFonts w:ascii="Arial" w:cs="Arial" w:eastAsia="Arial" w:hAnsi="Arial"/>
          <w:sz w:val="18"/>
          <w:szCs w:val="18"/>
          <w:color w:val="auto"/>
        </w:rPr>
        <w:t>The votes cast “for” must exceed the votes cast “against” to approve the advisory resolution on the compensation disclosed in this Proxy Statement of our NEOs identified on page 56 — the say-on-pay vote. This resolution is not intended to address any specific item of compensation, but rather the overall compensation of the NEOs and the compensation philosophy, policies and procedures described in this Proxy Statement. Because your vote is advisory, it will not be binding on the Board or the Company. The Board will review the voting results and take them into consideration when making future decisions regarding executive compensation. Abstentions and broker non-votes will have no effect on the outcome of this proposal. We will hold an advisory vote on say-on-pay on an annual basis until we next hold an advisory vote of shareholders on the frequency of such votes as required by law.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128905</wp:posOffset>
            </wp:positionV>
            <wp:extent cx="1191260" cy="23114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77"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095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19" w:name="page120"/>
    <w:bookmarkEnd w:id="119"/>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ind w:left="9540"/>
        <w:spacing w:after="0"/>
        <w:rPr>
          <w:sz w:val="20"/>
          <w:szCs w:val="20"/>
          <w:color w:val="auto"/>
        </w:rPr>
      </w:pPr>
      <w:r>
        <w:rPr>
          <w:rFonts w:ascii="Arial" w:cs="Arial" w:eastAsia="Arial" w:hAnsi="Arial"/>
          <w:sz w:val="17"/>
          <w:szCs w:val="17"/>
          <w:b w:val="1"/>
          <w:bCs w:val="1"/>
          <w:color w:val="355675"/>
        </w:rPr>
        <w:t>General Information</w:t>
      </w:r>
    </w:p>
    <w:p>
      <w:pPr>
        <w:spacing w:after="0" w:line="212" w:lineRule="exact"/>
        <w:rPr>
          <w:sz w:val="20"/>
          <w:szCs w:val="20"/>
          <w:color w:val="auto"/>
        </w:rPr>
      </w:pPr>
    </w:p>
    <w:p>
      <w:pPr>
        <w:ind w:right="900"/>
        <w:spacing w:after="0" w:line="298" w:lineRule="auto"/>
        <w:rPr>
          <w:sz w:val="20"/>
          <w:szCs w:val="20"/>
          <w:color w:val="auto"/>
        </w:rPr>
      </w:pPr>
      <w:r>
        <w:rPr>
          <w:rFonts w:ascii="Arial" w:cs="Arial" w:eastAsia="Arial" w:hAnsi="Arial"/>
          <w:sz w:val="32"/>
          <w:szCs w:val="32"/>
          <w:b w:val="1"/>
          <w:bCs w:val="1"/>
          <w:color w:val="355675"/>
        </w:rPr>
        <w:t>Ratification of the Appointment of the Independent Accountant and Approval of the Shareholder Proposal</w:t>
      </w:r>
    </w:p>
    <w:p>
      <w:pPr>
        <w:spacing w:after="0" w:line="70" w:lineRule="exact"/>
        <w:rPr>
          <w:sz w:val="20"/>
          <w:szCs w:val="20"/>
          <w:color w:val="auto"/>
        </w:rPr>
      </w:pPr>
    </w:p>
    <w:p>
      <w:pPr>
        <w:spacing w:after="0" w:line="247" w:lineRule="auto"/>
        <w:rPr>
          <w:sz w:val="20"/>
          <w:szCs w:val="20"/>
          <w:color w:val="auto"/>
        </w:rPr>
      </w:pPr>
      <w:r>
        <w:rPr>
          <w:rFonts w:ascii="Arial" w:cs="Arial" w:eastAsia="Arial" w:hAnsi="Arial"/>
          <w:sz w:val="18"/>
          <w:szCs w:val="18"/>
          <w:color w:val="auto"/>
        </w:rPr>
        <w:t>The votes cast “for” must exceed the votes cast “against” to ratify the appointment of the independent accountant for the year ending December 31, 2022 and for approval of the shareholder proposal. Abstentions and broker non-votes will have no effect on the outcome of the proposal. Because your vote is advisory, it will not be binding on the Board or the Company. However, the Board will review the voting results and take into consideration our shareholders’ views.</w:t>
      </w:r>
    </w:p>
    <w:p>
      <w:pPr>
        <w:spacing w:after="0" w:line="159"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Board Recommendations</w:t>
      </w:r>
    </w:p>
    <w:p>
      <w:pPr>
        <w:spacing w:after="0" w:line="230" w:lineRule="exact"/>
        <w:rPr>
          <w:sz w:val="20"/>
          <w:szCs w:val="20"/>
          <w:color w:val="auto"/>
        </w:rPr>
      </w:pPr>
    </w:p>
    <w:p>
      <w:pPr>
        <w:spacing w:after="0"/>
        <w:rPr>
          <w:sz w:val="20"/>
          <w:szCs w:val="20"/>
          <w:color w:val="auto"/>
        </w:rPr>
      </w:pPr>
      <w:r>
        <w:rPr>
          <w:rFonts w:ascii="Arial" w:cs="Arial" w:eastAsia="Arial" w:hAnsi="Arial"/>
          <w:sz w:val="18"/>
          <w:szCs w:val="18"/>
          <w:color w:val="auto"/>
        </w:rPr>
        <w:t>The Board recommends a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171450" cy="17145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219" w:lineRule="exact"/>
        <w:rPr>
          <w:sz w:val="20"/>
          <w:szCs w:val="20"/>
          <w:color w:val="auto"/>
        </w:rPr>
      </w:pPr>
    </w:p>
    <w:p>
      <w:pPr>
        <w:ind w:left="420"/>
        <w:spacing w:after="0"/>
        <w:rPr>
          <w:sz w:val="20"/>
          <w:szCs w:val="20"/>
          <w:color w:val="auto"/>
        </w:rPr>
      </w:pPr>
      <w:r>
        <w:rPr>
          <w:rFonts w:ascii="Arial" w:cs="Arial" w:eastAsia="Arial" w:hAnsi="Arial"/>
          <w:sz w:val="18"/>
          <w:szCs w:val="18"/>
          <w:b w:val="1"/>
          <w:bCs w:val="1"/>
          <w:color w:val="355675"/>
        </w:rPr>
        <w:t xml:space="preserve">FOR </w:t>
      </w:r>
      <w:r>
        <w:rPr>
          <w:rFonts w:ascii="Arial" w:cs="Arial" w:eastAsia="Arial" w:hAnsi="Arial"/>
          <w:sz w:val="18"/>
          <w:szCs w:val="18"/>
          <w:color w:val="000000"/>
        </w:rPr>
        <w:t>the election of the nominated slate of directors (Proposal 1);</w:t>
      </w:r>
    </w:p>
    <w:p>
      <w:pPr>
        <w:spacing w:after="0" w:line="239" w:lineRule="exact"/>
        <w:rPr>
          <w:sz w:val="20"/>
          <w:szCs w:val="20"/>
          <w:color w:val="auto"/>
        </w:rPr>
      </w:pPr>
    </w:p>
    <w:p>
      <w:pPr>
        <w:ind w:left="420" w:right="800"/>
        <w:spacing w:after="0" w:line="271" w:lineRule="auto"/>
        <w:rPr>
          <w:sz w:val="20"/>
          <w:szCs w:val="20"/>
          <w:color w:val="auto"/>
        </w:rPr>
      </w:pPr>
      <w:r>
        <w:rPr>
          <w:rFonts w:ascii="Arial" w:cs="Arial" w:eastAsia="Arial" w:hAnsi="Arial"/>
          <w:sz w:val="18"/>
          <w:szCs w:val="18"/>
          <w:b w:val="1"/>
          <w:bCs w:val="1"/>
          <w:color w:val="355675"/>
        </w:rPr>
        <w:t xml:space="preserve">FOR </w:t>
      </w:r>
      <w:r>
        <w:rPr>
          <w:rFonts w:ascii="Arial" w:cs="Arial" w:eastAsia="Arial" w:hAnsi="Arial"/>
          <w:sz w:val="18"/>
          <w:szCs w:val="18"/>
          <w:color w:val="000000"/>
        </w:rPr>
        <w:t>the approval, on an advisory basis, of the resolution approving the compensation of our NEOs, as disclosed in this Proxy</w:t>
      </w:r>
      <w:r>
        <w:rPr>
          <w:rFonts w:ascii="Arial" w:cs="Arial" w:eastAsia="Arial" w:hAnsi="Arial"/>
          <w:sz w:val="18"/>
          <w:szCs w:val="18"/>
          <w:b w:val="1"/>
          <w:bCs w:val="1"/>
          <w:color w:val="355675"/>
        </w:rPr>
        <w:t xml:space="preserve"> </w:t>
      </w:r>
      <w:r>
        <w:rPr>
          <w:rFonts w:ascii="Arial" w:cs="Arial" w:eastAsia="Arial" w:hAnsi="Arial"/>
          <w:sz w:val="18"/>
          <w:szCs w:val="18"/>
          <w:color w:val="000000"/>
        </w:rPr>
        <w:t>Statement (Proposal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-241300</wp:posOffset>
            </wp:positionV>
            <wp:extent cx="171450" cy="17145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20" w:lineRule="exact"/>
        <w:rPr>
          <w:sz w:val="20"/>
          <w:szCs w:val="20"/>
          <w:color w:val="auto"/>
        </w:rPr>
      </w:pPr>
    </w:p>
    <w:p>
      <w:pPr>
        <w:ind w:left="420" w:right="680"/>
        <w:spacing w:after="0" w:line="271" w:lineRule="auto"/>
        <w:rPr>
          <w:sz w:val="20"/>
          <w:szCs w:val="20"/>
          <w:color w:val="auto"/>
        </w:rPr>
      </w:pPr>
      <w:r>
        <w:rPr>
          <w:rFonts w:ascii="Arial" w:cs="Arial" w:eastAsia="Arial" w:hAnsi="Arial"/>
          <w:sz w:val="18"/>
          <w:szCs w:val="18"/>
          <w:b w:val="1"/>
          <w:bCs w:val="1"/>
          <w:color w:val="355675"/>
        </w:rPr>
        <w:t xml:space="preserve">FOR </w:t>
      </w:r>
      <w:r>
        <w:rPr>
          <w:rFonts w:ascii="Arial" w:cs="Arial" w:eastAsia="Arial" w:hAnsi="Arial"/>
          <w:sz w:val="18"/>
          <w:szCs w:val="18"/>
          <w:color w:val="000000"/>
        </w:rPr>
        <w:t>the ratification of the appointment of Deloitte &amp; Touche LLP as the Company’s independent accountant for the year ending</w:t>
      </w:r>
      <w:r>
        <w:rPr>
          <w:rFonts w:ascii="Arial" w:cs="Arial" w:eastAsia="Arial" w:hAnsi="Arial"/>
          <w:sz w:val="18"/>
          <w:szCs w:val="18"/>
          <w:b w:val="1"/>
          <w:bCs w:val="1"/>
          <w:color w:val="355675"/>
        </w:rPr>
        <w:t xml:space="preserve"> </w:t>
      </w:r>
      <w:r>
        <w:rPr>
          <w:rFonts w:ascii="Arial" w:cs="Arial" w:eastAsia="Arial" w:hAnsi="Arial"/>
          <w:sz w:val="18"/>
          <w:szCs w:val="18"/>
          <w:color w:val="000000"/>
        </w:rPr>
        <w:t>December 31, 2022 (Proposal 3);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-241300</wp:posOffset>
            </wp:positionV>
            <wp:extent cx="171450" cy="17145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171450" cy="17145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100965</wp:posOffset>
            </wp:positionV>
            <wp:extent cx="171450" cy="17145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47" w:lineRule="exact"/>
        <w:rPr>
          <w:sz w:val="20"/>
          <w:szCs w:val="20"/>
          <w:color w:val="auto"/>
        </w:rPr>
      </w:pPr>
    </w:p>
    <w:p>
      <w:pPr>
        <w:ind w:left="420"/>
        <w:spacing w:after="0"/>
        <w:rPr>
          <w:sz w:val="20"/>
          <w:szCs w:val="20"/>
          <w:color w:val="auto"/>
        </w:rPr>
      </w:pPr>
      <w:r>
        <w:rPr>
          <w:rFonts w:ascii="Arial" w:cs="Arial" w:eastAsia="Arial" w:hAnsi="Arial"/>
          <w:sz w:val="18"/>
          <w:szCs w:val="18"/>
          <w:b w:val="1"/>
          <w:bCs w:val="1"/>
          <w:color w:val="FF0800"/>
        </w:rPr>
        <w:t xml:space="preserve">AGAINST </w:t>
      </w:r>
      <w:r>
        <w:rPr>
          <w:rFonts w:ascii="Arial" w:cs="Arial" w:eastAsia="Arial" w:hAnsi="Arial"/>
          <w:sz w:val="18"/>
          <w:szCs w:val="18"/>
          <w:color w:val="000000"/>
        </w:rPr>
        <w:t>the shareholder proposal (Proposal 4).</w:t>
      </w:r>
    </w:p>
    <w:p>
      <w:pPr>
        <w:spacing w:after="0" w:line="252"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The Board is not aware of any other matters that will be brought before the shareholders for a vote. If any other matters properly come before the meeting, the proxy holders will vote on those matters in accordance with the recommendations of the Board or, if no recommendations are given, in accordance with their own judgment.</w:t>
      </w:r>
    </w:p>
    <w:p>
      <w:pPr>
        <w:spacing w:after="0" w:line="154" w:lineRule="exact"/>
        <w:rPr>
          <w:sz w:val="20"/>
          <w:szCs w:val="20"/>
          <w:color w:val="auto"/>
        </w:rPr>
      </w:pPr>
    </w:p>
    <w:p>
      <w:pPr>
        <w:ind w:right="1060"/>
        <w:spacing w:after="0" w:line="284" w:lineRule="auto"/>
        <w:rPr>
          <w:sz w:val="20"/>
          <w:szCs w:val="20"/>
          <w:color w:val="auto"/>
        </w:rPr>
      </w:pPr>
      <w:r>
        <w:rPr>
          <w:rFonts w:ascii="Arial" w:cs="Arial" w:eastAsia="Arial" w:hAnsi="Arial"/>
          <w:sz w:val="40"/>
          <w:szCs w:val="40"/>
          <w:b w:val="1"/>
          <w:bCs w:val="1"/>
          <w:color w:val="008C9F"/>
        </w:rPr>
        <w:t>Delivery of Annual Reports and Proxy Statements to a Shared Address and Obtaining a Copy</w:t>
      </w:r>
    </w:p>
    <w:p>
      <w:pPr>
        <w:spacing w:after="0" w:line="60" w:lineRule="exact"/>
        <w:rPr>
          <w:sz w:val="20"/>
          <w:szCs w:val="20"/>
          <w:color w:val="auto"/>
        </w:rPr>
      </w:pPr>
    </w:p>
    <w:p>
      <w:pPr>
        <w:jc w:val="both"/>
        <w:ind w:right="100"/>
        <w:spacing w:after="0" w:line="253" w:lineRule="auto"/>
        <w:rPr>
          <w:sz w:val="20"/>
          <w:szCs w:val="20"/>
          <w:color w:val="auto"/>
        </w:rPr>
      </w:pPr>
      <w:r>
        <w:rPr>
          <w:rFonts w:ascii="Arial" w:cs="Arial" w:eastAsia="Arial" w:hAnsi="Arial"/>
          <w:sz w:val="18"/>
          <w:szCs w:val="18"/>
          <w:color w:val="auto"/>
        </w:rPr>
        <w:t>If you and one or more shareholders share the same address, it is possible that only one Internet Notice, Annual Report or Proxy Statement was delivered to your address. Registered shareholders at the same address who wish to receive separate copies of the Internet Notice, the Annual Report or Proxy Statement may:</w:t>
      </w:r>
    </w:p>
    <w:p>
      <w:pPr>
        <w:spacing w:after="0" w:line="169" w:lineRule="exact"/>
        <w:rPr>
          <w:sz w:val="20"/>
          <w:szCs w:val="20"/>
          <w:color w:val="auto"/>
        </w:rPr>
      </w:pPr>
    </w:p>
    <w:p>
      <w:pPr>
        <w:ind w:left="260" w:hanging="252"/>
        <w:spacing w:after="0"/>
        <w:tabs>
          <w:tab w:leader="none" w:pos="260" w:val="left"/>
        </w:tabs>
        <w:numPr>
          <w:ilvl w:val="0"/>
          <w:numId w:val="120"/>
        </w:numPr>
        <w:rPr>
          <w:rFonts w:ascii="Arial" w:cs="Arial" w:eastAsia="Arial" w:hAnsi="Arial"/>
          <w:sz w:val="18"/>
          <w:szCs w:val="18"/>
          <w:b w:val="1"/>
          <w:bCs w:val="1"/>
          <w:color w:val="355675"/>
        </w:rPr>
      </w:pPr>
      <w:r>
        <w:rPr>
          <w:rFonts w:ascii="Arial" w:cs="Arial" w:eastAsia="Arial" w:hAnsi="Arial"/>
          <w:sz w:val="18"/>
          <w:szCs w:val="18"/>
          <w:color w:val="auto"/>
        </w:rPr>
        <w:t>Call the Company’s Shareholder Services Department at 1-602-250-5511;</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20"/>
        </w:numPr>
        <w:rPr>
          <w:rFonts w:ascii="Arial" w:cs="Arial" w:eastAsia="Arial" w:hAnsi="Arial"/>
          <w:sz w:val="18"/>
          <w:szCs w:val="18"/>
          <w:b w:val="1"/>
          <w:bCs w:val="1"/>
          <w:color w:val="355675"/>
        </w:rPr>
      </w:pPr>
      <w:r>
        <w:rPr>
          <w:rFonts w:ascii="Arial" w:cs="Arial" w:eastAsia="Arial" w:hAnsi="Arial"/>
          <w:sz w:val="18"/>
          <w:szCs w:val="18"/>
          <w:color w:val="auto"/>
        </w:rPr>
        <w:t>Mail a request to Shareholder Services at P.O. Box 53999, Mail Station 8602, Phoenix, Arizona, 85072-3999; or</w:t>
      </w:r>
    </w:p>
    <w:p>
      <w:pPr>
        <w:spacing w:after="0" w:line="171"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20"/>
        </w:numPr>
        <w:rPr>
          <w:rFonts w:ascii="Arial" w:cs="Arial" w:eastAsia="Arial" w:hAnsi="Arial"/>
          <w:sz w:val="18"/>
          <w:szCs w:val="18"/>
          <w:b w:val="1"/>
          <w:bCs w:val="1"/>
          <w:color w:val="355675"/>
        </w:rPr>
      </w:pPr>
      <w:r>
        <w:rPr>
          <w:rFonts w:ascii="Arial" w:cs="Arial" w:eastAsia="Arial" w:hAnsi="Arial"/>
          <w:sz w:val="18"/>
          <w:szCs w:val="18"/>
          <w:color w:val="auto"/>
        </w:rPr>
        <w:t>E-mail a request to: shareholderdept@pinnaclewest.com.</w:t>
      </w:r>
    </w:p>
    <w:p>
      <w:pPr>
        <w:spacing w:after="0" w:line="343" w:lineRule="exact"/>
        <w:rPr>
          <w:sz w:val="20"/>
          <w:szCs w:val="20"/>
          <w:color w:val="auto"/>
        </w:rPr>
      </w:pPr>
    </w:p>
    <w:p>
      <w:pPr>
        <w:jc w:val="right"/>
        <w:spacing w:after="0"/>
        <w:tabs>
          <w:tab w:leader="none" w:pos="200" w:val="left"/>
        </w:tabs>
        <w:rPr>
          <w:sz w:val="20"/>
          <w:szCs w:val="20"/>
          <w:color w:val="auto"/>
        </w:rPr>
      </w:pPr>
      <w:r>
        <w:rPr>
          <w:rFonts w:ascii="Arial" w:cs="Arial" w:eastAsia="Arial" w:hAnsi="Arial"/>
          <w:sz w:val="14"/>
          <w:szCs w:val="14"/>
          <w:color w:val="355675"/>
        </w:rPr>
        <w:t>2022 Proxy Statement</w:t>
      </w:r>
      <w:r>
        <w:rPr>
          <w:sz w:val="20"/>
          <w:szCs w:val="20"/>
          <w:color w:val="auto"/>
        </w:rPr>
        <w:tab/>
      </w:r>
      <w:r>
        <w:rPr>
          <w:rFonts w:ascii="Arial" w:cs="Arial" w:eastAsia="Arial" w:hAnsi="Arial"/>
          <w:sz w:val="13"/>
          <w:szCs w:val="13"/>
          <w:b w:val="1"/>
          <w:bCs w:val="1"/>
          <w:color w:val="355675"/>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bookmarkStart w:id="120" w:name="page121"/>
    <w:bookmarkEnd w:id="120"/>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General Information</w:t>
      </w:r>
    </w:p>
    <w:p>
      <w:pPr>
        <w:spacing w:after="0" w:line="212" w:lineRule="exact"/>
        <w:rPr>
          <w:sz w:val="20"/>
          <w:szCs w:val="20"/>
          <w:color w:val="auto"/>
        </w:rPr>
      </w:pPr>
    </w:p>
    <w:p>
      <w:pPr>
        <w:ind w:right="300"/>
        <w:spacing w:after="0" w:line="247" w:lineRule="auto"/>
        <w:rPr>
          <w:sz w:val="20"/>
          <w:szCs w:val="20"/>
          <w:color w:val="auto"/>
        </w:rPr>
      </w:pPr>
      <w:r>
        <w:rPr>
          <w:rFonts w:ascii="Arial" w:cs="Arial" w:eastAsia="Arial" w:hAnsi="Arial"/>
          <w:sz w:val="18"/>
          <w:szCs w:val="18"/>
          <w:color w:val="auto"/>
        </w:rPr>
        <w:t>The Company will promptly deliver to you the information requested. Registered shareholders who share the same address but wish to receive one Internet Notice, Annual Report or Proxy Statement may contact the Company through the same methods listed above. Shareholders who own Company stock through a broker and who wish to receive single or separate copies of the Internet Notice, Annual Report or Proxy Statement should contact their broker.</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You may access our Annual Report and Proxy Statement via the Internet. Copies of the Annual Report and Proxy Statement are available on the Company’s website (www.pinnaclewest.com) and will be provided to any shareholder promptly upon request. Shareholders may request copies from Shareholder Services at the telephone number or addresses set forth above, or as described on the Internet Notice.</w:t>
      </w:r>
    </w:p>
    <w:p>
      <w:pPr>
        <w:spacing w:after="0" w:line="154"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Shareholder Proposals for the 2023 Annual Meeting</w:t>
      </w:r>
    </w:p>
    <w:p>
      <w:pPr>
        <w:spacing w:after="0" w:line="230" w:lineRule="exact"/>
        <w:rPr>
          <w:sz w:val="20"/>
          <w:szCs w:val="20"/>
          <w:color w:val="auto"/>
        </w:rPr>
      </w:pPr>
    </w:p>
    <w:p>
      <w:pPr>
        <w:ind w:right="220"/>
        <w:spacing w:after="0" w:line="271" w:lineRule="auto"/>
        <w:rPr>
          <w:sz w:val="20"/>
          <w:szCs w:val="20"/>
          <w:color w:val="auto"/>
        </w:rPr>
      </w:pPr>
      <w:r>
        <w:rPr>
          <w:rFonts w:ascii="Arial" w:cs="Arial" w:eastAsia="Arial" w:hAnsi="Arial"/>
          <w:sz w:val="18"/>
          <w:szCs w:val="18"/>
          <w:color w:val="auto"/>
        </w:rPr>
        <w:t>To be included in the proxy materials for the 2023 Annual Meeting of Shareholders (the “2023 Annual Meeting”), any shareholder proposal intended to be presented must be received by our Corporate Secretary no later than December 6, 2022 at the following address:</w:t>
      </w:r>
    </w:p>
    <w:p>
      <w:pPr>
        <w:spacing w:after="0" w:line="15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Corporate Secretary</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Pinnacle West Capital Corporation</w:t>
      </w:r>
    </w:p>
    <w:p>
      <w:pPr>
        <w:jc w:val="center"/>
        <w:ind w:right="-39"/>
        <w:spacing w:after="0" w:line="234" w:lineRule="auto"/>
        <w:rPr>
          <w:sz w:val="20"/>
          <w:szCs w:val="20"/>
          <w:color w:val="auto"/>
        </w:rPr>
      </w:pPr>
      <w:r>
        <w:rPr>
          <w:rFonts w:ascii="Arial" w:cs="Arial" w:eastAsia="Arial" w:hAnsi="Arial"/>
          <w:sz w:val="18"/>
          <w:szCs w:val="18"/>
          <w:color w:val="auto"/>
        </w:rPr>
        <w:t>400 North Fifth Street, Mail Station 8602</w:t>
      </w:r>
    </w:p>
    <w:p>
      <w:pPr>
        <w:spacing w:after="0" w:line="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Phoenix, Arizona 85004</w:t>
      </w:r>
    </w:p>
    <w:p>
      <w:pPr>
        <w:spacing w:after="0" w:line="194" w:lineRule="exact"/>
        <w:rPr>
          <w:sz w:val="20"/>
          <w:szCs w:val="20"/>
          <w:color w:val="auto"/>
        </w:rPr>
      </w:pPr>
    </w:p>
    <w:p>
      <w:pPr>
        <w:spacing w:after="0" w:line="271" w:lineRule="auto"/>
        <w:rPr>
          <w:sz w:val="20"/>
          <w:szCs w:val="20"/>
          <w:color w:val="auto"/>
        </w:rPr>
      </w:pPr>
      <w:r>
        <w:rPr>
          <w:rFonts w:ascii="Arial" w:cs="Arial" w:eastAsia="Arial" w:hAnsi="Arial"/>
          <w:sz w:val="18"/>
          <w:szCs w:val="18"/>
          <w:color w:val="auto"/>
        </w:rPr>
        <w:t>A shareholder who intends to present a proposal at the 2023 Annual Meeting, but does not wish it to be included in the 2023 proxy materials, must submit the proposal no earlier than January 18, 2023 and no later than the close of business on February 17, 2023.</w:t>
      </w:r>
    </w:p>
    <w:p>
      <w:pPr>
        <w:spacing w:after="0" w:line="139"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Proxy Solicitation</w:t>
      </w:r>
    </w:p>
    <w:p>
      <w:pPr>
        <w:spacing w:after="0" w:line="230" w:lineRule="exact"/>
        <w:rPr>
          <w:sz w:val="20"/>
          <w:szCs w:val="20"/>
          <w:color w:val="auto"/>
        </w:rPr>
      </w:pPr>
    </w:p>
    <w:p>
      <w:pPr>
        <w:ind w:right="120"/>
        <w:spacing w:after="0" w:line="261" w:lineRule="auto"/>
        <w:rPr>
          <w:sz w:val="20"/>
          <w:szCs w:val="20"/>
          <w:color w:val="auto"/>
        </w:rPr>
      </w:pPr>
      <w:r>
        <w:rPr>
          <w:rFonts w:ascii="Arial" w:cs="Arial" w:eastAsia="Arial" w:hAnsi="Arial"/>
          <w:sz w:val="17"/>
          <w:szCs w:val="17"/>
          <w:color w:val="auto"/>
        </w:rPr>
        <w:t>The Board is soliciting the enclosed proxy. The Company may solicit shareholders over the Internet, by telephone or by mail. The Company has retained D.F. King &amp; Co., Inc. to assist in the distribution of proxy solicitation materials and the solicitation of proxies for $11,000, plus customary expenses. The costs of the solicitation will be paid by the Company. Proxies may also be solicited in person, by telephone or electronically by Company personnel who will not receive additional compensation for such solicitation. As required, the Company will reimburse brokerage houses and others for their out-of-pocket expenses in forwarding documents to beneficial owners of our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116840</wp:posOffset>
            </wp:positionV>
            <wp:extent cx="1191260" cy="23114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191260" cy="231140"/>
                    </a:xfrm>
                    <a:prstGeom prst="rect">
                      <a:avLst/>
                    </a:prstGeom>
                    <a:noFill/>
                  </pic:spPr>
                </pic:pic>
              </a:graphicData>
            </a:graphic>
          </wp:anchor>
        </w:drawing>
      </w:r>
    </w:p>
    <w:p>
      <w:pPr>
        <w:spacing w:after="0" w:line="358"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73025</wp:posOffset>
            </wp:positionV>
            <wp:extent cx="7153275" cy="215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7153275" cy="21590"/>
                    </a:xfrm>
                    <a:prstGeom prst="rect">
                      <a:avLst/>
                    </a:prstGeom>
                    <a:noFill/>
                  </pic:spPr>
                </pic:pic>
              </a:graphicData>
            </a:graphic>
          </wp:anchor>
        </w:drawing>
      </w:r>
    </w:p>
    <w:p>
      <w:pPr>
        <w:sectPr>
          <w:pgSz w:w="11900" w:h="16838" w:orient="portrait"/>
          <w:cols w:equalWidth="0" w:num="1">
            <w:col w:w="11200"/>
          </w:cols>
          <w:pgMar w:left="320" w:top="125" w:right="379" w:bottom="1440" w:gutter="0" w:footer="0" w:header="0"/>
        </w:sectPr>
      </w:pPr>
    </w:p>
    <w:bookmarkStart w:id="121" w:name="page122"/>
    <w:bookmarkEnd w:id="121"/>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28" w:lineRule="exact"/>
        <w:rPr>
          <w:sz w:val="20"/>
          <w:szCs w:val="20"/>
          <w:color w:val="auto"/>
        </w:rPr>
      </w:pPr>
    </w:p>
    <w:p>
      <w:pPr>
        <w:spacing w:after="0"/>
        <w:rPr>
          <w:sz w:val="20"/>
          <w:szCs w:val="20"/>
          <w:color w:val="auto"/>
        </w:rPr>
      </w:pPr>
      <w:r>
        <w:rPr>
          <w:rFonts w:ascii="Arial" w:cs="Arial" w:eastAsia="Arial" w:hAnsi="Arial"/>
          <w:sz w:val="47"/>
          <w:szCs w:val="47"/>
          <w:b w:val="1"/>
          <w:bCs w:val="1"/>
          <w:color w:val="355675"/>
        </w:rPr>
        <w:t>Other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24765</wp:posOffset>
            </wp:positionV>
            <wp:extent cx="7132320" cy="51435"/>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pacing w:after="0" w:line="282" w:lineRule="exact"/>
        <w:rPr>
          <w:sz w:val="20"/>
          <w:szCs w:val="20"/>
          <w:color w:val="auto"/>
        </w:rPr>
      </w:pPr>
    </w:p>
    <w:p>
      <w:pPr>
        <w:spacing w:after="0"/>
        <w:rPr>
          <w:sz w:val="20"/>
          <w:szCs w:val="20"/>
          <w:color w:val="auto"/>
        </w:rPr>
      </w:pPr>
      <w:r>
        <w:rPr>
          <w:rFonts w:ascii="Arial" w:cs="Arial" w:eastAsia="Arial" w:hAnsi="Arial"/>
          <w:sz w:val="40"/>
          <w:szCs w:val="40"/>
          <w:b w:val="1"/>
          <w:bCs w:val="1"/>
          <w:color w:val="008C9F"/>
        </w:rPr>
        <w:t>Related Party Transactions</w:t>
      </w:r>
    </w:p>
    <w:p>
      <w:pPr>
        <w:spacing w:after="0" w:line="230" w:lineRule="exact"/>
        <w:rPr>
          <w:sz w:val="20"/>
          <w:szCs w:val="20"/>
          <w:color w:val="auto"/>
        </w:rPr>
      </w:pPr>
    </w:p>
    <w:p>
      <w:pPr>
        <w:ind w:right="160"/>
        <w:spacing w:after="0" w:line="242" w:lineRule="auto"/>
        <w:rPr>
          <w:sz w:val="20"/>
          <w:szCs w:val="20"/>
          <w:color w:val="auto"/>
        </w:rPr>
      </w:pPr>
      <w:r>
        <w:rPr>
          <w:rFonts w:ascii="Arial" w:cs="Arial" w:eastAsia="Arial" w:hAnsi="Arial"/>
          <w:sz w:val="18"/>
          <w:szCs w:val="18"/>
          <w:color w:val="auto"/>
        </w:rPr>
        <w:t>The Corporate Governance and Public Policy Committee is responsible for reviewing and approving all transactions with any related party, which consists of any of our directors, director nominees, executive officers, shareholders owning more than 5% of the Company’s common stock and, with respect to each of them, their immediate family members and certain entities in which they are an officer or a shareholder, partner, member or other participant who, directly or indirectly, has a substantial ownership interest in or otherwise substantially controls or shares control of such entity (a “Related Party”). This obligation is set forth in writing in our Statement of Policy Regarding Related Party Transactions (the “Policy”).</w:t>
      </w:r>
    </w:p>
    <w:p>
      <w:pPr>
        <w:spacing w:after="0" w:line="179"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To identify Related Party Transactions, as defined in the Policy, each year the Company requires our directors and officers to complete director and officer questionnaires identifying any transactions with the Company in which a Related Party has an interest. We review Related Party Transactions due to the potential for a conflict of interest. A conflict of interest occurs when an individual’s private interest interferes, or appears to interfere, in any way with our interests. The Code of Ethics requires all directors, officers, and employees who may have a potential or apparent conflict of interest to notify the Company’s management. In addition, the Policy specifically provides that any Related Party Transaction must be approved or ratified by the Corporate Governance and Public Policy Committee. A “Related Party Transaction” is any transaction or a series of similar transactions in which the Company or any of its subsidiaries is or was a participant, where the amount involved exceeds $120,000 in the aggregate, and in which any Related Party has a direct or indirect material interest, other than:</w:t>
      </w:r>
    </w:p>
    <w:p>
      <w:pPr>
        <w:spacing w:after="0" w:line="183" w:lineRule="exact"/>
        <w:rPr>
          <w:sz w:val="20"/>
          <w:szCs w:val="20"/>
          <w:color w:val="auto"/>
        </w:rPr>
      </w:pPr>
    </w:p>
    <w:p>
      <w:pPr>
        <w:ind w:left="260" w:right="400" w:hanging="252"/>
        <w:spacing w:after="0" w:line="271" w:lineRule="auto"/>
        <w:tabs>
          <w:tab w:leader="none" w:pos="260" w:val="left"/>
        </w:tabs>
        <w:numPr>
          <w:ilvl w:val="0"/>
          <w:numId w:val="121"/>
        </w:numPr>
        <w:rPr>
          <w:rFonts w:ascii="Arial" w:cs="Arial" w:eastAsia="Arial" w:hAnsi="Arial"/>
          <w:sz w:val="18"/>
          <w:szCs w:val="18"/>
          <w:b w:val="1"/>
          <w:bCs w:val="1"/>
          <w:color w:val="355675"/>
        </w:rPr>
      </w:pPr>
      <w:r>
        <w:rPr>
          <w:rFonts w:ascii="Arial" w:cs="Arial" w:eastAsia="Arial" w:hAnsi="Arial"/>
          <w:sz w:val="18"/>
          <w:szCs w:val="18"/>
          <w:color w:val="auto"/>
        </w:rPr>
        <w:t>Transactions in which rates or charges are fixed in conformity with law or governmental authority (such as APS rates approved by the ACC);</w:t>
      </w:r>
    </w:p>
    <w:p>
      <w:pPr>
        <w:spacing w:after="0" w:line="140"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21"/>
        </w:numPr>
        <w:rPr>
          <w:rFonts w:ascii="Arial" w:cs="Arial" w:eastAsia="Arial" w:hAnsi="Arial"/>
          <w:sz w:val="18"/>
          <w:szCs w:val="18"/>
          <w:b w:val="1"/>
          <w:bCs w:val="1"/>
          <w:color w:val="355675"/>
        </w:rPr>
      </w:pPr>
      <w:r>
        <w:rPr>
          <w:rFonts w:ascii="Arial" w:cs="Arial" w:eastAsia="Arial" w:hAnsi="Arial"/>
          <w:sz w:val="18"/>
          <w:szCs w:val="18"/>
          <w:color w:val="auto"/>
        </w:rPr>
        <w:t>Transactions in which the rates or charges are determined by competitive bid; or</w:t>
      </w:r>
    </w:p>
    <w:p>
      <w:pPr>
        <w:spacing w:after="0" w:line="198" w:lineRule="exact"/>
        <w:rPr>
          <w:rFonts w:ascii="Arial" w:cs="Arial" w:eastAsia="Arial" w:hAnsi="Arial"/>
          <w:sz w:val="18"/>
          <w:szCs w:val="18"/>
          <w:b w:val="1"/>
          <w:bCs w:val="1"/>
          <w:color w:val="355675"/>
        </w:rPr>
      </w:pPr>
    </w:p>
    <w:p>
      <w:pPr>
        <w:ind w:left="260" w:hanging="252"/>
        <w:spacing w:after="0"/>
        <w:tabs>
          <w:tab w:leader="none" w:pos="260" w:val="left"/>
        </w:tabs>
        <w:numPr>
          <w:ilvl w:val="0"/>
          <w:numId w:val="121"/>
        </w:numPr>
        <w:rPr>
          <w:rFonts w:ascii="Arial" w:cs="Arial" w:eastAsia="Arial" w:hAnsi="Arial"/>
          <w:sz w:val="18"/>
          <w:szCs w:val="18"/>
          <w:b w:val="1"/>
          <w:bCs w:val="1"/>
          <w:color w:val="355675"/>
        </w:rPr>
      </w:pPr>
      <w:r>
        <w:rPr>
          <w:rFonts w:ascii="Arial" w:cs="Arial" w:eastAsia="Arial" w:hAnsi="Arial"/>
          <w:sz w:val="18"/>
          <w:szCs w:val="18"/>
          <w:color w:val="auto"/>
        </w:rPr>
        <w:t>The payment of compensation by the Company to the executive officers, directors, or nominees for directors.</w:t>
      </w:r>
    </w:p>
    <w:p>
      <w:pPr>
        <w:spacing w:after="0" w:line="212"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The son of Maria L. Lacal, Executive Vice President and Chief Nuclear Officer of PVGS of APS, is employed by the Company in a non-executive officer position and received total compensation of less than $150,000 in 2021. His compensation was established by the Company in accordance with its compensation practices applicable to employees with comparable qualifications and responsibilities and holding similar positions and without the involvement of Maria L. Lacal. Glynis A. Bryan, a Director since February 2020, is the Chief Financial Officer of Insight Enterprises, Inc. (“Insight”). Insight is a technology company and a vendor of APS providing information technology services and computer hardware and software products. For these products and services, APS paid less than $8,000,000 to Insight in 2021, which is less than 1% of each of the Company’s and Insight’s revenues for 2021. Because the amounts paid to Insight were such a small portion of its total revenues, the Corporate Governance and Public Policy Committee has determined that these payments are not material to Ms. Bryan.</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10840" w:type="dxa"/>
            <w:vAlign w:val="bottom"/>
          </w:tcPr>
          <w:p>
            <w:pPr>
              <w:ind w:left="9260"/>
              <w:spacing w:after="0"/>
              <w:rPr>
                <w:sz w:val="20"/>
                <w:szCs w:val="20"/>
                <w:color w:val="auto"/>
              </w:rPr>
            </w:pPr>
            <w:r>
              <w:rPr>
                <w:rFonts w:ascii="Arial" w:cs="Arial" w:eastAsia="Arial" w:hAnsi="Arial"/>
                <w:sz w:val="14"/>
                <w:szCs w:val="14"/>
                <w:color w:val="355675"/>
              </w:rPr>
              <w:t>2022 Proxy Statement</w:t>
            </w:r>
          </w:p>
        </w:tc>
        <w:tc>
          <w:tcPr>
            <w:tcW w:w="420" w:type="dxa"/>
            <w:vAlign w:val="bottom"/>
          </w:tcPr>
          <w:p>
            <w:pPr>
              <w:jc w:val="right"/>
              <w:spacing w:after="0"/>
              <w:rPr>
                <w:sz w:val="20"/>
                <w:szCs w:val="20"/>
                <w:color w:val="auto"/>
              </w:rPr>
            </w:pPr>
            <w:r>
              <w:rPr>
                <w:rFonts w:ascii="Arial" w:cs="Arial" w:eastAsia="Arial" w:hAnsi="Arial"/>
                <w:sz w:val="14"/>
                <w:szCs w:val="14"/>
                <w:b w:val="1"/>
                <w:bCs w:val="1"/>
                <w:color w:val="355675"/>
              </w:rPr>
              <w:t>113</w:t>
            </w:r>
          </w:p>
        </w:tc>
      </w:tr>
      <w:tr>
        <w:trPr>
          <w:trHeight w:val="93"/>
        </w:trPr>
        <w:tc>
          <w:tcPr>
            <w:tcW w:w="10840" w:type="dxa"/>
            <w:vAlign w:val="bottom"/>
            <w:tcBorders>
              <w:bottom w:val="single" w:sz="8" w:color="808080"/>
            </w:tcBorders>
          </w:tcPr>
          <w:p>
            <w:pPr>
              <w:spacing w:after="0"/>
              <w:rPr>
                <w:sz w:val="8"/>
                <w:szCs w:val="8"/>
                <w:color w:val="auto"/>
              </w:rPr>
            </w:pPr>
          </w:p>
        </w:tc>
        <w:tc>
          <w:tcPr>
            <w:tcW w:w="4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sectPr>
      </w:pPr>
    </w:p>
    <w:bookmarkStart w:id="122" w:name="page123"/>
    <w:bookmarkEnd w:id="122"/>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Other Matters</w:t>
      </w:r>
    </w:p>
    <w:p>
      <w:pPr>
        <w:spacing w:after="0" w:line="197" w:lineRule="exact"/>
        <w:rPr>
          <w:sz w:val="20"/>
          <w:szCs w:val="20"/>
          <w:color w:val="auto"/>
        </w:rPr>
      </w:pPr>
    </w:p>
    <w:p>
      <w:pPr>
        <w:ind w:right="1200"/>
        <w:spacing w:after="0" w:line="284" w:lineRule="auto"/>
        <w:rPr>
          <w:sz w:val="20"/>
          <w:szCs w:val="20"/>
          <w:color w:val="auto"/>
        </w:rPr>
      </w:pPr>
      <w:r>
        <w:rPr>
          <w:rFonts w:ascii="Arial" w:cs="Arial" w:eastAsia="Arial" w:hAnsi="Arial"/>
          <w:sz w:val="40"/>
          <w:szCs w:val="40"/>
          <w:b w:val="1"/>
          <w:bCs w:val="1"/>
          <w:color w:val="008C9F"/>
        </w:rPr>
        <w:t>Human Resources Committee Interlocks and Insider Participation</w:t>
      </w:r>
    </w:p>
    <w:p>
      <w:pPr>
        <w:spacing w:after="0" w:line="60" w:lineRule="exact"/>
        <w:rPr>
          <w:sz w:val="20"/>
          <w:szCs w:val="20"/>
          <w:color w:val="auto"/>
        </w:rPr>
      </w:pPr>
    </w:p>
    <w:p>
      <w:pPr>
        <w:spacing w:after="0" w:line="247" w:lineRule="auto"/>
        <w:rPr>
          <w:sz w:val="20"/>
          <w:szCs w:val="20"/>
          <w:color w:val="auto"/>
        </w:rPr>
      </w:pPr>
      <w:r>
        <w:rPr>
          <w:rFonts w:ascii="Arial" w:cs="Arial" w:eastAsia="Arial" w:hAnsi="Arial"/>
          <w:sz w:val="18"/>
          <w:szCs w:val="18"/>
          <w:color w:val="auto"/>
        </w:rPr>
        <w:t>The members of the Human Resources Committee in 2021 were Ms. Munro, Dr. Cortese, and Messrs. Fox, Lopez Nordstrom, Spence and Trevathan. None of the members of the Human Resources Committee is or has been an officer or employee of the Company or any of its subsidiaries, and no executive officer of the Company served on the compensation committee or board of any company that employed, or had as an officer, any member of the Human Resources Committee or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wp:posOffset>
            </wp:positionH>
            <wp:positionV relativeFrom="paragraph">
              <wp:posOffset>122555</wp:posOffset>
            </wp:positionV>
            <wp:extent cx="1191260" cy="23177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191260" cy="231775"/>
                    </a:xfrm>
                    <a:prstGeom prst="rect">
                      <a:avLst/>
                    </a:prstGeom>
                    <a:noFill/>
                  </pic:spPr>
                </pic:pic>
              </a:graphicData>
            </a:graphic>
          </wp:anchor>
        </w:drawing>
      </w:r>
    </w:p>
    <w:p>
      <w:pPr>
        <w:spacing w:after="0" w:line="258" w:lineRule="exact"/>
        <w:rPr>
          <w:sz w:val="20"/>
          <w:szCs w:val="20"/>
          <w:color w:val="auto"/>
        </w:rPr>
      </w:pPr>
    </w:p>
    <w:p>
      <w:pPr>
        <w:spacing w:after="0"/>
        <w:rPr>
          <w:sz w:val="20"/>
          <w:szCs w:val="20"/>
          <w:color w:val="auto"/>
        </w:rPr>
      </w:pPr>
      <w:r>
        <w:rPr>
          <w:rFonts w:ascii="Arial" w:cs="Arial" w:eastAsia="Arial" w:hAnsi="Arial"/>
          <w:sz w:val="14"/>
          <w:szCs w:val="14"/>
          <w:b w:val="1"/>
          <w:bCs w:val="1"/>
          <w:color w:val="355675"/>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141605</wp:posOffset>
            </wp:positionV>
            <wp:extent cx="7153275" cy="20955"/>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040"/>
          </w:cols>
          <w:pgMar w:left="320" w:top="125" w:right="539" w:bottom="1440" w:gutter="0" w:footer="0" w:header="0"/>
        </w:sectPr>
      </w:pPr>
    </w:p>
    <w:bookmarkStart w:id="123" w:name="page124"/>
    <w:bookmarkEnd w:id="123"/>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128" w:lineRule="exact"/>
        <w:rPr>
          <w:sz w:val="20"/>
          <w:szCs w:val="20"/>
          <w:color w:val="auto"/>
        </w:rPr>
      </w:pPr>
    </w:p>
    <w:p>
      <w:pPr>
        <w:spacing w:after="0"/>
        <w:rPr>
          <w:sz w:val="20"/>
          <w:szCs w:val="20"/>
          <w:color w:val="auto"/>
        </w:rPr>
      </w:pPr>
      <w:r>
        <w:rPr>
          <w:rFonts w:ascii="Arial" w:cs="Arial" w:eastAsia="Arial" w:hAnsi="Arial"/>
          <w:sz w:val="46"/>
          <w:szCs w:val="46"/>
          <w:b w:val="1"/>
          <w:bCs w:val="1"/>
          <w:color w:val="355675"/>
        </w:rPr>
        <w:t>Helpful 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32385</wp:posOffset>
            </wp:positionV>
            <wp:extent cx="7132320" cy="51435"/>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7132320" cy="51435"/>
                    </a:xfrm>
                    <a:prstGeom prst="rect">
                      <a:avLst/>
                    </a:prstGeom>
                    <a:noFill/>
                  </pic:spPr>
                </pic:pic>
              </a:graphicData>
            </a:graphic>
          </wp:anchor>
        </w:drawing>
      </w: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Our Company</w:t>
      </w:r>
    </w:p>
    <w:p>
      <w:pPr>
        <w:sectPr>
          <w:pgSz w:w="11900" w:h="16838" w:orient="portrait"/>
          <w:cols w:equalWidth="0" w:num="1">
            <w:col w:w="11260"/>
          </w:cols>
          <w:pgMar w:left="320" w:top="125" w:right="319" w:bottom="1440" w:gutter="0" w:footer="0" w:header="0"/>
        </w:sectPr>
      </w:pP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Pinnacle West Capital Corporation:</w:t>
      </w:r>
    </w:p>
    <w:p>
      <w:pPr>
        <w:spacing w:after="0" w:line="20" w:lineRule="exact"/>
        <w:rPr>
          <w:sz w:val="20"/>
          <w:szCs w:val="20"/>
          <w:color w:val="auto"/>
        </w:rPr>
      </w:pPr>
      <w:r>
        <w:rPr>
          <w:sz w:val="20"/>
          <w:szCs w:val="20"/>
          <w:color w:val="auto"/>
        </w:rPr>
        <w:br w:type="column"/>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color w:val="auto"/>
        </w:rPr>
        <w:t>http://www.pinnaclewest.com</w:t>
      </w:r>
    </w:p>
    <w:p>
      <w:pPr>
        <w:spacing w:after="0" w:line="34"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008C9F"/>
        </w:rPr>
        <w:t>APS: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http://www.APS.com</w:t>
      </w:r>
    </w:p>
    <w:p>
      <w:pPr>
        <w:spacing w:after="0" w:line="211"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b w:val="1"/>
          <w:bCs w:val="1"/>
          <w:color w:val="355675"/>
        </w:rPr>
        <w:t>Annual Meeting</w:t>
      </w:r>
    </w:p>
    <w:p>
      <w:pPr>
        <w:sectPr>
          <w:pgSz w:w="11900" w:h="16838" w:orient="portrait"/>
          <w:cols w:equalWidth="0" w:num="1">
            <w:col w:w="11260"/>
          </w:cols>
          <w:pgMar w:left="320" w:top="125" w:right="319" w:bottom="1440" w:gutter="0" w:footer="0" w:header="0"/>
          <w:type w:val="continuous"/>
        </w:sectPr>
      </w:pPr>
    </w:p>
    <w:p>
      <w:pPr>
        <w:spacing w:after="0" w:line="51"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Annual meeting online:</w:t>
      </w:r>
    </w:p>
    <w:p>
      <w:pPr>
        <w:spacing w:after="0" w:line="20" w:lineRule="exact"/>
        <w:rPr>
          <w:sz w:val="20"/>
          <w:szCs w:val="20"/>
          <w:color w:val="auto"/>
        </w:rPr>
      </w:pPr>
      <w:r>
        <w:rPr>
          <w:sz w:val="20"/>
          <w:szCs w:val="20"/>
          <w:color w:val="auto"/>
        </w:rPr>
        <w:br w:type="column"/>
      </w:r>
    </w:p>
    <w:p>
      <w:pPr>
        <w:spacing w:after="0" w:line="31" w:lineRule="exact"/>
        <w:rPr>
          <w:sz w:val="20"/>
          <w:szCs w:val="20"/>
          <w:color w:val="auto"/>
        </w:rPr>
      </w:pPr>
    </w:p>
    <w:p>
      <w:pPr>
        <w:spacing w:after="0"/>
        <w:rPr>
          <w:sz w:val="20"/>
          <w:szCs w:val="20"/>
          <w:color w:val="auto"/>
        </w:rPr>
      </w:pPr>
      <w:r>
        <w:rPr>
          <w:rFonts w:ascii="Arial" w:cs="Arial" w:eastAsia="Arial" w:hAnsi="Arial"/>
          <w:sz w:val="17"/>
          <w:szCs w:val="17"/>
          <w:color w:val="auto"/>
        </w:rPr>
        <w:t>http://www.virtualshareholdermeeting.com/PNW</w:t>
      </w:r>
    </w:p>
    <w:p>
      <w:pPr>
        <w:spacing w:after="0" w:line="34"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7"/>
          <w:szCs w:val="17"/>
          <w:b w:val="1"/>
          <w:bCs w:val="1"/>
          <w:color w:val="008C9F"/>
        </w:rPr>
        <w:t>Proxy materials: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http://www.proxyvote.com</w:t>
      </w:r>
    </w:p>
    <w:p>
      <w:pPr>
        <w:spacing w:after="0" w:line="200"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355675"/>
        </w:rPr>
        <w:t>Board of Directors</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Pinnacle West Board:</w:t>
      </w:r>
    </w:p>
    <w:p>
      <w:pPr>
        <w:spacing w:after="0" w:line="20" w:lineRule="exact"/>
        <w:rPr>
          <w:sz w:val="20"/>
          <w:szCs w:val="20"/>
          <w:color w:val="auto"/>
        </w:rPr>
      </w:pPr>
      <w:r>
        <w:rPr>
          <w:sz w:val="20"/>
          <w:szCs w:val="20"/>
          <w:color w:val="auto"/>
        </w:rPr>
        <w:br w:type="column"/>
      </w:r>
    </w:p>
    <w:p>
      <w:pPr>
        <w:spacing w:after="0" w:line="242" w:lineRule="exact"/>
        <w:rPr>
          <w:sz w:val="20"/>
          <w:szCs w:val="20"/>
          <w:color w:val="auto"/>
        </w:rPr>
      </w:pPr>
    </w:p>
    <w:p>
      <w:pPr>
        <w:ind w:right="2060"/>
        <w:spacing w:after="0" w:line="271" w:lineRule="auto"/>
        <w:rPr>
          <w:sz w:val="20"/>
          <w:szCs w:val="20"/>
          <w:color w:val="auto"/>
        </w:rPr>
      </w:pPr>
      <w:r>
        <w:rPr>
          <w:rFonts w:ascii="Arial" w:cs="Arial" w:eastAsia="Arial" w:hAnsi="Arial"/>
          <w:sz w:val="18"/>
          <w:szCs w:val="18"/>
          <w:color w:val="auto"/>
        </w:rPr>
        <w:t>http://www.pinnaclewest.com/about-us/corporate-governance/ board-of-directors/</w:t>
      </w:r>
    </w:p>
    <w:p>
      <w:pPr>
        <w:spacing w:after="0" w:line="181"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355675"/>
        </w:rPr>
        <w:t>Board Committees</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Audit Committee Charter:</w:t>
      </w:r>
    </w:p>
    <w:p>
      <w:pPr>
        <w:spacing w:after="0" w:line="20" w:lineRule="exact"/>
        <w:rPr>
          <w:sz w:val="20"/>
          <w:szCs w:val="20"/>
          <w:color w:val="auto"/>
        </w:rPr>
      </w:pPr>
      <w:r>
        <w:rPr>
          <w:sz w:val="20"/>
          <w:szCs w:val="20"/>
          <w:color w:val="auto"/>
        </w:rPr>
        <w:br w:type="column"/>
      </w:r>
    </w:p>
    <w:p>
      <w:pPr>
        <w:spacing w:after="0" w:line="209" w:lineRule="exact"/>
        <w:rPr>
          <w:sz w:val="20"/>
          <w:szCs w:val="20"/>
          <w:color w:val="auto"/>
        </w:rPr>
      </w:pPr>
    </w:p>
    <w:p>
      <w:pPr>
        <w:ind w:right="2060"/>
        <w:spacing w:after="0" w:line="255" w:lineRule="auto"/>
        <w:rPr>
          <w:sz w:val="20"/>
          <w:szCs w:val="20"/>
          <w:color w:val="auto"/>
        </w:rPr>
      </w:pPr>
      <w:r>
        <w:rPr>
          <w:rFonts w:ascii="Arial" w:cs="Arial" w:eastAsia="Arial" w:hAnsi="Arial"/>
          <w:sz w:val="18"/>
          <w:szCs w:val="18"/>
          <w:color w:val="auto"/>
        </w:rPr>
        <w:t>http://www.pinnaclewest.com/about-us/corporate-governance/ committee-summary/audit-committee</w:t>
      </w:r>
    </w:p>
    <w:p>
      <w:pPr>
        <w:spacing w:after="0" w:line="2"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jc w:val="both"/>
        <w:ind w:right="600"/>
        <w:spacing w:after="0" w:line="291" w:lineRule="auto"/>
        <w:rPr>
          <w:sz w:val="20"/>
          <w:szCs w:val="20"/>
          <w:color w:val="auto"/>
        </w:rPr>
      </w:pPr>
      <w:r>
        <w:rPr>
          <w:rFonts w:ascii="Arial" w:cs="Arial" w:eastAsia="Arial" w:hAnsi="Arial"/>
          <w:sz w:val="17"/>
          <w:szCs w:val="17"/>
          <w:b w:val="1"/>
          <w:bCs w:val="1"/>
          <w:color w:val="008C9F"/>
        </w:rPr>
        <w:t>Corporate Governance and Public Responsibility Committee Charter: Finance Committee Charter:</w:t>
      </w:r>
    </w:p>
    <w:p>
      <w:pPr>
        <w:spacing w:after="0" w:line="20" w:lineRule="exact"/>
        <w:rPr>
          <w:sz w:val="20"/>
          <w:szCs w:val="20"/>
          <w:color w:val="auto"/>
        </w:rPr>
      </w:pPr>
      <w:r>
        <w:rPr>
          <w:sz w:val="20"/>
          <w:szCs w:val="20"/>
          <w:color w:val="auto"/>
        </w:rPr>
        <w:br w:type="column"/>
      </w:r>
    </w:p>
    <w:p>
      <w:pPr>
        <w:ind w:right="2060"/>
        <w:spacing w:after="0" w:line="250" w:lineRule="auto"/>
        <w:rPr>
          <w:sz w:val="20"/>
          <w:szCs w:val="20"/>
          <w:color w:val="auto"/>
        </w:rPr>
      </w:pPr>
      <w:r>
        <w:rPr>
          <w:rFonts w:ascii="Arial" w:cs="Arial" w:eastAsia="Arial" w:hAnsi="Arial"/>
          <w:sz w:val="18"/>
          <w:szCs w:val="18"/>
          <w:color w:val="auto"/>
        </w:rPr>
        <w:t>http://www.pinnaclewest.com/about-us/corporate-governance/ committee-summary/corporate-governance-committee http://www.pinnaclewest.com/about-us/corporate-governance/ committee-summary/finance-committee</w:t>
      </w:r>
    </w:p>
    <w:p>
      <w:pPr>
        <w:spacing w:after="0" w:line="2"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008C9F"/>
        </w:rPr>
        <w:t>Human Resources Committee Charter:</w:t>
      </w:r>
    </w:p>
    <w:p>
      <w:pPr>
        <w:spacing w:after="0" w:line="20" w:lineRule="exact"/>
        <w:rPr>
          <w:sz w:val="20"/>
          <w:szCs w:val="20"/>
          <w:color w:val="auto"/>
        </w:rPr>
      </w:pPr>
      <w:r>
        <w:rPr>
          <w:sz w:val="20"/>
          <w:szCs w:val="20"/>
          <w:color w:val="auto"/>
        </w:rPr>
        <w:br w:type="column"/>
      </w:r>
    </w:p>
    <w:p>
      <w:pPr>
        <w:ind w:right="2060"/>
        <w:spacing w:after="0" w:line="265" w:lineRule="auto"/>
        <w:rPr>
          <w:sz w:val="20"/>
          <w:szCs w:val="20"/>
          <w:color w:val="auto"/>
        </w:rPr>
      </w:pPr>
      <w:r>
        <w:rPr>
          <w:rFonts w:ascii="Arial" w:cs="Arial" w:eastAsia="Arial" w:hAnsi="Arial"/>
          <w:sz w:val="17"/>
          <w:szCs w:val="17"/>
          <w:color w:val="auto"/>
        </w:rPr>
        <w:t>http://www.pinnaclewest.com/about-us/corporate-governance/ committee-summary/human-resources-committee/</w:t>
      </w:r>
    </w:p>
    <w:p>
      <w:pPr>
        <w:spacing w:after="0" w:line="1"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008C9F"/>
        </w:rPr>
        <w:t>Nuclear and Operating</w:t>
      </w:r>
    </w:p>
    <w:p>
      <w:pPr>
        <w:spacing w:after="0" w:line="4"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Committee Charter:</w:t>
      </w:r>
    </w:p>
    <w:p>
      <w:pPr>
        <w:spacing w:after="0" w:line="20" w:lineRule="exact"/>
        <w:rPr>
          <w:sz w:val="20"/>
          <w:szCs w:val="20"/>
          <w:color w:val="auto"/>
        </w:rPr>
      </w:pPr>
      <w:r>
        <w:rPr>
          <w:sz w:val="20"/>
          <w:szCs w:val="20"/>
          <w:color w:val="auto"/>
        </w:rPr>
        <w:br w:type="column"/>
      </w:r>
    </w:p>
    <w:p>
      <w:pPr>
        <w:ind w:right="2060"/>
        <w:spacing w:after="0" w:line="290" w:lineRule="auto"/>
        <w:rPr>
          <w:sz w:val="20"/>
          <w:szCs w:val="20"/>
          <w:color w:val="auto"/>
        </w:rPr>
      </w:pPr>
      <w:r>
        <w:rPr>
          <w:rFonts w:ascii="Arial" w:cs="Arial" w:eastAsia="Arial" w:hAnsi="Arial"/>
          <w:sz w:val="17"/>
          <w:szCs w:val="17"/>
          <w:color w:val="auto"/>
        </w:rPr>
        <w:t>http://www.pinnaclewest.com/about-us/corporate-governance/ committee-summary/nuclear-and-operating-committee/</w:t>
      </w:r>
    </w:p>
    <w:p>
      <w:pPr>
        <w:spacing w:after="0" w:line="166"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355675"/>
        </w:rPr>
        <w:t>Governance Documents</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Code of Ethics and Business Practices:</w:t>
      </w:r>
    </w:p>
    <w:p>
      <w:pPr>
        <w:spacing w:after="0" w:line="20" w:lineRule="exact"/>
        <w:rPr>
          <w:sz w:val="20"/>
          <w:szCs w:val="20"/>
          <w:color w:val="auto"/>
        </w:rPr>
      </w:pPr>
      <w:r>
        <w:rPr>
          <w:sz w:val="20"/>
          <w:szCs w:val="20"/>
          <w:color w:val="auto"/>
        </w:rPr>
        <w:br w:type="column"/>
      </w:r>
    </w:p>
    <w:p>
      <w:pPr>
        <w:spacing w:after="0" w:line="210" w:lineRule="exact"/>
        <w:rPr>
          <w:sz w:val="20"/>
          <w:szCs w:val="20"/>
          <w:color w:val="auto"/>
        </w:rPr>
      </w:pPr>
    </w:p>
    <w:p>
      <w:pPr>
        <w:ind w:right="2060"/>
        <w:spacing w:after="0" w:line="255" w:lineRule="auto"/>
        <w:rPr>
          <w:sz w:val="20"/>
          <w:szCs w:val="20"/>
          <w:color w:val="auto"/>
        </w:rPr>
      </w:pPr>
      <w:r>
        <w:rPr>
          <w:rFonts w:ascii="Arial" w:cs="Arial" w:eastAsia="Arial" w:hAnsi="Arial"/>
          <w:sz w:val="18"/>
          <w:szCs w:val="18"/>
          <w:color w:val="auto"/>
        </w:rPr>
        <w:t>http://www.pinnaclewest.com/about-us/corporate-governance/ code-of-ethics-and-business-practices/</w:t>
      </w:r>
    </w:p>
    <w:p>
      <w:pPr>
        <w:spacing w:after="0" w:line="2"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008C9F"/>
        </w:rPr>
        <w:t>Code of Ethics for Financial Executives:</w:t>
      </w:r>
    </w:p>
    <w:p>
      <w:pPr>
        <w:spacing w:after="0" w:line="20" w:lineRule="exact"/>
        <w:rPr>
          <w:sz w:val="20"/>
          <w:szCs w:val="20"/>
          <w:color w:val="auto"/>
        </w:rPr>
      </w:pPr>
      <w:r>
        <w:rPr>
          <w:sz w:val="20"/>
          <w:szCs w:val="20"/>
          <w:color w:val="auto"/>
        </w:rPr>
        <w:br w:type="column"/>
      </w:r>
    </w:p>
    <w:p>
      <w:pPr>
        <w:ind w:right="2060"/>
        <w:spacing w:after="0" w:line="250" w:lineRule="auto"/>
        <w:rPr>
          <w:sz w:val="20"/>
          <w:szCs w:val="20"/>
          <w:color w:val="auto"/>
        </w:rPr>
      </w:pPr>
      <w:r>
        <w:rPr>
          <w:rFonts w:ascii="Arial" w:cs="Arial" w:eastAsia="Arial" w:hAnsi="Arial"/>
          <w:sz w:val="18"/>
          <w:szCs w:val="18"/>
          <w:color w:val="auto"/>
        </w:rPr>
        <w:t>http://www.pinnaclewest.com/about-us/corporate-governance/ code-of-ethics-for-financial-executives/</w:t>
      </w:r>
    </w:p>
    <w:p>
      <w:pPr>
        <w:spacing w:after="0" w:line="1"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7"/>
          <w:szCs w:val="17"/>
          <w:b w:val="1"/>
          <w:bCs w:val="1"/>
          <w:color w:val="008C9F"/>
        </w:rPr>
        <w:t>Corporate Governance Guidelines:</w:t>
      </w:r>
    </w:p>
    <w:p>
      <w:pPr>
        <w:spacing w:after="0" w:line="20" w:lineRule="exact"/>
        <w:rPr>
          <w:sz w:val="20"/>
          <w:szCs w:val="20"/>
          <w:color w:val="auto"/>
        </w:rPr>
      </w:pPr>
      <w:r>
        <w:rPr>
          <w:sz w:val="20"/>
          <w:szCs w:val="20"/>
          <w:color w:val="auto"/>
        </w:rPr>
        <w:br w:type="column"/>
      </w:r>
    </w:p>
    <w:p>
      <w:pPr>
        <w:ind w:right="2060"/>
        <w:spacing w:after="0" w:line="260" w:lineRule="auto"/>
        <w:rPr>
          <w:sz w:val="20"/>
          <w:szCs w:val="20"/>
          <w:color w:val="auto"/>
        </w:rPr>
      </w:pPr>
      <w:r>
        <w:rPr>
          <w:rFonts w:ascii="Arial" w:cs="Arial" w:eastAsia="Arial" w:hAnsi="Arial"/>
          <w:sz w:val="18"/>
          <w:szCs w:val="18"/>
          <w:color w:val="auto"/>
        </w:rPr>
        <w:t>http://www.pinnaclewest.com/about-us/corporate-governance/ corporate-governance-guidelines/</w:t>
      </w:r>
    </w:p>
    <w:p>
      <w:pPr>
        <w:spacing w:after="0" w:line="190"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7"/>
          <w:szCs w:val="17"/>
          <w:b w:val="1"/>
          <w:bCs w:val="1"/>
          <w:color w:val="355675"/>
        </w:rPr>
        <w:t>Other</w:t>
      </w:r>
    </w:p>
    <w:p>
      <w:pPr>
        <w:sectPr>
          <w:pgSz w:w="11900" w:h="16838" w:orient="portrait"/>
          <w:cols w:equalWidth="0" w:num="1">
            <w:col w:w="11260"/>
          </w:cols>
          <w:pgMar w:left="320" w:top="125" w:right="319" w:bottom="1440" w:gutter="0" w:footer="0" w:header="0"/>
          <w:type w:val="continuous"/>
        </w:sectPr>
      </w:pPr>
    </w:p>
    <w:p>
      <w:pPr>
        <w:spacing w:after="0" w:line="51"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APS’s Clean Energy Commitment:</w:t>
      </w:r>
    </w:p>
    <w:p>
      <w:pPr>
        <w:spacing w:after="0" w:line="20" w:lineRule="exact"/>
        <w:rPr>
          <w:sz w:val="20"/>
          <w:szCs w:val="20"/>
          <w:color w:val="auto"/>
        </w:rPr>
      </w:pPr>
      <w:r>
        <w:rPr>
          <w:sz w:val="20"/>
          <w:szCs w:val="20"/>
          <w:color w:val="auto"/>
        </w:rPr>
        <w:br w:type="column"/>
      </w:r>
    </w:p>
    <w:p>
      <w:pPr>
        <w:spacing w:after="0" w:line="31" w:lineRule="exact"/>
        <w:rPr>
          <w:sz w:val="20"/>
          <w:szCs w:val="20"/>
          <w:color w:val="auto"/>
        </w:rPr>
      </w:pPr>
    </w:p>
    <w:p>
      <w:pPr>
        <w:spacing w:after="0"/>
        <w:rPr>
          <w:sz w:val="20"/>
          <w:szCs w:val="20"/>
          <w:color w:val="auto"/>
        </w:rPr>
      </w:pPr>
      <w:r>
        <w:rPr>
          <w:rFonts w:ascii="Arial" w:cs="Arial" w:eastAsia="Arial" w:hAnsi="Arial"/>
          <w:sz w:val="17"/>
          <w:szCs w:val="17"/>
          <w:color w:val="auto"/>
        </w:rPr>
        <w:t>http://www.aps.com/cleanenergy/</w:t>
      </w:r>
    </w:p>
    <w:p>
      <w:pPr>
        <w:spacing w:after="0" w:line="34"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p>
      <w:pPr>
        <w:spacing w:after="0"/>
        <w:rPr>
          <w:sz w:val="20"/>
          <w:szCs w:val="20"/>
          <w:color w:val="auto"/>
        </w:rPr>
      </w:pPr>
      <w:r>
        <w:rPr>
          <w:rFonts w:ascii="Arial" w:cs="Arial" w:eastAsia="Arial" w:hAnsi="Arial"/>
          <w:sz w:val="18"/>
          <w:szCs w:val="18"/>
          <w:b w:val="1"/>
          <w:bCs w:val="1"/>
          <w:color w:val="008C9F"/>
        </w:rPr>
        <w:t>Corporate Responsibility Report: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008C9F"/>
        </w:rPr>
        <w:t>Political Participation Policy:</w:t>
      </w:r>
    </w:p>
    <w:p>
      <w:pPr>
        <w:spacing w:after="0" w:line="20" w:lineRule="exact"/>
        <w:rPr>
          <w:sz w:val="20"/>
          <w:szCs w:val="20"/>
          <w:color w:val="auto"/>
        </w:rPr>
      </w:pPr>
      <w:r>
        <w:rPr>
          <w:sz w:val="20"/>
          <w:szCs w:val="20"/>
          <w:color w:val="auto"/>
        </w:rPr>
        <w:br w:type="column"/>
      </w:r>
    </w:p>
    <w:p>
      <w:pPr>
        <w:ind w:right="2060"/>
        <w:spacing w:after="0" w:line="258" w:lineRule="auto"/>
        <w:rPr>
          <w:sz w:val="20"/>
          <w:szCs w:val="20"/>
          <w:color w:val="auto"/>
        </w:rPr>
      </w:pPr>
      <w:r>
        <w:rPr>
          <w:rFonts w:ascii="Arial" w:cs="Arial" w:eastAsia="Arial" w:hAnsi="Arial"/>
          <w:sz w:val="18"/>
          <w:szCs w:val="18"/>
          <w:color w:val="auto"/>
        </w:rPr>
        <w:t>http://www.pinnaclewest.com/corporate-responsibility/ http://www.pinnaclewest.com/about-us/corporate-governance/ Political-Participation-Policy</w:t>
      </w:r>
    </w:p>
    <w:p>
      <w:pPr>
        <w:spacing w:after="0" w:line="121" w:lineRule="exact"/>
        <w:rPr>
          <w:sz w:val="20"/>
          <w:szCs w:val="20"/>
          <w:color w:val="auto"/>
        </w:rPr>
      </w:pPr>
    </w:p>
    <w:p>
      <w:pPr>
        <w:sectPr>
          <w:pgSz w:w="11900" w:h="16838" w:orient="portrait"/>
          <w:cols w:equalWidth="0" w:num="2">
            <w:col w:w="3560" w:space="720"/>
            <w:col w:w="6980"/>
          </w:cols>
          <w:pgMar w:left="320" w:top="125" w:right="319" w:bottom="1440" w:gutter="0" w:footer="0" w:header="0"/>
          <w:type w:val="continuous"/>
        </w:sectPr>
      </w:pPr>
    </w:p>
    <w:tbl>
      <w:tblPr>
        <w:tblLayout w:type="fixed"/>
        <w:tblInd w:w="0" w:type="dxa"/>
        <w:tblCellMar>
          <w:top w:w="0" w:type="dxa"/>
          <w:left w:w="0" w:type="dxa"/>
          <w:bottom w:w="0" w:type="dxa"/>
          <w:right w:w="0" w:type="dxa"/>
        </w:tblCellMar>
      </w:tblPr>
      <w:tr>
        <w:trPr>
          <w:trHeight w:val="196"/>
        </w:trPr>
        <w:tc>
          <w:tcPr>
            <w:tcW w:w="10840" w:type="dxa"/>
            <w:vAlign w:val="bottom"/>
          </w:tcPr>
          <w:p>
            <w:pPr>
              <w:ind w:left="9260"/>
              <w:spacing w:after="0"/>
              <w:rPr>
                <w:sz w:val="20"/>
                <w:szCs w:val="20"/>
                <w:color w:val="auto"/>
              </w:rPr>
            </w:pPr>
            <w:r>
              <w:rPr>
                <w:rFonts w:ascii="Arial" w:cs="Arial" w:eastAsia="Arial" w:hAnsi="Arial"/>
                <w:sz w:val="14"/>
                <w:szCs w:val="14"/>
                <w:color w:val="355675"/>
              </w:rPr>
              <w:t>2022 Proxy Statement</w:t>
            </w:r>
          </w:p>
        </w:tc>
        <w:tc>
          <w:tcPr>
            <w:tcW w:w="420" w:type="dxa"/>
            <w:vAlign w:val="bottom"/>
          </w:tcPr>
          <w:p>
            <w:pPr>
              <w:jc w:val="right"/>
              <w:spacing w:after="0"/>
              <w:rPr>
                <w:sz w:val="20"/>
                <w:szCs w:val="20"/>
                <w:color w:val="auto"/>
              </w:rPr>
            </w:pPr>
            <w:r>
              <w:rPr>
                <w:rFonts w:ascii="Arial" w:cs="Arial" w:eastAsia="Arial" w:hAnsi="Arial"/>
                <w:sz w:val="14"/>
                <w:szCs w:val="14"/>
                <w:b w:val="1"/>
                <w:bCs w:val="1"/>
                <w:color w:val="355675"/>
              </w:rPr>
              <w:t>115</w:t>
            </w:r>
          </w:p>
        </w:tc>
      </w:tr>
      <w:tr>
        <w:trPr>
          <w:trHeight w:val="93"/>
        </w:trPr>
        <w:tc>
          <w:tcPr>
            <w:tcW w:w="10840" w:type="dxa"/>
            <w:vAlign w:val="bottom"/>
            <w:tcBorders>
              <w:bottom w:val="single" w:sz="8" w:color="808080"/>
            </w:tcBorders>
          </w:tcPr>
          <w:p>
            <w:pPr>
              <w:spacing w:after="0"/>
              <w:rPr>
                <w:sz w:val="8"/>
                <w:szCs w:val="8"/>
                <w:color w:val="auto"/>
              </w:rPr>
            </w:pPr>
          </w:p>
        </w:tc>
        <w:tc>
          <w:tcPr>
            <w:tcW w:w="420" w:type="dxa"/>
            <w:vAlign w:val="bottom"/>
            <w:tcBorders>
              <w:bottom w:val="single" w:sz="8" w:color="808080"/>
            </w:tcBorders>
          </w:tcPr>
          <w:p>
            <w:pPr>
              <w:spacing w:after="0"/>
              <w:rPr>
                <w:sz w:val="8"/>
                <w:szCs w:val="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7143750</wp:posOffset>
            </wp:positionH>
            <wp:positionV relativeFrom="paragraph">
              <wp:posOffset>-13970</wp:posOffset>
            </wp:positionV>
            <wp:extent cx="12700" cy="825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2700" cy="825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-13970</wp:posOffset>
            </wp:positionV>
            <wp:extent cx="12700" cy="825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12700" cy="8255"/>
                    </a:xfrm>
                    <a:prstGeom prst="rect">
                      <a:avLst/>
                    </a:prstGeom>
                    <a:noFill/>
                  </pic:spPr>
                </pic:pic>
              </a:graphicData>
            </a:graphic>
          </wp:anchor>
        </w:drawing>
      </w:r>
    </w:p>
    <w:p>
      <w:pPr>
        <w:sectPr>
          <w:pgSz w:w="11900" w:h="16838" w:orient="portrait"/>
          <w:cols w:equalWidth="0" w:num="1">
            <w:col w:w="11260"/>
          </w:cols>
          <w:pgMar w:left="320" w:top="125" w:right="319" w:bottom="1440" w:gutter="0" w:footer="0" w:header="0"/>
          <w:type w:val="continuous"/>
        </w:sectPr>
      </w:pPr>
    </w:p>
    <w:bookmarkStart w:id="124" w:name="page125"/>
    <w:bookmarkEnd w:id="124"/>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527685</wp:posOffset>
            </wp:positionH>
            <wp:positionV relativeFrom="paragraph">
              <wp:posOffset>114935</wp:posOffset>
            </wp:positionV>
            <wp:extent cx="6086475" cy="79463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6086475" cy="7946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3520"/>
        <w:spacing w:after="0"/>
        <w:rPr>
          <w:sz w:val="20"/>
          <w:szCs w:val="20"/>
          <w:color w:val="auto"/>
        </w:rPr>
      </w:pPr>
      <w:r>
        <w:rPr>
          <w:rFonts w:ascii="Arial" w:cs="Arial" w:eastAsia="Arial" w:hAnsi="Arial"/>
          <w:sz w:val="24"/>
          <w:szCs w:val="24"/>
          <w:b w:val="1"/>
          <w:bCs w:val="1"/>
          <w:color w:val="5BC6C6"/>
        </w:rPr>
        <w:t>OUR PURPOSE</w:t>
      </w:r>
    </w:p>
    <w:p>
      <w:pPr>
        <w:spacing w:after="0" w:line="58" w:lineRule="exact"/>
        <w:rPr>
          <w:sz w:val="20"/>
          <w:szCs w:val="20"/>
          <w:color w:val="auto"/>
        </w:rPr>
      </w:pPr>
    </w:p>
    <w:p>
      <w:pPr>
        <w:ind w:left="3520"/>
        <w:spacing w:after="0"/>
        <w:rPr>
          <w:sz w:val="20"/>
          <w:szCs w:val="20"/>
          <w:color w:val="auto"/>
        </w:rPr>
      </w:pPr>
      <w:r>
        <w:rPr>
          <w:rFonts w:ascii="Arial" w:cs="Arial" w:eastAsia="Arial" w:hAnsi="Arial"/>
          <w:sz w:val="17"/>
          <w:szCs w:val="17"/>
          <w:color w:val="FFFFFF"/>
        </w:rPr>
        <w:t>As Arizona stewards, we do what is right for the people and prosperity of our state.</w:t>
      </w:r>
    </w:p>
    <w:p>
      <w:pPr>
        <w:spacing w:after="0" w:line="146" w:lineRule="exact"/>
        <w:rPr>
          <w:sz w:val="20"/>
          <w:szCs w:val="20"/>
          <w:color w:val="auto"/>
        </w:rPr>
      </w:pPr>
    </w:p>
    <w:p>
      <w:pPr>
        <w:ind w:left="3520"/>
        <w:spacing w:after="0"/>
        <w:rPr>
          <w:sz w:val="20"/>
          <w:szCs w:val="20"/>
          <w:color w:val="auto"/>
        </w:rPr>
      </w:pPr>
      <w:r>
        <w:rPr>
          <w:rFonts w:ascii="Arial" w:cs="Arial" w:eastAsia="Arial" w:hAnsi="Arial"/>
          <w:sz w:val="24"/>
          <w:szCs w:val="24"/>
          <w:b w:val="1"/>
          <w:bCs w:val="1"/>
          <w:color w:val="5BC6C6"/>
        </w:rPr>
        <w:t>OUR VISION</w:t>
      </w:r>
    </w:p>
    <w:p>
      <w:pPr>
        <w:spacing w:after="0" w:line="58" w:lineRule="exact"/>
        <w:rPr>
          <w:sz w:val="20"/>
          <w:szCs w:val="20"/>
          <w:color w:val="auto"/>
        </w:rPr>
      </w:pPr>
    </w:p>
    <w:p>
      <w:pPr>
        <w:ind w:left="3520"/>
        <w:spacing w:after="0"/>
        <w:rPr>
          <w:sz w:val="20"/>
          <w:szCs w:val="20"/>
          <w:color w:val="auto"/>
        </w:rPr>
      </w:pPr>
      <w:r>
        <w:rPr>
          <w:rFonts w:ascii="Arial" w:cs="Arial" w:eastAsia="Arial" w:hAnsi="Arial"/>
          <w:sz w:val="17"/>
          <w:szCs w:val="17"/>
          <w:color w:val="FFFFFF"/>
        </w:rPr>
        <w:t>Create a sustainable energy future for Arizona.</w:t>
      </w:r>
    </w:p>
    <w:p>
      <w:pPr>
        <w:spacing w:after="0" w:line="159" w:lineRule="exact"/>
        <w:rPr>
          <w:sz w:val="20"/>
          <w:szCs w:val="20"/>
          <w:color w:val="auto"/>
        </w:rPr>
      </w:pPr>
    </w:p>
    <w:p>
      <w:pPr>
        <w:ind w:left="3520"/>
        <w:spacing w:after="0"/>
        <w:rPr>
          <w:sz w:val="20"/>
          <w:szCs w:val="20"/>
          <w:color w:val="auto"/>
        </w:rPr>
      </w:pPr>
      <w:r>
        <w:rPr>
          <w:rFonts w:ascii="Arial" w:cs="Arial" w:eastAsia="Arial" w:hAnsi="Arial"/>
          <w:sz w:val="24"/>
          <w:szCs w:val="24"/>
          <w:b w:val="1"/>
          <w:bCs w:val="1"/>
          <w:color w:val="5BC6C6"/>
        </w:rPr>
        <w:t>OUR MISSION</w:t>
      </w:r>
    </w:p>
    <w:p>
      <w:pPr>
        <w:spacing w:after="0" w:line="56" w:lineRule="exact"/>
        <w:rPr>
          <w:sz w:val="20"/>
          <w:szCs w:val="20"/>
          <w:color w:val="auto"/>
        </w:rPr>
      </w:pPr>
    </w:p>
    <w:p>
      <w:pPr>
        <w:ind w:left="3520"/>
        <w:spacing w:after="0"/>
        <w:rPr>
          <w:sz w:val="20"/>
          <w:szCs w:val="20"/>
          <w:color w:val="auto"/>
        </w:rPr>
      </w:pPr>
      <w:r>
        <w:rPr>
          <w:rFonts w:ascii="Arial" w:cs="Arial" w:eastAsia="Arial" w:hAnsi="Arial"/>
          <w:sz w:val="17"/>
          <w:szCs w:val="17"/>
          <w:color w:val="FFFFFF"/>
        </w:rPr>
        <w:t>Serve our customers with clean, reliable and affordable energy.</w:t>
      </w: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1480"/>
        <w:spacing w:after="0"/>
        <w:rPr>
          <w:sz w:val="20"/>
          <w:szCs w:val="20"/>
          <w:color w:val="auto"/>
        </w:rPr>
      </w:pPr>
      <w:r>
        <w:rPr>
          <w:rFonts w:ascii="Arial" w:cs="Arial" w:eastAsia="Arial" w:hAnsi="Arial"/>
          <w:sz w:val="24"/>
          <w:szCs w:val="24"/>
          <w:b w:val="1"/>
          <w:bCs w:val="1"/>
          <w:color w:val="5BC6C6"/>
        </w:rPr>
        <w:t>OUR PRINCIPLES</w:t>
      </w:r>
    </w:p>
    <w:p>
      <w:pPr>
        <w:spacing w:after="0" w:line="67" w:lineRule="exact"/>
        <w:rPr>
          <w:sz w:val="20"/>
          <w:szCs w:val="20"/>
          <w:color w:val="auto"/>
        </w:rPr>
      </w:pPr>
    </w:p>
    <w:p>
      <w:pPr>
        <w:ind w:left="1480"/>
        <w:spacing w:after="0"/>
        <w:rPr>
          <w:sz w:val="20"/>
          <w:szCs w:val="20"/>
          <w:color w:val="auto"/>
        </w:rPr>
      </w:pPr>
      <w:r>
        <w:rPr>
          <w:rFonts w:ascii="Arial" w:cs="Arial" w:eastAsia="Arial" w:hAnsi="Arial"/>
          <w:sz w:val="17"/>
          <w:szCs w:val="17"/>
          <w:color w:val="FFFFFF"/>
        </w:rPr>
        <w:t>These are the cultural behaviors that will enable us to fulfill our purpose, vision and mission:</w:t>
      </w:r>
    </w:p>
    <w:p>
      <w:pPr>
        <w:spacing w:after="0" w:line="355" w:lineRule="exact"/>
        <w:rPr>
          <w:sz w:val="20"/>
          <w:szCs w:val="20"/>
          <w:color w:val="auto"/>
        </w:rPr>
      </w:pPr>
    </w:p>
    <w:p>
      <w:pPr>
        <w:ind w:left="1540"/>
        <w:spacing w:after="0"/>
        <w:tabs>
          <w:tab w:leader="none" w:pos="4560" w:val="left"/>
          <w:tab w:leader="none" w:pos="7520" w:val="left"/>
        </w:tabs>
        <w:rPr>
          <w:sz w:val="20"/>
          <w:szCs w:val="20"/>
          <w:color w:val="auto"/>
        </w:rPr>
      </w:pPr>
      <w:r>
        <w:rPr>
          <w:rFonts w:ascii="Calibri" w:cs="Calibri" w:eastAsia="Calibri" w:hAnsi="Calibri"/>
          <w:sz w:val="22"/>
          <w:szCs w:val="22"/>
          <w:b w:val="1"/>
          <w:bCs w:val="1"/>
          <w:color w:val="81C355"/>
        </w:rPr>
        <w:t>DESIGN FOR TOMORROW</w:t>
      </w:r>
      <w:r>
        <w:rPr>
          <w:sz w:val="20"/>
          <w:szCs w:val="20"/>
          <w:color w:val="auto"/>
        </w:rPr>
        <w:tab/>
      </w:r>
      <w:r>
        <w:rPr>
          <w:rFonts w:ascii="Calibri" w:cs="Calibri" w:eastAsia="Calibri" w:hAnsi="Calibri"/>
          <w:sz w:val="22"/>
          <w:szCs w:val="22"/>
          <w:b w:val="1"/>
          <w:bCs w:val="1"/>
          <w:color w:val="81C355"/>
        </w:rPr>
        <w:t>EMPOWER EACH OTHER</w:t>
      </w:r>
      <w:r>
        <w:rPr>
          <w:sz w:val="20"/>
          <w:szCs w:val="20"/>
          <w:color w:val="auto"/>
        </w:rPr>
        <w:tab/>
      </w:r>
      <w:r>
        <w:rPr>
          <w:rFonts w:ascii="Calibri" w:cs="Calibri" w:eastAsia="Calibri" w:hAnsi="Calibri"/>
          <w:sz w:val="21"/>
          <w:szCs w:val="21"/>
          <w:b w:val="1"/>
          <w:bCs w:val="1"/>
          <w:color w:val="81C355"/>
        </w:rPr>
        <w:t>SUCCEED TOGETHER</w:t>
      </w:r>
    </w:p>
    <w:p>
      <w:pPr>
        <w:sectPr>
          <w:pgSz w:w="11900" w:h="16838" w:orient="portrait"/>
          <w:cols w:equalWidth="0" w:num="1">
            <w:col w:w="10139"/>
          </w:cols>
          <w:pgMar w:left="320" w:top="125" w:right="1440" w:bottom="1440" w:gutter="0" w:footer="0" w:header="0"/>
        </w:sectPr>
      </w:pPr>
    </w:p>
    <w:p>
      <w:pPr>
        <w:spacing w:after="0" w:line="49" w:lineRule="exact"/>
        <w:rPr>
          <w:sz w:val="20"/>
          <w:szCs w:val="20"/>
          <w:color w:val="auto"/>
        </w:rPr>
      </w:pPr>
    </w:p>
    <w:p>
      <w:pPr>
        <w:ind w:left="1540"/>
        <w:spacing w:after="0"/>
        <w:rPr>
          <w:sz w:val="20"/>
          <w:szCs w:val="20"/>
          <w:color w:val="auto"/>
        </w:rPr>
      </w:pPr>
      <w:r>
        <w:rPr>
          <w:rFonts w:ascii="Arial" w:cs="Arial" w:eastAsia="Arial" w:hAnsi="Arial"/>
          <w:sz w:val="18"/>
          <w:szCs w:val="18"/>
          <w:color w:val="FFFFFF"/>
        </w:rPr>
        <w:t>See the way forward</w:t>
      </w:r>
    </w:p>
    <w:p>
      <w:pPr>
        <w:spacing w:after="0" w:line="14" w:lineRule="exact"/>
        <w:rPr>
          <w:sz w:val="20"/>
          <w:szCs w:val="20"/>
          <w:color w:val="auto"/>
        </w:rPr>
      </w:pPr>
    </w:p>
    <w:p>
      <w:pPr>
        <w:ind w:left="1540"/>
        <w:spacing w:after="0"/>
        <w:rPr>
          <w:sz w:val="20"/>
          <w:szCs w:val="20"/>
          <w:color w:val="auto"/>
        </w:rPr>
      </w:pPr>
      <w:r>
        <w:rPr>
          <w:rFonts w:ascii="Arial" w:cs="Arial" w:eastAsia="Arial" w:hAnsi="Arial"/>
          <w:sz w:val="17"/>
          <w:szCs w:val="17"/>
          <w:color w:val="FFFFFF"/>
        </w:rPr>
        <w:t>Innovate with courage</w:t>
      </w:r>
    </w:p>
    <w:p>
      <w:pPr>
        <w:spacing w:after="0" w:line="7" w:lineRule="exact"/>
        <w:rPr>
          <w:sz w:val="20"/>
          <w:szCs w:val="20"/>
          <w:color w:val="auto"/>
        </w:rPr>
      </w:pPr>
    </w:p>
    <w:p>
      <w:pPr>
        <w:ind w:left="1540"/>
        <w:spacing w:after="0"/>
        <w:rPr>
          <w:sz w:val="20"/>
          <w:szCs w:val="20"/>
          <w:color w:val="auto"/>
        </w:rPr>
      </w:pPr>
      <w:r>
        <w:rPr>
          <w:rFonts w:ascii="Arial" w:cs="Arial" w:eastAsia="Arial" w:hAnsi="Arial"/>
          <w:sz w:val="18"/>
          <w:szCs w:val="18"/>
          <w:color w:val="FFFFFF"/>
        </w:rPr>
        <w:t>Value learning</w:t>
      </w:r>
    </w:p>
    <w:p>
      <w:pPr>
        <w:spacing w:after="0" w:line="20" w:lineRule="exact"/>
        <w:rPr>
          <w:sz w:val="20"/>
          <w:szCs w:val="20"/>
          <w:color w:val="auto"/>
        </w:rPr>
      </w:pPr>
      <w:r>
        <w:rPr>
          <w:sz w:val="20"/>
          <w:szCs w:val="20"/>
          <w:color w:val="auto"/>
        </w:rPr>
        <w:br w:type="column"/>
      </w:r>
    </w:p>
    <w:p>
      <w:pPr>
        <w:spacing w:after="0" w:line="29" w:lineRule="exact"/>
        <w:rPr>
          <w:sz w:val="20"/>
          <w:szCs w:val="20"/>
          <w:color w:val="auto"/>
        </w:rPr>
      </w:pPr>
    </w:p>
    <w:p>
      <w:pPr>
        <w:spacing w:after="0"/>
        <w:rPr>
          <w:sz w:val="20"/>
          <w:szCs w:val="20"/>
          <w:color w:val="auto"/>
        </w:rPr>
      </w:pPr>
      <w:r>
        <w:rPr>
          <w:rFonts w:ascii="Arial" w:cs="Arial" w:eastAsia="Arial" w:hAnsi="Arial"/>
          <w:sz w:val="18"/>
          <w:szCs w:val="18"/>
          <w:color w:val="FFFFFF"/>
        </w:rPr>
        <w:t>Embrace diverse perspectives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FFFFFF"/>
        </w:rPr>
        <w:t>Challenge respectfully</w:t>
      </w:r>
    </w:p>
    <w:p>
      <w:pPr>
        <w:spacing w:after="0"/>
        <w:rPr>
          <w:sz w:val="20"/>
          <w:szCs w:val="20"/>
          <w:color w:val="auto"/>
        </w:rPr>
      </w:pPr>
      <w:r>
        <w:rPr>
          <w:rFonts w:ascii="Arial" w:cs="Arial" w:eastAsia="Arial" w:hAnsi="Arial"/>
          <w:sz w:val="18"/>
          <w:szCs w:val="18"/>
          <w:color w:val="FFFFFF"/>
        </w:rPr>
        <w:t>Unite as one team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-2904490</wp:posOffset>
            </wp:positionH>
            <wp:positionV relativeFrom="paragraph">
              <wp:posOffset>4462145</wp:posOffset>
            </wp:positionV>
            <wp:extent cx="7153275" cy="2095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9" w:lineRule="exact"/>
        <w:rPr>
          <w:sz w:val="20"/>
          <w:szCs w:val="20"/>
          <w:color w:val="auto"/>
        </w:rPr>
      </w:pPr>
    </w:p>
    <w:p>
      <w:pPr>
        <w:spacing w:after="0"/>
        <w:rPr>
          <w:sz w:val="20"/>
          <w:szCs w:val="20"/>
          <w:color w:val="auto"/>
        </w:rPr>
      </w:pPr>
      <w:r>
        <w:rPr>
          <w:rFonts w:ascii="Arial" w:cs="Arial" w:eastAsia="Arial" w:hAnsi="Arial"/>
          <w:sz w:val="18"/>
          <w:szCs w:val="18"/>
          <w:color w:val="FFFFFF"/>
        </w:rPr>
        <w:t>Create clarity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FFFFFF"/>
        </w:rPr>
        <w:t>Anchor in safety</w:t>
      </w:r>
    </w:p>
    <w:p>
      <w:pPr>
        <w:spacing w:after="0"/>
        <w:rPr>
          <w:sz w:val="20"/>
          <w:szCs w:val="20"/>
          <w:color w:val="auto"/>
        </w:rPr>
      </w:pPr>
      <w:r>
        <w:rPr>
          <w:rFonts w:ascii="Arial" w:cs="Arial" w:eastAsia="Arial" w:hAnsi="Arial"/>
          <w:sz w:val="17"/>
          <w:szCs w:val="17"/>
          <w:color w:val="FFFFFF"/>
        </w:rPr>
        <w:t>Deliver for the community</w:t>
      </w:r>
    </w:p>
    <w:p>
      <w:pPr>
        <w:sectPr>
          <w:pgSz w:w="11900" w:h="16838" w:orient="portrait"/>
          <w:cols w:equalWidth="0" w:num="3">
            <w:col w:w="3860" w:space="720"/>
            <w:col w:w="2420" w:space="540"/>
            <w:col w:w="2599"/>
          </w:cols>
          <w:pgMar w:left="320" w:top="125" w:right="1440" w:bottom="1440" w:gutter="0" w:footer="0" w:header="0"/>
          <w:type w:val="continuous"/>
        </w:sectPr>
      </w:pPr>
    </w:p>
    <w:bookmarkStart w:id="125" w:name="page126"/>
    <w:bookmarkEnd w:id="125"/>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114935</wp:posOffset>
            </wp:positionV>
            <wp:extent cx="7153275" cy="854011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7153275" cy="8540115"/>
                    </a:xfrm>
                    <a:prstGeom prst="rect">
                      <a:avLst/>
                    </a:prstGeom>
                    <a:noFill/>
                  </pic:spPr>
                </pic:pic>
              </a:graphicData>
            </a:graphic>
          </wp:anchor>
        </w:drawing>
      </w:r>
    </w:p>
    <w:p>
      <w:pPr>
        <w:sectPr>
          <w:pgSz w:w="11900" w:h="16838" w:orient="portrait"/>
          <w:cols w:equalWidth="0" w:num="1">
            <w:col w:w="10139"/>
          </w:cols>
          <w:pgMar w:left="320" w:top="125" w:right="1440" w:bottom="1440" w:gutter="0" w:footer="0" w:header="0"/>
        </w:sectPr>
      </w:pPr>
    </w:p>
    <w:bookmarkStart w:id="126" w:name="page127"/>
    <w:bookmarkEnd w:id="126"/>
    <w:p>
      <w:pPr>
        <w:spacing w:after="0"/>
        <w:rPr>
          <w:rFonts w:ascii="Arial" w:cs="Arial" w:eastAsia="Arial" w:hAnsi="Arial"/>
          <w:sz w:val="16"/>
          <w:szCs w:val="16"/>
          <w:b w:val="1"/>
          <w:bCs w:val="1"/>
          <w:u w:val="single" w:color="auto"/>
          <w:color w:val="0000EE"/>
        </w:rPr>
      </w:pPr>
      <w:hyperlink w:anchor="page9">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3716655</wp:posOffset>
            </wp:positionH>
            <wp:positionV relativeFrom="paragraph">
              <wp:posOffset>158115</wp:posOffset>
            </wp:positionV>
            <wp:extent cx="1937385" cy="43688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1937385" cy="436880"/>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sectPr>
      </w:pP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PINNACLE WEST CAPITAL CORPORATION</w:t>
      </w:r>
    </w:p>
    <w:p>
      <w:pPr>
        <w:spacing w:after="0" w:line="10"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ATTN: SHAREHOLDER SERVICES</w:t>
      </w:r>
    </w:p>
    <w:p>
      <w:pPr>
        <w:spacing w:after="0"/>
        <w:rPr>
          <w:sz w:val="20"/>
          <w:szCs w:val="20"/>
          <w:color w:val="auto"/>
        </w:rPr>
      </w:pPr>
      <w:r>
        <w:rPr>
          <w:rFonts w:ascii="Arial" w:cs="Arial" w:eastAsia="Arial" w:hAnsi="Arial"/>
          <w:sz w:val="13"/>
          <w:szCs w:val="13"/>
          <w:i w:val="1"/>
          <w:iCs w:val="1"/>
          <w:color w:val="auto"/>
        </w:rPr>
        <w:t>400 NORTH FIFTH STREET, STA 8602</w:t>
      </w:r>
    </w:p>
    <w:p>
      <w:pPr>
        <w:spacing w:after="0"/>
        <w:rPr>
          <w:sz w:val="20"/>
          <w:szCs w:val="20"/>
          <w:color w:val="auto"/>
        </w:rPr>
      </w:pPr>
      <w:r>
        <w:rPr>
          <w:rFonts w:ascii="Arial" w:cs="Arial" w:eastAsia="Arial" w:hAnsi="Arial"/>
          <w:sz w:val="13"/>
          <w:szCs w:val="13"/>
          <w:i w:val="1"/>
          <w:iCs w:val="1"/>
          <w:color w:val="auto"/>
        </w:rPr>
        <w:t>PHOENIX, AZ 85004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VOTE BY INTERNET</w:t>
      </w:r>
    </w:p>
    <w:p>
      <w:pPr>
        <w:spacing w:after="0" w:line="13"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 xml:space="preserve">Before The Meeting </w:t>
      </w:r>
      <w:r>
        <w:rPr>
          <w:rFonts w:ascii="Arial" w:cs="Arial" w:eastAsia="Arial" w:hAnsi="Arial"/>
          <w:sz w:val="13"/>
          <w:szCs w:val="13"/>
          <w:color w:val="auto"/>
        </w:rPr>
        <w:t>- Go to</w:t>
      </w:r>
      <w:r>
        <w:rPr>
          <w:rFonts w:ascii="Arial" w:cs="Arial" w:eastAsia="Arial" w:hAnsi="Arial"/>
          <w:sz w:val="13"/>
          <w:szCs w:val="13"/>
          <w:i w:val="1"/>
          <w:iCs w:val="1"/>
          <w:color w:val="auto"/>
        </w:rPr>
        <w:t xml:space="preserve"> </w:t>
      </w:r>
      <w:r>
        <w:rPr>
          <w:rFonts w:ascii="Arial" w:cs="Arial" w:eastAsia="Arial" w:hAnsi="Arial"/>
          <w:sz w:val="13"/>
          <w:szCs w:val="13"/>
          <w:b w:val="1"/>
          <w:bCs w:val="1"/>
          <w:u w:val="single" w:color="auto"/>
          <w:color w:val="auto"/>
        </w:rPr>
        <w:t>www.proxyvote.com</w:t>
      </w:r>
      <w:r>
        <w:rPr>
          <w:rFonts w:ascii="Arial" w:cs="Arial" w:eastAsia="Arial" w:hAnsi="Arial"/>
          <w:sz w:val="13"/>
          <w:szCs w:val="13"/>
          <w:i w:val="1"/>
          <w:iCs w:val="1"/>
          <w:color w:val="auto"/>
        </w:rPr>
        <w:t xml:space="preserve"> </w:t>
      </w:r>
      <w:r>
        <w:rPr>
          <w:rFonts w:ascii="Arial" w:cs="Arial" w:eastAsia="Arial" w:hAnsi="Arial"/>
          <w:sz w:val="13"/>
          <w:szCs w:val="13"/>
          <w:b w:val="1"/>
          <w:bCs w:val="1"/>
          <w:color w:val="auto"/>
        </w:rPr>
        <w:t>or scan the QR Barcode above</w:t>
      </w:r>
    </w:p>
    <w:p>
      <w:pPr>
        <w:spacing w:after="0" w:line="55" w:lineRule="exact"/>
        <w:rPr>
          <w:sz w:val="20"/>
          <w:szCs w:val="20"/>
          <w:color w:val="auto"/>
        </w:rPr>
      </w:pPr>
    </w:p>
    <w:p>
      <w:pPr>
        <w:jc w:val="both"/>
        <w:ind w:right="20"/>
        <w:spacing w:after="0" w:line="249" w:lineRule="auto"/>
        <w:rPr>
          <w:sz w:val="20"/>
          <w:szCs w:val="20"/>
          <w:color w:val="auto"/>
        </w:rPr>
      </w:pPr>
      <w:r>
        <w:rPr>
          <w:rFonts w:ascii="Arial" w:cs="Arial" w:eastAsia="Arial" w:hAnsi="Arial"/>
          <w:sz w:val="13"/>
          <w:szCs w:val="13"/>
          <w:color w:val="auto"/>
        </w:rPr>
        <w:t>Use the Internet to transmit your voting instructions and for electronic delivery of information up until 11:59 P.M. Eastern Daylight Time on May 17, 2022 for shares held directly and 11:59 P.M. Eastern Daylight Time on May 15, 2022 for shares held in a plan. Have your proxy card in hand when you access the website and follow the instructions to obtain your records and to create an electronic voting instruction form.</w:t>
      </w:r>
    </w:p>
    <w:p>
      <w:pPr>
        <w:spacing w:after="0" w:line="113"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 xml:space="preserve">During The Meeting </w:t>
      </w:r>
      <w:r>
        <w:rPr>
          <w:rFonts w:ascii="Arial" w:cs="Arial" w:eastAsia="Arial" w:hAnsi="Arial"/>
          <w:sz w:val="13"/>
          <w:szCs w:val="13"/>
          <w:color w:val="auto"/>
        </w:rPr>
        <w:t>- Go to</w:t>
      </w:r>
      <w:r>
        <w:rPr>
          <w:rFonts w:ascii="Arial" w:cs="Arial" w:eastAsia="Arial" w:hAnsi="Arial"/>
          <w:sz w:val="13"/>
          <w:szCs w:val="13"/>
          <w:i w:val="1"/>
          <w:iCs w:val="1"/>
          <w:color w:val="auto"/>
        </w:rPr>
        <w:t xml:space="preserve"> </w:t>
      </w:r>
      <w:r>
        <w:rPr>
          <w:rFonts w:ascii="Arial" w:cs="Arial" w:eastAsia="Arial" w:hAnsi="Arial"/>
          <w:sz w:val="13"/>
          <w:szCs w:val="13"/>
          <w:b w:val="1"/>
          <w:bCs w:val="1"/>
          <w:u w:val="single" w:color="auto"/>
          <w:color w:val="auto"/>
        </w:rPr>
        <w:t>www.virtualshareholdermeeting.com/PNW</w:t>
      </w:r>
    </w:p>
    <w:p>
      <w:pPr>
        <w:spacing w:after="0" w:line="150" w:lineRule="exact"/>
        <w:rPr>
          <w:sz w:val="20"/>
          <w:szCs w:val="20"/>
          <w:color w:val="auto"/>
        </w:rPr>
      </w:pPr>
    </w:p>
    <w:p>
      <w:pPr>
        <w:jc w:val="both"/>
        <w:spacing w:after="0" w:line="266" w:lineRule="auto"/>
        <w:rPr>
          <w:sz w:val="20"/>
          <w:szCs w:val="20"/>
          <w:color w:val="auto"/>
        </w:rPr>
      </w:pPr>
      <w:r>
        <w:rPr>
          <w:rFonts w:ascii="Arial" w:cs="Arial" w:eastAsia="Arial" w:hAnsi="Arial"/>
          <w:sz w:val="13"/>
          <w:szCs w:val="13"/>
          <w:color w:val="auto"/>
        </w:rPr>
        <w:t>You may attend the Meeting via the Internet and vote during the Meeting. Have the information that is printed in the box marked by the arrow available and follow the instructions.</w:t>
      </w:r>
    </w:p>
    <w:p>
      <w:pPr>
        <w:spacing w:after="0" w:line="247"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VOTE BY PHONE - 1-800-690-6903</w:t>
      </w:r>
    </w:p>
    <w:p>
      <w:pPr>
        <w:spacing w:after="0" w:line="13" w:lineRule="exact"/>
        <w:rPr>
          <w:sz w:val="20"/>
          <w:szCs w:val="20"/>
          <w:color w:val="auto"/>
        </w:rPr>
      </w:pPr>
    </w:p>
    <w:p>
      <w:pPr>
        <w:jc w:val="both"/>
        <w:spacing w:after="0" w:line="246" w:lineRule="auto"/>
        <w:rPr>
          <w:sz w:val="20"/>
          <w:szCs w:val="20"/>
          <w:color w:val="auto"/>
        </w:rPr>
      </w:pPr>
      <w:r>
        <w:rPr>
          <w:rFonts w:ascii="Arial" w:cs="Arial" w:eastAsia="Arial" w:hAnsi="Arial"/>
          <w:sz w:val="13"/>
          <w:szCs w:val="13"/>
          <w:color w:val="auto"/>
        </w:rPr>
        <w:t>Use any touch-tone telephone to transmit your voting instructions up until 11:59 P.M. Eastern Daylight Time on May 17, 2022 for shares held directly and 11:59 P.M. Eastern Daylight Time on May 15, 2022 for shares held in a plan. Have your proxy card in hand when you call and then follow the instructions.</w:t>
      </w:r>
    </w:p>
    <w:p>
      <w:pPr>
        <w:spacing w:after="0" w:line="116"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VOTE BY MAIL</w:t>
      </w:r>
    </w:p>
    <w:p>
      <w:pPr>
        <w:spacing w:after="0" w:line="13" w:lineRule="exact"/>
        <w:rPr>
          <w:sz w:val="20"/>
          <w:szCs w:val="20"/>
          <w:color w:val="auto"/>
        </w:rPr>
      </w:pPr>
    </w:p>
    <w:p>
      <w:pPr>
        <w:jc w:val="both"/>
        <w:spacing w:after="0" w:line="250" w:lineRule="auto"/>
        <w:rPr>
          <w:sz w:val="20"/>
          <w:szCs w:val="20"/>
          <w:color w:val="auto"/>
        </w:rPr>
      </w:pPr>
      <w:r>
        <w:rPr>
          <w:rFonts w:ascii="Arial" w:cs="Arial" w:eastAsia="Arial" w:hAnsi="Arial"/>
          <w:sz w:val="13"/>
          <w:szCs w:val="13"/>
          <w:color w:val="auto"/>
        </w:rPr>
        <w:t>Mark, sign and date your proxy card and return it in the postage-paid envelope we have provided or return it to Vote Processing, c/o Broadridge, 51 Mercedes Way, Edgewood, NY 11717.</w:t>
      </w:r>
    </w:p>
    <w:p>
      <w:pPr>
        <w:spacing w:after="0" w:line="200" w:lineRule="exact"/>
        <w:rPr>
          <w:sz w:val="20"/>
          <w:szCs w:val="20"/>
          <w:color w:val="auto"/>
        </w:rPr>
      </w:pPr>
    </w:p>
    <w:p>
      <w:pPr>
        <w:sectPr>
          <w:pgSz w:w="11900" w:h="16838" w:orient="portrait"/>
          <w:cols w:equalWidth="0" w:num="2">
            <w:col w:w="5120" w:space="720"/>
            <w:col w:w="5400"/>
          </w:cols>
          <w:pgMar w:left="320" w:top="125"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tbl>
      <w:tblPr>
        <w:tblLayout w:type="fixed"/>
        <w:tblInd w:w="0" w:type="dxa"/>
        <w:tblCellMar>
          <w:top w:w="0" w:type="dxa"/>
          <w:left w:w="0" w:type="dxa"/>
          <w:bottom w:w="0" w:type="dxa"/>
          <w:right w:w="0" w:type="dxa"/>
        </w:tblCellMar>
      </w:tblPr>
      <w:tr>
        <w:trPr>
          <w:trHeight w:val="176"/>
        </w:trPr>
        <w:tc>
          <w:tcPr>
            <w:tcW w:w="5620" w:type="dxa"/>
            <w:vAlign w:val="bottom"/>
            <w:gridSpan w:val="3"/>
          </w:tcPr>
          <w:p>
            <w:pPr>
              <w:spacing w:after="0"/>
              <w:rPr>
                <w:sz w:val="20"/>
                <w:szCs w:val="20"/>
                <w:color w:val="auto"/>
              </w:rPr>
            </w:pPr>
            <w:r>
              <w:rPr>
                <w:rFonts w:ascii="Arial" w:cs="Arial" w:eastAsia="Arial" w:hAnsi="Arial"/>
                <w:sz w:val="13"/>
                <w:szCs w:val="13"/>
                <w:color w:val="auto"/>
              </w:rPr>
              <w:t>TO VOTE, MARK BLOCKS BELOW IN BLUE OR BLACK INK AS FOLLOWS:</w:t>
            </w:r>
          </w:p>
        </w:tc>
        <w:tc>
          <w:tcPr>
            <w:tcW w:w="2640" w:type="dxa"/>
            <w:vAlign w:val="bottom"/>
            <w:vMerge w:val="restart"/>
          </w:tcPr>
          <w:p>
            <w:pPr>
              <w:ind w:left="1020"/>
              <w:spacing w:after="0"/>
              <w:rPr>
                <w:sz w:val="20"/>
                <w:szCs w:val="20"/>
                <w:color w:val="auto"/>
              </w:rPr>
            </w:pPr>
            <w:r>
              <w:rPr>
                <w:rFonts w:ascii="Arial" w:cs="Arial" w:eastAsia="Arial" w:hAnsi="Arial"/>
                <w:sz w:val="13"/>
                <w:szCs w:val="13"/>
                <w:color w:val="auto"/>
              </w:rPr>
              <w:t>D68751-P64991-Z81603</w:t>
            </w:r>
          </w:p>
        </w:tc>
        <w:tc>
          <w:tcPr>
            <w:tcW w:w="2980" w:type="dxa"/>
            <w:vAlign w:val="bottom"/>
            <w:gridSpan w:val="4"/>
            <w:vMerge w:val="restart"/>
          </w:tcPr>
          <w:p>
            <w:pPr>
              <w:jc w:val="right"/>
              <w:spacing w:after="0"/>
              <w:rPr>
                <w:sz w:val="20"/>
                <w:szCs w:val="20"/>
                <w:color w:val="auto"/>
              </w:rPr>
            </w:pPr>
            <w:r>
              <w:rPr>
                <w:rFonts w:ascii="Arial" w:cs="Arial" w:eastAsia="Arial" w:hAnsi="Arial"/>
                <w:sz w:val="13"/>
                <w:szCs w:val="13"/>
                <w:color w:val="auto"/>
              </w:rPr>
              <w:t>KEEP THIS PORTION FOR YOUR RECORDS</w:t>
            </w: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3220" w:type="dxa"/>
            <w:vAlign w:val="bottom"/>
          </w:tcPr>
          <w:p>
            <w:pPr>
              <w:spacing w:after="0"/>
              <w:rPr>
                <w:sz w:val="11"/>
                <w:szCs w:val="11"/>
                <w:color w:val="auto"/>
              </w:rPr>
            </w:pPr>
          </w:p>
        </w:tc>
        <w:tc>
          <w:tcPr>
            <w:tcW w:w="2380" w:type="dxa"/>
            <w:vAlign w:val="bottom"/>
          </w:tcPr>
          <w:p>
            <w:pPr>
              <w:spacing w:after="0"/>
              <w:rPr>
                <w:sz w:val="11"/>
                <w:szCs w:val="11"/>
                <w:color w:val="auto"/>
              </w:rPr>
            </w:pPr>
          </w:p>
        </w:tc>
        <w:tc>
          <w:tcPr>
            <w:tcW w:w="2640" w:type="dxa"/>
            <w:vAlign w:val="bottom"/>
            <w:vMerge w:val="continue"/>
          </w:tcPr>
          <w:p>
            <w:pPr>
              <w:spacing w:after="0"/>
              <w:rPr>
                <w:sz w:val="11"/>
                <w:szCs w:val="11"/>
                <w:color w:val="auto"/>
              </w:rPr>
            </w:pPr>
          </w:p>
        </w:tc>
        <w:tc>
          <w:tcPr>
            <w:tcW w:w="2980" w:type="dxa"/>
            <w:vAlign w:val="bottom"/>
            <w:gridSpan w:val="4"/>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220" w:type="dxa"/>
            <w:vAlign w:val="bottom"/>
          </w:tcPr>
          <w:p>
            <w:pPr>
              <w:spacing w:after="0"/>
              <w:rPr>
                <w:sz w:val="15"/>
                <w:szCs w:val="15"/>
                <w:color w:val="auto"/>
              </w:rPr>
            </w:pPr>
          </w:p>
        </w:tc>
        <w:tc>
          <w:tcPr>
            <w:tcW w:w="5020" w:type="dxa"/>
            <w:vAlign w:val="bottom"/>
            <w:gridSpan w:val="2"/>
            <w:vMerge w:val="restart"/>
          </w:tcPr>
          <w:p>
            <w:pPr>
              <w:ind w:left="340"/>
              <w:spacing w:after="0"/>
              <w:rPr>
                <w:sz w:val="20"/>
                <w:szCs w:val="20"/>
                <w:color w:val="auto"/>
              </w:rPr>
            </w:pPr>
            <w:r>
              <w:rPr>
                <w:rFonts w:ascii="Arial" w:cs="Arial" w:eastAsia="Arial" w:hAnsi="Arial"/>
                <w:sz w:val="13"/>
                <w:szCs w:val="13"/>
                <w:b w:val="1"/>
                <w:bCs w:val="1"/>
                <w:color w:val="auto"/>
              </w:rPr>
              <w:t>THIS PROXY CARD IS VALID ONLY WHEN SIGNED AND DATED.</w:t>
            </w:r>
          </w:p>
        </w:tc>
        <w:tc>
          <w:tcPr>
            <w:tcW w:w="2980" w:type="dxa"/>
            <w:vAlign w:val="bottom"/>
            <w:gridSpan w:val="4"/>
          </w:tcPr>
          <w:p>
            <w:pPr>
              <w:jc w:val="right"/>
              <w:spacing w:after="0"/>
              <w:rPr>
                <w:sz w:val="20"/>
                <w:szCs w:val="20"/>
                <w:color w:val="auto"/>
              </w:rPr>
            </w:pPr>
            <w:r>
              <w:rPr>
                <w:rFonts w:ascii="Arial" w:cs="Arial" w:eastAsia="Arial" w:hAnsi="Arial"/>
                <w:sz w:val="13"/>
                <w:szCs w:val="13"/>
                <w:color w:val="auto"/>
              </w:rPr>
              <w:t>DETACH AND RETURN THIS PORTION ONLY</w:t>
            </w: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3220" w:type="dxa"/>
            <w:vAlign w:val="bottom"/>
          </w:tcPr>
          <w:p>
            <w:pPr>
              <w:spacing w:after="0"/>
              <w:rPr>
                <w:sz w:val="13"/>
                <w:szCs w:val="13"/>
                <w:color w:val="auto"/>
              </w:rPr>
            </w:pPr>
          </w:p>
        </w:tc>
        <w:tc>
          <w:tcPr>
            <w:tcW w:w="5020" w:type="dxa"/>
            <w:vAlign w:val="bottom"/>
            <w:gridSpan w:val="2"/>
            <w:vMerge w:val="continue"/>
          </w:tcPr>
          <w:p>
            <w:pPr>
              <w:spacing w:after="0"/>
              <w:rPr>
                <w:sz w:val="13"/>
                <w:szCs w:val="13"/>
                <w:color w:val="auto"/>
              </w:rPr>
            </w:pPr>
          </w:p>
        </w:tc>
        <w:tc>
          <w:tcPr>
            <w:tcW w:w="210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55"/>
        </w:trPr>
        <w:tc>
          <w:tcPr>
            <w:tcW w:w="20" w:type="dxa"/>
            <w:vAlign w:val="bottom"/>
          </w:tcPr>
          <w:p>
            <w:pPr>
              <w:spacing w:after="0"/>
              <w:rPr>
                <w:sz w:val="4"/>
                <w:szCs w:val="4"/>
                <w:color w:val="auto"/>
              </w:rPr>
            </w:pPr>
          </w:p>
        </w:tc>
        <w:tc>
          <w:tcPr>
            <w:tcW w:w="3220" w:type="dxa"/>
            <w:vAlign w:val="bottom"/>
            <w:tcBorders>
              <w:bottom w:val="single" w:sz="8" w:color="auto"/>
            </w:tcBorders>
          </w:tcPr>
          <w:p>
            <w:pPr>
              <w:spacing w:after="0"/>
              <w:rPr>
                <w:sz w:val="4"/>
                <w:szCs w:val="4"/>
                <w:color w:val="auto"/>
              </w:rPr>
            </w:pPr>
          </w:p>
        </w:tc>
        <w:tc>
          <w:tcPr>
            <w:tcW w:w="2380" w:type="dxa"/>
            <w:vAlign w:val="bottom"/>
            <w:tcBorders>
              <w:bottom w:val="single" w:sz="8" w:color="auto"/>
            </w:tcBorders>
          </w:tcPr>
          <w:p>
            <w:pPr>
              <w:spacing w:after="0"/>
              <w:rPr>
                <w:sz w:val="4"/>
                <w:szCs w:val="4"/>
                <w:color w:val="auto"/>
              </w:rPr>
            </w:pPr>
          </w:p>
        </w:tc>
        <w:tc>
          <w:tcPr>
            <w:tcW w:w="4740" w:type="dxa"/>
            <w:vAlign w:val="bottom"/>
            <w:tcBorders>
              <w:bottom w:val="single" w:sz="8" w:color="auto"/>
            </w:tcBorders>
            <w:gridSpan w:val="2"/>
          </w:tcPr>
          <w:p>
            <w:pPr>
              <w:spacing w:after="0"/>
              <w:rPr>
                <w:sz w:val="4"/>
                <w:szCs w:val="4"/>
                <w:color w:val="auto"/>
              </w:rPr>
            </w:pPr>
          </w:p>
        </w:tc>
        <w:tc>
          <w:tcPr>
            <w:tcW w:w="7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3220" w:type="dxa"/>
            <w:vAlign w:val="bottom"/>
          </w:tcPr>
          <w:p>
            <w:pPr>
              <w:ind w:left="120"/>
              <w:spacing w:after="0"/>
              <w:rPr>
                <w:sz w:val="20"/>
                <w:szCs w:val="20"/>
                <w:color w:val="auto"/>
              </w:rPr>
            </w:pPr>
            <w:r>
              <w:rPr>
                <w:rFonts w:ascii="Arial" w:cs="Arial" w:eastAsia="Arial" w:hAnsi="Arial"/>
                <w:sz w:val="13"/>
                <w:szCs w:val="13"/>
                <w:b w:val="1"/>
                <w:bCs w:val="1"/>
                <w:color w:val="auto"/>
              </w:rPr>
              <w:t>PINNACLE WEST CAPITAL CORPORATION</w:t>
            </w:r>
          </w:p>
        </w:tc>
        <w:tc>
          <w:tcPr>
            <w:tcW w:w="2380" w:type="dxa"/>
            <w:vAlign w:val="bottom"/>
          </w:tcPr>
          <w:p>
            <w:pPr>
              <w:ind w:left="820"/>
              <w:spacing w:after="0"/>
              <w:rPr>
                <w:sz w:val="20"/>
                <w:szCs w:val="20"/>
                <w:color w:val="auto"/>
              </w:rPr>
            </w:pPr>
            <w:r>
              <w:rPr>
                <w:rFonts w:ascii="Arial" w:cs="Arial" w:eastAsia="Arial" w:hAnsi="Arial"/>
                <w:sz w:val="13"/>
                <w:szCs w:val="13"/>
                <w:b w:val="1"/>
                <w:bCs w:val="1"/>
                <w:color w:val="auto"/>
              </w:rPr>
              <w:t>For Withhold For All</w:t>
            </w:r>
          </w:p>
        </w:tc>
        <w:tc>
          <w:tcPr>
            <w:tcW w:w="5620" w:type="dxa"/>
            <w:vAlign w:val="bottom"/>
            <w:gridSpan w:val="5"/>
          </w:tcPr>
          <w:p>
            <w:pPr>
              <w:ind w:left="220"/>
              <w:spacing w:after="0"/>
              <w:rPr>
                <w:sz w:val="20"/>
                <w:szCs w:val="20"/>
                <w:color w:val="auto"/>
              </w:rPr>
            </w:pPr>
            <w:r>
              <w:rPr>
                <w:rFonts w:ascii="Arial" w:cs="Arial" w:eastAsia="Arial" w:hAnsi="Arial"/>
                <w:sz w:val="13"/>
                <w:szCs w:val="13"/>
                <w:b w:val="1"/>
                <w:bCs w:val="1"/>
                <w:color w:val="auto"/>
              </w:rPr>
              <w:t>To withhold authority to vote for any individual nominee(s), mark</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3220" w:type="dxa"/>
            <w:vAlign w:val="bottom"/>
          </w:tcPr>
          <w:p>
            <w:pPr>
              <w:spacing w:after="0"/>
              <w:rPr>
                <w:sz w:val="5"/>
                <w:szCs w:val="5"/>
                <w:color w:val="auto"/>
              </w:rPr>
            </w:pPr>
          </w:p>
        </w:tc>
        <w:tc>
          <w:tcPr>
            <w:tcW w:w="2380" w:type="dxa"/>
            <w:vAlign w:val="bottom"/>
            <w:vMerge w:val="restart"/>
          </w:tcPr>
          <w:p>
            <w:pPr>
              <w:ind w:left="840"/>
              <w:spacing w:after="0"/>
              <w:rPr>
                <w:sz w:val="20"/>
                <w:szCs w:val="20"/>
                <w:color w:val="auto"/>
              </w:rPr>
            </w:pPr>
            <w:r>
              <w:rPr>
                <w:rFonts w:ascii="Arial" w:cs="Arial" w:eastAsia="Arial" w:hAnsi="Arial"/>
                <w:sz w:val="13"/>
                <w:szCs w:val="13"/>
                <w:b w:val="1"/>
                <w:bCs w:val="1"/>
                <w:color w:val="auto"/>
              </w:rPr>
              <w:t>AllAll   Except</w:t>
            </w:r>
          </w:p>
        </w:tc>
        <w:tc>
          <w:tcPr>
            <w:tcW w:w="4740" w:type="dxa"/>
            <w:vAlign w:val="bottom"/>
            <w:gridSpan w:val="2"/>
            <w:vMerge w:val="restart"/>
          </w:tcPr>
          <w:p>
            <w:pPr>
              <w:ind w:left="220"/>
              <w:spacing w:after="0"/>
              <w:rPr>
                <w:sz w:val="20"/>
                <w:szCs w:val="20"/>
                <w:color w:val="auto"/>
              </w:rPr>
            </w:pPr>
            <w:r>
              <w:rPr>
                <w:rFonts w:ascii="Arial" w:cs="Arial" w:eastAsia="Arial" w:hAnsi="Arial"/>
                <w:sz w:val="13"/>
                <w:szCs w:val="13"/>
                <w:b w:val="1"/>
                <w:bCs w:val="1"/>
                <w:color w:val="auto"/>
              </w:rPr>
              <w:t>"For All Except" and write the number(s) of the nominee(s) on the</w:t>
            </w:r>
          </w:p>
        </w:tc>
        <w:tc>
          <w:tcPr>
            <w:tcW w:w="740" w:type="dxa"/>
            <w:vAlign w:val="bottom"/>
            <w:tcBorders>
              <w:bottom w:val="single" w:sz="8" w:color="auto"/>
            </w:tcBorders>
          </w:tcPr>
          <w:p>
            <w:pPr>
              <w:spacing w:after="0"/>
              <w:rPr>
                <w:sz w:val="5"/>
                <w:szCs w:val="5"/>
                <w:color w:val="auto"/>
              </w:rPr>
            </w:pPr>
          </w:p>
        </w:tc>
        <w:tc>
          <w:tcPr>
            <w:tcW w:w="140" w:type="dxa"/>
            <w:vAlign w:val="bottom"/>
            <w:gridSpan w:val="2"/>
            <w:vMerge w:val="restart"/>
          </w:tcPr>
          <w:p>
            <w:pPr>
              <w:spacing w:after="0"/>
              <w:rPr>
                <w:sz w:val="5"/>
                <w:szCs w:val="5"/>
                <w:color w:val="auto"/>
              </w:rPr>
            </w:pPr>
          </w:p>
        </w:tc>
        <w:tc>
          <w:tcPr>
            <w:tcW w:w="0" w:type="dxa"/>
            <w:vAlign w:val="bottom"/>
          </w:tcPr>
          <w:p>
            <w:pPr>
              <w:spacing w:after="0"/>
              <w:rPr>
                <w:sz w:val="1"/>
                <w:szCs w:val="1"/>
                <w:color w:val="auto"/>
              </w:rPr>
            </w:pPr>
          </w:p>
        </w:tc>
      </w:tr>
      <w:tr>
        <w:trPr>
          <w:trHeight w:val="66"/>
        </w:trPr>
        <w:tc>
          <w:tcPr>
            <w:tcW w:w="20" w:type="dxa"/>
            <w:vAlign w:val="bottom"/>
          </w:tcPr>
          <w:p>
            <w:pPr>
              <w:spacing w:after="0"/>
              <w:rPr>
                <w:sz w:val="5"/>
                <w:szCs w:val="5"/>
                <w:color w:val="auto"/>
              </w:rPr>
            </w:pPr>
          </w:p>
        </w:tc>
        <w:tc>
          <w:tcPr>
            <w:tcW w:w="3220" w:type="dxa"/>
            <w:vAlign w:val="bottom"/>
          </w:tcPr>
          <w:p>
            <w:pPr>
              <w:spacing w:after="0"/>
              <w:rPr>
                <w:sz w:val="5"/>
                <w:szCs w:val="5"/>
                <w:color w:val="auto"/>
              </w:rPr>
            </w:pPr>
          </w:p>
        </w:tc>
        <w:tc>
          <w:tcPr>
            <w:tcW w:w="2380" w:type="dxa"/>
            <w:vAlign w:val="bottom"/>
            <w:vMerge w:val="continue"/>
          </w:tcPr>
          <w:p>
            <w:pPr>
              <w:spacing w:after="0"/>
              <w:rPr>
                <w:sz w:val="5"/>
                <w:szCs w:val="5"/>
                <w:color w:val="auto"/>
              </w:rPr>
            </w:pPr>
          </w:p>
        </w:tc>
        <w:tc>
          <w:tcPr>
            <w:tcW w:w="4740" w:type="dxa"/>
            <w:vAlign w:val="bottom"/>
            <w:gridSpan w:val="2"/>
            <w:vMerge w:val="continue"/>
          </w:tcPr>
          <w:p>
            <w:pPr>
              <w:spacing w:after="0"/>
              <w:rPr>
                <w:sz w:val="5"/>
                <w:szCs w:val="5"/>
                <w:color w:val="auto"/>
              </w:rPr>
            </w:pPr>
          </w:p>
        </w:tc>
        <w:tc>
          <w:tcPr>
            <w:tcW w:w="740" w:type="dxa"/>
            <w:vAlign w:val="bottom"/>
          </w:tcPr>
          <w:p>
            <w:pPr>
              <w:spacing w:after="0"/>
              <w:rPr>
                <w:sz w:val="5"/>
                <w:szCs w:val="5"/>
                <w:color w:val="auto"/>
              </w:rPr>
            </w:pPr>
          </w:p>
        </w:tc>
        <w:tc>
          <w:tcPr>
            <w:tcW w:w="14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600" w:type="dxa"/>
            <w:vAlign w:val="bottom"/>
            <w:gridSpan w:val="2"/>
          </w:tcPr>
          <w:p>
            <w:pPr>
              <w:ind w:left="200"/>
              <w:spacing w:after="0"/>
              <w:rPr>
                <w:sz w:val="20"/>
                <w:szCs w:val="20"/>
                <w:color w:val="auto"/>
              </w:rPr>
            </w:pPr>
            <w:r>
              <w:rPr>
                <w:rFonts w:ascii="Arial" w:cs="Arial" w:eastAsia="Arial" w:hAnsi="Arial"/>
                <w:sz w:val="13"/>
                <w:szCs w:val="13"/>
                <w:b w:val="1"/>
                <w:bCs w:val="1"/>
                <w:color w:val="auto"/>
              </w:rPr>
              <w:t>The Board of Directors recommends you vote FOR the</w:t>
            </w:r>
          </w:p>
        </w:tc>
        <w:tc>
          <w:tcPr>
            <w:tcW w:w="2640" w:type="dxa"/>
            <w:vAlign w:val="bottom"/>
          </w:tcPr>
          <w:p>
            <w:pPr>
              <w:ind w:left="220"/>
              <w:spacing w:after="0"/>
              <w:rPr>
                <w:sz w:val="20"/>
                <w:szCs w:val="20"/>
                <w:color w:val="auto"/>
              </w:rPr>
            </w:pPr>
            <w:r>
              <w:rPr>
                <w:rFonts w:ascii="Arial" w:cs="Arial" w:eastAsia="Arial" w:hAnsi="Arial"/>
                <w:sz w:val="13"/>
                <w:szCs w:val="13"/>
                <w:b w:val="1"/>
                <w:bCs w:val="1"/>
                <w:color w:val="auto"/>
              </w:rPr>
              <w:t>line below.</w:t>
            </w:r>
          </w:p>
        </w:tc>
        <w:tc>
          <w:tcPr>
            <w:tcW w:w="21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3220" w:type="dxa"/>
            <w:vAlign w:val="bottom"/>
          </w:tcPr>
          <w:p>
            <w:pPr>
              <w:ind w:left="200"/>
              <w:spacing w:after="0"/>
              <w:rPr>
                <w:sz w:val="20"/>
                <w:szCs w:val="20"/>
                <w:color w:val="auto"/>
              </w:rPr>
            </w:pPr>
            <w:r>
              <w:rPr>
                <w:rFonts w:ascii="Arial" w:cs="Arial" w:eastAsia="Arial" w:hAnsi="Arial"/>
                <w:sz w:val="13"/>
                <w:szCs w:val="13"/>
                <w:b w:val="1"/>
                <w:bCs w:val="1"/>
                <w:color w:val="auto"/>
              </w:rPr>
              <w:t>following:</w:t>
            </w:r>
          </w:p>
        </w:tc>
        <w:tc>
          <w:tcPr>
            <w:tcW w:w="2380" w:type="dxa"/>
            <w:vAlign w:val="bottom"/>
          </w:tcPr>
          <w:p>
            <w:pPr>
              <w:spacing w:after="0"/>
              <w:rPr>
                <w:sz w:val="16"/>
                <w:szCs w:val="16"/>
                <w:color w:val="auto"/>
              </w:rPr>
            </w:pPr>
          </w:p>
        </w:tc>
        <w:tc>
          <w:tcPr>
            <w:tcW w:w="2640" w:type="dxa"/>
            <w:vAlign w:val="bottom"/>
          </w:tcPr>
          <w:p>
            <w:pPr>
              <w:spacing w:after="0"/>
              <w:rPr>
                <w:sz w:val="16"/>
                <w:szCs w:val="16"/>
                <w:color w:val="auto"/>
              </w:rPr>
            </w:pPr>
          </w:p>
        </w:tc>
        <w:tc>
          <w:tcPr>
            <w:tcW w:w="21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-674370</wp:posOffset>
            </wp:positionV>
            <wp:extent cx="7132320" cy="429704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7132320" cy="429704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p>
      <w:pPr>
        <w:spacing w:after="0" w:line="221" w:lineRule="exact"/>
        <w:rPr>
          <w:sz w:val="20"/>
          <w:szCs w:val="20"/>
          <w:color w:val="auto"/>
        </w:rPr>
      </w:pPr>
    </w:p>
    <w:p>
      <w:pPr>
        <w:ind w:left="240"/>
        <w:spacing w:after="0"/>
        <w:rPr>
          <w:sz w:val="20"/>
          <w:szCs w:val="20"/>
          <w:color w:val="auto"/>
        </w:rPr>
      </w:pPr>
      <w:r>
        <w:rPr>
          <w:rFonts w:ascii="Arial" w:cs="Arial" w:eastAsia="Arial" w:hAnsi="Arial"/>
          <w:sz w:val="13"/>
          <w:szCs w:val="13"/>
          <w:color w:val="auto"/>
        </w:rPr>
        <w:t>1. Election of Directors</w:t>
      </w:r>
    </w:p>
    <w:p>
      <w:pPr>
        <w:spacing w:after="0" w:line="20" w:lineRule="exact"/>
        <w:rPr>
          <w:sz w:val="20"/>
          <w:szCs w:val="20"/>
          <w:color w:val="auto"/>
        </w:rPr>
      </w:pPr>
      <w:r>
        <w:rPr>
          <w:sz w:val="20"/>
          <w:szCs w:val="20"/>
          <w:color w:val="auto"/>
        </w:rPr>
        <w:br w:type="column"/>
      </w:r>
    </w:p>
    <w:p>
      <w:pPr>
        <w:spacing w:after="0" w:line="58" w:lineRule="exact"/>
        <w:rPr>
          <w:sz w:val="20"/>
          <w:szCs w:val="20"/>
          <w:color w:val="auto"/>
        </w:rPr>
      </w:pPr>
    </w:p>
    <w:p>
      <w:pPr>
        <w:spacing w:after="0" w:line="221" w:lineRule="exact"/>
        <w:tabs>
          <w:tab w:leader="none" w:pos="980" w:val="left"/>
        </w:tabs>
        <w:rPr>
          <w:sz w:val="20"/>
          <w:szCs w:val="20"/>
          <w:color w:val="auto"/>
        </w:rPr>
      </w:pPr>
      <w:r>
        <w:rPr>
          <w:rFonts w:ascii="MS PGothic" w:cs="MS PGothic" w:eastAsia="MS PGothic" w:hAnsi="MS PGothic"/>
          <w:sz w:val="22"/>
          <w:szCs w:val="22"/>
          <w:color w:val="auto"/>
        </w:rPr>
        <w:t>☐  ☐</w:t>
      </w:r>
      <w:r>
        <w:rPr>
          <w:sz w:val="20"/>
          <w:szCs w:val="20"/>
          <w:color w:val="auto"/>
        </w:rPr>
        <w:tab/>
      </w:r>
      <w:r>
        <w:rPr>
          <w:rFonts w:ascii="MS PGothic" w:cs="MS PGothic" w:eastAsia="MS PGothic" w:hAnsi="MS PGothic"/>
          <w:sz w:val="19"/>
          <w:szCs w:val="19"/>
          <w:color w:val="auto"/>
        </w:rPr>
        <w:t>☐</w:t>
      </w:r>
    </w:p>
    <w:p>
      <w:pPr>
        <w:spacing w:after="0" w:line="218" w:lineRule="exact"/>
        <w:rPr>
          <w:sz w:val="20"/>
          <w:szCs w:val="20"/>
          <w:color w:val="auto"/>
        </w:rPr>
      </w:pPr>
    </w:p>
    <w:p>
      <w:pPr>
        <w:sectPr>
          <w:pgSz w:w="11900" w:h="16838" w:orient="portrait"/>
          <w:cols w:equalWidth="0" w:num="2">
            <w:col w:w="3360" w:space="720"/>
            <w:col w:w="7160"/>
          </w:cols>
          <w:pgMar w:left="320" w:top="125" w:right="339" w:bottom="1440" w:gutter="0" w:footer="0" w:header="0"/>
          <w:type w:val="continuous"/>
        </w:sectPr>
      </w:pPr>
    </w:p>
    <w:tbl>
      <w:tblPr>
        <w:tblLayout w:type="fixed"/>
        <w:tblInd w:w="420" w:type="dxa"/>
        <w:tblCellMar>
          <w:top w:w="0" w:type="dxa"/>
          <w:left w:w="0" w:type="dxa"/>
          <w:bottom w:w="0" w:type="dxa"/>
          <w:right w:w="0" w:type="dxa"/>
        </w:tblCellMar>
      </w:tblPr>
      <w:tr>
        <w:trPr>
          <w:trHeight w:val="186"/>
        </w:trPr>
        <w:tc>
          <w:tcPr>
            <w:tcW w:w="1660" w:type="dxa"/>
            <w:vAlign w:val="bottom"/>
            <w:gridSpan w:val="2"/>
          </w:tcPr>
          <w:p>
            <w:pPr>
              <w:spacing w:after="0"/>
              <w:rPr>
                <w:sz w:val="20"/>
                <w:szCs w:val="20"/>
                <w:color w:val="auto"/>
              </w:rPr>
            </w:pPr>
            <w:r>
              <w:rPr>
                <w:rFonts w:ascii="Arial" w:cs="Arial" w:eastAsia="Arial" w:hAnsi="Arial"/>
                <w:sz w:val="13"/>
                <w:szCs w:val="13"/>
                <w:b w:val="1"/>
                <w:bCs w:val="1"/>
                <w:color w:val="auto"/>
              </w:rPr>
              <w:t>Nominees:</w:t>
            </w:r>
          </w:p>
        </w:tc>
        <w:tc>
          <w:tcPr>
            <w:tcW w:w="420" w:type="dxa"/>
            <w:vAlign w:val="bottom"/>
          </w:tcPr>
          <w:p>
            <w:pPr>
              <w:spacing w:after="0"/>
              <w:rPr>
                <w:sz w:val="16"/>
                <w:szCs w:val="16"/>
                <w:color w:val="auto"/>
              </w:rPr>
            </w:pPr>
          </w:p>
        </w:tc>
        <w:tc>
          <w:tcPr>
            <w:tcW w:w="1460" w:type="dxa"/>
            <w:vAlign w:val="bottom"/>
          </w:tcPr>
          <w:p>
            <w:pPr>
              <w:spacing w:after="0"/>
              <w:rPr>
                <w:sz w:val="16"/>
                <w:szCs w:val="16"/>
                <w:color w:val="auto"/>
              </w:rPr>
            </w:pPr>
          </w:p>
        </w:tc>
      </w:tr>
      <w:tr>
        <w:trPr>
          <w:trHeight w:val="261"/>
        </w:trPr>
        <w:tc>
          <w:tcPr>
            <w:tcW w:w="240" w:type="dxa"/>
            <w:vAlign w:val="bottom"/>
          </w:tcPr>
          <w:p>
            <w:pPr>
              <w:spacing w:after="0"/>
              <w:rPr>
                <w:sz w:val="20"/>
                <w:szCs w:val="20"/>
                <w:color w:val="auto"/>
              </w:rPr>
            </w:pPr>
            <w:r>
              <w:rPr>
                <w:rFonts w:ascii="Arial" w:cs="Arial" w:eastAsia="Arial" w:hAnsi="Arial"/>
                <w:sz w:val="13"/>
                <w:szCs w:val="13"/>
                <w:color w:val="auto"/>
              </w:rPr>
              <w:t>01)</w:t>
            </w:r>
          </w:p>
        </w:tc>
        <w:tc>
          <w:tcPr>
            <w:tcW w:w="1420" w:type="dxa"/>
            <w:vAlign w:val="bottom"/>
          </w:tcPr>
          <w:p>
            <w:pPr>
              <w:ind w:left="40"/>
              <w:spacing w:after="0"/>
              <w:rPr>
                <w:sz w:val="20"/>
                <w:szCs w:val="20"/>
                <w:color w:val="auto"/>
              </w:rPr>
            </w:pPr>
            <w:r>
              <w:rPr>
                <w:rFonts w:ascii="Arial" w:cs="Arial" w:eastAsia="Arial" w:hAnsi="Arial"/>
                <w:sz w:val="13"/>
                <w:szCs w:val="13"/>
                <w:color w:val="auto"/>
              </w:rPr>
              <w:t>Glynis A. Bryan</w:t>
            </w:r>
          </w:p>
        </w:tc>
        <w:tc>
          <w:tcPr>
            <w:tcW w:w="420" w:type="dxa"/>
            <w:vAlign w:val="bottom"/>
          </w:tcPr>
          <w:p>
            <w:pPr>
              <w:ind w:left="180"/>
              <w:spacing w:after="0"/>
              <w:rPr>
                <w:sz w:val="20"/>
                <w:szCs w:val="20"/>
                <w:color w:val="auto"/>
              </w:rPr>
            </w:pPr>
            <w:r>
              <w:rPr>
                <w:rFonts w:ascii="Arial" w:cs="Arial" w:eastAsia="Arial" w:hAnsi="Arial"/>
                <w:sz w:val="13"/>
                <w:szCs w:val="13"/>
                <w:color w:val="auto"/>
              </w:rPr>
              <w:t>07)</w:t>
            </w:r>
          </w:p>
        </w:tc>
        <w:tc>
          <w:tcPr>
            <w:tcW w:w="1460" w:type="dxa"/>
            <w:vAlign w:val="bottom"/>
          </w:tcPr>
          <w:p>
            <w:pPr>
              <w:ind w:left="40"/>
              <w:spacing w:after="0"/>
              <w:rPr>
                <w:sz w:val="20"/>
                <w:szCs w:val="20"/>
                <w:color w:val="auto"/>
              </w:rPr>
            </w:pPr>
            <w:r>
              <w:rPr>
                <w:rFonts w:ascii="Arial" w:cs="Arial" w:eastAsia="Arial" w:hAnsi="Arial"/>
                <w:sz w:val="13"/>
                <w:szCs w:val="13"/>
                <w:color w:val="auto"/>
              </w:rPr>
              <w:t>Bruce J. Nordstrom</w:t>
            </w:r>
          </w:p>
        </w:tc>
      </w:tr>
      <w:tr>
        <w:trPr>
          <w:trHeight w:val="149"/>
        </w:trPr>
        <w:tc>
          <w:tcPr>
            <w:tcW w:w="240" w:type="dxa"/>
            <w:vAlign w:val="bottom"/>
          </w:tcPr>
          <w:p>
            <w:pPr>
              <w:spacing w:after="0"/>
              <w:rPr>
                <w:sz w:val="20"/>
                <w:szCs w:val="20"/>
                <w:color w:val="auto"/>
              </w:rPr>
            </w:pPr>
            <w:r>
              <w:rPr>
                <w:rFonts w:ascii="Arial" w:cs="Arial" w:eastAsia="Arial" w:hAnsi="Arial"/>
                <w:sz w:val="13"/>
                <w:szCs w:val="13"/>
                <w:color w:val="auto"/>
              </w:rPr>
              <w:t>02)</w:t>
            </w:r>
          </w:p>
        </w:tc>
        <w:tc>
          <w:tcPr>
            <w:tcW w:w="1420" w:type="dxa"/>
            <w:vAlign w:val="bottom"/>
          </w:tcPr>
          <w:p>
            <w:pPr>
              <w:ind w:left="40"/>
              <w:spacing w:after="0"/>
              <w:rPr>
                <w:sz w:val="20"/>
                <w:szCs w:val="20"/>
                <w:color w:val="auto"/>
              </w:rPr>
            </w:pPr>
            <w:r>
              <w:rPr>
                <w:rFonts w:ascii="Arial" w:cs="Arial" w:eastAsia="Arial" w:hAnsi="Arial"/>
                <w:sz w:val="13"/>
                <w:szCs w:val="13"/>
                <w:color w:val="auto"/>
              </w:rPr>
              <w:t>Gonzalo A. de la</w:t>
            </w:r>
          </w:p>
        </w:tc>
        <w:tc>
          <w:tcPr>
            <w:tcW w:w="420" w:type="dxa"/>
            <w:vAlign w:val="bottom"/>
          </w:tcPr>
          <w:p>
            <w:pPr>
              <w:ind w:left="180"/>
              <w:spacing w:after="0"/>
              <w:rPr>
                <w:sz w:val="20"/>
                <w:szCs w:val="20"/>
                <w:color w:val="auto"/>
              </w:rPr>
            </w:pPr>
            <w:r>
              <w:rPr>
                <w:rFonts w:ascii="Arial" w:cs="Arial" w:eastAsia="Arial" w:hAnsi="Arial"/>
                <w:sz w:val="13"/>
                <w:szCs w:val="13"/>
                <w:color w:val="auto"/>
              </w:rPr>
              <w:t>08)</w:t>
            </w:r>
          </w:p>
        </w:tc>
        <w:tc>
          <w:tcPr>
            <w:tcW w:w="1460" w:type="dxa"/>
            <w:vAlign w:val="bottom"/>
          </w:tcPr>
          <w:p>
            <w:pPr>
              <w:ind w:left="40"/>
              <w:spacing w:after="0"/>
              <w:rPr>
                <w:sz w:val="20"/>
                <w:szCs w:val="20"/>
                <w:color w:val="auto"/>
              </w:rPr>
            </w:pPr>
            <w:r>
              <w:rPr>
                <w:rFonts w:ascii="Arial" w:cs="Arial" w:eastAsia="Arial" w:hAnsi="Arial"/>
                <w:sz w:val="13"/>
                <w:szCs w:val="13"/>
                <w:color w:val="auto"/>
              </w:rPr>
              <w:t>Paula J. Sims</w:t>
            </w:r>
          </w:p>
        </w:tc>
      </w:tr>
      <w:tr>
        <w:trPr>
          <w:trHeight w:val="148"/>
        </w:trPr>
        <w:tc>
          <w:tcPr>
            <w:tcW w:w="240" w:type="dxa"/>
            <w:vAlign w:val="bottom"/>
          </w:tcPr>
          <w:p>
            <w:pPr>
              <w:spacing w:after="0"/>
              <w:rPr>
                <w:sz w:val="12"/>
                <w:szCs w:val="12"/>
                <w:color w:val="auto"/>
              </w:rPr>
            </w:pPr>
          </w:p>
        </w:tc>
        <w:tc>
          <w:tcPr>
            <w:tcW w:w="1420" w:type="dxa"/>
            <w:vAlign w:val="bottom"/>
          </w:tcPr>
          <w:p>
            <w:pPr>
              <w:ind w:left="40"/>
              <w:spacing w:after="0"/>
              <w:rPr>
                <w:sz w:val="20"/>
                <w:szCs w:val="20"/>
                <w:color w:val="auto"/>
              </w:rPr>
            </w:pPr>
            <w:r>
              <w:rPr>
                <w:rFonts w:ascii="Arial" w:cs="Arial" w:eastAsia="Arial" w:hAnsi="Arial"/>
                <w:sz w:val="13"/>
                <w:szCs w:val="13"/>
                <w:color w:val="auto"/>
              </w:rPr>
              <w:t>Melena, Jr.</w:t>
            </w:r>
          </w:p>
        </w:tc>
        <w:tc>
          <w:tcPr>
            <w:tcW w:w="420" w:type="dxa"/>
            <w:vAlign w:val="bottom"/>
          </w:tcPr>
          <w:p>
            <w:pPr>
              <w:spacing w:after="0"/>
              <w:rPr>
                <w:sz w:val="12"/>
                <w:szCs w:val="12"/>
                <w:color w:val="auto"/>
              </w:rPr>
            </w:pPr>
          </w:p>
        </w:tc>
        <w:tc>
          <w:tcPr>
            <w:tcW w:w="1460" w:type="dxa"/>
            <w:vAlign w:val="bottom"/>
          </w:tcPr>
          <w:p>
            <w:pPr>
              <w:spacing w:after="0"/>
              <w:rPr>
                <w:sz w:val="12"/>
                <w:szCs w:val="12"/>
                <w:color w:val="auto"/>
              </w:rPr>
            </w:pPr>
          </w:p>
        </w:tc>
      </w:tr>
      <w:tr>
        <w:trPr>
          <w:trHeight w:val="148"/>
        </w:trPr>
        <w:tc>
          <w:tcPr>
            <w:tcW w:w="240" w:type="dxa"/>
            <w:vAlign w:val="bottom"/>
          </w:tcPr>
          <w:p>
            <w:pPr>
              <w:spacing w:after="0"/>
              <w:rPr>
                <w:sz w:val="20"/>
                <w:szCs w:val="20"/>
                <w:color w:val="auto"/>
              </w:rPr>
            </w:pPr>
            <w:r>
              <w:rPr>
                <w:rFonts w:ascii="Arial" w:cs="Arial" w:eastAsia="Arial" w:hAnsi="Arial"/>
                <w:sz w:val="13"/>
                <w:szCs w:val="13"/>
                <w:color w:val="auto"/>
              </w:rPr>
              <w:t>03)</w:t>
            </w:r>
          </w:p>
        </w:tc>
        <w:tc>
          <w:tcPr>
            <w:tcW w:w="1420" w:type="dxa"/>
            <w:vAlign w:val="bottom"/>
          </w:tcPr>
          <w:p>
            <w:pPr>
              <w:ind w:left="40"/>
              <w:spacing w:after="0"/>
              <w:rPr>
                <w:sz w:val="20"/>
                <w:szCs w:val="20"/>
                <w:color w:val="auto"/>
              </w:rPr>
            </w:pPr>
            <w:r>
              <w:rPr>
                <w:rFonts w:ascii="Arial" w:cs="Arial" w:eastAsia="Arial" w:hAnsi="Arial"/>
                <w:sz w:val="13"/>
                <w:szCs w:val="13"/>
                <w:color w:val="auto"/>
              </w:rPr>
              <w:t>Richard P. Fox</w:t>
            </w:r>
          </w:p>
        </w:tc>
        <w:tc>
          <w:tcPr>
            <w:tcW w:w="420" w:type="dxa"/>
            <w:vAlign w:val="bottom"/>
          </w:tcPr>
          <w:p>
            <w:pPr>
              <w:ind w:left="180"/>
              <w:spacing w:after="0"/>
              <w:rPr>
                <w:sz w:val="20"/>
                <w:szCs w:val="20"/>
                <w:color w:val="auto"/>
              </w:rPr>
            </w:pPr>
            <w:r>
              <w:rPr>
                <w:rFonts w:ascii="Arial" w:cs="Arial" w:eastAsia="Arial" w:hAnsi="Arial"/>
                <w:sz w:val="13"/>
                <w:szCs w:val="13"/>
                <w:color w:val="auto"/>
              </w:rPr>
              <w:t>09)</w:t>
            </w:r>
          </w:p>
        </w:tc>
        <w:tc>
          <w:tcPr>
            <w:tcW w:w="1460" w:type="dxa"/>
            <w:vAlign w:val="bottom"/>
          </w:tcPr>
          <w:p>
            <w:pPr>
              <w:ind w:left="40"/>
              <w:spacing w:after="0"/>
              <w:rPr>
                <w:sz w:val="20"/>
                <w:szCs w:val="20"/>
                <w:color w:val="auto"/>
              </w:rPr>
            </w:pPr>
            <w:r>
              <w:rPr>
                <w:rFonts w:ascii="Arial" w:cs="Arial" w:eastAsia="Arial" w:hAnsi="Arial"/>
                <w:sz w:val="13"/>
                <w:szCs w:val="13"/>
                <w:color w:val="auto"/>
              </w:rPr>
              <w:t>William H. Spence</w:t>
            </w:r>
          </w:p>
        </w:tc>
      </w:tr>
      <w:tr>
        <w:trPr>
          <w:trHeight w:val="149"/>
        </w:trPr>
        <w:tc>
          <w:tcPr>
            <w:tcW w:w="240" w:type="dxa"/>
            <w:vAlign w:val="bottom"/>
          </w:tcPr>
          <w:p>
            <w:pPr>
              <w:spacing w:after="0"/>
              <w:rPr>
                <w:sz w:val="20"/>
                <w:szCs w:val="20"/>
                <w:color w:val="auto"/>
              </w:rPr>
            </w:pPr>
            <w:r>
              <w:rPr>
                <w:rFonts w:ascii="Arial" w:cs="Arial" w:eastAsia="Arial" w:hAnsi="Arial"/>
                <w:sz w:val="13"/>
                <w:szCs w:val="13"/>
                <w:color w:val="auto"/>
              </w:rPr>
              <w:t>04)</w:t>
            </w:r>
          </w:p>
        </w:tc>
        <w:tc>
          <w:tcPr>
            <w:tcW w:w="1420" w:type="dxa"/>
            <w:vAlign w:val="bottom"/>
          </w:tcPr>
          <w:p>
            <w:pPr>
              <w:ind w:left="40"/>
              <w:spacing w:after="0"/>
              <w:rPr>
                <w:sz w:val="20"/>
                <w:szCs w:val="20"/>
                <w:color w:val="auto"/>
              </w:rPr>
            </w:pPr>
            <w:r>
              <w:rPr>
                <w:rFonts w:ascii="Arial" w:cs="Arial" w:eastAsia="Arial" w:hAnsi="Arial"/>
                <w:sz w:val="13"/>
                <w:szCs w:val="13"/>
                <w:color w:val="auto"/>
              </w:rPr>
              <w:t>Jeffrey B. Guldner</w:t>
            </w:r>
          </w:p>
        </w:tc>
        <w:tc>
          <w:tcPr>
            <w:tcW w:w="420" w:type="dxa"/>
            <w:vAlign w:val="bottom"/>
          </w:tcPr>
          <w:p>
            <w:pPr>
              <w:ind w:left="180"/>
              <w:spacing w:after="0"/>
              <w:rPr>
                <w:sz w:val="20"/>
                <w:szCs w:val="20"/>
                <w:color w:val="auto"/>
              </w:rPr>
            </w:pPr>
            <w:r>
              <w:rPr>
                <w:rFonts w:ascii="Arial" w:cs="Arial" w:eastAsia="Arial" w:hAnsi="Arial"/>
                <w:sz w:val="13"/>
                <w:szCs w:val="13"/>
                <w:color w:val="auto"/>
              </w:rPr>
              <w:t>10)</w:t>
            </w:r>
          </w:p>
        </w:tc>
        <w:tc>
          <w:tcPr>
            <w:tcW w:w="1460" w:type="dxa"/>
            <w:vAlign w:val="bottom"/>
          </w:tcPr>
          <w:p>
            <w:pPr>
              <w:ind w:left="40"/>
              <w:spacing w:after="0"/>
              <w:rPr>
                <w:sz w:val="20"/>
                <w:szCs w:val="20"/>
                <w:color w:val="auto"/>
              </w:rPr>
            </w:pPr>
            <w:r>
              <w:rPr>
                <w:rFonts w:ascii="Arial" w:cs="Arial" w:eastAsia="Arial" w:hAnsi="Arial"/>
                <w:sz w:val="13"/>
                <w:szCs w:val="13"/>
                <w:color w:val="auto"/>
              </w:rPr>
              <w:t>James E. Trevathan, Jr.</w:t>
            </w:r>
          </w:p>
        </w:tc>
      </w:tr>
      <w:tr>
        <w:trPr>
          <w:trHeight w:val="148"/>
        </w:trPr>
        <w:tc>
          <w:tcPr>
            <w:tcW w:w="240" w:type="dxa"/>
            <w:vAlign w:val="bottom"/>
          </w:tcPr>
          <w:p>
            <w:pPr>
              <w:spacing w:after="0"/>
              <w:rPr>
                <w:sz w:val="20"/>
                <w:szCs w:val="20"/>
                <w:color w:val="auto"/>
              </w:rPr>
            </w:pPr>
            <w:r>
              <w:rPr>
                <w:rFonts w:ascii="Arial" w:cs="Arial" w:eastAsia="Arial" w:hAnsi="Arial"/>
                <w:sz w:val="13"/>
                <w:szCs w:val="13"/>
                <w:color w:val="auto"/>
              </w:rPr>
              <w:t>05)</w:t>
            </w:r>
          </w:p>
        </w:tc>
        <w:tc>
          <w:tcPr>
            <w:tcW w:w="1420" w:type="dxa"/>
            <w:vAlign w:val="bottom"/>
          </w:tcPr>
          <w:p>
            <w:pPr>
              <w:ind w:left="40"/>
              <w:spacing w:after="0"/>
              <w:rPr>
                <w:sz w:val="20"/>
                <w:szCs w:val="20"/>
                <w:color w:val="auto"/>
              </w:rPr>
            </w:pPr>
            <w:r>
              <w:rPr>
                <w:rFonts w:ascii="Arial" w:cs="Arial" w:eastAsia="Arial" w:hAnsi="Arial"/>
                <w:sz w:val="13"/>
                <w:szCs w:val="13"/>
                <w:color w:val="auto"/>
              </w:rPr>
              <w:t>Dale E. Klein, Ph.D.</w:t>
            </w:r>
          </w:p>
        </w:tc>
        <w:tc>
          <w:tcPr>
            <w:tcW w:w="420" w:type="dxa"/>
            <w:vAlign w:val="bottom"/>
          </w:tcPr>
          <w:p>
            <w:pPr>
              <w:ind w:left="180"/>
              <w:spacing w:after="0"/>
              <w:rPr>
                <w:sz w:val="20"/>
                <w:szCs w:val="20"/>
                <w:color w:val="auto"/>
              </w:rPr>
            </w:pPr>
            <w:r>
              <w:rPr>
                <w:rFonts w:ascii="Arial" w:cs="Arial" w:eastAsia="Arial" w:hAnsi="Arial"/>
                <w:sz w:val="13"/>
                <w:szCs w:val="13"/>
                <w:color w:val="auto"/>
              </w:rPr>
              <w:t>11)</w:t>
            </w:r>
          </w:p>
        </w:tc>
        <w:tc>
          <w:tcPr>
            <w:tcW w:w="1460" w:type="dxa"/>
            <w:vAlign w:val="bottom"/>
          </w:tcPr>
          <w:p>
            <w:pPr>
              <w:ind w:left="40"/>
              <w:spacing w:after="0"/>
              <w:rPr>
                <w:sz w:val="20"/>
                <w:szCs w:val="20"/>
                <w:color w:val="auto"/>
              </w:rPr>
            </w:pPr>
            <w:r>
              <w:rPr>
                <w:rFonts w:ascii="Arial" w:cs="Arial" w:eastAsia="Arial" w:hAnsi="Arial"/>
                <w:sz w:val="13"/>
                <w:szCs w:val="13"/>
                <w:color w:val="auto"/>
              </w:rPr>
              <w:t>David P. Wagener</w:t>
            </w:r>
          </w:p>
        </w:tc>
      </w:tr>
      <w:tr>
        <w:trPr>
          <w:trHeight w:val="176"/>
        </w:trPr>
        <w:tc>
          <w:tcPr>
            <w:tcW w:w="240" w:type="dxa"/>
            <w:vAlign w:val="bottom"/>
          </w:tcPr>
          <w:p>
            <w:pPr>
              <w:spacing w:after="0"/>
              <w:rPr>
                <w:sz w:val="20"/>
                <w:szCs w:val="20"/>
                <w:color w:val="auto"/>
              </w:rPr>
            </w:pPr>
            <w:r>
              <w:rPr>
                <w:rFonts w:ascii="Arial" w:cs="Arial" w:eastAsia="Arial" w:hAnsi="Arial"/>
                <w:sz w:val="13"/>
                <w:szCs w:val="13"/>
                <w:color w:val="auto"/>
              </w:rPr>
              <w:t>06)</w:t>
            </w:r>
          </w:p>
        </w:tc>
        <w:tc>
          <w:tcPr>
            <w:tcW w:w="1420" w:type="dxa"/>
            <w:vAlign w:val="bottom"/>
          </w:tcPr>
          <w:p>
            <w:pPr>
              <w:ind w:left="40"/>
              <w:spacing w:after="0"/>
              <w:rPr>
                <w:sz w:val="20"/>
                <w:szCs w:val="20"/>
                <w:color w:val="auto"/>
              </w:rPr>
            </w:pPr>
            <w:r>
              <w:rPr>
                <w:rFonts w:ascii="Arial" w:cs="Arial" w:eastAsia="Arial" w:hAnsi="Arial"/>
                <w:sz w:val="13"/>
                <w:szCs w:val="13"/>
                <w:color w:val="auto"/>
              </w:rPr>
              <w:t>Kathryn L. Munro</w:t>
            </w:r>
          </w:p>
        </w:tc>
        <w:tc>
          <w:tcPr>
            <w:tcW w:w="420" w:type="dxa"/>
            <w:vAlign w:val="bottom"/>
          </w:tcPr>
          <w:p>
            <w:pPr>
              <w:spacing w:after="0"/>
              <w:rPr>
                <w:sz w:val="15"/>
                <w:szCs w:val="15"/>
                <w:color w:val="auto"/>
              </w:rPr>
            </w:pPr>
          </w:p>
        </w:tc>
        <w:tc>
          <w:tcPr>
            <w:tcW w:w="1460" w:type="dxa"/>
            <w:vAlign w:val="bottom"/>
          </w:tcPr>
          <w:p>
            <w:pPr>
              <w:spacing w:after="0"/>
              <w:rPr>
                <w:sz w:val="15"/>
                <w:szCs w:val="15"/>
                <w:color w:val="auto"/>
              </w:rPr>
            </w:pPr>
          </w:p>
        </w:tc>
      </w:tr>
    </w:tbl>
    <w:p>
      <w:pPr>
        <w:spacing w:after="0" w:line="200" w:lineRule="exact"/>
        <w:rPr>
          <w:sz w:val="20"/>
          <w:szCs w:val="20"/>
          <w:color w:val="auto"/>
        </w:rPr>
      </w:pPr>
    </w:p>
    <w:p>
      <w:pPr>
        <w:sectPr>
          <w:pgSz w:w="11900" w:h="16838" w:orient="portrait"/>
          <w:cols w:equalWidth="0" w:num="1">
            <w:col w:w="11240"/>
          </w:cols>
          <w:pgMar w:left="320" w:top="125" w:right="339" w:bottom="1440" w:gutter="0" w:footer="0" w:header="0"/>
          <w:type w:val="continuous"/>
        </w:sectPr>
      </w:pPr>
    </w:p>
    <w:p>
      <w:pPr>
        <w:spacing w:after="0" w:line="12" w:lineRule="exact"/>
        <w:rPr>
          <w:sz w:val="20"/>
          <w:szCs w:val="20"/>
          <w:color w:val="auto"/>
        </w:rPr>
      </w:pPr>
    </w:p>
    <w:tbl>
      <w:tblPr>
        <w:tblLayout w:type="fixed"/>
        <w:tblInd w:w="140" w:type="dxa"/>
        <w:tblCellMar>
          <w:top w:w="0" w:type="dxa"/>
          <w:left w:w="0" w:type="dxa"/>
          <w:bottom w:w="0" w:type="dxa"/>
          <w:right w:w="0" w:type="dxa"/>
        </w:tblCellMar>
      </w:tblPr>
      <w:tr>
        <w:trPr>
          <w:trHeight w:val="149"/>
        </w:trPr>
        <w:tc>
          <w:tcPr>
            <w:tcW w:w="3800" w:type="dxa"/>
            <w:vAlign w:val="bottom"/>
            <w:gridSpan w:val="2"/>
          </w:tcPr>
          <w:p>
            <w:pPr>
              <w:spacing w:after="0"/>
              <w:rPr>
                <w:sz w:val="20"/>
                <w:szCs w:val="20"/>
                <w:color w:val="auto"/>
              </w:rPr>
            </w:pPr>
            <w:r>
              <w:rPr>
                <w:rFonts w:ascii="Arial" w:cs="Arial" w:eastAsia="Arial" w:hAnsi="Arial"/>
                <w:sz w:val="13"/>
                <w:szCs w:val="13"/>
                <w:b w:val="1"/>
                <w:bCs w:val="1"/>
                <w:color w:val="auto"/>
              </w:rPr>
              <w:t>The Board of Directors recommends you vote FOR</w:t>
            </w:r>
          </w:p>
        </w:tc>
        <w:tc>
          <w:tcPr>
            <w:tcW w:w="920" w:type="dxa"/>
            <w:vAlign w:val="bottom"/>
            <w:gridSpan w:val="2"/>
          </w:tcPr>
          <w:p>
            <w:pPr>
              <w:ind w:left="80"/>
              <w:spacing w:after="0"/>
              <w:rPr>
                <w:sz w:val="20"/>
                <w:szCs w:val="20"/>
                <w:color w:val="auto"/>
              </w:rPr>
            </w:pPr>
            <w:r>
              <w:rPr>
                <w:rFonts w:ascii="Arial" w:cs="Arial" w:eastAsia="Arial" w:hAnsi="Arial"/>
                <w:sz w:val="13"/>
                <w:szCs w:val="13"/>
                <w:b w:val="1"/>
                <w:bCs w:val="1"/>
                <w:color w:val="auto"/>
              </w:rPr>
              <w:t>For Against</w:t>
            </w:r>
          </w:p>
        </w:tc>
        <w:tc>
          <w:tcPr>
            <w:tcW w:w="540" w:type="dxa"/>
            <w:vAlign w:val="bottom"/>
          </w:tcPr>
          <w:p>
            <w:pPr>
              <w:jc w:val="center"/>
              <w:spacing w:after="0"/>
              <w:rPr>
                <w:sz w:val="20"/>
                <w:szCs w:val="20"/>
                <w:color w:val="auto"/>
              </w:rPr>
            </w:pPr>
            <w:r>
              <w:rPr>
                <w:rFonts w:ascii="Arial" w:cs="Arial" w:eastAsia="Arial" w:hAnsi="Arial"/>
                <w:sz w:val="13"/>
                <w:szCs w:val="13"/>
                <w:b w:val="1"/>
                <w:bCs w:val="1"/>
                <w:color w:val="auto"/>
              </w:rPr>
              <w:t>Abstain</w:t>
            </w:r>
          </w:p>
        </w:tc>
        <w:tc>
          <w:tcPr>
            <w:tcW w:w="0" w:type="dxa"/>
            <w:vAlign w:val="bottom"/>
          </w:tcPr>
          <w:p>
            <w:pPr>
              <w:spacing w:after="0"/>
              <w:rPr>
                <w:sz w:val="1"/>
                <w:szCs w:val="1"/>
                <w:color w:val="auto"/>
              </w:rPr>
            </w:pPr>
          </w:p>
        </w:tc>
      </w:tr>
      <w:tr>
        <w:trPr>
          <w:trHeight w:val="186"/>
        </w:trPr>
        <w:tc>
          <w:tcPr>
            <w:tcW w:w="3800" w:type="dxa"/>
            <w:vAlign w:val="bottom"/>
            <w:gridSpan w:val="2"/>
          </w:tcPr>
          <w:p>
            <w:pPr>
              <w:spacing w:after="0"/>
              <w:rPr>
                <w:sz w:val="20"/>
                <w:szCs w:val="20"/>
                <w:color w:val="auto"/>
              </w:rPr>
            </w:pPr>
            <w:r>
              <w:rPr>
                <w:rFonts w:ascii="Arial" w:cs="Arial" w:eastAsia="Arial" w:hAnsi="Arial"/>
                <w:sz w:val="13"/>
                <w:szCs w:val="13"/>
                <w:b w:val="1"/>
                <w:bCs w:val="1"/>
                <w:color w:val="auto"/>
              </w:rPr>
              <w:t>proposal 2:</w:t>
            </w:r>
          </w:p>
        </w:tc>
        <w:tc>
          <w:tcPr>
            <w:tcW w:w="4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56"/>
        </w:trPr>
        <w:tc>
          <w:tcPr>
            <w:tcW w:w="220" w:type="dxa"/>
            <w:vAlign w:val="bottom"/>
          </w:tcPr>
          <w:p>
            <w:pPr>
              <w:ind w:left="20"/>
              <w:spacing w:after="0"/>
              <w:rPr>
                <w:sz w:val="20"/>
                <w:szCs w:val="20"/>
                <w:color w:val="auto"/>
              </w:rPr>
            </w:pPr>
            <w:r>
              <w:rPr>
                <w:rFonts w:ascii="Arial" w:cs="Arial" w:eastAsia="Arial" w:hAnsi="Arial"/>
                <w:sz w:val="13"/>
                <w:szCs w:val="13"/>
                <w:color w:val="auto"/>
              </w:rPr>
              <w:t>2.</w:t>
            </w:r>
          </w:p>
        </w:tc>
        <w:tc>
          <w:tcPr>
            <w:tcW w:w="3580" w:type="dxa"/>
            <w:vAlign w:val="bottom"/>
          </w:tcPr>
          <w:p>
            <w:pPr>
              <w:ind w:left="100"/>
              <w:spacing w:after="0"/>
              <w:rPr>
                <w:sz w:val="20"/>
                <w:szCs w:val="20"/>
                <w:color w:val="auto"/>
              </w:rPr>
            </w:pPr>
            <w:r>
              <w:rPr>
                <w:rFonts w:ascii="Arial" w:cs="Arial" w:eastAsia="Arial" w:hAnsi="Arial"/>
                <w:sz w:val="13"/>
                <w:szCs w:val="13"/>
                <w:color w:val="auto"/>
              </w:rPr>
              <w:t>Advisory vote to approve executive compensation as</w:t>
            </w:r>
          </w:p>
        </w:tc>
        <w:tc>
          <w:tcPr>
            <w:tcW w:w="400" w:type="dxa"/>
            <w:vAlign w:val="bottom"/>
            <w:vMerge w:val="restart"/>
          </w:tcPr>
          <w:p>
            <w:pPr>
              <w:ind w:left="100"/>
              <w:spacing w:after="0" w:line="221" w:lineRule="exact"/>
              <w:rPr>
                <w:sz w:val="20"/>
                <w:szCs w:val="20"/>
                <w:color w:val="auto"/>
              </w:rPr>
            </w:pPr>
            <w:r>
              <w:rPr>
                <w:rFonts w:ascii="MS PGothic" w:cs="MS PGothic" w:eastAsia="MS PGothic" w:hAnsi="MS PGothic"/>
                <w:sz w:val="22"/>
                <w:szCs w:val="22"/>
                <w:color w:val="auto"/>
              </w:rPr>
              <w:t>☐</w:t>
            </w:r>
          </w:p>
        </w:tc>
        <w:tc>
          <w:tcPr>
            <w:tcW w:w="520" w:type="dxa"/>
            <w:vAlign w:val="bottom"/>
            <w:vMerge w:val="restart"/>
          </w:tcPr>
          <w:p>
            <w:pPr>
              <w:ind w:left="120"/>
              <w:spacing w:after="0" w:line="221" w:lineRule="exact"/>
              <w:rPr>
                <w:sz w:val="20"/>
                <w:szCs w:val="20"/>
                <w:color w:val="auto"/>
              </w:rPr>
            </w:pPr>
            <w:r>
              <w:rPr>
                <w:rFonts w:ascii="MS PGothic" w:cs="MS PGothic" w:eastAsia="MS PGothic" w:hAnsi="MS PGothic"/>
                <w:sz w:val="22"/>
                <w:szCs w:val="22"/>
                <w:color w:val="auto"/>
              </w:rPr>
              <w:t>☐</w:t>
            </w:r>
          </w:p>
        </w:tc>
        <w:tc>
          <w:tcPr>
            <w:tcW w:w="540" w:type="dxa"/>
            <w:vAlign w:val="bottom"/>
            <w:vMerge w:val="restart"/>
          </w:tcPr>
          <w:p>
            <w:pPr>
              <w:jc w:val="center"/>
              <w:spacing w:after="0" w:line="221" w:lineRule="exact"/>
              <w:rPr>
                <w:sz w:val="20"/>
                <w:szCs w:val="20"/>
                <w:color w:val="auto"/>
              </w:rPr>
            </w:pPr>
            <w:r>
              <w:rPr>
                <w:rFonts w:ascii="MS PGothic" w:cs="MS PGothic" w:eastAsia="MS PGothic" w:hAnsi="MS PGothic"/>
                <w:sz w:val="22"/>
                <w:szCs w:val="22"/>
                <w:color w:val="auto"/>
                <w:w w:val="81"/>
              </w:rPr>
              <w:t>☐</w:t>
            </w:r>
          </w:p>
        </w:tc>
        <w:tc>
          <w:tcPr>
            <w:tcW w:w="0" w:type="dxa"/>
            <w:vAlign w:val="bottom"/>
          </w:tcPr>
          <w:p>
            <w:pPr>
              <w:spacing w:after="0"/>
              <w:rPr>
                <w:sz w:val="1"/>
                <w:szCs w:val="1"/>
                <w:color w:val="auto"/>
              </w:rPr>
            </w:pPr>
          </w:p>
        </w:tc>
      </w:tr>
      <w:tr>
        <w:trPr>
          <w:trHeight w:val="176"/>
        </w:trPr>
        <w:tc>
          <w:tcPr>
            <w:tcW w:w="220" w:type="dxa"/>
            <w:vAlign w:val="bottom"/>
          </w:tcPr>
          <w:p>
            <w:pPr>
              <w:spacing w:after="0"/>
              <w:rPr>
                <w:sz w:val="15"/>
                <w:szCs w:val="15"/>
                <w:color w:val="auto"/>
              </w:rPr>
            </w:pPr>
          </w:p>
        </w:tc>
        <w:tc>
          <w:tcPr>
            <w:tcW w:w="3580" w:type="dxa"/>
            <w:vAlign w:val="bottom"/>
          </w:tcPr>
          <w:p>
            <w:pPr>
              <w:ind w:left="100"/>
              <w:spacing w:after="0"/>
              <w:rPr>
                <w:sz w:val="20"/>
                <w:szCs w:val="20"/>
                <w:color w:val="auto"/>
              </w:rPr>
            </w:pPr>
            <w:r>
              <w:rPr>
                <w:rFonts w:ascii="Arial" w:cs="Arial" w:eastAsia="Arial" w:hAnsi="Arial"/>
                <w:sz w:val="13"/>
                <w:szCs w:val="13"/>
                <w:color w:val="auto"/>
              </w:rPr>
              <w:t>disclosed in the 2022 Proxy Statement.</w:t>
            </w:r>
          </w:p>
        </w:tc>
        <w:tc>
          <w:tcPr>
            <w:tcW w:w="400" w:type="dxa"/>
            <w:vAlign w:val="bottom"/>
            <w:vMerge w:val="continue"/>
          </w:tcPr>
          <w:p>
            <w:pPr>
              <w:spacing w:after="0"/>
              <w:rPr>
                <w:sz w:val="15"/>
                <w:szCs w:val="15"/>
                <w:color w:val="auto"/>
              </w:rPr>
            </w:pPr>
          </w:p>
        </w:tc>
        <w:tc>
          <w:tcPr>
            <w:tcW w:w="520" w:type="dxa"/>
            <w:vAlign w:val="bottom"/>
            <w:vMerge w:val="continue"/>
          </w:tcPr>
          <w:p>
            <w:pPr>
              <w:spacing w:after="0"/>
              <w:rPr>
                <w:sz w:val="15"/>
                <w:szCs w:val="15"/>
                <w:color w:val="auto"/>
              </w:rPr>
            </w:pPr>
          </w:p>
        </w:tc>
        <w:tc>
          <w:tcPr>
            <w:tcW w:w="5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362"/>
        </w:trPr>
        <w:tc>
          <w:tcPr>
            <w:tcW w:w="3800" w:type="dxa"/>
            <w:vAlign w:val="bottom"/>
            <w:gridSpan w:val="2"/>
          </w:tcPr>
          <w:p>
            <w:pPr>
              <w:spacing w:after="0"/>
              <w:rPr>
                <w:sz w:val="20"/>
                <w:szCs w:val="20"/>
                <w:color w:val="auto"/>
              </w:rPr>
            </w:pPr>
            <w:r>
              <w:rPr>
                <w:rFonts w:ascii="Arial" w:cs="Arial" w:eastAsia="Arial" w:hAnsi="Arial"/>
                <w:sz w:val="13"/>
                <w:szCs w:val="13"/>
                <w:b w:val="1"/>
                <w:bCs w:val="1"/>
                <w:color w:val="auto"/>
              </w:rPr>
              <w:t>The Board of Directors recommends you vote FOR</w:t>
            </w:r>
          </w:p>
        </w:tc>
        <w:tc>
          <w:tcPr>
            <w:tcW w:w="920" w:type="dxa"/>
            <w:vAlign w:val="bottom"/>
            <w:gridSpan w:val="2"/>
          </w:tcPr>
          <w:p>
            <w:pPr>
              <w:ind w:left="80"/>
              <w:spacing w:after="0"/>
              <w:rPr>
                <w:sz w:val="20"/>
                <w:szCs w:val="20"/>
                <w:color w:val="auto"/>
              </w:rPr>
            </w:pPr>
            <w:r>
              <w:rPr>
                <w:rFonts w:ascii="Arial" w:cs="Arial" w:eastAsia="Arial" w:hAnsi="Arial"/>
                <w:sz w:val="13"/>
                <w:szCs w:val="13"/>
                <w:b w:val="1"/>
                <w:bCs w:val="1"/>
                <w:color w:val="auto"/>
              </w:rPr>
              <w:t>For Against</w:t>
            </w:r>
          </w:p>
        </w:tc>
        <w:tc>
          <w:tcPr>
            <w:tcW w:w="540" w:type="dxa"/>
            <w:vAlign w:val="bottom"/>
          </w:tcPr>
          <w:p>
            <w:pPr>
              <w:jc w:val="center"/>
              <w:spacing w:after="0"/>
              <w:rPr>
                <w:sz w:val="20"/>
                <w:szCs w:val="20"/>
                <w:color w:val="auto"/>
              </w:rPr>
            </w:pPr>
            <w:r>
              <w:rPr>
                <w:rFonts w:ascii="Arial" w:cs="Arial" w:eastAsia="Arial" w:hAnsi="Arial"/>
                <w:sz w:val="13"/>
                <w:szCs w:val="13"/>
                <w:b w:val="1"/>
                <w:bCs w:val="1"/>
                <w:color w:val="auto"/>
              </w:rPr>
              <w:t>Abstain</w:t>
            </w:r>
          </w:p>
        </w:tc>
        <w:tc>
          <w:tcPr>
            <w:tcW w:w="0" w:type="dxa"/>
            <w:vAlign w:val="bottom"/>
          </w:tcPr>
          <w:p>
            <w:pPr>
              <w:spacing w:after="0"/>
              <w:rPr>
                <w:sz w:val="1"/>
                <w:szCs w:val="1"/>
                <w:color w:val="auto"/>
              </w:rPr>
            </w:pPr>
          </w:p>
        </w:tc>
      </w:tr>
      <w:tr>
        <w:trPr>
          <w:trHeight w:val="186"/>
        </w:trPr>
        <w:tc>
          <w:tcPr>
            <w:tcW w:w="3800" w:type="dxa"/>
            <w:vAlign w:val="bottom"/>
            <w:gridSpan w:val="2"/>
          </w:tcPr>
          <w:p>
            <w:pPr>
              <w:spacing w:after="0"/>
              <w:rPr>
                <w:sz w:val="20"/>
                <w:szCs w:val="20"/>
                <w:color w:val="auto"/>
              </w:rPr>
            </w:pPr>
            <w:r>
              <w:rPr>
                <w:rFonts w:ascii="Arial" w:cs="Arial" w:eastAsia="Arial" w:hAnsi="Arial"/>
                <w:sz w:val="13"/>
                <w:szCs w:val="13"/>
                <w:b w:val="1"/>
                <w:bCs w:val="1"/>
                <w:color w:val="auto"/>
              </w:rPr>
              <w:t>proposal 3:</w:t>
            </w:r>
          </w:p>
        </w:tc>
        <w:tc>
          <w:tcPr>
            <w:tcW w:w="4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56"/>
        </w:trPr>
        <w:tc>
          <w:tcPr>
            <w:tcW w:w="220" w:type="dxa"/>
            <w:vAlign w:val="bottom"/>
          </w:tcPr>
          <w:p>
            <w:pPr>
              <w:ind w:left="20"/>
              <w:spacing w:after="0"/>
              <w:rPr>
                <w:sz w:val="20"/>
                <w:szCs w:val="20"/>
                <w:color w:val="auto"/>
              </w:rPr>
            </w:pPr>
            <w:r>
              <w:rPr>
                <w:rFonts w:ascii="Arial" w:cs="Arial" w:eastAsia="Arial" w:hAnsi="Arial"/>
                <w:sz w:val="13"/>
                <w:szCs w:val="13"/>
                <w:color w:val="auto"/>
              </w:rPr>
              <w:t>3.</w:t>
            </w:r>
          </w:p>
        </w:tc>
        <w:tc>
          <w:tcPr>
            <w:tcW w:w="3580" w:type="dxa"/>
            <w:vAlign w:val="bottom"/>
          </w:tcPr>
          <w:p>
            <w:pPr>
              <w:ind w:left="100"/>
              <w:spacing w:after="0"/>
              <w:rPr>
                <w:sz w:val="20"/>
                <w:szCs w:val="20"/>
                <w:color w:val="auto"/>
              </w:rPr>
            </w:pPr>
            <w:r>
              <w:rPr>
                <w:rFonts w:ascii="Arial" w:cs="Arial" w:eastAsia="Arial" w:hAnsi="Arial"/>
                <w:sz w:val="13"/>
                <w:szCs w:val="13"/>
                <w:color w:val="auto"/>
              </w:rPr>
              <w:t>Ratify the appointment of the independent accountant for</w:t>
            </w:r>
          </w:p>
        </w:tc>
        <w:tc>
          <w:tcPr>
            <w:tcW w:w="400" w:type="dxa"/>
            <w:vAlign w:val="bottom"/>
            <w:vMerge w:val="restart"/>
          </w:tcPr>
          <w:p>
            <w:pPr>
              <w:ind w:left="100"/>
              <w:spacing w:after="0" w:line="221" w:lineRule="exact"/>
              <w:rPr>
                <w:sz w:val="20"/>
                <w:szCs w:val="20"/>
                <w:color w:val="auto"/>
              </w:rPr>
            </w:pPr>
            <w:r>
              <w:rPr>
                <w:rFonts w:ascii="MS PGothic" w:cs="MS PGothic" w:eastAsia="MS PGothic" w:hAnsi="MS PGothic"/>
                <w:sz w:val="22"/>
                <w:szCs w:val="22"/>
                <w:color w:val="auto"/>
              </w:rPr>
              <w:t>☐</w:t>
            </w:r>
          </w:p>
        </w:tc>
        <w:tc>
          <w:tcPr>
            <w:tcW w:w="520" w:type="dxa"/>
            <w:vAlign w:val="bottom"/>
            <w:vMerge w:val="restart"/>
          </w:tcPr>
          <w:p>
            <w:pPr>
              <w:ind w:left="120"/>
              <w:spacing w:after="0" w:line="221" w:lineRule="exact"/>
              <w:rPr>
                <w:sz w:val="20"/>
                <w:szCs w:val="20"/>
                <w:color w:val="auto"/>
              </w:rPr>
            </w:pPr>
            <w:r>
              <w:rPr>
                <w:rFonts w:ascii="MS PGothic" w:cs="MS PGothic" w:eastAsia="MS PGothic" w:hAnsi="MS PGothic"/>
                <w:sz w:val="22"/>
                <w:szCs w:val="22"/>
                <w:color w:val="auto"/>
              </w:rPr>
              <w:t>☐</w:t>
            </w:r>
          </w:p>
        </w:tc>
        <w:tc>
          <w:tcPr>
            <w:tcW w:w="540" w:type="dxa"/>
            <w:vAlign w:val="bottom"/>
            <w:vMerge w:val="restart"/>
          </w:tcPr>
          <w:p>
            <w:pPr>
              <w:jc w:val="center"/>
              <w:spacing w:after="0" w:line="221" w:lineRule="exact"/>
              <w:rPr>
                <w:sz w:val="20"/>
                <w:szCs w:val="20"/>
                <w:color w:val="auto"/>
              </w:rPr>
            </w:pPr>
            <w:r>
              <w:rPr>
                <w:rFonts w:ascii="MS PGothic" w:cs="MS PGothic" w:eastAsia="MS PGothic" w:hAnsi="MS PGothic"/>
                <w:sz w:val="22"/>
                <w:szCs w:val="22"/>
                <w:color w:val="auto"/>
                <w:w w:val="81"/>
              </w:rPr>
              <w:t>☐</w:t>
            </w:r>
          </w:p>
        </w:tc>
        <w:tc>
          <w:tcPr>
            <w:tcW w:w="0" w:type="dxa"/>
            <w:vAlign w:val="bottom"/>
          </w:tcPr>
          <w:p>
            <w:pPr>
              <w:spacing w:after="0"/>
              <w:rPr>
                <w:sz w:val="1"/>
                <w:szCs w:val="1"/>
                <w:color w:val="auto"/>
              </w:rPr>
            </w:pPr>
          </w:p>
        </w:tc>
      </w:tr>
      <w:tr>
        <w:trPr>
          <w:trHeight w:val="176"/>
        </w:trPr>
        <w:tc>
          <w:tcPr>
            <w:tcW w:w="220" w:type="dxa"/>
            <w:vAlign w:val="bottom"/>
          </w:tcPr>
          <w:p>
            <w:pPr>
              <w:spacing w:after="0"/>
              <w:rPr>
                <w:sz w:val="15"/>
                <w:szCs w:val="15"/>
                <w:color w:val="auto"/>
              </w:rPr>
            </w:pPr>
          </w:p>
        </w:tc>
        <w:tc>
          <w:tcPr>
            <w:tcW w:w="3580" w:type="dxa"/>
            <w:vAlign w:val="bottom"/>
          </w:tcPr>
          <w:p>
            <w:pPr>
              <w:ind w:left="100"/>
              <w:spacing w:after="0"/>
              <w:rPr>
                <w:sz w:val="20"/>
                <w:szCs w:val="20"/>
                <w:color w:val="auto"/>
              </w:rPr>
            </w:pPr>
            <w:r>
              <w:rPr>
                <w:rFonts w:ascii="Arial" w:cs="Arial" w:eastAsia="Arial" w:hAnsi="Arial"/>
                <w:sz w:val="13"/>
                <w:szCs w:val="13"/>
                <w:color w:val="auto"/>
              </w:rPr>
              <w:t>the year ending December 31, 2022.</w:t>
            </w:r>
          </w:p>
        </w:tc>
        <w:tc>
          <w:tcPr>
            <w:tcW w:w="400" w:type="dxa"/>
            <w:vAlign w:val="bottom"/>
            <w:vMerge w:val="continue"/>
          </w:tcPr>
          <w:p>
            <w:pPr>
              <w:spacing w:after="0"/>
              <w:rPr>
                <w:sz w:val="15"/>
                <w:szCs w:val="15"/>
                <w:color w:val="auto"/>
              </w:rPr>
            </w:pPr>
          </w:p>
        </w:tc>
        <w:tc>
          <w:tcPr>
            <w:tcW w:w="520" w:type="dxa"/>
            <w:vAlign w:val="bottom"/>
            <w:vMerge w:val="continue"/>
          </w:tcPr>
          <w:p>
            <w:pPr>
              <w:spacing w:after="0"/>
              <w:rPr>
                <w:sz w:val="15"/>
                <w:szCs w:val="15"/>
                <w:color w:val="auto"/>
              </w:rPr>
            </w:pPr>
          </w:p>
        </w:tc>
        <w:tc>
          <w:tcPr>
            <w:tcW w:w="5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3720" w:type="dxa"/>
            <w:vAlign w:val="bottom"/>
          </w:tcPr>
          <w:p>
            <w:pPr>
              <w:spacing w:after="0"/>
              <w:rPr>
                <w:sz w:val="20"/>
                <w:szCs w:val="20"/>
                <w:color w:val="auto"/>
              </w:rPr>
            </w:pPr>
            <w:r>
              <w:rPr>
                <w:rFonts w:ascii="Arial" w:cs="Arial" w:eastAsia="Arial" w:hAnsi="Arial"/>
                <w:sz w:val="13"/>
                <w:szCs w:val="13"/>
                <w:b w:val="1"/>
                <w:bCs w:val="1"/>
                <w:color w:val="auto"/>
              </w:rPr>
              <w:t>The Board of Directors recommends you vote AGAINST</w:t>
            </w:r>
          </w:p>
        </w:tc>
        <w:tc>
          <w:tcPr>
            <w:tcW w:w="360" w:type="dxa"/>
            <w:vAlign w:val="bottom"/>
          </w:tcPr>
          <w:p>
            <w:pPr>
              <w:ind w:left="60"/>
              <w:spacing w:after="0"/>
              <w:rPr>
                <w:sz w:val="20"/>
                <w:szCs w:val="20"/>
                <w:color w:val="auto"/>
              </w:rPr>
            </w:pPr>
            <w:r>
              <w:rPr>
                <w:rFonts w:ascii="Arial" w:cs="Arial" w:eastAsia="Arial" w:hAnsi="Arial"/>
                <w:sz w:val="13"/>
                <w:szCs w:val="13"/>
                <w:b w:val="1"/>
                <w:bCs w:val="1"/>
                <w:color w:val="auto"/>
              </w:rPr>
              <w:t>For</w:t>
            </w:r>
          </w:p>
        </w:tc>
        <w:tc>
          <w:tcPr>
            <w:tcW w:w="620" w:type="dxa"/>
            <w:vAlign w:val="bottom"/>
          </w:tcPr>
          <w:p>
            <w:pPr>
              <w:jc w:val="center"/>
              <w:spacing w:after="0"/>
              <w:rPr>
                <w:sz w:val="20"/>
                <w:szCs w:val="20"/>
                <w:color w:val="auto"/>
              </w:rPr>
            </w:pPr>
            <w:r>
              <w:rPr>
                <w:rFonts w:ascii="Arial" w:cs="Arial" w:eastAsia="Arial" w:hAnsi="Arial"/>
                <w:sz w:val="13"/>
                <w:szCs w:val="13"/>
                <w:b w:val="1"/>
                <w:bCs w:val="1"/>
                <w:color w:val="auto"/>
              </w:rPr>
              <w:t>Against</w:t>
            </w:r>
          </w:p>
        </w:tc>
        <w:tc>
          <w:tcPr>
            <w:tcW w:w="560" w:type="dxa"/>
            <w:vAlign w:val="bottom"/>
          </w:tcPr>
          <w:p>
            <w:pPr>
              <w:jc w:val="center"/>
              <w:spacing w:after="0"/>
              <w:rPr>
                <w:sz w:val="20"/>
                <w:szCs w:val="20"/>
                <w:color w:val="auto"/>
              </w:rPr>
            </w:pPr>
            <w:r>
              <w:rPr>
                <w:rFonts w:ascii="Arial" w:cs="Arial" w:eastAsia="Arial" w:hAnsi="Arial"/>
                <w:sz w:val="13"/>
                <w:szCs w:val="13"/>
                <w:b w:val="1"/>
                <w:bCs w:val="1"/>
                <w:color w:val="auto"/>
              </w:rPr>
              <w:t>Abstain</w:t>
            </w:r>
          </w:p>
        </w:tc>
        <w:tc>
          <w:tcPr>
            <w:tcW w:w="0" w:type="dxa"/>
            <w:vAlign w:val="bottom"/>
          </w:tcPr>
          <w:p>
            <w:pPr>
              <w:spacing w:after="0"/>
              <w:rPr>
                <w:sz w:val="1"/>
                <w:szCs w:val="1"/>
                <w:color w:val="auto"/>
              </w:rPr>
            </w:pPr>
          </w:p>
        </w:tc>
      </w:tr>
      <w:tr>
        <w:trPr>
          <w:trHeight w:val="186"/>
        </w:trPr>
        <w:tc>
          <w:tcPr>
            <w:tcW w:w="3720" w:type="dxa"/>
            <w:vAlign w:val="bottom"/>
          </w:tcPr>
          <w:p>
            <w:pPr>
              <w:spacing w:after="0"/>
              <w:rPr>
                <w:sz w:val="20"/>
                <w:szCs w:val="20"/>
                <w:color w:val="auto"/>
              </w:rPr>
            </w:pPr>
            <w:r>
              <w:rPr>
                <w:rFonts w:ascii="Arial" w:cs="Arial" w:eastAsia="Arial" w:hAnsi="Arial"/>
                <w:sz w:val="13"/>
                <w:szCs w:val="13"/>
                <w:b w:val="1"/>
                <w:bCs w:val="1"/>
                <w:color w:val="auto"/>
              </w:rPr>
              <w:t>proposal 4:</w:t>
            </w:r>
          </w:p>
        </w:tc>
        <w:tc>
          <w:tcPr>
            <w:tcW w:w="3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56"/>
        </w:trPr>
        <w:tc>
          <w:tcPr>
            <w:tcW w:w="3720" w:type="dxa"/>
            <w:vAlign w:val="bottom"/>
          </w:tcPr>
          <w:p>
            <w:pPr>
              <w:jc w:val="right"/>
              <w:spacing w:after="0"/>
              <w:rPr>
                <w:sz w:val="20"/>
                <w:szCs w:val="20"/>
                <w:color w:val="auto"/>
              </w:rPr>
            </w:pPr>
            <w:r>
              <w:rPr>
                <w:rFonts w:ascii="Arial" w:cs="Arial" w:eastAsia="Arial" w:hAnsi="Arial"/>
                <w:sz w:val="13"/>
                <w:szCs w:val="13"/>
                <w:color w:val="auto"/>
              </w:rPr>
              <w:t>4.   A shareholder proposal asking the Company to amend</w:t>
            </w:r>
          </w:p>
        </w:tc>
        <w:tc>
          <w:tcPr>
            <w:tcW w:w="360" w:type="dxa"/>
            <w:vAlign w:val="bottom"/>
            <w:vMerge w:val="restart"/>
          </w:tcPr>
          <w:p>
            <w:pPr>
              <w:ind w:left="80"/>
              <w:spacing w:after="0" w:line="221" w:lineRule="exact"/>
              <w:rPr>
                <w:sz w:val="20"/>
                <w:szCs w:val="20"/>
                <w:color w:val="auto"/>
              </w:rPr>
            </w:pPr>
            <w:r>
              <w:rPr>
                <w:rFonts w:ascii="MS PGothic" w:cs="MS PGothic" w:eastAsia="MS PGothic" w:hAnsi="MS PGothic"/>
                <w:sz w:val="22"/>
                <w:szCs w:val="22"/>
                <w:color w:val="auto"/>
              </w:rPr>
              <w:t>☐</w:t>
            </w:r>
          </w:p>
        </w:tc>
        <w:tc>
          <w:tcPr>
            <w:tcW w:w="620" w:type="dxa"/>
            <w:vAlign w:val="bottom"/>
            <w:vMerge w:val="restart"/>
          </w:tcPr>
          <w:p>
            <w:pPr>
              <w:jc w:val="center"/>
              <w:spacing w:after="0" w:line="221" w:lineRule="exact"/>
              <w:rPr>
                <w:sz w:val="20"/>
                <w:szCs w:val="20"/>
                <w:color w:val="auto"/>
              </w:rPr>
            </w:pPr>
            <w:r>
              <w:rPr>
                <w:rFonts w:ascii="MS PGothic" w:cs="MS PGothic" w:eastAsia="MS PGothic" w:hAnsi="MS PGothic"/>
                <w:sz w:val="22"/>
                <w:szCs w:val="22"/>
                <w:color w:val="auto"/>
                <w:w w:val="90"/>
              </w:rPr>
              <w:t>☐</w:t>
            </w:r>
          </w:p>
        </w:tc>
        <w:tc>
          <w:tcPr>
            <w:tcW w:w="560" w:type="dxa"/>
            <w:vAlign w:val="bottom"/>
            <w:vMerge w:val="restart"/>
          </w:tcPr>
          <w:p>
            <w:pPr>
              <w:jc w:val="center"/>
              <w:spacing w:after="0" w:line="221" w:lineRule="exact"/>
              <w:rPr>
                <w:sz w:val="20"/>
                <w:szCs w:val="20"/>
                <w:color w:val="auto"/>
              </w:rPr>
            </w:pPr>
            <w:r>
              <w:rPr>
                <w:rFonts w:ascii="MS PGothic" w:cs="MS PGothic" w:eastAsia="MS PGothic" w:hAnsi="MS PGothic"/>
                <w:sz w:val="22"/>
                <w:szCs w:val="22"/>
                <w:color w:val="auto"/>
                <w:w w:val="81"/>
              </w:rPr>
              <w:t>☐</w:t>
            </w:r>
          </w:p>
        </w:tc>
        <w:tc>
          <w:tcPr>
            <w:tcW w:w="0" w:type="dxa"/>
            <w:vAlign w:val="bottom"/>
          </w:tcPr>
          <w:p>
            <w:pPr>
              <w:spacing w:after="0"/>
              <w:rPr>
                <w:sz w:val="1"/>
                <w:szCs w:val="1"/>
                <w:color w:val="auto"/>
              </w:rPr>
            </w:pPr>
          </w:p>
        </w:tc>
      </w:tr>
      <w:tr>
        <w:trPr>
          <w:trHeight w:val="148"/>
        </w:trPr>
        <w:tc>
          <w:tcPr>
            <w:tcW w:w="3720" w:type="dxa"/>
            <w:vAlign w:val="bottom"/>
          </w:tcPr>
          <w:p>
            <w:pPr>
              <w:jc w:val="right"/>
              <w:spacing w:after="0"/>
              <w:rPr>
                <w:sz w:val="20"/>
                <w:szCs w:val="20"/>
                <w:color w:val="auto"/>
              </w:rPr>
            </w:pPr>
            <w:r>
              <w:rPr>
                <w:rFonts w:ascii="Arial" w:cs="Arial" w:eastAsia="Arial" w:hAnsi="Arial"/>
                <w:sz w:val="13"/>
                <w:szCs w:val="13"/>
                <w:color w:val="auto"/>
              </w:rPr>
              <w:t>its  governing  documents  to  reduce  the  ownership</w:t>
            </w:r>
          </w:p>
        </w:tc>
        <w:tc>
          <w:tcPr>
            <w:tcW w:w="360" w:type="dxa"/>
            <w:vAlign w:val="bottom"/>
            <w:vMerge w:val="continue"/>
          </w:tcPr>
          <w:p>
            <w:pPr>
              <w:spacing w:after="0"/>
              <w:rPr>
                <w:sz w:val="12"/>
                <w:szCs w:val="12"/>
                <w:color w:val="auto"/>
              </w:rPr>
            </w:pPr>
          </w:p>
        </w:tc>
        <w:tc>
          <w:tcPr>
            <w:tcW w:w="620" w:type="dxa"/>
            <w:vAlign w:val="bottom"/>
            <w:vMerge w:val="continue"/>
          </w:tcPr>
          <w:p>
            <w:pPr>
              <w:spacing w:after="0"/>
              <w:rPr>
                <w:sz w:val="12"/>
                <w:szCs w:val="12"/>
                <w:color w:val="auto"/>
              </w:rPr>
            </w:pPr>
          </w:p>
        </w:tc>
        <w:tc>
          <w:tcPr>
            <w:tcW w:w="5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720" w:type="dxa"/>
            <w:vAlign w:val="bottom"/>
          </w:tcPr>
          <w:p>
            <w:pPr>
              <w:jc w:val="right"/>
              <w:spacing w:after="0"/>
              <w:rPr>
                <w:sz w:val="20"/>
                <w:szCs w:val="20"/>
                <w:color w:val="auto"/>
              </w:rPr>
            </w:pPr>
            <w:r>
              <w:rPr>
                <w:rFonts w:ascii="Arial" w:cs="Arial" w:eastAsia="Arial" w:hAnsi="Arial"/>
                <w:sz w:val="13"/>
                <w:szCs w:val="13"/>
                <w:color w:val="auto"/>
              </w:rPr>
              <w:t>threshold to 10% to call a special shareholder meeting,</w:t>
            </w:r>
          </w:p>
        </w:tc>
        <w:tc>
          <w:tcPr>
            <w:tcW w:w="3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3720" w:type="dxa"/>
            <w:vAlign w:val="bottom"/>
          </w:tcPr>
          <w:p>
            <w:pPr>
              <w:jc w:val="right"/>
              <w:ind w:right="1173"/>
              <w:spacing w:after="0"/>
              <w:rPr>
                <w:sz w:val="20"/>
                <w:szCs w:val="20"/>
                <w:color w:val="auto"/>
              </w:rPr>
            </w:pPr>
            <w:r>
              <w:rPr>
                <w:rFonts w:ascii="Arial" w:cs="Arial" w:eastAsia="Arial" w:hAnsi="Arial"/>
                <w:sz w:val="13"/>
                <w:szCs w:val="13"/>
                <w:color w:val="auto"/>
              </w:rPr>
              <w:t>if properly presented at the meeting.</w:t>
            </w:r>
          </w:p>
        </w:tc>
        <w:tc>
          <w:tcPr>
            <w:tcW w:w="3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982" w:lineRule="exact"/>
        <w:rPr>
          <w:sz w:val="20"/>
          <w:szCs w:val="20"/>
          <w:color w:val="auto"/>
        </w:rPr>
      </w:pPr>
    </w:p>
    <w:p>
      <w:pPr>
        <w:sectPr>
          <w:pgSz w:w="11900" w:h="16838" w:orient="portrait"/>
          <w:cols w:equalWidth="0" w:num="2">
            <w:col w:w="5400" w:space="440"/>
            <w:col w:w="5400"/>
          </w:cols>
          <w:pgMar w:left="320" w:top="125" w:right="339" w:bottom="1440" w:gutter="0" w:footer="0" w:header="0"/>
          <w:type w:val="continuous"/>
        </w:sectPr>
      </w:pPr>
    </w:p>
    <w:p>
      <w:pPr>
        <w:spacing w:after="0" w:line="231" w:lineRule="exact"/>
        <w:rPr>
          <w:sz w:val="20"/>
          <w:szCs w:val="20"/>
          <w:color w:val="auto"/>
        </w:rPr>
      </w:pPr>
    </w:p>
    <w:p>
      <w:pPr>
        <w:jc w:val="both"/>
        <w:ind w:left="140" w:right="4180"/>
        <w:spacing w:after="0" w:line="259" w:lineRule="auto"/>
        <w:rPr>
          <w:sz w:val="20"/>
          <w:szCs w:val="20"/>
          <w:color w:val="auto"/>
        </w:rPr>
      </w:pPr>
      <w:r>
        <w:rPr>
          <w:rFonts w:ascii="Arial" w:cs="Arial" w:eastAsia="Arial" w:hAnsi="Arial"/>
          <w:sz w:val="13"/>
          <w:szCs w:val="13"/>
          <w:color w:val="auto"/>
        </w:rPr>
        <w:t>Please sign exactly as your name(s) appear(s) hereon. When signing as attorney, executor, administrator, or other fiduciary, please give full title as such. Joint owners should each sign personally. All holders must sign. If a corporation or partnership, please sign in full corporate or partnership name by authorized officer.</w:t>
      </w:r>
    </w:p>
    <w:p>
      <w:pPr>
        <w:spacing w:after="0" w:line="200" w:lineRule="exact"/>
        <w:rPr>
          <w:sz w:val="20"/>
          <w:szCs w:val="20"/>
          <w:color w:val="auto"/>
        </w:rPr>
      </w:pPr>
    </w:p>
    <w:p>
      <w:pPr>
        <w:spacing w:after="0" w:line="315" w:lineRule="exact"/>
        <w:rPr>
          <w:sz w:val="20"/>
          <w:szCs w:val="20"/>
          <w:color w:val="auto"/>
        </w:rPr>
      </w:pPr>
    </w:p>
    <w:p>
      <w:pPr>
        <w:ind w:left="140"/>
        <w:spacing w:after="0"/>
        <w:tabs>
          <w:tab w:leader="none" w:pos="2880" w:val="left"/>
          <w:tab w:leader="none" w:pos="5620" w:val="left"/>
          <w:tab w:leader="none" w:pos="8360" w:val="left"/>
        </w:tabs>
        <w:rPr>
          <w:sz w:val="20"/>
          <w:szCs w:val="20"/>
          <w:color w:val="auto"/>
        </w:rPr>
      </w:pPr>
      <w:r>
        <w:rPr>
          <w:rFonts w:ascii="Arial" w:cs="Arial" w:eastAsia="Arial" w:hAnsi="Arial"/>
          <w:sz w:val="13"/>
          <w:szCs w:val="13"/>
          <w:color w:val="auto"/>
        </w:rPr>
        <w:t>Signature [PLEASE SIGN WITHIN BOX]</w:t>
      </w:r>
      <w:r>
        <w:rPr>
          <w:sz w:val="20"/>
          <w:szCs w:val="20"/>
          <w:color w:val="auto"/>
        </w:rPr>
        <w:tab/>
      </w:r>
      <w:r>
        <w:rPr>
          <w:rFonts w:ascii="Arial" w:cs="Arial" w:eastAsia="Arial" w:hAnsi="Arial"/>
          <w:sz w:val="13"/>
          <w:szCs w:val="13"/>
          <w:color w:val="auto"/>
        </w:rPr>
        <w:t>Date</w:t>
      </w:r>
      <w:r>
        <w:rPr>
          <w:sz w:val="20"/>
          <w:szCs w:val="20"/>
          <w:color w:val="auto"/>
        </w:rPr>
        <w:tab/>
      </w:r>
      <w:r>
        <w:rPr>
          <w:rFonts w:ascii="Arial" w:cs="Arial" w:eastAsia="Arial" w:hAnsi="Arial"/>
          <w:sz w:val="13"/>
          <w:szCs w:val="13"/>
          <w:color w:val="auto"/>
        </w:rPr>
        <w:t>Signature (Joint Owners)</w:t>
      </w:r>
      <w:r>
        <w:rPr>
          <w:sz w:val="20"/>
          <w:szCs w:val="20"/>
          <w:color w:val="auto"/>
        </w:rPr>
        <w:tab/>
      </w:r>
      <w:r>
        <w:rPr>
          <w:rFonts w:ascii="Arial" w:cs="Arial" w:eastAsia="Arial" w:hAnsi="Arial"/>
          <w:sz w:val="13"/>
          <w:szCs w:val="13"/>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279400</wp:posOffset>
            </wp:positionV>
            <wp:extent cx="7153275" cy="20955"/>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p>
      <w:pPr>
        <w:sectPr>
          <w:pgSz w:w="11900" w:h="16838" w:orient="portrait"/>
          <w:cols w:equalWidth="0" w:num="1">
            <w:col w:w="11240"/>
          </w:cols>
          <w:pgMar w:left="320" w:top="125" w:right="339" w:bottom="1440" w:gutter="0" w:footer="0" w:header="0"/>
          <w:type w:val="continuous"/>
        </w:sectPr>
      </w:pPr>
    </w:p>
    <w:bookmarkStart w:id="127" w:name="page128"/>
    <w:bookmarkEnd w:id="127"/>
    <w:p>
      <w:pPr>
        <w:spacing w:after="0"/>
        <w:rPr>
          <w:rFonts w:ascii="Arial" w:cs="Arial" w:eastAsia="Arial" w:hAnsi="Arial"/>
          <w:sz w:val="18"/>
          <w:szCs w:val="18"/>
          <w:b w:val="1"/>
          <w:bCs w:val="1"/>
          <w:u w:val="single" w:color="auto"/>
          <w:color w:val="0000EE"/>
        </w:rPr>
      </w:pPr>
      <w:hyperlink w:anchor="page9">
        <w:r>
          <w:rPr>
            <w:rFonts w:ascii="Arial" w:cs="Arial" w:eastAsia="Arial" w:hAnsi="Arial"/>
            <w:sz w:val="18"/>
            <w:szCs w:val="18"/>
            <w:b w:val="1"/>
            <w:bCs w:val="1"/>
            <w:u w:val="single" w:color="auto"/>
            <w:color w:val="0000EE"/>
          </w:rPr>
          <w:t>Table of Contents</w:t>
        </w:r>
      </w:hyperlink>
    </w:p>
    <w:p>
      <w:pPr>
        <w:spacing w:after="0" w:line="214" w:lineRule="exact"/>
        <w:rPr>
          <w:sz w:val="20"/>
          <w:szCs w:val="20"/>
          <w:color w:val="auto"/>
        </w:rPr>
      </w:pPr>
    </w:p>
    <w:p>
      <w:pPr>
        <w:spacing w:after="0"/>
        <w:rPr>
          <w:sz w:val="20"/>
          <w:szCs w:val="20"/>
          <w:color w:val="auto"/>
        </w:rPr>
      </w:pPr>
      <w:r>
        <w:rPr>
          <w:rFonts w:ascii="Arial" w:cs="Arial" w:eastAsia="Arial" w:hAnsi="Arial"/>
          <w:sz w:val="18"/>
          <w:szCs w:val="18"/>
          <w:color w:val="auto"/>
        </w:rPr>
        <w:t>Dear Shareholders,</w:t>
      </w:r>
    </w:p>
    <w:p>
      <w:pPr>
        <w:spacing w:after="0" w:line="212" w:lineRule="exact"/>
        <w:rPr>
          <w:sz w:val="20"/>
          <w:szCs w:val="20"/>
          <w:color w:val="auto"/>
        </w:rPr>
      </w:pPr>
    </w:p>
    <w:p>
      <w:pPr>
        <w:jc w:val="both"/>
        <w:spacing w:after="0"/>
        <w:rPr>
          <w:sz w:val="20"/>
          <w:szCs w:val="20"/>
          <w:color w:val="auto"/>
        </w:rPr>
      </w:pPr>
      <w:r>
        <w:rPr>
          <w:rFonts w:ascii="Arial" w:cs="Arial" w:eastAsia="Arial" w:hAnsi="Arial"/>
          <w:sz w:val="18"/>
          <w:szCs w:val="18"/>
          <w:color w:val="auto"/>
        </w:rPr>
        <w:t xml:space="preserve">The 2022 Annual Meeting of Shareholders of Pinnacle West Capital Corporation will be held on May 18, 2022, at 1:30 p.m., Eastern Daylight Time. Shareholders may participate in the Annual Meeting by logging into the following website </w:t>
      </w:r>
      <w:r>
        <w:rPr>
          <w:rFonts w:ascii="Arial" w:cs="Arial" w:eastAsia="Arial" w:hAnsi="Arial"/>
          <w:sz w:val="18"/>
          <w:szCs w:val="18"/>
          <w:u w:val="single" w:color="auto"/>
          <w:color w:val="auto"/>
        </w:rPr>
        <w:t>www.virtualshareholdermeeting.com/PNW</w:t>
      </w:r>
      <w:r>
        <w:rPr>
          <w:rFonts w:ascii="Arial" w:cs="Arial" w:eastAsia="Arial" w:hAnsi="Arial"/>
          <w:sz w:val="18"/>
          <w:szCs w:val="18"/>
          <w:color w:val="auto"/>
        </w:rPr>
        <w:t>. At the meeting, shareholders will be asked to: (i) elect eleven (11) directors to serve on the Board until the 2023 Annual Meeting; (ii) vote on an advisory resolution to approve executive compensation as disclosed in the 2022 Proxy Statement; (iii) ratify the appointment of the independent accountant for the year ending December 31, 2022; and (iv) vote on a shareholder proposal asking the Company to amend its governing documents to reduce the ownership threshold to 10% to call a special shareholder meeting, if properly presented at the meeting.</w:t>
      </w:r>
    </w:p>
    <w:p>
      <w:pPr>
        <w:spacing w:after="0" w:line="189" w:lineRule="exact"/>
        <w:rPr>
          <w:sz w:val="20"/>
          <w:szCs w:val="20"/>
          <w:color w:val="auto"/>
        </w:rPr>
      </w:pPr>
    </w:p>
    <w:p>
      <w:pPr>
        <w:jc w:val="both"/>
        <w:spacing w:after="0" w:line="262" w:lineRule="auto"/>
        <w:rPr>
          <w:sz w:val="20"/>
          <w:szCs w:val="20"/>
          <w:color w:val="auto"/>
        </w:rPr>
      </w:pPr>
      <w:r>
        <w:rPr>
          <w:rFonts w:ascii="Arial" w:cs="Arial" w:eastAsia="Arial" w:hAnsi="Arial"/>
          <w:sz w:val="18"/>
          <w:szCs w:val="18"/>
          <w:color w:val="auto"/>
        </w:rPr>
        <w:t>Your vote is important and you may vote this proxy in one of three ways - by Internet, by telephone, or by mail. The reverse side of this letter provides voting information for all three methods.</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142240</wp:posOffset>
            </wp:positionV>
            <wp:extent cx="582930" cy="32575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582930" cy="3257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spacing w:after="0"/>
        <w:rPr>
          <w:sz w:val="20"/>
          <w:szCs w:val="20"/>
          <w:color w:val="auto"/>
        </w:rPr>
      </w:pPr>
      <w:r>
        <w:rPr>
          <w:rFonts w:ascii="Arial" w:cs="Arial" w:eastAsia="Arial" w:hAnsi="Arial"/>
          <w:sz w:val="18"/>
          <w:szCs w:val="18"/>
          <w:color w:val="auto"/>
        </w:rPr>
        <w:t>Diane Wood</w:t>
      </w:r>
    </w:p>
    <w:p>
      <w:pPr>
        <w:spacing w:after="0" w:line="12" w:lineRule="exact"/>
        <w:rPr>
          <w:sz w:val="20"/>
          <w:szCs w:val="20"/>
          <w:color w:val="auto"/>
        </w:rPr>
      </w:pPr>
    </w:p>
    <w:p>
      <w:pPr>
        <w:spacing w:after="0"/>
        <w:rPr>
          <w:sz w:val="20"/>
          <w:szCs w:val="20"/>
          <w:color w:val="auto"/>
        </w:rPr>
      </w:pPr>
      <w:r>
        <w:rPr>
          <w:rFonts w:ascii="Arial" w:cs="Arial" w:eastAsia="Arial" w:hAnsi="Arial"/>
          <w:sz w:val="18"/>
          <w:szCs w:val="18"/>
          <w:color w:val="auto"/>
        </w:rPr>
        <w:t>Corporate Secretary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Important Notice Regarding the Availability of Proxy Materials for the Annual Meeting:</w:t>
      </w:r>
    </w:p>
    <w:p>
      <w:pPr>
        <w:spacing w:after="0" w:line="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Notice and Proxy Statement and Form 10-K Wrap are available at www.proxyvote.com.</w:t>
      </w:r>
    </w:p>
    <w:p>
      <w:pPr>
        <w:spacing w:after="0" w:line="261" w:lineRule="exact"/>
        <w:rPr>
          <w:sz w:val="20"/>
          <w:szCs w:val="20"/>
          <w:color w:val="auto"/>
        </w:rPr>
      </w:pPr>
    </w:p>
    <w:p>
      <w:pPr>
        <w:ind w:left="320" w:hanging="166"/>
        <w:spacing w:after="0"/>
        <w:tabs>
          <w:tab w:leader="none" w:pos="320" w:val="left"/>
        </w:tabs>
        <w:numPr>
          <w:ilvl w:val="0"/>
          <w:numId w:val="122"/>
        </w:numPr>
        <w:rPr>
          <w:rFonts w:ascii="Arial" w:cs="Arial" w:eastAsia="Arial" w:hAnsi="Arial"/>
          <w:sz w:val="13"/>
          <w:szCs w:val="13"/>
          <w:color w:val="auto"/>
        </w:rPr>
      </w:pPr>
      <w:r>
        <w:rPr>
          <w:rFonts w:ascii="Arial" w:cs="Arial" w:eastAsia="Arial" w:hAnsi="Arial"/>
          <w:sz w:val="13"/>
          <w:szCs w:val="13"/>
          <w:b w:val="1"/>
          <w:bCs w:val="1"/>
          <w:color w:val="auto"/>
        </w:rPr>
        <w:t xml:space="preserve">IF YOU HAVE NOT VOTED VIA THE INTERNET </w:t>
      </w:r>
      <w:r>
        <w:rPr>
          <w:rFonts w:ascii="Arial" w:cs="Arial" w:eastAsia="Arial" w:hAnsi="Arial"/>
          <w:sz w:val="13"/>
          <w:szCs w:val="13"/>
          <w:b w:val="1"/>
          <w:bCs w:val="1"/>
          <w:u w:val="single" w:color="auto"/>
          <w:color w:val="auto"/>
        </w:rPr>
        <w:t>OR</w:t>
      </w:r>
      <w:r>
        <w:rPr>
          <w:rFonts w:ascii="Arial" w:cs="Arial" w:eastAsia="Arial" w:hAnsi="Arial"/>
          <w:sz w:val="13"/>
          <w:szCs w:val="13"/>
          <w:b w:val="1"/>
          <w:bCs w:val="1"/>
          <w:color w:val="auto"/>
        </w:rPr>
        <w:t xml:space="preserve"> TELEPHONE, FOLD ALONG THE PERFORATION, DETACH AND RETURN THE BOTTOM PORTION IN THE ENCLOSED</w:t>
      </w:r>
    </w:p>
    <w:p>
      <w:pPr>
        <w:spacing w:after="0" w:line="36" w:lineRule="exact"/>
        <w:rPr>
          <w:rFonts w:ascii="Arial" w:cs="Arial" w:eastAsia="Arial" w:hAnsi="Arial"/>
          <w:sz w:val="13"/>
          <w:szCs w:val="13"/>
          <w:color w:val="auto"/>
        </w:rPr>
      </w:pPr>
    </w:p>
    <w:p>
      <w:pPr>
        <w:ind w:left="5160"/>
        <w:spacing w:after="0"/>
        <w:rPr>
          <w:rFonts w:ascii="Arial" w:cs="Arial" w:eastAsia="Arial" w:hAnsi="Arial"/>
          <w:sz w:val="13"/>
          <w:szCs w:val="13"/>
          <w:color w:val="auto"/>
        </w:rPr>
      </w:pPr>
      <w:r>
        <w:rPr>
          <w:rFonts w:ascii="Arial" w:cs="Arial" w:eastAsia="Arial" w:hAnsi="Arial"/>
          <w:sz w:val="13"/>
          <w:szCs w:val="13"/>
          <w:b w:val="1"/>
          <w:bCs w:val="1"/>
          <w:color w:val="auto"/>
        </w:rPr>
        <w:t xml:space="preserve">ENVELOPE. </w:t>
      </w:r>
      <w:r>
        <w:rPr>
          <w:rFonts w:ascii="Arial" w:cs="Arial" w:eastAsia="Arial" w:hAnsi="Arial"/>
          <w:sz w:val="13"/>
          <w:szCs w:val="13"/>
          <w:color w:val="auto"/>
        </w:rPr>
        <w:t>▼</w:t>
      </w:r>
    </w:p>
    <w:p>
      <w:pPr>
        <w:spacing w:after="0" w:line="58" w:lineRule="exact"/>
        <w:rPr>
          <w:sz w:val="20"/>
          <w:szCs w:val="20"/>
          <w:color w:val="auto"/>
        </w:rPr>
      </w:pPr>
    </w:p>
    <w:p>
      <w:pPr>
        <w:jc w:val="right"/>
        <w:spacing w:after="0"/>
        <w:rPr>
          <w:sz w:val="20"/>
          <w:szCs w:val="20"/>
          <w:color w:val="auto"/>
        </w:rPr>
      </w:pPr>
      <w:r>
        <w:rPr>
          <w:rFonts w:ascii="Arial" w:cs="Arial" w:eastAsia="Arial" w:hAnsi="Arial"/>
          <w:sz w:val="13"/>
          <w:szCs w:val="13"/>
          <w:color w:val="auto"/>
        </w:rPr>
        <w:t>D68752-P64991-Z81603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13970</wp:posOffset>
            </wp:positionV>
            <wp:extent cx="7118985" cy="3587115"/>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7118985" cy="3587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320"/>
        <w:spacing w:after="0"/>
        <w:rPr>
          <w:sz w:val="20"/>
          <w:szCs w:val="20"/>
          <w:color w:val="auto"/>
        </w:rPr>
      </w:pPr>
      <w:r>
        <w:rPr>
          <w:rFonts w:ascii="Arial" w:cs="Arial" w:eastAsia="Arial" w:hAnsi="Arial"/>
          <w:sz w:val="18"/>
          <w:szCs w:val="18"/>
          <w:b w:val="1"/>
          <w:bCs w:val="1"/>
          <w:color w:val="auto"/>
        </w:rPr>
        <w:t>PROXY — Pinnacle West Capital Corporation</w:t>
      </w:r>
    </w:p>
    <w:p>
      <w:pPr>
        <w:spacing w:after="0" w:line="293" w:lineRule="exact"/>
        <w:rPr>
          <w:sz w:val="20"/>
          <w:szCs w:val="20"/>
          <w:color w:val="auto"/>
        </w:rPr>
      </w:pPr>
    </w:p>
    <w:p>
      <w:pPr>
        <w:ind w:left="320"/>
        <w:spacing w:after="0"/>
        <w:rPr>
          <w:sz w:val="20"/>
          <w:szCs w:val="20"/>
          <w:color w:val="auto"/>
        </w:rPr>
      </w:pPr>
      <w:r>
        <w:rPr>
          <w:rFonts w:ascii="Arial" w:cs="Arial" w:eastAsia="Arial" w:hAnsi="Arial"/>
          <w:sz w:val="18"/>
          <w:szCs w:val="18"/>
          <w:b w:val="1"/>
          <w:bCs w:val="1"/>
          <w:color w:val="auto"/>
        </w:rPr>
        <w:t>Notice of the 2022 Annual Meeting of Shareholders</w:t>
      </w:r>
    </w:p>
    <w:p>
      <w:pPr>
        <w:spacing w:after="0" w:line="212" w:lineRule="exact"/>
        <w:rPr>
          <w:sz w:val="20"/>
          <w:szCs w:val="20"/>
          <w:color w:val="auto"/>
        </w:rPr>
      </w:pPr>
    </w:p>
    <w:p>
      <w:pPr>
        <w:ind w:left="320"/>
        <w:spacing w:after="0"/>
        <w:rPr>
          <w:sz w:val="20"/>
          <w:szCs w:val="20"/>
          <w:color w:val="auto"/>
        </w:rPr>
      </w:pPr>
      <w:r>
        <w:rPr>
          <w:rFonts w:ascii="Arial" w:cs="Arial" w:eastAsia="Arial" w:hAnsi="Arial"/>
          <w:sz w:val="18"/>
          <w:szCs w:val="18"/>
          <w:b w:val="1"/>
          <w:bCs w:val="1"/>
          <w:color w:val="auto"/>
        </w:rPr>
        <w:t>Proxy Solicited on behalf of the Board of Directors for the Annual Meeting on May 18, 2022</w:t>
      </w:r>
    </w:p>
    <w:p>
      <w:pPr>
        <w:spacing w:after="0" w:line="214" w:lineRule="exact"/>
        <w:rPr>
          <w:sz w:val="20"/>
          <w:szCs w:val="20"/>
          <w:color w:val="auto"/>
        </w:rPr>
      </w:pPr>
    </w:p>
    <w:p>
      <w:pPr>
        <w:jc w:val="both"/>
        <w:ind w:left="320" w:right="320"/>
        <w:spacing w:after="0" w:line="252" w:lineRule="auto"/>
        <w:rPr>
          <w:sz w:val="20"/>
          <w:szCs w:val="20"/>
          <w:color w:val="auto"/>
        </w:rPr>
      </w:pPr>
      <w:r>
        <w:rPr>
          <w:rFonts w:ascii="Arial" w:cs="Arial" w:eastAsia="Arial" w:hAnsi="Arial"/>
          <w:sz w:val="13"/>
          <w:szCs w:val="13"/>
          <w:color w:val="auto"/>
        </w:rPr>
        <w:t>The undersigned hereby appoints Jeffrey B. Guldner and Robert E. Smith, individually and together, as proxies for the undersigned, each with full power of substitution, to attend the Annual Meeting of Shareholders of Pinnacle West Capital Corporation (the "</w:t>
      </w:r>
      <w:r>
        <w:rPr>
          <w:rFonts w:ascii="Arial" w:cs="Arial" w:eastAsia="Arial" w:hAnsi="Arial"/>
          <w:sz w:val="13"/>
          <w:szCs w:val="13"/>
          <w:u w:val="single" w:color="auto"/>
          <w:color w:val="auto"/>
        </w:rPr>
        <w:t>Company</w:t>
      </w:r>
      <w:r>
        <w:rPr>
          <w:rFonts w:ascii="Arial" w:cs="Arial" w:eastAsia="Arial" w:hAnsi="Arial"/>
          <w:sz w:val="13"/>
          <w:szCs w:val="13"/>
          <w:color w:val="auto"/>
        </w:rPr>
        <w:t>") to be held on May 18, 2022 at one-thirty p.m. (1:30 p.m.), Eastern Daylight Time, and at any adjournment or postponement thereof, and to vote as specified in this proxy all the shares of stock of the Company which the undersigned would be entitled to vote if personally present. The proxies of the undersigned may vote according to their discretion on any other matter that may properly come before the meeting.</w:t>
      </w:r>
    </w:p>
    <w:p>
      <w:pPr>
        <w:spacing w:after="0" w:line="182" w:lineRule="exact"/>
        <w:rPr>
          <w:sz w:val="20"/>
          <w:szCs w:val="20"/>
          <w:color w:val="auto"/>
        </w:rPr>
      </w:pPr>
    </w:p>
    <w:p>
      <w:pPr>
        <w:jc w:val="both"/>
        <w:ind w:left="320" w:right="320"/>
        <w:spacing w:after="0" w:line="249" w:lineRule="auto"/>
        <w:rPr>
          <w:sz w:val="20"/>
          <w:szCs w:val="20"/>
          <w:color w:val="auto"/>
        </w:rPr>
      </w:pPr>
      <w:r>
        <w:rPr>
          <w:rFonts w:ascii="Arial" w:cs="Arial" w:eastAsia="Arial" w:hAnsi="Arial"/>
          <w:sz w:val="13"/>
          <w:szCs w:val="13"/>
          <w:color w:val="auto"/>
        </w:rPr>
        <w:t>If the undersigned has voting rights with respect to shares of Company common stock under the Pinnacle West Capital Corporation Savings Plan (the "</w:t>
      </w:r>
      <w:r>
        <w:rPr>
          <w:rFonts w:ascii="Arial" w:cs="Arial" w:eastAsia="Arial" w:hAnsi="Arial"/>
          <w:sz w:val="13"/>
          <w:szCs w:val="13"/>
          <w:u w:val="single" w:color="auto"/>
          <w:color w:val="auto"/>
        </w:rPr>
        <w:t>Plan</w:t>
      </w:r>
      <w:r>
        <w:rPr>
          <w:rFonts w:ascii="Arial" w:cs="Arial" w:eastAsia="Arial" w:hAnsi="Arial"/>
          <w:sz w:val="13"/>
          <w:szCs w:val="13"/>
          <w:color w:val="auto"/>
        </w:rPr>
        <w:t>"), then the undersigned hereby directs the trustee of the Plan to vote the shares equal to the number of share equivalents allocated to the undersigned's account under the Plan on all matters properly coming before the Annual Meeting, and at any adjournment or postponement thereof, in accordance with the instructions given herein. Shares under the Plan for which instructions are not received by midnight on May 15, 2022, will be voted by the trustee in accordance with the plan and trust documents. This proxy will be considered to be confidential voting instructions to the Plan trustee and to any entity acting as tabulating agent for the Plan trustee.</w:t>
      </w:r>
    </w:p>
    <w:p>
      <w:pPr>
        <w:spacing w:after="0" w:line="181" w:lineRule="exact"/>
        <w:rPr>
          <w:sz w:val="20"/>
          <w:szCs w:val="20"/>
          <w:color w:val="auto"/>
        </w:rPr>
      </w:pPr>
    </w:p>
    <w:p>
      <w:pPr>
        <w:jc w:val="both"/>
        <w:ind w:left="320" w:right="320"/>
        <w:spacing w:after="0" w:line="297" w:lineRule="auto"/>
        <w:rPr>
          <w:sz w:val="20"/>
          <w:szCs w:val="20"/>
          <w:color w:val="auto"/>
        </w:rPr>
      </w:pPr>
      <w:r>
        <w:rPr>
          <w:rFonts w:ascii="Arial" w:cs="Arial" w:eastAsia="Arial" w:hAnsi="Arial"/>
          <w:sz w:val="13"/>
          <w:szCs w:val="13"/>
          <w:b w:val="1"/>
          <w:bCs w:val="1"/>
          <w:color w:val="auto"/>
        </w:rPr>
        <w:t xml:space="preserve">ALL SHARES OF COMMON STOCK REPRESENTED HEREBY WILL BE VOTED AS SPECIFIED. IF NO SPECIFICATION IS MADE, THOSE SHARES WILL BE VOTED </w:t>
      </w:r>
      <w:r>
        <w:rPr>
          <w:rFonts w:ascii="Arial" w:cs="Arial" w:eastAsia="Arial" w:hAnsi="Arial"/>
          <w:sz w:val="13"/>
          <w:szCs w:val="13"/>
          <w:b w:val="1"/>
          <w:bCs w:val="1"/>
          <w:u w:val="single" w:color="auto"/>
          <w:color w:val="auto"/>
        </w:rPr>
        <w:t>FOR</w:t>
      </w:r>
      <w:r>
        <w:rPr>
          <w:rFonts w:ascii="Arial" w:cs="Arial" w:eastAsia="Arial" w:hAnsi="Arial"/>
          <w:sz w:val="13"/>
          <w:szCs w:val="13"/>
          <w:b w:val="1"/>
          <w:bCs w:val="1"/>
          <w:color w:val="auto"/>
        </w:rPr>
        <w:t xml:space="preserve"> THE NOMINEES LISTED IN PROPOSAL 1, </w:t>
      </w:r>
      <w:r>
        <w:rPr>
          <w:rFonts w:ascii="Arial" w:cs="Arial" w:eastAsia="Arial" w:hAnsi="Arial"/>
          <w:sz w:val="13"/>
          <w:szCs w:val="13"/>
          <w:b w:val="1"/>
          <w:bCs w:val="1"/>
          <w:u w:val="single" w:color="auto"/>
          <w:color w:val="auto"/>
        </w:rPr>
        <w:t>FOR</w:t>
      </w:r>
      <w:r>
        <w:rPr>
          <w:rFonts w:ascii="Arial" w:cs="Arial" w:eastAsia="Arial" w:hAnsi="Arial"/>
          <w:sz w:val="13"/>
          <w:szCs w:val="13"/>
          <w:b w:val="1"/>
          <w:bCs w:val="1"/>
          <w:color w:val="auto"/>
        </w:rPr>
        <w:t xml:space="preserve"> PROPOSALS 2 AND 3 AND </w:t>
      </w:r>
      <w:r>
        <w:rPr>
          <w:rFonts w:ascii="Arial" w:cs="Arial" w:eastAsia="Arial" w:hAnsi="Arial"/>
          <w:sz w:val="13"/>
          <w:szCs w:val="13"/>
          <w:b w:val="1"/>
          <w:bCs w:val="1"/>
          <w:u w:val="single" w:color="auto"/>
          <w:color w:val="auto"/>
        </w:rPr>
        <w:t>AGAINST</w:t>
      </w:r>
      <w:r>
        <w:rPr>
          <w:rFonts w:ascii="Arial" w:cs="Arial" w:eastAsia="Arial" w:hAnsi="Arial"/>
          <w:sz w:val="13"/>
          <w:szCs w:val="13"/>
          <w:b w:val="1"/>
          <w:bCs w:val="1"/>
          <w:color w:val="auto"/>
        </w:rPr>
        <w:t xml:space="preserve"> PROPOSAL 4.</w:t>
      </w:r>
    </w:p>
    <w:p>
      <w:pPr>
        <w:spacing w:after="0" w:line="143" w:lineRule="exact"/>
        <w:rPr>
          <w:sz w:val="20"/>
          <w:szCs w:val="20"/>
          <w:color w:val="auto"/>
        </w:rPr>
      </w:pPr>
    </w:p>
    <w:p>
      <w:pPr>
        <w:ind w:left="320"/>
        <w:spacing w:after="0"/>
        <w:rPr>
          <w:sz w:val="20"/>
          <w:szCs w:val="20"/>
          <w:color w:val="auto"/>
        </w:rPr>
      </w:pPr>
      <w:r>
        <w:rPr>
          <w:rFonts w:ascii="Arial" w:cs="Arial" w:eastAsia="Arial" w:hAnsi="Arial"/>
          <w:sz w:val="13"/>
          <w:szCs w:val="13"/>
          <w:b w:val="1"/>
          <w:bCs w:val="1"/>
          <w:color w:val="auto"/>
        </w:rPr>
        <w:t>In their discretion, the proxies are authorized to vote on such other matters as may properly come before the meeting or any adjournment or postponement thereof.</w:t>
      </w:r>
    </w:p>
    <w:p>
      <w:pPr>
        <w:spacing w:after="0" w:line="215" w:lineRule="exact"/>
        <w:rPr>
          <w:sz w:val="20"/>
          <w:szCs w:val="20"/>
          <w:color w:val="auto"/>
        </w:rPr>
      </w:pPr>
    </w:p>
    <w:p>
      <w:pPr>
        <w:ind w:left="320"/>
        <w:spacing w:after="0"/>
        <w:rPr>
          <w:sz w:val="20"/>
          <w:szCs w:val="20"/>
          <w:color w:val="auto"/>
        </w:rPr>
      </w:pPr>
      <w:r>
        <w:rPr>
          <w:rFonts w:ascii="Arial" w:cs="Arial" w:eastAsia="Arial" w:hAnsi="Arial"/>
          <w:sz w:val="13"/>
          <w:szCs w:val="13"/>
          <w:b w:val="1"/>
          <w:bCs w:val="1"/>
          <w:color w:val="auto"/>
        </w:rPr>
        <w:t>Address changes and comments can be sent to Pinnacle West's Shareholder Services Department: shareholderdept@pinnaclewest.com</w:t>
      </w:r>
    </w:p>
    <w:p>
      <w:pPr>
        <w:spacing w:after="0" w:line="2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(Items to be voted appear on reverse side.)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397510</wp:posOffset>
            </wp:positionV>
            <wp:extent cx="7153275" cy="2095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7153275" cy="20955"/>
                    </a:xfrm>
                    <a:prstGeom prst="rect">
                      <a:avLst/>
                    </a:prstGeom>
                    <a:noFill/>
                  </pic:spPr>
                </pic:pic>
              </a:graphicData>
            </a:graphic>
          </wp:anchor>
        </w:drawing>
      </w:r>
    </w:p>
    <w:sectPr>
      <w:pgSz w:w="11900" w:h="16838" w:orient="portrait"/>
      <w:cols w:equalWidth="0" w:num="1">
        <w:col w:w="11240"/>
      </w:cols>
      <w:pgMar w:left="320" w:top="125"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F6AB60F"/>
    <w:multiLevelType w:val="hybridMultilevel"/>
    <w:lvl w:ilvl="0">
      <w:lvlJc w:val="left"/>
      <w:lvlText w:val="☐"/>
      <w:numFmt w:val="bullet"/>
      <w:start w:val="1"/>
    </w:lvl>
  </w:abstractNum>
  <w:abstractNum w:abstractNumId="1">
    <w:nsid w:val="61574095"/>
    <w:multiLevelType w:val="hybridMultilevel"/>
    <w:lvl w:ilvl="0">
      <w:lvlJc w:val="left"/>
      <w:lvlText w:val="☑"/>
      <w:numFmt w:val="bullet"/>
      <w:start w:val="1"/>
    </w:lvl>
  </w:abstractNum>
  <w:abstractNum w:abstractNumId="2">
    <w:nsid w:val="7E0C57B1"/>
    <w:multiLevelType w:val="hybridMultilevel"/>
    <w:lvl w:ilvl="0">
      <w:lvlJc w:val="left"/>
      <w:lvlText w:val="☐"/>
      <w:numFmt w:val="bullet"/>
      <w:start w:val="1"/>
    </w:lvl>
  </w:abstractNum>
  <w:abstractNum w:abstractNumId="3">
    <w:nsid w:val="77AE35EB"/>
    <w:multiLevelType w:val="hybridMultilevel"/>
    <w:lvl w:ilvl="0">
      <w:lvlJc w:val="left"/>
      <w:lvlText w:val="•"/>
      <w:numFmt w:val="bullet"/>
      <w:start w:val="1"/>
    </w:lvl>
  </w:abstractNum>
  <w:abstractNum w:abstractNumId="4">
    <w:nsid w:val="579BE4F1"/>
    <w:multiLevelType w:val="hybridMultilevel"/>
    <w:lvl w:ilvl="0">
      <w:lvlJc w:val="left"/>
      <w:lvlText w:val="%1."/>
      <w:numFmt w:val="decimal"/>
      <w:start w:val="1"/>
    </w:lvl>
  </w:abstractNum>
  <w:abstractNum w:abstractNumId="5">
    <w:nsid w:val="310C50B3"/>
    <w:multiLevelType w:val="hybridMultilevel"/>
    <w:lvl w:ilvl="0">
      <w:lvlJc w:val="left"/>
      <w:lvlText w:val="%1."/>
      <w:numFmt w:val="decimal"/>
      <w:start w:val="2"/>
    </w:lvl>
  </w:abstractNum>
  <w:abstractNum w:abstractNumId="6">
    <w:nsid w:val="5FF87E05"/>
    <w:multiLevelType w:val="hybridMultilevel"/>
    <w:lvl w:ilvl="0">
      <w:lvlJc w:val="left"/>
      <w:lvlText w:val="●"/>
      <w:numFmt w:val="bullet"/>
      <w:start w:val="1"/>
    </w:lvl>
  </w:abstractNum>
  <w:abstractNum w:abstractNumId="7">
    <w:nsid w:val="2F305DEF"/>
    <w:multiLevelType w:val="hybridMultilevel"/>
    <w:lvl w:ilvl="0">
      <w:lvlJc w:val="left"/>
      <w:lvlText w:val="*"/>
      <w:numFmt w:val="bullet"/>
      <w:start w:val="1"/>
    </w:lvl>
  </w:abstractNum>
  <w:abstractNum w:abstractNumId="8">
    <w:nsid w:val="25A70BF7"/>
    <w:multiLevelType w:val="hybridMultilevel"/>
    <w:lvl w:ilvl="0">
      <w:lvlJc w:val="left"/>
      <w:lvlText w:val="●"/>
      <w:numFmt w:val="bullet"/>
      <w:start w:val="1"/>
    </w:lvl>
  </w:abstractNum>
  <w:abstractNum w:abstractNumId="9">
    <w:nsid w:val="1DBABF00"/>
    <w:multiLevelType w:val="hybridMultilevel"/>
    <w:lvl w:ilvl="0">
      <w:lvlJc w:val="left"/>
      <w:lvlText w:val="●"/>
      <w:numFmt w:val="bullet"/>
      <w:start w:val="1"/>
    </w:lvl>
  </w:abstractNum>
  <w:abstractNum w:abstractNumId="10">
    <w:nsid w:val="4AD084E9"/>
    <w:multiLevelType w:val="hybridMultilevel"/>
    <w:lvl w:ilvl="0">
      <w:lvlJc w:val="left"/>
      <w:lvlText w:val="●"/>
      <w:numFmt w:val="bullet"/>
      <w:start w:val="1"/>
    </w:lvl>
  </w:abstractNum>
  <w:abstractNum w:abstractNumId="11">
    <w:nsid w:val="1F48EAA1"/>
    <w:multiLevelType w:val="hybridMultilevel"/>
    <w:lvl w:ilvl="0">
      <w:lvlJc w:val="left"/>
      <w:lvlText w:val="●"/>
      <w:numFmt w:val="bullet"/>
      <w:start w:val="1"/>
    </w:lvl>
  </w:abstractNum>
  <w:abstractNum w:abstractNumId="12">
    <w:nsid w:val="1381823A"/>
    <w:multiLevelType w:val="hybridMultilevel"/>
    <w:lvl w:ilvl="0">
      <w:lvlJc w:val="left"/>
      <w:lvlText w:val="●"/>
      <w:numFmt w:val="bullet"/>
      <w:start w:val="1"/>
    </w:lvl>
  </w:abstractNum>
  <w:abstractNum w:abstractNumId="13">
    <w:nsid w:val="5DB70AE5"/>
    <w:multiLevelType w:val="hybridMultilevel"/>
    <w:lvl w:ilvl="0">
      <w:lvlJc w:val="left"/>
      <w:lvlText w:val="(%1)"/>
      <w:numFmt w:val="decimal"/>
      <w:start w:val="1"/>
    </w:lvl>
  </w:abstractNum>
  <w:abstractNum w:abstractNumId="14">
    <w:nsid w:val="100F8FCA"/>
    <w:multiLevelType w:val="hybridMultilevel"/>
    <w:lvl w:ilvl="0">
      <w:lvlJc w:val="left"/>
      <w:lvlText w:val="●"/>
      <w:numFmt w:val="bullet"/>
      <w:start w:val="1"/>
    </w:lvl>
  </w:abstractNum>
  <w:abstractNum w:abstractNumId="15">
    <w:nsid w:val="6590700B"/>
    <w:multiLevelType w:val="hybridMultilevel"/>
    <w:lvl w:ilvl="0">
      <w:lvlJc w:val="left"/>
      <w:lvlText w:val="●"/>
      <w:numFmt w:val="bullet"/>
      <w:start w:val="1"/>
    </w:lvl>
  </w:abstractNum>
  <w:abstractNum w:abstractNumId="16">
    <w:nsid w:val="15014ACB"/>
    <w:multiLevelType w:val="hybridMultilevel"/>
    <w:lvl w:ilvl="0">
      <w:lvlJc w:val="left"/>
      <w:lvlText w:val="●"/>
      <w:numFmt w:val="bullet"/>
      <w:start w:val="1"/>
    </w:lvl>
  </w:abstractNum>
  <w:abstractNum w:abstractNumId="17">
    <w:nsid w:val="5F5E7FD0"/>
    <w:multiLevelType w:val="hybridMultilevel"/>
    <w:lvl w:ilvl="0">
      <w:lvlJc w:val="left"/>
      <w:lvlText w:val="(%1)"/>
      <w:numFmt w:val="decimal"/>
      <w:start w:val="1"/>
    </w:lvl>
  </w:abstractNum>
  <w:abstractNum w:abstractNumId="18">
    <w:nsid w:val="98A3148"/>
    <w:multiLevelType w:val="hybridMultilevel"/>
    <w:lvl w:ilvl="0">
      <w:lvlJc w:val="left"/>
      <w:lvlText w:val="&amp;"/>
      <w:numFmt w:val="bullet"/>
      <w:start w:val="1"/>
    </w:lvl>
  </w:abstractNum>
  <w:abstractNum w:abstractNumId="19">
    <w:nsid w:val="799D0247"/>
    <w:multiLevelType w:val="hybridMultilevel"/>
    <w:lvl w:ilvl="0">
      <w:lvlJc w:val="left"/>
      <w:lvlText w:val="●"/>
      <w:numFmt w:val="bullet"/>
      <w:start w:val="1"/>
    </w:lvl>
  </w:abstractNum>
  <w:abstractNum w:abstractNumId="20">
    <w:nsid w:val="6B94764"/>
    <w:multiLevelType w:val="hybridMultilevel"/>
    <w:lvl w:ilvl="0">
      <w:lvlJc w:val="left"/>
      <w:lvlText w:val="●"/>
      <w:numFmt w:val="bullet"/>
      <w:start w:val="1"/>
    </w:lvl>
  </w:abstractNum>
  <w:abstractNum w:abstractNumId="21">
    <w:nsid w:val="42C296BD"/>
    <w:multiLevelType w:val="hybridMultilevel"/>
    <w:lvl w:ilvl="0">
      <w:lvlJc w:val="left"/>
      <w:lvlText w:val="●"/>
      <w:numFmt w:val="bullet"/>
      <w:start w:val="1"/>
    </w:lvl>
  </w:abstractNum>
  <w:abstractNum w:abstractNumId="22">
    <w:nsid w:val="168E121F"/>
    <w:multiLevelType w:val="hybridMultilevel"/>
    <w:lvl w:ilvl="0">
      <w:lvlJc w:val="left"/>
      <w:lvlText w:val="(%1)"/>
      <w:numFmt w:val="decimal"/>
      <w:start w:val="1"/>
    </w:lvl>
  </w:abstractNum>
  <w:abstractNum w:abstractNumId="23">
    <w:nsid w:val="1EBA5D23"/>
    <w:multiLevelType w:val="hybridMultilevel"/>
    <w:lvl w:ilvl="0">
      <w:lvlJc w:val="left"/>
      <w:lvlText w:val="●"/>
      <w:numFmt w:val="bullet"/>
      <w:start w:val="1"/>
    </w:lvl>
  </w:abstractNum>
  <w:abstractNum w:abstractNumId="24">
    <w:nsid w:val="661E3F1E"/>
    <w:multiLevelType w:val="hybridMultilevel"/>
    <w:lvl w:ilvl="0">
      <w:lvlJc w:val="left"/>
      <w:lvlText w:val="●"/>
      <w:numFmt w:val="bullet"/>
      <w:start w:val="1"/>
    </w:lvl>
  </w:abstractNum>
  <w:abstractNum w:abstractNumId="25">
    <w:nsid w:val="5DC79EA8"/>
    <w:multiLevelType w:val="hybridMultilevel"/>
    <w:lvl w:ilvl="0">
      <w:lvlJc w:val="left"/>
      <w:lvlText w:val="●"/>
      <w:numFmt w:val="bullet"/>
      <w:start w:val="1"/>
    </w:lvl>
    <w:lvl w:ilvl="1">
      <w:lvlJc w:val="left"/>
      <w:lvlText w:val="●"/>
      <w:numFmt w:val="bullet"/>
      <w:start w:val="1"/>
    </w:lvl>
  </w:abstractNum>
  <w:abstractNum w:abstractNumId="26">
    <w:nsid w:val="540A471C"/>
    <w:multiLevelType w:val="hybridMultilevel"/>
    <w:lvl w:ilvl="0">
      <w:lvlJc w:val="left"/>
      <w:lvlText w:val="●"/>
      <w:numFmt w:val="bullet"/>
      <w:start w:val="1"/>
    </w:lvl>
  </w:abstractNum>
  <w:abstractNum w:abstractNumId="27">
    <w:nsid w:val="7BD3EE7B"/>
    <w:multiLevelType w:val="hybridMultilevel"/>
    <w:lvl w:ilvl="0">
      <w:lvlJc w:val="left"/>
      <w:lvlText w:val="●"/>
      <w:numFmt w:val="bullet"/>
      <w:start w:val="1"/>
    </w:lvl>
  </w:abstractNum>
  <w:abstractNum w:abstractNumId="28">
    <w:nsid w:val="51D9C564"/>
    <w:multiLevelType w:val="hybridMultilevel"/>
    <w:lvl w:ilvl="0">
      <w:lvlJc w:val="left"/>
      <w:lvlText w:val="●"/>
      <w:numFmt w:val="bullet"/>
      <w:start w:val="1"/>
    </w:lvl>
  </w:abstractNum>
  <w:abstractNum w:abstractNumId="29">
    <w:nsid w:val="613EFDC5"/>
    <w:multiLevelType w:val="hybridMultilevel"/>
    <w:lvl w:ilvl="0">
      <w:lvlJc w:val="left"/>
      <w:lvlText w:val="●"/>
      <w:numFmt w:val="bullet"/>
      <w:start w:val="1"/>
    </w:lvl>
  </w:abstractNum>
  <w:abstractNum w:abstractNumId="30">
    <w:nsid w:val="BF72B14"/>
    <w:multiLevelType w:val="hybridMultilevel"/>
    <w:lvl w:ilvl="0">
      <w:lvlJc w:val="left"/>
      <w:lvlText w:val="●"/>
      <w:numFmt w:val="bullet"/>
      <w:start w:val="1"/>
    </w:lvl>
  </w:abstractNum>
  <w:abstractNum w:abstractNumId="31">
    <w:nsid w:val="11447B73"/>
    <w:multiLevelType w:val="hybridMultilevel"/>
    <w:lvl w:ilvl="0">
      <w:lvlJc w:val="left"/>
      <w:lvlText w:val="(%1)"/>
      <w:numFmt w:val="decimal"/>
      <w:start w:val="1"/>
    </w:lvl>
  </w:abstractNum>
  <w:abstractNum w:abstractNumId="32">
    <w:nsid w:val="42963E5A"/>
    <w:multiLevelType w:val="hybridMultilevel"/>
    <w:lvl w:ilvl="0">
      <w:lvlJc w:val="left"/>
      <w:lvlText w:val="●"/>
      <w:numFmt w:val="bullet"/>
      <w:start w:val="1"/>
    </w:lvl>
  </w:abstractNum>
  <w:abstractNum w:abstractNumId="33">
    <w:nsid w:val="A0382C5"/>
    <w:multiLevelType w:val="hybridMultilevel"/>
    <w:lvl w:ilvl="0">
      <w:lvlJc w:val="left"/>
      <w:lvlText w:val="●"/>
      <w:numFmt w:val="bullet"/>
      <w:start w:val="1"/>
    </w:lvl>
  </w:abstractNum>
  <w:abstractNum w:abstractNumId="34">
    <w:nsid w:val="8F2B15E"/>
    <w:multiLevelType w:val="hybridMultilevel"/>
    <w:lvl w:ilvl="0">
      <w:lvlJc w:val="left"/>
      <w:lvlText w:val="●"/>
      <w:numFmt w:val="bullet"/>
      <w:start w:val="1"/>
    </w:lvl>
  </w:abstractNum>
  <w:abstractNum w:abstractNumId="35">
    <w:nsid w:val="1A32234B"/>
    <w:multiLevelType w:val="hybridMultilevel"/>
    <w:lvl w:ilvl="0">
      <w:lvlJc w:val="left"/>
      <w:lvlText w:val="●"/>
      <w:numFmt w:val="bullet"/>
      <w:start w:val="1"/>
    </w:lvl>
  </w:abstractNum>
  <w:abstractNum w:abstractNumId="36">
    <w:nsid w:val="3B0FD379"/>
    <w:multiLevelType w:val="hybridMultilevel"/>
    <w:lvl w:ilvl="0">
      <w:lvlJc w:val="left"/>
      <w:lvlText w:val="●"/>
      <w:numFmt w:val="bullet"/>
      <w:start w:val="1"/>
    </w:lvl>
  </w:abstractNum>
  <w:abstractNum w:abstractNumId="37">
    <w:nsid w:val="68EB2F63"/>
    <w:multiLevelType w:val="hybridMultilevel"/>
    <w:lvl w:ilvl="0">
      <w:lvlJc w:val="left"/>
      <w:lvlText w:val="●"/>
      <w:numFmt w:val="bullet"/>
      <w:start w:val="1"/>
    </w:lvl>
  </w:abstractNum>
  <w:abstractNum w:abstractNumId="38">
    <w:nsid w:val="4962813B"/>
    <w:multiLevelType w:val="hybridMultilevel"/>
    <w:lvl w:ilvl="0">
      <w:lvlJc w:val="left"/>
      <w:lvlText w:val="●"/>
      <w:numFmt w:val="bullet"/>
      <w:start w:val="1"/>
    </w:lvl>
  </w:abstractNum>
  <w:abstractNum w:abstractNumId="39">
    <w:nsid w:val="60B6DF70"/>
    <w:multiLevelType w:val="hybridMultilevel"/>
    <w:lvl w:ilvl="0">
      <w:lvlJc w:val="left"/>
      <w:lvlText w:val="●"/>
      <w:numFmt w:val="bullet"/>
      <w:start w:val="1"/>
    </w:lvl>
  </w:abstractNum>
  <w:abstractNum w:abstractNumId="40">
    <w:nsid w:val="6A5EE64"/>
    <w:multiLevelType w:val="hybridMultilevel"/>
    <w:lvl w:ilvl="0">
      <w:lvlJc w:val="left"/>
      <w:lvlText w:val="■"/>
      <w:numFmt w:val="bullet"/>
      <w:start w:val="1"/>
    </w:lvl>
  </w:abstractNum>
  <w:abstractNum w:abstractNumId="41">
    <w:nsid w:val="14330624"/>
    <w:multiLevelType w:val="hybridMultilevel"/>
    <w:lvl w:ilvl="0">
      <w:lvlJc w:val="left"/>
      <w:lvlText w:val="●"/>
      <w:numFmt w:val="bullet"/>
      <w:start w:val="1"/>
    </w:lvl>
  </w:abstractNum>
  <w:abstractNum w:abstractNumId="42">
    <w:nsid w:val="7FFFCA11"/>
    <w:multiLevelType w:val="hybridMultilevel"/>
    <w:lvl w:ilvl="0">
      <w:lvlJc w:val="left"/>
      <w:lvlText w:val="●"/>
      <w:numFmt w:val="bullet"/>
      <w:start w:val="1"/>
    </w:lvl>
  </w:abstractNum>
  <w:abstractNum w:abstractNumId="43">
    <w:nsid w:val="1A27709E"/>
    <w:multiLevelType w:val="hybridMultilevel"/>
    <w:lvl w:ilvl="0">
      <w:lvlJc w:val="left"/>
      <w:lvlText w:val="●"/>
      <w:numFmt w:val="bullet"/>
      <w:start w:val="1"/>
    </w:lvl>
  </w:abstractNum>
  <w:abstractNum w:abstractNumId="44">
    <w:nsid w:val="71EA1109"/>
    <w:multiLevelType w:val="hybridMultilevel"/>
    <w:lvl w:ilvl="0">
      <w:lvlJc w:val="left"/>
      <w:lvlText w:val="●"/>
      <w:numFmt w:val="bullet"/>
      <w:start w:val="1"/>
    </w:lvl>
  </w:abstractNum>
  <w:abstractNum w:abstractNumId="45">
    <w:nsid w:val="100F59DC"/>
    <w:multiLevelType w:val="hybridMultilevel"/>
    <w:lvl w:ilvl="0">
      <w:lvlJc w:val="left"/>
      <w:lvlText w:val="●"/>
      <w:numFmt w:val="bullet"/>
      <w:start w:val="1"/>
    </w:lvl>
  </w:abstractNum>
  <w:abstractNum w:abstractNumId="46">
    <w:nsid w:val="7FB7E0AA"/>
    <w:multiLevelType w:val="hybridMultilevel"/>
    <w:lvl w:ilvl="0">
      <w:lvlJc w:val="left"/>
      <w:lvlText w:val="●"/>
      <w:numFmt w:val="bullet"/>
      <w:start w:val="1"/>
    </w:lvl>
  </w:abstractNum>
  <w:abstractNum w:abstractNumId="47">
    <w:nsid w:val="6EB5BD4"/>
    <w:multiLevelType w:val="hybridMultilevel"/>
    <w:lvl w:ilvl="0">
      <w:lvlJc w:val="left"/>
      <w:lvlText w:val="●"/>
      <w:numFmt w:val="bullet"/>
      <w:start w:val="1"/>
    </w:lvl>
  </w:abstractNum>
  <w:abstractNum w:abstractNumId="48">
    <w:nsid w:val="6F6DD9AC"/>
    <w:multiLevelType w:val="hybridMultilevel"/>
    <w:lvl w:ilvl="0">
      <w:lvlJc w:val="left"/>
      <w:lvlText w:val="●"/>
      <w:numFmt w:val="bullet"/>
      <w:start w:val="1"/>
    </w:lvl>
  </w:abstractNum>
  <w:abstractNum w:abstractNumId="49">
    <w:nsid w:val="94211F2"/>
    <w:multiLevelType w:val="hybridMultilevel"/>
    <w:lvl w:ilvl="0">
      <w:lvlJc w:val="left"/>
      <w:lvlText w:val="●"/>
      <w:numFmt w:val="bullet"/>
      <w:start w:val="1"/>
    </w:lvl>
  </w:abstractNum>
  <w:abstractNum w:abstractNumId="50">
    <w:nsid w:val="885E1B"/>
    <w:multiLevelType w:val="hybridMultilevel"/>
    <w:lvl w:ilvl="0">
      <w:lvlJc w:val="left"/>
      <w:lvlText w:val="●"/>
      <w:numFmt w:val="bullet"/>
      <w:start w:val="1"/>
    </w:lvl>
  </w:abstractNum>
  <w:abstractNum w:abstractNumId="51">
    <w:nsid w:val="76272110"/>
    <w:multiLevelType w:val="hybridMultilevel"/>
    <w:lvl w:ilvl="0">
      <w:lvlJc w:val="left"/>
      <w:lvlText w:val="●"/>
      <w:numFmt w:val="bullet"/>
      <w:start w:val="1"/>
    </w:lvl>
  </w:abstractNum>
  <w:abstractNum w:abstractNumId="52">
    <w:nsid w:val="4C04A8AF"/>
    <w:multiLevelType w:val="hybridMultilevel"/>
    <w:lvl w:ilvl="0">
      <w:lvlJc w:val="left"/>
      <w:lvlText w:val="(%1)"/>
      <w:numFmt w:val="decimal"/>
      <w:start w:val="1"/>
    </w:lvl>
  </w:abstractNum>
  <w:abstractNum w:abstractNumId="53">
    <w:nsid w:val="1716703B"/>
    <w:multiLevelType w:val="hybridMultilevel"/>
    <w:lvl w:ilvl="0">
      <w:lvlJc w:val="left"/>
      <w:lvlText w:val="●"/>
      <w:numFmt w:val="bullet"/>
      <w:start w:val="1"/>
    </w:lvl>
  </w:abstractNum>
  <w:abstractNum w:abstractNumId="54">
    <w:nsid w:val="14E17E33"/>
    <w:multiLevelType w:val="hybridMultilevel"/>
    <w:lvl w:ilvl="0">
      <w:lvlJc w:val="left"/>
      <w:lvlText w:val="(%1)"/>
      <w:numFmt w:val="decimal"/>
      <w:start w:val="1"/>
    </w:lvl>
  </w:abstractNum>
  <w:abstractNum w:abstractNumId="55">
    <w:nsid w:val="3222E7CD"/>
    <w:multiLevelType w:val="hybridMultilevel"/>
    <w:lvl w:ilvl="0">
      <w:lvlJc w:val="left"/>
      <w:lvlText w:val="●"/>
      <w:numFmt w:val="bullet"/>
      <w:start w:val="1"/>
    </w:lvl>
  </w:abstractNum>
  <w:abstractNum w:abstractNumId="56">
    <w:nsid w:val="74DE0EE3"/>
    <w:multiLevelType w:val="hybridMultilevel"/>
    <w:lvl w:ilvl="0">
      <w:lvlJc w:val="left"/>
      <w:lvlText w:val="●"/>
      <w:numFmt w:val="bullet"/>
      <w:start w:val="1"/>
    </w:lvl>
    <w:lvl w:ilvl="1">
      <w:lvlJc w:val="left"/>
      <w:lvlText w:val="●"/>
      <w:numFmt w:val="bullet"/>
      <w:start w:val="1"/>
    </w:lvl>
  </w:abstractNum>
  <w:abstractNum w:abstractNumId="57">
    <w:nsid w:val="68EBC550"/>
    <w:multiLevelType w:val="hybridMultilevel"/>
    <w:lvl w:ilvl="0">
      <w:lvlJc w:val="left"/>
      <w:lvlText w:val="(%1)"/>
      <w:numFmt w:val="decimal"/>
      <w:start w:val="1"/>
    </w:lvl>
  </w:abstractNum>
  <w:abstractNum w:abstractNumId="58">
    <w:nsid w:val="2DF6D648"/>
    <w:multiLevelType w:val="hybridMultilevel"/>
    <w:lvl w:ilvl="0">
      <w:lvlJc w:val="left"/>
      <w:lvlText w:val="●"/>
      <w:numFmt w:val="bullet"/>
      <w:start w:val="1"/>
    </w:lvl>
  </w:abstractNum>
  <w:abstractNum w:abstractNumId="59">
    <w:nsid w:val="46B7D447"/>
    <w:multiLevelType w:val="hybridMultilevel"/>
    <w:lvl w:ilvl="0">
      <w:lvlJc w:val="left"/>
      <w:lvlText w:val="●"/>
      <w:numFmt w:val="bullet"/>
      <w:start w:val="1"/>
    </w:lvl>
  </w:abstractNum>
  <w:abstractNum w:abstractNumId="60">
    <w:nsid w:val="4A2AC315"/>
    <w:multiLevelType w:val="hybridMultilevel"/>
    <w:lvl w:ilvl="0">
      <w:lvlJc w:val="left"/>
      <w:lvlText w:val="●"/>
      <w:numFmt w:val="bullet"/>
      <w:start w:val="1"/>
    </w:lvl>
  </w:abstractNum>
  <w:abstractNum w:abstractNumId="61">
    <w:nsid w:val="39EE015C"/>
    <w:multiLevelType w:val="hybridMultilevel"/>
    <w:lvl w:ilvl="0">
      <w:lvlJc w:val="left"/>
      <w:lvlText w:val="(%1)"/>
      <w:numFmt w:val="decimal"/>
      <w:start w:val="1"/>
    </w:lvl>
  </w:abstractNum>
  <w:abstractNum w:abstractNumId="62">
    <w:nsid w:val="57FC4FBB"/>
    <w:multiLevelType w:val="hybridMultilevel"/>
    <w:lvl w:ilvl="0">
      <w:lvlJc w:val="left"/>
      <w:lvlText w:val="(%1)"/>
      <w:numFmt w:val="decimal"/>
      <w:start w:val="1"/>
    </w:lvl>
  </w:abstractNum>
  <w:abstractNum w:abstractNumId="63">
    <w:nsid w:val="CC1016F"/>
    <w:multiLevelType w:val="hybridMultilevel"/>
    <w:lvl w:ilvl="0">
      <w:lvlJc w:val="left"/>
      <w:lvlText w:val="●"/>
      <w:numFmt w:val="bullet"/>
      <w:start w:val="1"/>
    </w:lvl>
  </w:abstractNum>
  <w:abstractNum w:abstractNumId="64">
    <w:nsid w:val="43F18422"/>
    <w:multiLevelType w:val="hybridMultilevel"/>
    <w:lvl w:ilvl="0">
      <w:lvlJc w:val="left"/>
      <w:lvlText w:val="●"/>
      <w:numFmt w:val="bullet"/>
      <w:start w:val="1"/>
    </w:lvl>
  </w:abstractNum>
  <w:abstractNum w:abstractNumId="65">
    <w:nsid w:val="60EF0119"/>
    <w:multiLevelType w:val="hybridMultilevel"/>
    <w:lvl w:ilvl="0">
      <w:lvlJc w:val="left"/>
      <w:lvlText w:val="●"/>
      <w:numFmt w:val="bullet"/>
      <w:start w:val="1"/>
    </w:lvl>
  </w:abstractNum>
  <w:abstractNum w:abstractNumId="66">
    <w:nsid w:val="26F324BA"/>
    <w:multiLevelType w:val="hybridMultilevel"/>
    <w:lvl w:ilvl="0">
      <w:lvlJc w:val="left"/>
      <w:lvlText w:val="(%1)"/>
      <w:numFmt w:val="decimal"/>
      <w:start w:val="1"/>
    </w:lvl>
  </w:abstractNum>
  <w:abstractNum w:abstractNumId="67">
    <w:nsid w:val="7F01579B"/>
    <w:multiLevelType w:val="hybridMultilevel"/>
    <w:lvl w:ilvl="0">
      <w:lvlJc w:val="left"/>
      <w:lvlText w:val="(%1)"/>
      <w:numFmt w:val="decimal"/>
      <w:start w:val="1"/>
    </w:lvl>
  </w:abstractNum>
  <w:abstractNum w:abstractNumId="68">
    <w:nsid w:val="49DA307D"/>
    <w:multiLevelType w:val="hybridMultilevel"/>
    <w:lvl w:ilvl="0">
      <w:lvlJc w:val="left"/>
      <w:lvlText w:val="(%1)"/>
      <w:numFmt w:val="decimal"/>
      <w:start w:val="1"/>
    </w:lvl>
  </w:abstractNum>
  <w:abstractNum w:abstractNumId="69">
    <w:nsid w:val="7055A5F5"/>
    <w:multiLevelType w:val="hybridMultilevel"/>
    <w:lvl w:ilvl="0">
      <w:lvlJc w:val="left"/>
      <w:lvlText w:val="●"/>
      <w:numFmt w:val="bullet"/>
      <w:start w:val="1"/>
    </w:lvl>
  </w:abstractNum>
  <w:abstractNum w:abstractNumId="70">
    <w:nsid w:val="5FB8370B"/>
    <w:multiLevelType w:val="hybridMultilevel"/>
    <w:lvl w:ilvl="0">
      <w:lvlJc w:val="left"/>
      <w:lvlText w:val="●"/>
      <w:numFmt w:val="bullet"/>
      <w:start w:val="1"/>
    </w:lvl>
  </w:abstractNum>
  <w:abstractNum w:abstractNumId="71">
    <w:nsid w:val="50801EE1"/>
    <w:multiLevelType w:val="hybridMultilevel"/>
    <w:lvl w:ilvl="0">
      <w:lvlJc w:val="left"/>
      <w:lvlText w:val="●"/>
      <w:numFmt w:val="bullet"/>
      <w:start w:val="1"/>
    </w:lvl>
  </w:abstractNum>
  <w:abstractNum w:abstractNumId="72">
    <w:nsid w:val="488AC1A"/>
    <w:multiLevelType w:val="hybridMultilevel"/>
    <w:lvl w:ilvl="0">
      <w:lvlJc w:val="left"/>
      <w:lvlText w:val="●"/>
      <w:numFmt w:val="bullet"/>
      <w:start w:val="1"/>
    </w:lvl>
  </w:abstractNum>
  <w:abstractNum w:abstractNumId="73">
    <w:nsid w:val="5FB8011C"/>
    <w:multiLevelType w:val="hybridMultilevel"/>
    <w:lvl w:ilvl="0">
      <w:lvlJc w:val="left"/>
      <w:lvlText w:val="●"/>
      <w:numFmt w:val="bullet"/>
      <w:start w:val="1"/>
    </w:lvl>
  </w:abstractNum>
  <w:abstractNum w:abstractNumId="74">
    <w:nsid w:val="6AA78F7F"/>
    <w:multiLevelType w:val="hybridMultilevel"/>
    <w:lvl w:ilvl="0">
      <w:lvlJc w:val="left"/>
      <w:lvlText w:val="●"/>
      <w:numFmt w:val="bullet"/>
      <w:start w:val="1"/>
    </w:lvl>
  </w:abstractNum>
  <w:abstractNum w:abstractNumId="75">
    <w:nsid w:val="7672BD23"/>
    <w:multiLevelType w:val="hybridMultilevel"/>
    <w:lvl w:ilvl="0">
      <w:lvlJc w:val="left"/>
      <w:lvlText w:val="●"/>
      <w:numFmt w:val="bullet"/>
      <w:start w:val="1"/>
    </w:lvl>
  </w:abstractNum>
  <w:abstractNum w:abstractNumId="76">
    <w:nsid w:val="6FC75AF8"/>
    <w:multiLevelType w:val="hybridMultilevel"/>
    <w:lvl w:ilvl="0">
      <w:lvlJc w:val="left"/>
      <w:lvlText w:val="(%1)"/>
      <w:numFmt w:val="decimal"/>
      <w:start w:val="1"/>
    </w:lvl>
  </w:abstractNum>
  <w:abstractNum w:abstractNumId="77">
    <w:nsid w:val="6A5F7029"/>
    <w:multiLevelType w:val="hybridMultilevel"/>
    <w:lvl w:ilvl="0">
      <w:lvlJc w:val="left"/>
      <w:lvlText w:val="►"/>
      <w:numFmt w:val="bullet"/>
      <w:start w:val="1"/>
    </w:lvl>
  </w:abstractNum>
  <w:abstractNum w:abstractNumId="78">
    <w:nsid w:val="7D5E18F8"/>
    <w:multiLevelType w:val="hybridMultilevel"/>
    <w:lvl w:ilvl="0">
      <w:lvlJc w:val="left"/>
      <w:lvlText w:val="(%1)"/>
      <w:numFmt w:val="decimal"/>
      <w:start w:val="1"/>
    </w:lvl>
  </w:abstractNum>
  <w:abstractNum w:abstractNumId="79">
    <w:nsid w:val="5F3534A4"/>
    <w:multiLevelType w:val="hybridMultilevel"/>
    <w:lvl w:ilvl="0">
      <w:lvlJc w:val="left"/>
      <w:lvlText w:val="(%1)"/>
      <w:numFmt w:val="decimal"/>
      <w:start w:val="1"/>
    </w:lvl>
  </w:abstractNum>
  <w:abstractNum w:abstractNumId="80">
    <w:nsid w:val="73A1821B"/>
    <w:multiLevelType w:val="hybridMultilevel"/>
    <w:lvl w:ilvl="0">
      <w:lvlJc w:val="left"/>
      <w:lvlText w:val="(%1)"/>
      <w:numFmt w:val="decimal"/>
      <w:start w:val="1"/>
    </w:lvl>
  </w:abstractNum>
  <w:abstractNum w:abstractNumId="81">
    <w:nsid w:val="7DE67713"/>
    <w:multiLevelType w:val="hybridMultilevel"/>
    <w:lvl w:ilvl="0">
      <w:lvlJc w:val="left"/>
      <w:lvlText w:val="●"/>
      <w:numFmt w:val="bullet"/>
      <w:start w:val="1"/>
    </w:lvl>
  </w:abstractNum>
  <w:abstractNum w:abstractNumId="82">
    <w:nsid w:val="555C55B5"/>
    <w:multiLevelType w:val="hybridMultilevel"/>
    <w:lvl w:ilvl="0">
      <w:lvlJc w:val="left"/>
      <w:lvlText w:val="●"/>
      <w:numFmt w:val="bullet"/>
      <w:start w:val="1"/>
    </w:lvl>
  </w:abstractNum>
  <w:abstractNum w:abstractNumId="83">
    <w:nsid w:val="3FA62ACA"/>
    <w:multiLevelType w:val="hybridMultilevel"/>
    <w:lvl w:ilvl="0">
      <w:lvlJc w:val="left"/>
      <w:lvlText w:val="(%1)"/>
      <w:numFmt w:val="decimal"/>
      <w:start w:val="1"/>
    </w:lvl>
  </w:abstractNum>
  <w:abstractNum w:abstractNumId="84">
    <w:nsid w:val="14FCE74E"/>
    <w:multiLevelType w:val="hybridMultilevel"/>
    <w:lvl w:ilvl="0">
      <w:lvlJc w:val="left"/>
      <w:lvlText w:val="●"/>
      <w:numFmt w:val="bullet"/>
      <w:start w:val="1"/>
    </w:lvl>
  </w:abstractNum>
  <w:abstractNum w:abstractNumId="85">
    <w:nsid w:val="6A3DD3E8"/>
    <w:multiLevelType w:val="hybridMultilevel"/>
    <w:lvl w:ilvl="0">
      <w:lvlJc w:val="left"/>
      <w:lvlText w:val="(%1)"/>
      <w:numFmt w:val="decimal"/>
      <w:start w:val="1"/>
    </w:lvl>
  </w:abstractNum>
  <w:abstractNum w:abstractNumId="86">
    <w:nsid w:val="71C91298"/>
    <w:multiLevelType w:val="hybridMultilevel"/>
    <w:lvl w:ilvl="0">
      <w:lvlJc w:val="left"/>
      <w:lvlText w:val="●"/>
      <w:numFmt w:val="bullet"/>
      <w:start w:val="1"/>
    </w:lvl>
  </w:abstractNum>
  <w:abstractNum w:abstractNumId="87">
    <w:nsid w:val="9DAF632"/>
    <w:multiLevelType w:val="hybridMultilevel"/>
    <w:lvl w:ilvl="0">
      <w:lvlJc w:val="left"/>
      <w:lvlText w:val="(%1)"/>
      <w:numFmt w:val="decimal"/>
      <w:start w:val="1"/>
    </w:lvl>
  </w:abstractNum>
  <w:abstractNum w:abstractNumId="88">
    <w:nsid w:val="53299938"/>
    <w:multiLevelType w:val="hybridMultilevel"/>
    <w:lvl w:ilvl="0">
      <w:lvlJc w:val="left"/>
      <w:lvlText w:val="(%1)"/>
      <w:numFmt w:val="decimal"/>
      <w:start w:val="1"/>
    </w:lvl>
  </w:abstractNum>
  <w:abstractNum w:abstractNumId="89">
    <w:nsid w:val="1FBFE8E0"/>
    <w:multiLevelType w:val="hybridMultilevel"/>
    <w:lvl w:ilvl="0">
      <w:lvlJc w:val="left"/>
      <w:lvlText w:val="(%1)"/>
      <w:numFmt w:val="decimal"/>
      <w:start w:val="2"/>
    </w:lvl>
  </w:abstractNum>
  <w:abstractNum w:abstractNumId="90">
    <w:nsid w:val="5092CA79"/>
    <w:multiLevelType w:val="hybridMultilevel"/>
    <w:lvl w:ilvl="0">
      <w:lvlJc w:val="left"/>
      <w:lvlText w:val="(%1)"/>
      <w:numFmt w:val="decimal"/>
      <w:start w:val="3"/>
    </w:lvl>
  </w:abstractNum>
  <w:abstractNum w:abstractNumId="91">
    <w:nsid w:val="1D545C4D"/>
    <w:multiLevelType w:val="hybridMultilevel"/>
    <w:lvl w:ilvl="0">
      <w:lvlJc w:val="left"/>
      <w:lvlText w:val="(%1)"/>
      <w:numFmt w:val="decimal"/>
      <w:start w:val="5"/>
    </w:lvl>
  </w:abstractNum>
  <w:abstractNum w:abstractNumId="92">
    <w:nsid w:val="59ADEA3D"/>
    <w:multiLevelType w:val="hybridMultilevel"/>
    <w:lvl w:ilvl="0">
      <w:lvlJc w:val="left"/>
      <w:lvlText w:val="(%1)"/>
      <w:numFmt w:val="decimal"/>
      <w:start w:val="1"/>
    </w:lvl>
  </w:abstractNum>
  <w:abstractNum w:abstractNumId="93">
    <w:nsid w:val="288F1A34"/>
    <w:multiLevelType w:val="hybridMultilevel"/>
    <w:lvl w:ilvl="0">
      <w:lvlJc w:val="left"/>
      <w:lvlText w:val="(%1)"/>
      <w:numFmt w:val="decimal"/>
      <w:start w:val="1"/>
    </w:lvl>
  </w:abstractNum>
  <w:abstractNum w:abstractNumId="94">
    <w:nsid w:val="2A155DBC"/>
    <w:multiLevelType w:val="hybridMultilevel"/>
    <w:lvl w:ilvl="0">
      <w:lvlJc w:val="left"/>
      <w:lvlText w:val="(%1)"/>
      <w:numFmt w:val="decimal"/>
      <w:start w:val="3"/>
    </w:lvl>
  </w:abstractNum>
  <w:abstractNum w:abstractNumId="95">
    <w:nsid w:val="1D9F6E5F"/>
    <w:multiLevelType w:val="hybridMultilevel"/>
    <w:lvl w:ilvl="0">
      <w:lvlJc w:val="left"/>
      <w:lvlText w:val="(%1)"/>
      <w:numFmt w:val="decimal"/>
      <w:start w:val="1"/>
    </w:lvl>
  </w:abstractNum>
  <w:abstractNum w:abstractNumId="96">
    <w:nsid w:val="97E1B4E"/>
    <w:multiLevelType w:val="hybridMultilevel"/>
    <w:lvl w:ilvl="0">
      <w:lvlJc w:val="left"/>
      <w:lvlText w:val="%1"/>
      <w:numFmt w:val="decimal"/>
      <w:start w:val="1"/>
    </w:lvl>
    <w:lvl w:ilvl="1">
      <w:lvlJc w:val="left"/>
      <w:lvlText w:val="(%2)"/>
      <w:numFmt w:val="lowerRoman"/>
      <w:start w:val="7"/>
    </w:lvl>
  </w:abstractNum>
  <w:abstractNum w:abstractNumId="97">
    <w:nsid w:val="51088277"/>
    <w:multiLevelType w:val="hybridMultilevel"/>
    <w:lvl w:ilvl="0">
      <w:lvlJc w:val="left"/>
      <w:lvlText w:val="(%1)"/>
      <w:numFmt w:val="decimal"/>
      <w:start w:val="2"/>
    </w:lvl>
    <w:lvl w:ilvl="1">
      <w:lvlJc w:val="left"/>
      <w:lvlText w:val="%2"/>
      <w:numFmt w:val="lowerRoman"/>
      <w:start w:val="1"/>
    </w:lvl>
  </w:abstractNum>
  <w:abstractNum w:abstractNumId="98">
    <w:nsid w:val="1CA0C5FA"/>
    <w:multiLevelType w:val="hybridMultilevel"/>
    <w:lvl w:ilvl="0">
      <w:lvlJc w:val="left"/>
      <w:lvlText w:val="(%1)"/>
      <w:numFmt w:val="decimal"/>
      <w:start w:val="1"/>
    </w:lvl>
  </w:abstractNum>
  <w:abstractNum w:abstractNumId="99">
    <w:nsid w:val="53584BCB"/>
    <w:multiLevelType w:val="hybridMultilevel"/>
    <w:lvl w:ilvl="0">
      <w:lvlJc w:val="left"/>
      <w:lvlText w:val="(%1)"/>
      <w:numFmt w:val="lowerLetter"/>
      <w:start w:val="1"/>
    </w:lvl>
  </w:abstractNum>
  <w:abstractNum w:abstractNumId="100">
    <w:nsid w:val="415E286C"/>
    <w:multiLevelType w:val="hybridMultilevel"/>
    <w:lvl w:ilvl="0">
      <w:lvlJc w:val="left"/>
      <w:lvlText w:val="(%1)"/>
      <w:numFmt w:val="decimal"/>
      <w:start w:val="1"/>
    </w:lvl>
  </w:abstractNum>
  <w:abstractNum w:abstractNumId="101">
    <w:nsid w:val="7C58FD05"/>
    <w:multiLevelType w:val="hybridMultilevel"/>
    <w:lvl w:ilvl="0">
      <w:lvlJc w:val="left"/>
      <w:lvlText w:val="●"/>
      <w:numFmt w:val="bullet"/>
      <w:start w:val="1"/>
    </w:lvl>
  </w:abstractNum>
  <w:abstractNum w:abstractNumId="102">
    <w:nsid w:val="23D86AAC"/>
    <w:multiLevelType w:val="hybridMultilevel"/>
    <w:lvl w:ilvl="0">
      <w:lvlJc w:val="left"/>
      <w:lvlText w:val="●"/>
      <w:numFmt w:val="bullet"/>
      <w:start w:val="1"/>
    </w:lvl>
  </w:abstractNum>
  <w:abstractNum w:abstractNumId="103">
    <w:nsid w:val="45E6D486"/>
    <w:multiLevelType w:val="hybridMultilevel"/>
    <w:lvl w:ilvl="0">
      <w:lvlJc w:val="left"/>
      <w:lvlText w:val="●"/>
      <w:numFmt w:val="bullet"/>
      <w:start w:val="1"/>
    </w:lvl>
  </w:abstractNum>
  <w:abstractNum w:abstractNumId="104">
    <w:nsid w:val="5C10FE21"/>
    <w:multiLevelType w:val="hybridMultilevel"/>
    <w:lvl w:ilvl="0">
      <w:lvlJc w:val="left"/>
      <w:lvlText w:val="(%1)"/>
      <w:numFmt w:val="decimal"/>
      <w:start w:val="1"/>
    </w:lvl>
  </w:abstractNum>
  <w:abstractNum w:abstractNumId="105">
    <w:nsid w:val="E7FFA2B"/>
    <w:multiLevelType w:val="hybridMultilevel"/>
    <w:lvl w:ilvl="0">
      <w:lvlJc w:val="left"/>
      <w:lvlText w:val="(%1)"/>
      <w:numFmt w:val="decimal"/>
      <w:start w:val="1"/>
    </w:lvl>
  </w:abstractNum>
  <w:abstractNum w:abstractNumId="106">
    <w:nsid w:val="3C5991AA"/>
    <w:multiLevelType w:val="hybridMultilevel"/>
    <w:lvl w:ilvl="0">
      <w:lvlJc w:val="left"/>
      <w:lvlText w:val="(%1)"/>
      <w:numFmt w:val="decimal"/>
      <w:start w:val="1"/>
    </w:lvl>
  </w:abstractNum>
  <w:abstractNum w:abstractNumId="107">
    <w:nsid w:val="4BD8591A"/>
    <w:multiLevelType w:val="hybridMultilevel"/>
    <w:lvl w:ilvl="0">
      <w:lvlJc w:val="left"/>
      <w:lvlText w:val="(%1)"/>
      <w:numFmt w:val="decimal"/>
      <w:start w:val="1"/>
    </w:lvl>
  </w:abstractNum>
  <w:abstractNum w:abstractNumId="108">
    <w:nsid w:val="78DF6A55"/>
    <w:multiLevelType w:val="hybridMultilevel"/>
    <w:lvl w:ilvl="0">
      <w:lvlJc w:val="left"/>
      <w:lvlText w:val="(%1)"/>
      <w:numFmt w:val="decimal"/>
      <w:start w:val="1"/>
    </w:lvl>
  </w:abstractNum>
  <w:abstractNum w:abstractNumId="109">
    <w:nsid w:val="39B7AAA2"/>
    <w:multiLevelType w:val="hybridMultilevel"/>
    <w:lvl w:ilvl="0">
      <w:lvlJc w:val="left"/>
      <w:lvlText w:val="●"/>
      <w:numFmt w:val="bullet"/>
      <w:start w:val="1"/>
    </w:lvl>
  </w:abstractNum>
  <w:abstractNum w:abstractNumId="110">
    <w:nsid w:val="2B0D8DBE"/>
    <w:multiLevelType w:val="hybridMultilevel"/>
    <w:lvl w:ilvl="0">
      <w:lvlJc w:val="left"/>
      <w:lvlText w:val="●"/>
      <w:numFmt w:val="bullet"/>
      <w:start w:val="1"/>
    </w:lvl>
  </w:abstractNum>
  <w:abstractNum w:abstractNumId="111">
    <w:nsid w:val="6C80EC70"/>
    <w:multiLevelType w:val="hybridMultilevel"/>
    <w:lvl w:ilvl="0">
      <w:lvlJc w:val="left"/>
      <w:lvlText w:val="●"/>
      <w:numFmt w:val="bullet"/>
      <w:start w:val="1"/>
    </w:lvl>
  </w:abstractNum>
  <w:abstractNum w:abstractNumId="112">
    <w:nsid w:val="379E21B5"/>
    <w:multiLevelType w:val="hybridMultilevel"/>
    <w:lvl w:ilvl="0">
      <w:lvlJc w:val="left"/>
      <w:lvlText w:val="●"/>
      <w:numFmt w:val="bullet"/>
      <w:start w:val="1"/>
    </w:lvl>
  </w:abstractNum>
  <w:abstractNum w:abstractNumId="113">
    <w:nsid w:val="69E373"/>
    <w:multiLevelType w:val="hybridMultilevel"/>
    <w:lvl w:ilvl="0">
      <w:lvlJc w:val="left"/>
      <w:lvlText w:val="(%1)"/>
      <w:numFmt w:val="decimal"/>
      <w:start w:val="1"/>
    </w:lvl>
  </w:abstractNum>
  <w:abstractNum w:abstractNumId="114">
    <w:nsid w:val="2C27173B"/>
    <w:multiLevelType w:val="hybridMultilevel"/>
    <w:lvl w:ilvl="0">
      <w:lvlJc w:val="left"/>
      <w:lvlText w:val="%1."/>
      <w:numFmt w:val="decimal"/>
      <w:start w:val="1"/>
    </w:lvl>
  </w:abstractNum>
  <w:abstractNum w:abstractNumId="115">
    <w:nsid w:val="4C9B0904"/>
    <w:multiLevelType w:val="hybridMultilevel"/>
    <w:lvl w:ilvl="0">
      <w:lvlJc w:val="left"/>
      <w:lvlText w:val="%1."/>
      <w:numFmt w:val="decimal"/>
      <w:start w:val="4"/>
    </w:lvl>
  </w:abstractNum>
  <w:abstractNum w:abstractNumId="116">
    <w:nsid w:val="6AA7B75C"/>
    <w:multiLevelType w:val="hybridMultilevel"/>
    <w:lvl w:ilvl="0">
      <w:lvlJc w:val="left"/>
      <w:lvlText w:val="*"/>
      <w:numFmt w:val="bullet"/>
      <w:start w:val="1"/>
    </w:lvl>
  </w:abstractNum>
  <w:abstractNum w:abstractNumId="117">
    <w:nsid w:val="1DF029D3"/>
    <w:multiLevelType w:val="hybridMultilevel"/>
    <w:lvl w:ilvl="0">
      <w:lvlJc w:val="left"/>
      <w:lvlText w:val="(%1)"/>
      <w:numFmt w:val="decimal"/>
      <w:start w:val="1"/>
    </w:lvl>
  </w:abstractNum>
  <w:abstractNum w:abstractNumId="118">
    <w:nsid w:val="5675FF36"/>
    <w:multiLevelType w:val="hybridMultilevel"/>
    <w:lvl w:ilvl="0">
      <w:lvlJc w:val="left"/>
      <w:lvlText w:val="●"/>
      <w:numFmt w:val="bullet"/>
      <w:start w:val="1"/>
    </w:lvl>
  </w:abstractNum>
  <w:abstractNum w:abstractNumId="119">
    <w:nsid w:val="3DD15094"/>
    <w:multiLevelType w:val="hybridMultilevel"/>
    <w:lvl w:ilvl="0">
      <w:lvlJc w:val="left"/>
      <w:lvlText w:val="●"/>
      <w:numFmt w:val="bullet"/>
      <w:start w:val="1"/>
    </w:lvl>
  </w:abstractNum>
  <w:abstractNum w:abstractNumId="120">
    <w:nsid w:val="3DB012B3"/>
    <w:multiLevelType w:val="hybridMultilevel"/>
    <w:lvl w:ilvl="0">
      <w:lvlJc w:val="left"/>
      <w:lvlText w:val="●"/>
      <w:numFmt w:val="bullet"/>
      <w:start w:val="1"/>
    </w:lvl>
  </w:abstractNum>
  <w:abstractNum w:abstractNumId="121">
    <w:nsid w:val="2708C9AF"/>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jpe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jpe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jpeg"/><Relationship Id="rId118" Type="http://schemas.openxmlformats.org/officeDocument/2006/relationships/image" Target="media/image111.png"/><Relationship Id="rId119" Type="http://schemas.openxmlformats.org/officeDocument/2006/relationships/image" Target="media/image112.jpe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jpe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jpe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jpe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jpe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jpe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jpe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jpe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jpeg"/><Relationship Id="rId175" Type="http://schemas.openxmlformats.org/officeDocument/2006/relationships/image" Target="media/image168.png"/><Relationship Id="rId176" Type="http://schemas.openxmlformats.org/officeDocument/2006/relationships/image" Target="media/image169.jpe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jpeg"/><Relationship Id="rId258" Type="http://schemas.openxmlformats.org/officeDocument/2006/relationships/image" Target="media/image251.jpeg"/><Relationship Id="rId259" Type="http://schemas.openxmlformats.org/officeDocument/2006/relationships/image" Target="media/image252.jpeg"/><Relationship Id="rId260" Type="http://schemas.openxmlformats.org/officeDocument/2006/relationships/image" Target="media/image253.jpe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jpeg"/><Relationship Id="rId267" Type="http://schemas.openxmlformats.org/officeDocument/2006/relationships/image" Target="media/image260.jpeg"/><Relationship Id="rId268" Type="http://schemas.openxmlformats.org/officeDocument/2006/relationships/image" Target="media/image261.jpeg"/><Relationship Id="rId269" Type="http://schemas.openxmlformats.org/officeDocument/2006/relationships/image" Target="media/image262.jpeg"/><Relationship Id="rId270" Type="http://schemas.openxmlformats.org/officeDocument/2006/relationships/image" Target="media/image263.jpeg"/><Relationship Id="rId271" Type="http://schemas.openxmlformats.org/officeDocument/2006/relationships/image" Target="media/image264.jpe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jpeg"/><Relationship Id="rId278" Type="http://schemas.openxmlformats.org/officeDocument/2006/relationships/image" Target="media/image271.jpeg"/><Relationship Id="rId279" Type="http://schemas.openxmlformats.org/officeDocument/2006/relationships/image" Target="media/image272.jpeg"/><Relationship Id="rId280" Type="http://schemas.openxmlformats.org/officeDocument/2006/relationships/image" Target="media/image273.jpeg"/><Relationship Id="rId281" Type="http://schemas.openxmlformats.org/officeDocument/2006/relationships/image" Target="media/image274.jpeg"/><Relationship Id="rId282" Type="http://schemas.openxmlformats.org/officeDocument/2006/relationships/image" Target="media/image275.jpe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jpeg"/><Relationship Id="rId289" Type="http://schemas.openxmlformats.org/officeDocument/2006/relationships/image" Target="media/image282.jpe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jpeg"/><Relationship Id="rId296" Type="http://schemas.openxmlformats.org/officeDocument/2006/relationships/image" Target="media/image289.jpeg"/><Relationship Id="rId297" Type="http://schemas.openxmlformats.org/officeDocument/2006/relationships/image" Target="media/image290.jpeg"/><Relationship Id="rId298" Type="http://schemas.openxmlformats.org/officeDocument/2006/relationships/image" Target="media/image291.jpeg"/><Relationship Id="rId299" Type="http://schemas.openxmlformats.org/officeDocument/2006/relationships/image" Target="media/image292.jpeg"/><Relationship Id="rId300" Type="http://schemas.openxmlformats.org/officeDocument/2006/relationships/image" Target="media/image293.jpeg"/><Relationship Id="rId301" Type="http://schemas.openxmlformats.org/officeDocument/2006/relationships/image" Target="media/image294.jpeg"/><Relationship Id="rId302" Type="http://schemas.openxmlformats.org/officeDocument/2006/relationships/image" Target="media/image295.jpeg"/><Relationship Id="rId303" Type="http://schemas.openxmlformats.org/officeDocument/2006/relationships/image" Target="media/image296.jpeg"/><Relationship Id="rId304" Type="http://schemas.openxmlformats.org/officeDocument/2006/relationships/image" Target="media/image297.jpeg"/><Relationship Id="rId305" Type="http://schemas.openxmlformats.org/officeDocument/2006/relationships/image" Target="media/image298.png"/><Relationship Id="rId306" Type="http://schemas.openxmlformats.org/officeDocument/2006/relationships/image" Target="media/image299.jpe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jpe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jpe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jpe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jpe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jpe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jpeg"/><Relationship Id="rId369" Type="http://schemas.openxmlformats.org/officeDocument/2006/relationships/image" Target="media/image362.jpeg"/><Relationship Id="rId370" Type="http://schemas.openxmlformats.org/officeDocument/2006/relationships/image" Target="media/image363.jpeg"/><Relationship Id="rId371" Type="http://schemas.openxmlformats.org/officeDocument/2006/relationships/image" Target="media/image364.jpeg"/><Relationship Id="rId372" Type="http://schemas.openxmlformats.org/officeDocument/2006/relationships/image" Target="media/image365.jpeg"/><Relationship Id="rId373" Type="http://schemas.openxmlformats.org/officeDocument/2006/relationships/image" Target="media/image366.jpeg"/><Relationship Id="rId374" Type="http://schemas.openxmlformats.org/officeDocument/2006/relationships/image" Target="media/image367.png"/><Relationship Id="rId375" Type="http://schemas.openxmlformats.org/officeDocument/2006/relationships/image" Target="media/image368.jpe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jpe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jpe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jpe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jpe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jpe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jpe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jpe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jpe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jpeg"/><Relationship Id="rId423" Type="http://schemas.openxmlformats.org/officeDocument/2006/relationships/image" Target="media/image416.png"/><Relationship Id="rId424" Type="http://schemas.openxmlformats.org/officeDocument/2006/relationships/image" Target="media/image417.jpe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jpe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jpe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jpe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jpe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jpe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jpe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jpe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jpe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jpe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jpe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jpe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jpe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jpe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jpe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jpe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jpe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jpe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jpe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jpeg"/><Relationship Id="rId608" Type="http://schemas.openxmlformats.org/officeDocument/2006/relationships/image" Target="media/image601.png"/><Relationship Id="rId609" Type="http://schemas.openxmlformats.org/officeDocument/2006/relationships/image" Target="media/image602.jpe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jpeg"/><Relationship Id="rId614" Type="http://schemas.openxmlformats.org/officeDocument/2006/relationships/image" Target="media/image607.png"/><Relationship Id="rId615" Type="http://schemas.openxmlformats.org/officeDocument/2006/relationships/image" Target="media/image608.jpeg"/><Relationship Id="rId616" Type="http://schemas.openxmlformats.org/officeDocument/2006/relationships/image" Target="media/image609.jpeg"/><Relationship Id="rId617" Type="http://schemas.openxmlformats.org/officeDocument/2006/relationships/image" Target="media/image610.jpeg"/><Relationship Id="rId618" Type="http://schemas.openxmlformats.org/officeDocument/2006/relationships/image" Target="media/image611.jpeg"/><Relationship Id="rId619" Type="http://schemas.openxmlformats.org/officeDocument/2006/relationships/image" Target="media/image612.jpeg"/><Relationship Id="rId620" Type="http://schemas.openxmlformats.org/officeDocument/2006/relationships/image" Target="media/image613.png"/><Relationship Id="rId621" Type="http://schemas.openxmlformats.org/officeDocument/2006/relationships/image" Target="media/image614.jpeg"/><Relationship Id="rId622" Type="http://schemas.openxmlformats.org/officeDocument/2006/relationships/image" Target="media/image615.png"/><Relationship Id="rId623" Type="http://schemas.openxmlformats.org/officeDocument/2006/relationships/image" Target="media/image616.jpeg"/><Relationship Id="rId624" Type="http://schemas.openxmlformats.org/officeDocument/2006/relationships/image" Target="media/image617.jpeg"/><Relationship Id="rId625" Type="http://schemas.openxmlformats.org/officeDocument/2006/relationships/image" Target="media/image618.jpeg"/><Relationship Id="rId626" Type="http://schemas.openxmlformats.org/officeDocument/2006/relationships/image" Target="media/image619.jpeg"/><Relationship Id="rId627" Type="http://schemas.openxmlformats.org/officeDocument/2006/relationships/image" Target="media/image620.png"/><Relationship Id="rId628" Type="http://schemas.openxmlformats.org/officeDocument/2006/relationships/image" Target="media/image621.jpe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jpe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jpe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jpe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jpeg"/><Relationship Id="rId645" Type="http://schemas.openxmlformats.org/officeDocument/2006/relationships/image" Target="media/image638.png"/><Relationship Id="rId646" Type="http://schemas.openxmlformats.org/officeDocument/2006/relationships/image" Target="media/image63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2022-04-05T11:26:53Z</dcterms:created>
  <dcterms:modified xsi:type="dcterms:W3CDTF">2022-04-05T11:26:53Z</dcterms:modified>
</cp:coreProperties>
</file>