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Geisler Theodore N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 w:right="1540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400 NORTH FIFTH STREET MAIL STATION 8602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85004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820" w:type="dxa"/>
            <w:vAlign w:val="bottom"/>
          </w:tcPr>
          <w:p>
            <w:pPr>
              <w:ind w:left="80"/>
              <w:spacing w:after="0" w:line="213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Times New Roman" w:cs="Times New Roman" w:eastAsia="Times New Roman" w:hAnsi="Times New Roman"/>
                  <w:sz w:val="21"/>
                  <w:szCs w:val="21"/>
                  <w:u w:val="single" w:color="auto"/>
                  <w:color w:val="0000EE"/>
                </w:rPr>
                <w:t>PINNACLE WEST CAPITAL CORP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 </w:t>
              </w:r>
            </w:hyperlink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[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3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PNW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3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7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SVP &amp; CFO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11/09/2020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100"/>
        <w:spacing w:after="0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-2433320</wp:posOffset>
            </wp:positionH>
            <wp:positionV relativeFrom="paragraph">
              <wp:posOffset>218440</wp:posOffset>
            </wp:positionV>
            <wp:extent cx="6964045" cy="22256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22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5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center"/>
              <w:ind w:left="40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11/09/2020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383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2"/>
              </w:rPr>
              <w:t>0.00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388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11/09/2020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8"/>
                <w:vertAlign w:val="sub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171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87.94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217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11/09/2020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9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w w:val="84"/>
                <w:vertAlign w:val="subscript"/>
              </w:rPr>
              <w:t>48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4"/>
              </w:rPr>
              <w:t>(3)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2"/>
              </w:rPr>
              <w:t>0.00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2"/>
                <w:vertAlign w:val="superscript"/>
              </w:rPr>
              <w:t>(3)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265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11/09/2020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8"/>
                <w:vertAlign w:val="sub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22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87.94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243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11/09/2020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6"/>
                <w:vertAlign w:val="subscript"/>
              </w:rPr>
              <w:t>G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6"/>
              </w:rPr>
              <w:t>(4)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238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center"/>
              <w:ind w:left="4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11/09/2020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6"/>
                <w:vertAlign w:val="subscript"/>
              </w:rPr>
              <w:t>G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6"/>
              </w:rPr>
              <w:t>(4)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238</w:t>
            </w:r>
          </w:p>
        </w:tc>
        <w:tc>
          <w:tcPr>
            <w:tcW w:w="6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3,230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  <w:w w:val="74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 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-1753235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acquired upon the vesting of a portion of the performance shares granted in 2017 that were tied to the operational performance metric.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shares of common stock received by the individual in settlement of dividend rights that vested in connection with the performance shares that vested on November 9, 2020.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reporting person gifted the shares received on November 9, 2020 to a revocable family trust.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Diane Wood, Attorney-in-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11/12/2020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799703" TargetMode="External"/><Relationship Id="rId14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2020-11-12T15:32:52Z</dcterms:created>
  <dcterms:modified xsi:type="dcterms:W3CDTF">2020-11-12T15:32:52Z</dcterms:modified>
</cp:coreProperties>
</file>