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93364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933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Easterly Donna M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1660"/>
        <w:spacing w:after="0" w:line="4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400 NORTH FIFTH STREET MAIL STATION 8602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PHOENIX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AZ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85004</w:t>
            </w: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6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PINNACLE WEST CAPITAL CORP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  <w:r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5"/>
              </w:rPr>
              <w:t>PNW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60" w:type="dxa"/>
            <w:vAlign w:val="bottom"/>
            <w:shd w:val="clear" w:color="auto" w:fill="0000E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]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</w:tcPr>
          <w:p>
            <w:pPr>
              <w:ind w:left="6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ind w:left="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12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SVP, HR, APS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3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02/20/2020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220" w:type="dxa"/>
            <w:vAlign w:val="bottom"/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  Disposed Of (D) (Instr. 3, 4 and 5)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131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3,803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131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3,672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130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3,802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55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3,747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76"/>
                <w:vertAlign w:val="subscript"/>
              </w:rPr>
              <w:t>142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6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3,889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142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3,747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141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3,888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60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3,828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389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4,217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389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3,828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166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3,994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8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166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3,828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3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3"/>
              </w:rPr>
              <w:t>165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3"/>
                <w:vertAlign w:val="superscript"/>
              </w:rPr>
              <w:t>(3)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(3)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3,993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70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3,923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83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color w:val="0000FF"/>
                <w:w w:val="76"/>
                <w:vertAlign w:val="subscript"/>
              </w:rPr>
              <w:t>34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76"/>
              </w:rPr>
              <w:t>(4)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5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0.00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(4)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3,957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02/20/2020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1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w w:val="81"/>
                <w:vertAlign w:val="subscript"/>
              </w:rPr>
              <w:t>F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  <w:w w:val="81"/>
              </w:rPr>
              <w:t>(2)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lef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18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9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89"/>
              </w:rPr>
              <w:t>101.09</w:t>
            </w: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3,939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1,585</w:t>
            </w:r>
          </w:p>
        </w:tc>
        <w:tc>
          <w:tcPr>
            <w:tcW w:w="940" w:type="dxa"/>
            <w:vAlign w:val="bottom"/>
          </w:tcPr>
          <w:p>
            <w:pPr>
              <w:jc w:val="center"/>
              <w:ind w:righ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by 401K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0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(5)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(5)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261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261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17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5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  <w:w w:val="88"/>
              </w:rPr>
              <w:t>(6)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(6)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  <w:w w:val="91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283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2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283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ind w:right="11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283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5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7264400</wp:posOffset>
            </wp:positionH>
            <wp:positionV relativeFrom="paragraph">
              <wp:posOffset>-2559050</wp:posOffset>
            </wp:positionV>
            <wp:extent cx="42545" cy="2801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80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80"/>
          </w:cols>
          <w:pgMar w:left="240" w:top="226" w:right="179" w:bottom="0" w:gutter="0" w:footer="0" w:header="0"/>
          <w:type w:val="continuous"/>
        </w:sectPr>
      </w:pPr>
    </w:p>
    <w:bookmarkStart w:id="1" w:name="page2"/>
    <w:bookmarkEnd w:id="1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144780</wp:posOffset>
            </wp:positionH>
            <wp:positionV relativeFrom="page">
              <wp:posOffset>88900</wp:posOffset>
            </wp:positionV>
            <wp:extent cx="7314565" cy="255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Table II - Derivative Securities Acquired, Disposed of, or Beneficially Owned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(e.g., puts, calls, warrants, options, convertible securities)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8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(7)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389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389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778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Restricted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(8)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331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ind w:right="197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02/20/2020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M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4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331</w:t>
            </w: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ind w:left="3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993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20" w:right="160" w:firstLine="9"/>
        <w:spacing w:after="0" w:line="239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 or 50% in common stock and 50%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retained by the Company for the purpose of meeting tax withholding requirements. The recipient retained all other shares.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20" w:right="160" w:firstLine="9"/>
        <w:spacing w:after="0" w:line="239" w:lineRule="auto"/>
        <w:tabs>
          <w:tab w:leader="none" w:pos="15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Each Restricted Stock Unit represents a contingent right to receive the economic equivalent of one share of the Company's common stock. The Restricted Stock Units will be settled, at the reporting person's election, in 100% shares of common stock, 50% in common stock and 50% in cash, or 100% in cash.</w:t>
      </w:r>
    </w:p>
    <w:p>
      <w:pPr>
        <w:spacing w:after="0" w:line="30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Represents shares of common stock received by the individual in settlement of dividend rights granted in connection with the 2016, 2017, and 2019 Restricted Stock Unit grants.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2016, and vests in four equal, annual installments beginning on February 20, 2017.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2017, and vests in four equal, annual installments beginning on February 20, 2018.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2018, and vests in four equal, annual installments beginning on February 20, 2019.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60" w:hanging="131"/>
        <w:spacing w:after="0"/>
        <w:tabs>
          <w:tab w:leader="none" w:pos="16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Restricted Stock Units award was granted and was effective in February 2019, and vests in four equal, annual installments beginning on February 20, 2020.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tbl>
      <w:tblPr>
        <w:tblLayout w:type="fixed"/>
        <w:tblInd w:w="6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5"/>
              </w:rPr>
              <w:t>/s/ Diane Wood, Attorney-in-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6"/>
              </w:rPr>
              <w:t>02/24/2020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5"/>
              </w:rPr>
              <w:t>Fact</w:t>
            </w: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20" w:right="3640" w:firstLine="9"/>
        <w:spacing w:after="0" w:line="350" w:lineRule="auto"/>
        <w:tabs>
          <w:tab w:leader="none" w:pos="16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2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60"/>
      </w:cols>
      <w:pgMar w:left="260" w:top="188" w:right="17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2" Type="http://schemas.openxmlformats.org/officeDocument/2006/relationships/hyperlink" Target="http://www.sec.gov/cgi-bin/browse-edgar?action=getcompany&amp;CIK=0001707475" TargetMode="External"/><Relationship Id="rId13" Type="http://schemas.openxmlformats.org/officeDocument/2006/relationships/hyperlink" Target="http://www.sec.gov/cgi-bin/browse-edgar?action=getcompany&amp;CIK=000076462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2020-02-24T16:51:55Z</dcterms:created>
  <dcterms:modified xsi:type="dcterms:W3CDTF">2020-02-24T16:51:55Z</dcterms:modified>
</cp:coreProperties>
</file>