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956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95681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GULDNER JEFFREY B.</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400 NORTH 5TH STREET</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MS 8602</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820" w:type="dxa"/>
            <w:vAlign w:val="bottom"/>
            <w:gridSpan w:val="5"/>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16"/>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31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20" w:type="dxa"/>
            <w:vAlign w:val="bottom"/>
            <w:vMerge w:val="continue"/>
          </w:tcPr>
          <w:p>
            <w:pPr>
              <w:spacing w:after="0"/>
              <w:rPr>
                <w:sz w:val="10"/>
                <w:szCs w:val="10"/>
                <w:color w:val="auto"/>
              </w:rPr>
            </w:pPr>
          </w:p>
        </w:tc>
        <w:tc>
          <w:tcPr>
            <w:tcW w:w="1400" w:type="dxa"/>
            <w:vAlign w:val="bottom"/>
          </w:tcPr>
          <w:p>
            <w:pPr>
              <w:ind w:left="100"/>
              <w:spacing w:after="0" w:line="102" w:lineRule="exact"/>
              <w:rPr>
                <w:sz w:val="20"/>
                <w:szCs w:val="20"/>
                <w:color w:val="auto"/>
              </w:rPr>
            </w:pPr>
            <w:r>
              <w:rPr>
                <w:rFonts w:ascii="Arial" w:cs="Arial" w:eastAsia="Arial" w:hAnsi="Arial"/>
                <w:sz w:val="11"/>
                <w:szCs w:val="11"/>
                <w:color w:val="auto"/>
              </w:rPr>
              <w:t>below)</w:t>
            </w:r>
          </w:p>
        </w:tc>
        <w:tc>
          <w:tcPr>
            <w:tcW w:w="1500" w:type="dxa"/>
            <w:vAlign w:val="bottom"/>
          </w:tcPr>
          <w:p>
            <w:pPr>
              <w:ind w:left="340"/>
              <w:spacing w:after="0" w:line="102"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230"/>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9"/>
                <w:szCs w:val="19"/>
                <w:color w:val="auto"/>
              </w:rPr>
            </w:pPr>
          </w:p>
        </w:tc>
        <w:tc>
          <w:tcPr>
            <w:tcW w:w="2900" w:type="dxa"/>
            <w:vAlign w:val="bottom"/>
            <w:gridSpan w:val="2"/>
          </w:tcPr>
          <w:p>
            <w:pPr>
              <w:ind w:left="200"/>
              <w:spacing w:after="0"/>
              <w:rPr>
                <w:sz w:val="20"/>
                <w:szCs w:val="20"/>
                <w:color w:val="auto"/>
              </w:rPr>
            </w:pPr>
            <w:r>
              <w:rPr>
                <w:rFonts w:ascii="Arial" w:cs="Arial" w:eastAsia="Arial" w:hAnsi="Arial"/>
                <w:sz w:val="18"/>
                <w:szCs w:val="18"/>
                <w:color w:val="0000FF"/>
              </w:rPr>
              <w:t>Chairman, President &amp; CEO</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02/18/2020</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3"/>
        </w:trPr>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316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3420" w:type="dxa"/>
            <w:vAlign w:val="bottom"/>
            <w:tcBorders>
              <w:bottom w:val="single" w:sz="8" w:color="2C2C2C"/>
            </w:tcBorders>
            <w:gridSpan w:val="3"/>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361" w:lineRule="exact"/>
        <w:rPr>
          <w:sz w:val="20"/>
          <w:szCs w:val="20"/>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9,580</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720" w:type="dxa"/>
            <w:vAlign w:val="bottom"/>
          </w:tcPr>
          <w:p>
            <w:pPr>
              <w:ind w:left="60"/>
              <w:spacing w:after="0" w:line="133"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1"/>
                <w:szCs w:val="11"/>
                <w:color w:val="auto"/>
              </w:rPr>
            </w:pPr>
          </w:p>
        </w:tc>
        <w:tc>
          <w:tcPr>
            <w:tcW w:w="1140" w:type="dxa"/>
            <w:vAlign w:val="bottom"/>
          </w:tcPr>
          <w:p>
            <w:pPr>
              <w:jc w:val="right"/>
              <w:ind w:right="198"/>
              <w:spacing w:after="0" w:line="133" w:lineRule="exact"/>
              <w:rPr>
                <w:sz w:val="20"/>
                <w:szCs w:val="20"/>
                <w:color w:val="auto"/>
              </w:rPr>
            </w:pPr>
            <w:r>
              <w:rPr>
                <w:rFonts w:ascii="Arial" w:cs="Arial" w:eastAsia="Arial" w:hAnsi="Arial"/>
                <w:sz w:val="14"/>
                <w:szCs w:val="14"/>
                <w:color w:val="0000FF"/>
              </w:rPr>
              <w:t>02/18/2020</w:t>
            </w:r>
          </w:p>
        </w:tc>
        <w:tc>
          <w:tcPr>
            <w:tcW w:w="1140" w:type="dxa"/>
            <w:vAlign w:val="bottom"/>
          </w:tcPr>
          <w:p>
            <w:pPr>
              <w:spacing w:after="0"/>
              <w:rPr>
                <w:sz w:val="11"/>
                <w:szCs w:val="11"/>
                <w:color w:val="auto"/>
              </w:rPr>
            </w:pPr>
          </w:p>
        </w:tc>
        <w:tc>
          <w:tcPr>
            <w:tcW w:w="820" w:type="dxa"/>
            <w:vAlign w:val="bottom"/>
          </w:tcPr>
          <w:p>
            <w:pPr>
              <w:ind w:left="160"/>
              <w:spacing w:after="0" w:line="133" w:lineRule="exact"/>
              <w:rPr>
                <w:sz w:val="20"/>
                <w:szCs w:val="20"/>
                <w:color w:val="auto"/>
              </w:rPr>
            </w:pPr>
            <w:r>
              <w:rPr>
                <w:rFonts w:ascii="Arial" w:cs="Arial" w:eastAsia="Arial" w:hAnsi="Arial"/>
                <w:sz w:val="14"/>
                <w:szCs w:val="14"/>
                <w:color w:val="0000FF"/>
              </w:rPr>
              <w:t>A</w:t>
            </w:r>
          </w:p>
        </w:tc>
        <w:tc>
          <w:tcPr>
            <w:tcW w:w="500" w:type="dxa"/>
            <w:vAlign w:val="bottom"/>
          </w:tcPr>
          <w:p>
            <w:pPr>
              <w:ind w:left="100"/>
              <w:spacing w:after="0" w:line="133" w:lineRule="exact"/>
              <w:rPr>
                <w:sz w:val="20"/>
                <w:szCs w:val="20"/>
                <w:color w:val="auto"/>
              </w:rPr>
            </w:pPr>
            <w:r>
              <w:rPr>
                <w:rFonts w:ascii="Arial" w:cs="Arial" w:eastAsia="Arial" w:hAnsi="Arial"/>
                <w:sz w:val="14"/>
                <w:szCs w:val="14"/>
                <w:color w:val="0000FF"/>
              </w:rPr>
              <w:t>9,580</w:t>
            </w:r>
          </w:p>
        </w:tc>
        <w:tc>
          <w:tcPr>
            <w:tcW w:w="28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980" w:type="dxa"/>
            <w:vAlign w:val="bottom"/>
          </w:tcPr>
          <w:p>
            <w:pPr>
              <w:ind w:left="340"/>
              <w:spacing w:after="0" w:line="133" w:lineRule="exact"/>
              <w:rPr>
                <w:sz w:val="20"/>
                <w:szCs w:val="20"/>
                <w:color w:val="auto"/>
              </w:rPr>
            </w:pPr>
            <w:r>
              <w:rPr>
                <w:rFonts w:ascii="Arial" w:cs="Arial" w:eastAsia="Arial" w:hAnsi="Arial"/>
                <w:sz w:val="14"/>
                <w:szCs w:val="14"/>
                <w:color w:val="0000FF"/>
              </w:rPr>
              <w:t>9,580</w:t>
            </w:r>
          </w:p>
        </w:tc>
        <w:tc>
          <w:tcPr>
            <w:tcW w:w="76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20" w:type="dxa"/>
            <w:vAlign w:val="bottom"/>
          </w:tcPr>
          <w:p>
            <w:pPr>
              <w:ind w:left="18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720" w:type="dxa"/>
            <w:vAlign w:val="bottom"/>
            <w:vMerge w:val="continue"/>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540" w:type="dxa"/>
            <w:vAlign w:val="bottom"/>
          </w:tcPr>
          <w:p>
            <w:pPr>
              <w:spacing w:after="0"/>
              <w:rPr>
                <w:sz w:val="3"/>
                <w:szCs w:val="3"/>
                <w:color w:val="auto"/>
              </w:rPr>
            </w:pPr>
          </w:p>
        </w:tc>
        <w:tc>
          <w:tcPr>
            <w:tcW w:w="720" w:type="dxa"/>
            <w:vAlign w:val="bottom"/>
          </w:tcPr>
          <w:p>
            <w:pPr>
              <w:spacing w:after="0"/>
              <w:rPr>
                <w:sz w:val="3"/>
                <w:szCs w:val="3"/>
                <w:color w:val="auto"/>
              </w:rPr>
            </w:pPr>
          </w:p>
        </w:tc>
        <w:tc>
          <w:tcPr>
            <w:tcW w:w="9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30" w:lineRule="exact"/>
        <w:rPr>
          <w:rFonts w:ascii="Arial" w:cs="Arial" w:eastAsia="Arial" w:hAnsi="Arial"/>
          <w:sz w:val="14"/>
          <w:szCs w:val="14"/>
          <w:color w:val="008000"/>
        </w:rPr>
      </w:pPr>
    </w:p>
    <w:p>
      <w:pPr>
        <w:ind w:left="40" w:right="2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18, 2020, and vests in four equal, annual installments beginning on February 19, 2021, and will be settled in four equal, annual installments beginning February 19, 2021.</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02/20/2020</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21334"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2020-02-20T16:10:11Z</dcterms:created>
  <dcterms:modified xsi:type="dcterms:W3CDTF">2020-02-20T16:10:11Z</dcterms:modified>
</cp:coreProperties>
</file>