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956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95681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Blankenship Elizabeth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402" w:lineRule="auto"/>
        <w:rPr>
          <w:sz w:val="20"/>
          <w:szCs w:val="20"/>
          <w:color w:val="auto"/>
        </w:rPr>
      </w:pPr>
      <w:r>
        <w:rPr>
          <w:rFonts w:ascii="Arial" w:cs="Arial" w:eastAsia="Arial" w:hAnsi="Arial"/>
          <w:sz w:val="16"/>
          <w:szCs w:val="16"/>
          <w:color w:val="0000FF"/>
        </w:rPr>
        <w:t>400 NORTH FIFTH STREET MAIL STATION 8602</w:t>
      </w:r>
    </w:p>
    <w:p>
      <w:pPr>
        <w:spacing w:after="0" w:line="1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400" w:type="dxa"/>
            <w:vAlign w:val="bottom"/>
            <w:vMerge w:val="restart"/>
          </w:tcPr>
          <w:p>
            <w:pPr>
              <w:ind w:left="100"/>
              <w:spacing w:after="0" w:line="149"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6"/>
                <w:szCs w:val="16"/>
                <w:color w:val="auto"/>
              </w:rPr>
            </w:pPr>
          </w:p>
        </w:tc>
        <w:tc>
          <w:tcPr>
            <w:tcW w:w="2900" w:type="dxa"/>
            <w:vAlign w:val="bottom"/>
            <w:gridSpan w:val="2"/>
          </w:tcPr>
          <w:p>
            <w:pPr>
              <w:ind w:left="340"/>
              <w:spacing w:after="0" w:line="195" w:lineRule="exact"/>
              <w:rPr>
                <w:sz w:val="20"/>
                <w:szCs w:val="20"/>
                <w:color w:val="auto"/>
              </w:rPr>
            </w:pPr>
            <w:r>
              <w:rPr>
                <w:rFonts w:ascii="Arial" w:cs="Arial" w:eastAsia="Arial" w:hAnsi="Arial"/>
                <w:sz w:val="18"/>
                <w:szCs w:val="18"/>
                <w:color w:val="0000FF"/>
              </w:rPr>
              <w:t>VP, Controller and CAO</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02/18/2020</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80"/>
          </w:cols>
          <w:pgMar w:left="240" w:top="226" w:right="179" w:bottom="1440"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6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6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00" w:type="dxa"/>
            <w:vAlign w:val="bottom"/>
            <w:vMerge w:val="restart"/>
          </w:tcPr>
          <w:p>
            <w:pPr>
              <w:ind w:left="6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688</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jc w:val="right"/>
              <w:ind w:right="198"/>
              <w:spacing w:after="0" w:line="149" w:lineRule="exact"/>
              <w:rPr>
                <w:sz w:val="20"/>
                <w:szCs w:val="20"/>
                <w:color w:val="auto"/>
              </w:rPr>
            </w:pPr>
            <w:r>
              <w:rPr>
                <w:rFonts w:ascii="Arial" w:cs="Arial" w:eastAsia="Arial" w:hAnsi="Arial"/>
                <w:sz w:val="14"/>
                <w:szCs w:val="14"/>
                <w:color w:val="0000FF"/>
              </w:rPr>
              <w:t>02/18/2020</w:t>
            </w:r>
          </w:p>
        </w:tc>
        <w:tc>
          <w:tcPr>
            <w:tcW w:w="1140" w:type="dxa"/>
            <w:vAlign w:val="bottom"/>
          </w:tcPr>
          <w:p>
            <w:pPr>
              <w:spacing w:after="0"/>
              <w:rPr>
                <w:sz w:val="5"/>
                <w:szCs w:val="5"/>
                <w:color w:val="auto"/>
              </w:rPr>
            </w:pPr>
          </w:p>
        </w:tc>
        <w:tc>
          <w:tcPr>
            <w:tcW w:w="82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A</w:t>
            </w:r>
          </w:p>
        </w:tc>
        <w:tc>
          <w:tcPr>
            <w:tcW w:w="760" w:type="dxa"/>
            <w:vAlign w:val="bottom"/>
            <w:vMerge w:val="restart"/>
          </w:tcPr>
          <w:p>
            <w:pPr>
              <w:ind w:left="100"/>
              <w:spacing w:after="0" w:line="149" w:lineRule="exact"/>
              <w:rPr>
                <w:sz w:val="20"/>
                <w:szCs w:val="20"/>
                <w:color w:val="auto"/>
              </w:rPr>
            </w:pPr>
            <w:r>
              <w:rPr>
                <w:rFonts w:ascii="Arial" w:cs="Arial" w:eastAsia="Arial" w:hAnsi="Arial"/>
                <w:sz w:val="14"/>
                <w:szCs w:val="14"/>
                <w:color w:val="0000FF"/>
              </w:rPr>
              <w:t>688</w:t>
            </w:r>
          </w:p>
        </w:tc>
        <w:tc>
          <w:tcPr>
            <w:tcW w:w="80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980" w:type="dxa"/>
            <w:vAlign w:val="bottom"/>
            <w:vMerge w:val="restart"/>
          </w:tcPr>
          <w:p>
            <w:pPr>
              <w:ind w:left="380"/>
              <w:spacing w:after="0" w:line="149" w:lineRule="exact"/>
              <w:rPr>
                <w:sz w:val="20"/>
                <w:szCs w:val="20"/>
                <w:color w:val="auto"/>
              </w:rPr>
            </w:pPr>
            <w:r>
              <w:rPr>
                <w:rFonts w:ascii="Arial" w:cs="Arial" w:eastAsia="Arial" w:hAnsi="Arial"/>
                <w:sz w:val="14"/>
                <w:szCs w:val="14"/>
                <w:color w:val="0000FF"/>
              </w:rPr>
              <w:t>688</w:t>
            </w:r>
          </w:p>
        </w:tc>
        <w:tc>
          <w:tcPr>
            <w:tcW w:w="76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restart"/>
          </w:tcPr>
          <w:p>
            <w:pPr>
              <w:ind w:left="16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720" w:type="dxa"/>
            <w:vAlign w:val="bottom"/>
          </w:tcPr>
          <w:p>
            <w:pPr>
              <w:spacing w:after="0"/>
              <w:rPr>
                <w:sz w:val="7"/>
                <w:szCs w:val="7"/>
                <w:color w:val="auto"/>
              </w:rPr>
            </w:pPr>
          </w:p>
        </w:tc>
        <w:tc>
          <w:tcPr>
            <w:tcW w:w="9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560" w:type="dxa"/>
            <w:vAlign w:val="bottom"/>
          </w:tcPr>
          <w:p>
            <w:pPr>
              <w:spacing w:after="0"/>
              <w:rPr>
                <w:sz w:val="7"/>
                <w:szCs w:val="7"/>
                <w:color w:val="auto"/>
              </w:rPr>
            </w:pPr>
          </w:p>
        </w:tc>
        <w:tc>
          <w:tcPr>
            <w:tcW w:w="720" w:type="dxa"/>
            <w:vAlign w:val="bottom"/>
          </w:tcPr>
          <w:p>
            <w:pPr>
              <w:spacing w:after="0"/>
              <w:rPr>
                <w:sz w:val="7"/>
                <w:szCs w:val="7"/>
                <w:color w:val="auto"/>
              </w:rPr>
            </w:pPr>
          </w:p>
        </w:tc>
        <w:tc>
          <w:tcPr>
            <w:tcW w:w="9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30" w:lineRule="exact"/>
        <w:rPr>
          <w:rFonts w:ascii="Arial" w:cs="Arial" w:eastAsia="Arial" w:hAnsi="Arial"/>
          <w:sz w:val="14"/>
          <w:szCs w:val="14"/>
          <w:color w:val="008000"/>
        </w:rPr>
      </w:pPr>
    </w:p>
    <w:p>
      <w:pPr>
        <w:ind w:left="40" w:right="2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18, 2020, and vests in four equal, annual installments beginning on February 19, 2021, and will be settled in four equal, annual installments beginning February 19, 2021.</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02/20/2020</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80676"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2020-02-20T15:56:28Z</dcterms:created>
  <dcterms:modified xsi:type="dcterms:W3CDTF">2020-02-20T15:56:28Z</dcterms:modified>
</cp:coreProperties>
</file>