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us7234841010_020320.txt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723484101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723484101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11992401</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13384199</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13384199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11.9%</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400 NORTH FIFTH STREET MS8695</w:t>
      </w:r>
    </w:p>
    <w:p>
      <w:pPr>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13384199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11992401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13384199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PINNACLE WEST CAPITAL CORPORATION.</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PINNACLE WEST CAPITAL CORPORATION</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2020</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FutureAdvisor, Inc.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line="237" w:lineRule="auto"/>
        <w:rPr>
          <w:sz w:val="20"/>
          <w:szCs w:val="20"/>
          <w:color w:val="auto"/>
        </w:rPr>
      </w:pPr>
      <w:r>
        <w:rPr>
          <w:rFonts w:ascii="Courier New" w:cs="Courier New" w:eastAsia="Courier New" w:hAnsi="Courier New"/>
          <w:sz w:val="18"/>
          <w:szCs w:val="18"/>
          <w:color w:val="auto"/>
        </w:rPr>
        <w:t>BlackRock (Luxembourg) S.A.</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(Singapore)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41"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2020-02-04T11:35:01Z</dcterms:created>
  <dcterms:modified xsi:type="dcterms:W3CDTF">2020-02-04T11:35:01Z</dcterms:modified>
</cp:coreProperties>
</file>