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0"/>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144780</wp:posOffset>
            </wp:positionH>
            <wp:positionV relativeFrom="page">
              <wp:posOffset>616585</wp:posOffset>
            </wp:positionV>
            <wp:extent cx="7272020" cy="425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72020" cy="42545"/>
                    </a:xfrm>
                    <a:prstGeom prst="rect">
                      <a:avLst/>
                    </a:prstGeom>
                    <a:noFill/>
                  </pic:spPr>
                </pic:pic>
              </a:graphicData>
            </a:graphic>
          </wp:anchor>
        </w:drawing>
        <w:t>UNITED STATES</w:t>
      </w:r>
    </w:p>
    <w:p>
      <w:pPr>
        <w:spacing w:after="0" w:line="46" w:lineRule="exact"/>
        <w:rPr>
          <w:sz w:val="24"/>
          <w:szCs w:val="24"/>
          <w:color w:val="auto"/>
        </w:rPr>
      </w:pPr>
    </w:p>
    <w:p>
      <w:pPr>
        <w:jc w:val="center"/>
        <w:ind w:right="20"/>
        <w:spacing w:after="0"/>
        <w:rPr>
          <w:sz w:val="20"/>
          <w:szCs w:val="20"/>
          <w:color w:val="auto"/>
        </w:rPr>
      </w:pPr>
      <w:r>
        <w:rPr>
          <w:rFonts w:ascii="Arial" w:cs="Arial" w:eastAsia="Arial" w:hAnsi="Arial"/>
          <w:sz w:val="32"/>
          <w:szCs w:val="32"/>
          <w:b w:val="1"/>
          <w:bCs w:val="1"/>
          <w:color w:val="auto"/>
        </w:rPr>
        <w:t>SECURITIES AND EXCHANGE COMMISSION</w:t>
      </w:r>
    </w:p>
    <w:p>
      <w:pPr>
        <w:spacing w:after="0" w:line="12" w:lineRule="exact"/>
        <w:rPr>
          <w:sz w:val="24"/>
          <w:szCs w:val="24"/>
          <w:color w:val="auto"/>
        </w:rPr>
      </w:pPr>
    </w:p>
    <w:p>
      <w:pPr>
        <w:jc w:val="center"/>
        <w:ind w:right="60"/>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197485</wp:posOffset>
            </wp:positionV>
            <wp:extent cx="7272020" cy="425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35" w:lineRule="exact"/>
        <w:rPr>
          <w:sz w:val="24"/>
          <w:szCs w:val="24"/>
          <w:color w:val="auto"/>
        </w:rPr>
      </w:pPr>
    </w:p>
    <w:p>
      <w:pPr>
        <w:jc w:val="center"/>
        <w:ind w:right="60"/>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20" w:lineRule="exact"/>
        <w:rPr>
          <w:sz w:val="24"/>
          <w:szCs w:val="24"/>
          <w:color w:val="auto"/>
        </w:rPr>
      </w:pPr>
    </w:p>
    <w:p>
      <w:pPr>
        <w:jc w:val="center"/>
        <w:ind w:right="20"/>
        <w:spacing w:after="0"/>
        <w:rPr>
          <w:sz w:val="20"/>
          <w:szCs w:val="20"/>
          <w:color w:val="auto"/>
        </w:rPr>
      </w:pPr>
      <w:r>
        <w:rPr>
          <w:rFonts w:ascii="Arial" w:cs="Arial" w:eastAsia="Arial" w:hAnsi="Arial"/>
          <w:sz w:val="22"/>
          <w:szCs w:val="22"/>
          <w:b w:val="1"/>
          <w:bCs w:val="1"/>
          <w:color w:val="auto"/>
        </w:rPr>
        <w:t>CURRENT REPORT</w:t>
      </w:r>
    </w:p>
    <w:p>
      <w:pPr>
        <w:spacing w:after="0" w:line="28" w:lineRule="exact"/>
        <w:rPr>
          <w:sz w:val="24"/>
          <w:szCs w:val="24"/>
          <w:color w:val="auto"/>
        </w:rPr>
      </w:pPr>
    </w:p>
    <w:p>
      <w:pPr>
        <w:jc w:val="center"/>
        <w:ind w:right="20"/>
        <w:spacing w:after="0"/>
        <w:rPr>
          <w:sz w:val="20"/>
          <w:szCs w:val="20"/>
          <w:color w:val="auto"/>
        </w:rPr>
      </w:pPr>
      <w:r>
        <w:rPr>
          <w:rFonts w:ascii="Arial" w:cs="Arial" w:eastAsia="Arial" w:hAnsi="Arial"/>
          <w:sz w:val="22"/>
          <w:szCs w:val="22"/>
          <w:b w:val="1"/>
          <w:bCs w:val="1"/>
          <w:color w:val="auto"/>
        </w:rPr>
        <w:t>Pursuant to Section 13 or 15(d) of the</w:t>
      </w:r>
    </w:p>
    <w:p>
      <w:pPr>
        <w:spacing w:after="0" w:line="4" w:lineRule="exact"/>
        <w:rPr>
          <w:sz w:val="24"/>
          <w:szCs w:val="24"/>
          <w:color w:val="auto"/>
        </w:rPr>
      </w:pPr>
    </w:p>
    <w:p>
      <w:pPr>
        <w:jc w:val="center"/>
        <w:ind w:right="20"/>
        <w:spacing w:after="0"/>
        <w:rPr>
          <w:sz w:val="20"/>
          <w:szCs w:val="20"/>
          <w:color w:val="auto"/>
        </w:rPr>
      </w:pPr>
      <w:r>
        <w:rPr>
          <w:rFonts w:ascii="Arial" w:cs="Arial" w:eastAsia="Arial" w:hAnsi="Arial"/>
          <w:sz w:val="22"/>
          <w:szCs w:val="22"/>
          <w:b w:val="1"/>
          <w:bCs w:val="1"/>
          <w:color w:val="auto"/>
        </w:rPr>
        <w:t>Securities Exchange Act of 1934</w:t>
      </w:r>
    </w:p>
    <w:p>
      <w:pPr>
        <w:spacing w:after="0" w:line="200" w:lineRule="exact"/>
        <w:rPr>
          <w:sz w:val="24"/>
          <w:szCs w:val="24"/>
          <w:color w:val="auto"/>
        </w:rPr>
      </w:pPr>
    </w:p>
    <w:p>
      <w:pPr>
        <w:spacing w:after="0" w:line="200" w:lineRule="exact"/>
        <w:rPr>
          <w:sz w:val="24"/>
          <w:szCs w:val="24"/>
          <w:color w:val="auto"/>
        </w:rPr>
      </w:pPr>
    </w:p>
    <w:p>
      <w:pPr>
        <w:spacing w:after="0" w:line="214" w:lineRule="exact"/>
        <w:rPr>
          <w:sz w:val="24"/>
          <w:szCs w:val="24"/>
          <w:color w:val="auto"/>
        </w:rPr>
      </w:pPr>
    </w:p>
    <w:p>
      <w:pPr>
        <w:ind w:left="2820"/>
        <w:spacing w:after="0"/>
        <w:tabs>
          <w:tab w:leader="none" w:pos="8400" w:val="left"/>
        </w:tabs>
        <w:rPr>
          <w:sz w:val="20"/>
          <w:szCs w:val="20"/>
          <w:color w:val="auto"/>
        </w:rPr>
      </w:pPr>
      <w:r>
        <w:rPr>
          <w:rFonts w:ascii="Arial" w:cs="Arial" w:eastAsia="Arial" w:hAnsi="Arial"/>
          <w:sz w:val="22"/>
          <w:szCs w:val="22"/>
          <w:b w:val="1"/>
          <w:bCs w:val="1"/>
          <w:color w:val="auto"/>
        </w:rPr>
        <w:t>Date of report (Date of earliest event reported):</w:t>
      </w:r>
      <w:r>
        <w:rPr>
          <w:sz w:val="20"/>
          <w:szCs w:val="20"/>
          <w:color w:val="auto"/>
        </w:rPr>
        <w:tab/>
      </w:r>
      <w:r>
        <w:rPr>
          <w:rFonts w:ascii="Arial" w:cs="Arial" w:eastAsia="Arial" w:hAnsi="Arial"/>
          <w:sz w:val="16"/>
          <w:szCs w:val="16"/>
          <w:color w:val="auto"/>
        </w:rPr>
        <w:t>January 8, 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238760</wp:posOffset>
            </wp:positionV>
            <wp:extent cx="7272020" cy="425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7"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20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Commission File</w:t>
            </w:r>
          </w:p>
        </w:tc>
        <w:tc>
          <w:tcPr>
            <w:tcW w:w="1020" w:type="dxa"/>
            <w:vAlign w:val="bottom"/>
          </w:tcPr>
          <w:p>
            <w:pPr>
              <w:spacing w:after="0"/>
              <w:rPr>
                <w:sz w:val="13"/>
                <w:szCs w:val="13"/>
                <w:color w:val="auto"/>
              </w:rPr>
            </w:pPr>
          </w:p>
        </w:tc>
        <w:tc>
          <w:tcPr>
            <w:tcW w:w="5920" w:type="dxa"/>
            <w:vAlign w:val="bottom"/>
            <w:gridSpan w:val="3"/>
          </w:tcPr>
          <w:p>
            <w:pPr>
              <w:jc w:val="center"/>
              <w:ind w:right="1360"/>
              <w:spacing w:after="0"/>
              <w:rPr>
                <w:sz w:val="20"/>
                <w:szCs w:val="20"/>
                <w:color w:val="auto"/>
              </w:rPr>
            </w:pPr>
            <w:r>
              <w:rPr>
                <w:rFonts w:ascii="Arial" w:cs="Arial" w:eastAsia="Arial" w:hAnsi="Arial"/>
                <w:sz w:val="14"/>
                <w:szCs w:val="14"/>
                <w:b w:val="1"/>
                <w:bCs w:val="1"/>
                <w:color w:val="auto"/>
                <w:w w:val="91"/>
              </w:rPr>
              <w:t>Exact Name of Each Registrant as specified in its</w:t>
            </w:r>
          </w:p>
        </w:tc>
        <w:tc>
          <w:tcPr>
            <w:tcW w:w="22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6"/>
              </w:rPr>
              <w:t>IRS Employer</w:t>
            </w:r>
          </w:p>
        </w:tc>
        <w:tc>
          <w:tcPr>
            <w:tcW w:w="0" w:type="dxa"/>
            <w:vAlign w:val="bottom"/>
          </w:tcPr>
          <w:p>
            <w:pPr>
              <w:spacing w:after="0"/>
              <w:rPr>
                <w:sz w:val="1"/>
                <w:szCs w:val="1"/>
                <w:color w:val="auto"/>
              </w:rPr>
            </w:pPr>
          </w:p>
        </w:tc>
      </w:tr>
      <w:tr>
        <w:trPr>
          <w:trHeight w:val="149"/>
        </w:trPr>
        <w:tc>
          <w:tcPr>
            <w:tcW w:w="2200" w:type="dxa"/>
            <w:vAlign w:val="bottom"/>
            <w:gridSpan w:val="2"/>
            <w:vMerge w:val="continue"/>
          </w:tcPr>
          <w:p>
            <w:pPr>
              <w:spacing w:after="0"/>
              <w:rPr>
                <w:sz w:val="12"/>
                <w:szCs w:val="12"/>
                <w:color w:val="auto"/>
              </w:rPr>
            </w:pPr>
          </w:p>
        </w:tc>
        <w:tc>
          <w:tcPr>
            <w:tcW w:w="1020" w:type="dxa"/>
            <w:vAlign w:val="bottom"/>
          </w:tcPr>
          <w:p>
            <w:pPr>
              <w:spacing w:after="0"/>
              <w:rPr>
                <w:sz w:val="12"/>
                <w:szCs w:val="12"/>
                <w:color w:val="auto"/>
              </w:rPr>
            </w:pPr>
          </w:p>
        </w:tc>
        <w:tc>
          <w:tcPr>
            <w:tcW w:w="5920" w:type="dxa"/>
            <w:vAlign w:val="bottom"/>
            <w:gridSpan w:val="3"/>
          </w:tcPr>
          <w:p>
            <w:pPr>
              <w:jc w:val="center"/>
              <w:ind w:right="1360"/>
              <w:spacing w:after="0" w:line="149" w:lineRule="exact"/>
              <w:rPr>
                <w:sz w:val="20"/>
                <w:szCs w:val="20"/>
                <w:color w:val="auto"/>
              </w:rPr>
            </w:pPr>
            <w:r>
              <w:rPr>
                <w:rFonts w:ascii="Arial" w:cs="Arial" w:eastAsia="Arial" w:hAnsi="Arial"/>
                <w:sz w:val="14"/>
                <w:szCs w:val="14"/>
                <w:b w:val="1"/>
                <w:bCs w:val="1"/>
                <w:color w:val="auto"/>
                <w:w w:val="93"/>
              </w:rPr>
              <w:t>charter; State of Incorporation; Address; and</w:t>
            </w:r>
          </w:p>
        </w:tc>
        <w:tc>
          <w:tcPr>
            <w:tcW w:w="22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92"/>
        </w:trPr>
        <w:tc>
          <w:tcPr>
            <w:tcW w:w="184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Number</w:t>
            </w:r>
          </w:p>
        </w:tc>
        <w:tc>
          <w:tcPr>
            <w:tcW w:w="360" w:type="dxa"/>
            <w:vAlign w:val="bottom"/>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380" w:type="dxa"/>
            <w:vAlign w:val="bottom"/>
            <w:tcBorders>
              <w:bottom w:val="single" w:sz="8" w:color="auto"/>
            </w:tcBorders>
          </w:tcPr>
          <w:p>
            <w:pPr>
              <w:spacing w:after="0"/>
              <w:rPr>
                <w:sz w:val="16"/>
                <w:szCs w:val="16"/>
                <w:color w:val="auto"/>
              </w:rPr>
            </w:pPr>
          </w:p>
        </w:tc>
        <w:tc>
          <w:tcPr>
            <w:tcW w:w="4200" w:type="dxa"/>
            <w:vAlign w:val="bottom"/>
            <w:tcBorders>
              <w:bottom w:val="single" w:sz="8" w:color="auto"/>
            </w:tcBorders>
          </w:tcPr>
          <w:p>
            <w:pPr>
              <w:jc w:val="center"/>
              <w:ind w:right="2307"/>
              <w:spacing w:after="0"/>
              <w:rPr>
                <w:sz w:val="20"/>
                <w:szCs w:val="20"/>
                <w:color w:val="auto"/>
              </w:rPr>
            </w:pPr>
            <w:r>
              <w:rPr>
                <w:rFonts w:ascii="Arial" w:cs="Arial" w:eastAsia="Arial" w:hAnsi="Arial"/>
                <w:sz w:val="14"/>
                <w:szCs w:val="14"/>
                <w:b w:val="1"/>
                <w:bCs w:val="1"/>
                <w:color w:val="auto"/>
                <w:w w:val="91"/>
              </w:rPr>
              <w:t>Telephone Number</w:t>
            </w:r>
          </w:p>
        </w:tc>
        <w:tc>
          <w:tcPr>
            <w:tcW w:w="340" w:type="dxa"/>
            <w:vAlign w:val="bottom"/>
          </w:tcPr>
          <w:p>
            <w:pPr>
              <w:spacing w:after="0"/>
              <w:rPr>
                <w:sz w:val="16"/>
                <w:szCs w:val="16"/>
                <w:color w:val="auto"/>
              </w:rPr>
            </w:pPr>
          </w:p>
        </w:tc>
        <w:tc>
          <w:tcPr>
            <w:tcW w:w="22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Identification No.</w:t>
            </w:r>
          </w:p>
        </w:tc>
        <w:tc>
          <w:tcPr>
            <w:tcW w:w="0" w:type="dxa"/>
            <w:vAlign w:val="bottom"/>
          </w:tcPr>
          <w:p>
            <w:pPr>
              <w:spacing w:after="0"/>
              <w:rPr>
                <w:sz w:val="1"/>
                <w:szCs w:val="1"/>
                <w:color w:val="auto"/>
              </w:rPr>
            </w:pPr>
          </w:p>
        </w:tc>
      </w:tr>
      <w:tr>
        <w:trPr>
          <w:trHeight w:val="278"/>
        </w:trPr>
        <w:tc>
          <w:tcPr>
            <w:tcW w:w="1840" w:type="dxa"/>
            <w:vAlign w:val="bottom"/>
          </w:tcPr>
          <w:p>
            <w:pPr>
              <w:jc w:val="right"/>
              <w:ind w:right="532"/>
              <w:spacing w:after="0"/>
              <w:rPr>
                <w:sz w:val="20"/>
                <w:szCs w:val="20"/>
                <w:color w:val="auto"/>
              </w:rPr>
            </w:pPr>
            <w:r>
              <w:rPr>
                <w:rFonts w:ascii="Arial" w:cs="Arial" w:eastAsia="Arial" w:hAnsi="Arial"/>
                <w:sz w:val="21"/>
                <w:szCs w:val="21"/>
                <w:color w:val="auto"/>
              </w:rPr>
              <w:t>1-8962</w:t>
            </w:r>
          </w:p>
        </w:tc>
        <w:tc>
          <w:tcPr>
            <w:tcW w:w="360" w:type="dxa"/>
            <w:vAlign w:val="bottom"/>
          </w:tcPr>
          <w:p>
            <w:pPr>
              <w:spacing w:after="0"/>
              <w:rPr>
                <w:sz w:val="24"/>
                <w:szCs w:val="24"/>
                <w:color w:val="auto"/>
              </w:rPr>
            </w:pPr>
          </w:p>
        </w:tc>
        <w:tc>
          <w:tcPr>
            <w:tcW w:w="6940" w:type="dxa"/>
            <w:vAlign w:val="bottom"/>
            <w:gridSpan w:val="4"/>
          </w:tcPr>
          <w:p>
            <w:pPr>
              <w:ind w:left="20"/>
              <w:spacing w:after="0"/>
              <w:rPr>
                <w:sz w:val="20"/>
                <w:szCs w:val="20"/>
                <w:color w:val="auto"/>
              </w:rPr>
            </w:pPr>
            <w:r>
              <w:rPr>
                <w:rFonts w:ascii="Arial" w:cs="Arial" w:eastAsia="Arial" w:hAnsi="Arial"/>
                <w:sz w:val="21"/>
                <w:szCs w:val="21"/>
                <w:b w:val="1"/>
                <w:bCs w:val="1"/>
                <w:color w:val="auto"/>
              </w:rPr>
              <w:t>PINNACLE WEST CAPITAL CORPORATION</w:t>
            </w:r>
          </w:p>
        </w:tc>
        <w:tc>
          <w:tcPr>
            <w:tcW w:w="2280" w:type="dxa"/>
            <w:vAlign w:val="bottom"/>
          </w:tcPr>
          <w:p>
            <w:pPr>
              <w:jc w:val="right"/>
              <w:ind w:right="552"/>
              <w:spacing w:after="0"/>
              <w:rPr>
                <w:sz w:val="20"/>
                <w:szCs w:val="20"/>
                <w:color w:val="auto"/>
              </w:rPr>
            </w:pPr>
            <w:r>
              <w:rPr>
                <w:rFonts w:ascii="Arial" w:cs="Arial" w:eastAsia="Arial" w:hAnsi="Arial"/>
                <w:sz w:val="21"/>
                <w:szCs w:val="21"/>
                <w:color w:val="auto"/>
              </w:rPr>
              <w:t>86-0512431</w:t>
            </w:r>
          </w:p>
        </w:tc>
        <w:tc>
          <w:tcPr>
            <w:tcW w:w="0" w:type="dxa"/>
            <w:vAlign w:val="bottom"/>
          </w:tcPr>
          <w:p>
            <w:pPr>
              <w:spacing w:after="0"/>
              <w:rPr>
                <w:sz w:val="1"/>
                <w:szCs w:val="1"/>
                <w:color w:val="auto"/>
              </w:rPr>
            </w:pPr>
          </w:p>
        </w:tc>
      </w:tr>
      <w:tr>
        <w:trPr>
          <w:trHeight w:val="297"/>
        </w:trPr>
        <w:tc>
          <w:tcPr>
            <w:tcW w:w="18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400" w:type="dxa"/>
            <w:vAlign w:val="bottom"/>
            <w:gridSpan w:val="2"/>
          </w:tcPr>
          <w:p>
            <w:pPr>
              <w:ind w:left="20"/>
              <w:spacing w:after="0"/>
              <w:rPr>
                <w:sz w:val="20"/>
                <w:szCs w:val="20"/>
                <w:color w:val="auto"/>
              </w:rPr>
            </w:pPr>
            <w:r>
              <w:rPr>
                <w:rFonts w:ascii="Arial" w:cs="Arial" w:eastAsia="Arial" w:hAnsi="Arial"/>
                <w:sz w:val="21"/>
                <w:szCs w:val="21"/>
                <w:color w:val="auto"/>
              </w:rPr>
              <w:t>(an Arizona corporation)</w:t>
            </w:r>
          </w:p>
        </w:tc>
        <w:tc>
          <w:tcPr>
            <w:tcW w:w="42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18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6940" w:type="dxa"/>
            <w:vAlign w:val="bottom"/>
            <w:gridSpan w:val="4"/>
          </w:tcPr>
          <w:p>
            <w:pPr>
              <w:ind w:left="20"/>
              <w:spacing w:after="0"/>
              <w:rPr>
                <w:sz w:val="20"/>
                <w:szCs w:val="20"/>
                <w:color w:val="auto"/>
              </w:rPr>
            </w:pPr>
            <w:r>
              <w:rPr>
                <w:rFonts w:ascii="Arial" w:cs="Arial" w:eastAsia="Arial" w:hAnsi="Arial"/>
                <w:sz w:val="21"/>
                <w:szCs w:val="21"/>
                <w:color w:val="auto"/>
              </w:rPr>
              <w:t>400 North Fifth Street, P.O. Box 53999</w:t>
            </w:r>
          </w:p>
        </w:tc>
        <w:tc>
          <w:tcPr>
            <w:tcW w:w="2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9"/>
        </w:trPr>
        <w:tc>
          <w:tcPr>
            <w:tcW w:w="18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20" w:type="dxa"/>
            <w:vAlign w:val="bottom"/>
          </w:tcPr>
          <w:p>
            <w:pPr>
              <w:ind w:left="20"/>
              <w:spacing w:after="0"/>
              <w:rPr>
                <w:sz w:val="20"/>
                <w:szCs w:val="20"/>
                <w:color w:val="auto"/>
              </w:rPr>
            </w:pPr>
            <w:r>
              <w:rPr>
                <w:rFonts w:ascii="Arial" w:cs="Arial" w:eastAsia="Arial" w:hAnsi="Arial"/>
                <w:sz w:val="21"/>
                <w:szCs w:val="21"/>
                <w:color w:val="auto"/>
              </w:rPr>
              <w:t>Phoenix</w:t>
            </w:r>
          </w:p>
        </w:tc>
        <w:tc>
          <w:tcPr>
            <w:tcW w:w="1380" w:type="dxa"/>
            <w:vAlign w:val="bottom"/>
          </w:tcPr>
          <w:p>
            <w:pPr>
              <w:ind w:left="20"/>
              <w:spacing w:after="0"/>
              <w:rPr>
                <w:sz w:val="20"/>
                <w:szCs w:val="20"/>
                <w:color w:val="auto"/>
              </w:rPr>
            </w:pPr>
            <w:r>
              <w:rPr>
                <w:rFonts w:ascii="Arial" w:cs="Arial" w:eastAsia="Arial" w:hAnsi="Arial"/>
                <w:sz w:val="22"/>
                <w:szCs w:val="22"/>
                <w:color w:val="auto"/>
              </w:rPr>
              <w:t>Arizona</w:t>
            </w:r>
          </w:p>
        </w:tc>
        <w:tc>
          <w:tcPr>
            <w:tcW w:w="4200" w:type="dxa"/>
            <w:vAlign w:val="bottom"/>
          </w:tcPr>
          <w:p>
            <w:pPr>
              <w:jc w:val="right"/>
              <w:ind w:right="2627"/>
              <w:spacing w:after="0"/>
              <w:rPr>
                <w:sz w:val="20"/>
                <w:szCs w:val="20"/>
                <w:color w:val="auto"/>
              </w:rPr>
            </w:pPr>
            <w:r>
              <w:rPr>
                <w:rFonts w:ascii="Arial" w:cs="Arial" w:eastAsia="Arial" w:hAnsi="Arial"/>
                <w:sz w:val="21"/>
                <w:szCs w:val="21"/>
                <w:color w:val="auto"/>
              </w:rPr>
              <w:t>85072-3999</w:t>
            </w:r>
          </w:p>
        </w:tc>
        <w:tc>
          <w:tcPr>
            <w:tcW w:w="34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5"/>
        </w:trPr>
        <w:tc>
          <w:tcPr>
            <w:tcW w:w="18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20" w:type="dxa"/>
            <w:vAlign w:val="bottom"/>
          </w:tcPr>
          <w:p>
            <w:pPr>
              <w:ind w:left="540"/>
              <w:spacing w:after="0"/>
              <w:rPr>
                <w:sz w:val="20"/>
                <w:szCs w:val="20"/>
                <w:color w:val="auto"/>
              </w:rPr>
            </w:pPr>
            <w:r>
              <w:rPr>
                <w:rFonts w:ascii="Arial" w:cs="Arial" w:eastAsia="Arial" w:hAnsi="Arial"/>
                <w:sz w:val="21"/>
                <w:szCs w:val="21"/>
                <w:color w:val="auto"/>
                <w:w w:val="93"/>
              </w:rPr>
              <w:t>(602)</w:t>
            </w:r>
          </w:p>
        </w:tc>
        <w:tc>
          <w:tcPr>
            <w:tcW w:w="1380" w:type="dxa"/>
            <w:vAlign w:val="bottom"/>
          </w:tcPr>
          <w:p>
            <w:pPr>
              <w:ind w:left="20"/>
              <w:spacing w:after="0"/>
              <w:rPr>
                <w:sz w:val="20"/>
                <w:szCs w:val="20"/>
                <w:color w:val="auto"/>
              </w:rPr>
            </w:pPr>
            <w:r>
              <w:rPr>
                <w:rFonts w:ascii="Arial" w:cs="Arial" w:eastAsia="Arial" w:hAnsi="Arial"/>
                <w:sz w:val="21"/>
                <w:szCs w:val="21"/>
                <w:color w:val="auto"/>
              </w:rPr>
              <w:t>250-1000</w:t>
            </w:r>
          </w:p>
        </w:tc>
        <w:tc>
          <w:tcPr>
            <w:tcW w:w="42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1840" w:type="dxa"/>
            <w:vAlign w:val="bottom"/>
          </w:tcPr>
          <w:p>
            <w:pPr>
              <w:jc w:val="right"/>
              <w:ind w:right="532"/>
              <w:spacing w:after="0"/>
              <w:rPr>
                <w:sz w:val="20"/>
                <w:szCs w:val="20"/>
                <w:color w:val="auto"/>
              </w:rPr>
            </w:pPr>
            <w:r>
              <w:rPr>
                <w:rFonts w:ascii="Arial" w:cs="Arial" w:eastAsia="Arial" w:hAnsi="Arial"/>
                <w:sz w:val="21"/>
                <w:szCs w:val="21"/>
                <w:color w:val="auto"/>
              </w:rPr>
              <w:t>1-4473</w:t>
            </w:r>
          </w:p>
        </w:tc>
        <w:tc>
          <w:tcPr>
            <w:tcW w:w="360" w:type="dxa"/>
            <w:vAlign w:val="bottom"/>
          </w:tcPr>
          <w:p>
            <w:pPr>
              <w:spacing w:after="0"/>
              <w:rPr>
                <w:sz w:val="24"/>
                <w:szCs w:val="24"/>
                <w:color w:val="auto"/>
              </w:rPr>
            </w:pPr>
          </w:p>
        </w:tc>
        <w:tc>
          <w:tcPr>
            <w:tcW w:w="6940" w:type="dxa"/>
            <w:vAlign w:val="bottom"/>
            <w:gridSpan w:val="4"/>
          </w:tcPr>
          <w:p>
            <w:pPr>
              <w:ind w:left="20"/>
              <w:spacing w:after="0"/>
              <w:rPr>
                <w:sz w:val="20"/>
                <w:szCs w:val="20"/>
                <w:color w:val="auto"/>
              </w:rPr>
            </w:pPr>
            <w:r>
              <w:rPr>
                <w:rFonts w:ascii="Arial" w:cs="Arial" w:eastAsia="Arial" w:hAnsi="Arial"/>
                <w:sz w:val="21"/>
                <w:szCs w:val="21"/>
                <w:b w:val="1"/>
                <w:bCs w:val="1"/>
                <w:color w:val="auto"/>
              </w:rPr>
              <w:t>ARIZONA PUBLIC SERVICE COMPANY</w:t>
            </w:r>
          </w:p>
        </w:tc>
        <w:tc>
          <w:tcPr>
            <w:tcW w:w="2280" w:type="dxa"/>
            <w:vAlign w:val="bottom"/>
          </w:tcPr>
          <w:p>
            <w:pPr>
              <w:jc w:val="right"/>
              <w:ind w:right="552"/>
              <w:spacing w:after="0"/>
              <w:rPr>
                <w:sz w:val="20"/>
                <w:szCs w:val="20"/>
                <w:color w:val="auto"/>
              </w:rPr>
            </w:pPr>
            <w:r>
              <w:rPr>
                <w:rFonts w:ascii="Arial" w:cs="Arial" w:eastAsia="Arial" w:hAnsi="Arial"/>
                <w:sz w:val="21"/>
                <w:szCs w:val="21"/>
                <w:color w:val="auto"/>
              </w:rPr>
              <w:t>86-0011170</w:t>
            </w:r>
          </w:p>
        </w:tc>
        <w:tc>
          <w:tcPr>
            <w:tcW w:w="0" w:type="dxa"/>
            <w:vAlign w:val="bottom"/>
          </w:tcPr>
          <w:p>
            <w:pPr>
              <w:spacing w:after="0"/>
              <w:rPr>
                <w:sz w:val="1"/>
                <w:szCs w:val="1"/>
                <w:color w:val="auto"/>
              </w:rPr>
            </w:pPr>
          </w:p>
        </w:tc>
      </w:tr>
      <w:tr>
        <w:trPr>
          <w:trHeight w:val="297"/>
        </w:trPr>
        <w:tc>
          <w:tcPr>
            <w:tcW w:w="18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400" w:type="dxa"/>
            <w:vAlign w:val="bottom"/>
            <w:gridSpan w:val="2"/>
          </w:tcPr>
          <w:p>
            <w:pPr>
              <w:ind w:left="20"/>
              <w:spacing w:after="0"/>
              <w:rPr>
                <w:sz w:val="20"/>
                <w:szCs w:val="20"/>
                <w:color w:val="auto"/>
              </w:rPr>
            </w:pPr>
            <w:r>
              <w:rPr>
                <w:rFonts w:ascii="Arial" w:cs="Arial" w:eastAsia="Arial" w:hAnsi="Arial"/>
                <w:sz w:val="21"/>
                <w:szCs w:val="21"/>
                <w:color w:val="auto"/>
              </w:rPr>
              <w:t>(an Arizona corporation)</w:t>
            </w:r>
          </w:p>
        </w:tc>
        <w:tc>
          <w:tcPr>
            <w:tcW w:w="42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18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6940" w:type="dxa"/>
            <w:vAlign w:val="bottom"/>
            <w:gridSpan w:val="4"/>
          </w:tcPr>
          <w:p>
            <w:pPr>
              <w:ind w:left="20"/>
              <w:spacing w:after="0"/>
              <w:rPr>
                <w:sz w:val="20"/>
                <w:szCs w:val="20"/>
                <w:color w:val="auto"/>
              </w:rPr>
            </w:pPr>
            <w:r>
              <w:rPr>
                <w:rFonts w:ascii="Arial" w:cs="Arial" w:eastAsia="Arial" w:hAnsi="Arial"/>
                <w:sz w:val="21"/>
                <w:szCs w:val="21"/>
                <w:color w:val="auto"/>
              </w:rPr>
              <w:t>400 North Fifth Street, P.O. Box 53999</w:t>
            </w:r>
          </w:p>
        </w:tc>
        <w:tc>
          <w:tcPr>
            <w:tcW w:w="2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9"/>
        </w:trPr>
        <w:tc>
          <w:tcPr>
            <w:tcW w:w="18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20" w:type="dxa"/>
            <w:vAlign w:val="bottom"/>
          </w:tcPr>
          <w:p>
            <w:pPr>
              <w:ind w:left="20"/>
              <w:spacing w:after="0"/>
              <w:rPr>
                <w:sz w:val="20"/>
                <w:szCs w:val="20"/>
                <w:color w:val="auto"/>
              </w:rPr>
            </w:pPr>
            <w:r>
              <w:rPr>
                <w:rFonts w:ascii="Arial" w:cs="Arial" w:eastAsia="Arial" w:hAnsi="Arial"/>
                <w:sz w:val="21"/>
                <w:szCs w:val="21"/>
                <w:color w:val="auto"/>
              </w:rPr>
              <w:t>Phoenix</w:t>
            </w:r>
          </w:p>
        </w:tc>
        <w:tc>
          <w:tcPr>
            <w:tcW w:w="1380" w:type="dxa"/>
            <w:vAlign w:val="bottom"/>
          </w:tcPr>
          <w:p>
            <w:pPr>
              <w:ind w:left="20"/>
              <w:spacing w:after="0"/>
              <w:rPr>
                <w:sz w:val="20"/>
                <w:szCs w:val="20"/>
                <w:color w:val="auto"/>
              </w:rPr>
            </w:pPr>
            <w:r>
              <w:rPr>
                <w:rFonts w:ascii="Arial" w:cs="Arial" w:eastAsia="Arial" w:hAnsi="Arial"/>
                <w:sz w:val="22"/>
                <w:szCs w:val="22"/>
                <w:color w:val="auto"/>
              </w:rPr>
              <w:t>Arizona</w:t>
            </w:r>
          </w:p>
        </w:tc>
        <w:tc>
          <w:tcPr>
            <w:tcW w:w="4200" w:type="dxa"/>
            <w:vAlign w:val="bottom"/>
          </w:tcPr>
          <w:p>
            <w:pPr>
              <w:jc w:val="right"/>
              <w:ind w:right="2627"/>
              <w:spacing w:after="0"/>
              <w:rPr>
                <w:sz w:val="20"/>
                <w:szCs w:val="20"/>
                <w:color w:val="auto"/>
              </w:rPr>
            </w:pPr>
            <w:r>
              <w:rPr>
                <w:rFonts w:ascii="Arial" w:cs="Arial" w:eastAsia="Arial" w:hAnsi="Arial"/>
                <w:sz w:val="21"/>
                <w:szCs w:val="21"/>
                <w:color w:val="auto"/>
              </w:rPr>
              <w:t>85072-3999</w:t>
            </w:r>
          </w:p>
        </w:tc>
        <w:tc>
          <w:tcPr>
            <w:tcW w:w="34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5"/>
        </w:trPr>
        <w:tc>
          <w:tcPr>
            <w:tcW w:w="18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20" w:type="dxa"/>
            <w:vAlign w:val="bottom"/>
          </w:tcPr>
          <w:p>
            <w:pPr>
              <w:ind w:left="540"/>
              <w:spacing w:after="0"/>
              <w:rPr>
                <w:sz w:val="20"/>
                <w:szCs w:val="20"/>
                <w:color w:val="auto"/>
              </w:rPr>
            </w:pPr>
            <w:r>
              <w:rPr>
                <w:rFonts w:ascii="Arial" w:cs="Arial" w:eastAsia="Arial" w:hAnsi="Arial"/>
                <w:sz w:val="21"/>
                <w:szCs w:val="21"/>
                <w:color w:val="auto"/>
                <w:w w:val="93"/>
              </w:rPr>
              <w:t>(602)</w:t>
            </w:r>
          </w:p>
        </w:tc>
        <w:tc>
          <w:tcPr>
            <w:tcW w:w="1380" w:type="dxa"/>
            <w:vAlign w:val="bottom"/>
          </w:tcPr>
          <w:p>
            <w:pPr>
              <w:ind w:left="20"/>
              <w:spacing w:after="0"/>
              <w:rPr>
                <w:sz w:val="20"/>
                <w:szCs w:val="20"/>
                <w:color w:val="auto"/>
              </w:rPr>
            </w:pPr>
            <w:r>
              <w:rPr>
                <w:rFonts w:ascii="Arial" w:cs="Arial" w:eastAsia="Arial" w:hAnsi="Arial"/>
                <w:sz w:val="21"/>
                <w:szCs w:val="21"/>
                <w:color w:val="auto"/>
              </w:rPr>
              <w:t>250-1000</w:t>
            </w:r>
          </w:p>
        </w:tc>
        <w:tc>
          <w:tcPr>
            <w:tcW w:w="42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22" w:lineRule="exact"/>
        <w:rPr>
          <w:sz w:val="24"/>
          <w:szCs w:val="24"/>
          <w:color w:val="auto"/>
        </w:rPr>
      </w:pPr>
    </w:p>
    <w:p>
      <w:pPr>
        <w:ind w:right="180"/>
        <w:spacing w:after="0" w:line="264" w:lineRule="auto"/>
        <w:rPr>
          <w:sz w:val="20"/>
          <w:szCs w:val="20"/>
          <w:color w:val="auto"/>
        </w:rPr>
      </w:pPr>
      <w:r>
        <w:rPr>
          <w:rFonts w:ascii="Arial" w:cs="Arial" w:eastAsia="Arial" w:hAnsi="Arial"/>
          <w:sz w:val="21"/>
          <w:szCs w:val="21"/>
          <w:color w:val="auto"/>
        </w:rPr>
        <w:t>Check the appropriate box below if the Form 8-K filing is intended to simultaneously satisfy the filing obligation of the registrant under any of the following provisions:</w:t>
      </w:r>
    </w:p>
    <w:p>
      <w:pPr>
        <w:spacing w:after="0" w:line="200" w:lineRule="exact"/>
        <w:rPr>
          <w:sz w:val="24"/>
          <w:szCs w:val="24"/>
          <w:color w:val="auto"/>
        </w:rPr>
      </w:pPr>
    </w:p>
    <w:p>
      <w:pPr>
        <w:spacing w:after="0" w:line="390" w:lineRule="exact"/>
        <w:rPr>
          <w:sz w:val="24"/>
          <w:szCs w:val="24"/>
          <w:color w:val="auto"/>
        </w:rPr>
      </w:pPr>
    </w:p>
    <w:p>
      <w:pPr>
        <w:ind w:left="500" w:hanging="235"/>
        <w:spacing w:after="0"/>
        <w:tabs>
          <w:tab w:leader="none" w:pos="500" w:val="left"/>
        </w:tabs>
        <w:numPr>
          <w:ilvl w:val="0"/>
          <w:numId w:val="1"/>
        </w:numPr>
        <w:rPr>
          <w:rFonts w:ascii="MS PGothic" w:cs="MS PGothic" w:eastAsia="MS PGothic" w:hAnsi="MS PGothic"/>
          <w:sz w:val="21"/>
          <w:szCs w:val="21"/>
          <w:color w:val="auto"/>
        </w:rPr>
      </w:pPr>
      <w:r>
        <w:rPr>
          <w:rFonts w:ascii="Arial" w:cs="Arial" w:eastAsia="Arial" w:hAnsi="Arial"/>
          <w:sz w:val="21"/>
          <w:szCs w:val="21"/>
          <w:color w:val="auto"/>
        </w:rPr>
        <w:t>Written communications pursuant to Rule 425 under the Securities Act (17 CFR 230.425)</w:t>
      </w:r>
    </w:p>
    <w:p>
      <w:pPr>
        <w:spacing w:after="0" w:line="231" w:lineRule="exact"/>
        <w:rPr>
          <w:rFonts w:ascii="MS PGothic" w:cs="MS PGothic" w:eastAsia="MS PGothic" w:hAnsi="MS PGothic"/>
          <w:sz w:val="21"/>
          <w:szCs w:val="21"/>
          <w:color w:val="auto"/>
        </w:rPr>
      </w:pPr>
    </w:p>
    <w:p>
      <w:pPr>
        <w:ind w:left="500" w:hanging="235"/>
        <w:spacing w:after="0"/>
        <w:tabs>
          <w:tab w:leader="none" w:pos="500" w:val="left"/>
        </w:tabs>
        <w:numPr>
          <w:ilvl w:val="0"/>
          <w:numId w:val="1"/>
        </w:numPr>
        <w:rPr>
          <w:rFonts w:ascii="MS PGothic" w:cs="MS PGothic" w:eastAsia="MS PGothic" w:hAnsi="MS PGothic"/>
          <w:sz w:val="21"/>
          <w:szCs w:val="21"/>
          <w:color w:val="auto"/>
        </w:rPr>
      </w:pPr>
      <w:r>
        <w:rPr>
          <w:rFonts w:ascii="Arial" w:cs="Arial" w:eastAsia="Arial" w:hAnsi="Arial"/>
          <w:sz w:val="21"/>
          <w:szCs w:val="21"/>
          <w:color w:val="auto"/>
        </w:rPr>
        <w:t>Soliciting material pursuant to Rule 14a-12 under the Exchange Act (17 CFR 240.14a-12)</w:t>
      </w:r>
    </w:p>
    <w:p>
      <w:pPr>
        <w:spacing w:after="0" w:line="231" w:lineRule="exact"/>
        <w:rPr>
          <w:rFonts w:ascii="MS PGothic" w:cs="MS PGothic" w:eastAsia="MS PGothic" w:hAnsi="MS PGothic"/>
          <w:sz w:val="21"/>
          <w:szCs w:val="21"/>
          <w:color w:val="auto"/>
        </w:rPr>
      </w:pPr>
    </w:p>
    <w:p>
      <w:pPr>
        <w:ind w:left="500" w:hanging="235"/>
        <w:spacing w:after="0"/>
        <w:tabs>
          <w:tab w:leader="none" w:pos="500" w:val="left"/>
        </w:tabs>
        <w:numPr>
          <w:ilvl w:val="0"/>
          <w:numId w:val="1"/>
        </w:numPr>
        <w:rPr>
          <w:rFonts w:ascii="MS PGothic" w:cs="MS PGothic" w:eastAsia="MS PGothic" w:hAnsi="MS PGothic"/>
          <w:sz w:val="21"/>
          <w:szCs w:val="21"/>
          <w:color w:val="auto"/>
        </w:rPr>
      </w:pPr>
      <w:r>
        <w:rPr>
          <w:rFonts w:ascii="Arial" w:cs="Arial" w:eastAsia="Arial" w:hAnsi="Arial"/>
          <w:sz w:val="21"/>
          <w:szCs w:val="21"/>
          <w:color w:val="auto"/>
        </w:rPr>
        <w:t>Pre-commencement communications pursuant to Rule 14d-2(b) under the Exchange Act (17 CFR 240.14d-2(b))</w:t>
      </w:r>
    </w:p>
    <w:p>
      <w:pPr>
        <w:spacing w:after="0" w:line="231" w:lineRule="exact"/>
        <w:rPr>
          <w:rFonts w:ascii="MS PGothic" w:cs="MS PGothic" w:eastAsia="MS PGothic" w:hAnsi="MS PGothic"/>
          <w:sz w:val="21"/>
          <w:szCs w:val="21"/>
          <w:color w:val="auto"/>
        </w:rPr>
      </w:pPr>
    </w:p>
    <w:p>
      <w:pPr>
        <w:ind w:right="1700" w:firstLine="265"/>
        <w:spacing w:after="0" w:line="449" w:lineRule="auto"/>
        <w:tabs>
          <w:tab w:leader="none" w:pos="486" w:val="left"/>
        </w:tabs>
        <w:numPr>
          <w:ilvl w:val="0"/>
          <w:numId w:val="1"/>
        </w:numPr>
        <w:rPr>
          <w:rFonts w:ascii="MS PGothic" w:cs="MS PGothic" w:eastAsia="MS PGothic" w:hAnsi="MS PGothic"/>
          <w:sz w:val="21"/>
          <w:szCs w:val="21"/>
          <w:color w:val="auto"/>
        </w:rPr>
      </w:pPr>
      <w:r>
        <w:rPr>
          <w:rFonts w:ascii="Arial" w:cs="Arial" w:eastAsia="Arial" w:hAnsi="Arial"/>
          <w:sz w:val="21"/>
          <w:szCs w:val="21"/>
          <w:color w:val="auto"/>
        </w:rPr>
        <w:t>Pre-commencement communications pursuant to Rule 13e-4(c) under the Exchange Act (17 CFR 240.13e-4(c)) Securities registered pursuant to Section 12(b) of the Act:</w:t>
      </w:r>
    </w:p>
    <w:tbl>
      <w:tblPr>
        <w:tblLayout w:type="fixed"/>
        <w:tblInd w:w="10" w:type="dxa"/>
        <w:tblCellMar>
          <w:top w:w="0" w:type="dxa"/>
          <w:left w:w="0" w:type="dxa"/>
          <w:bottom w:w="0" w:type="dxa"/>
          <w:right w:w="0" w:type="dxa"/>
        </w:tblCellMar>
      </w:tblPr>
      <w:tr>
        <w:trPr>
          <w:trHeight w:val="273"/>
        </w:trPr>
        <w:tc>
          <w:tcPr>
            <w:tcW w:w="4380" w:type="dxa"/>
            <w:vAlign w:val="bottom"/>
            <w:tcBorders>
              <w:top w:val="single" w:sz="8" w:color="00000A"/>
              <w:left w:val="single" w:sz="8" w:color="00000A"/>
              <w:right w:val="single" w:sz="8" w:color="00000A"/>
            </w:tcBorders>
          </w:tcPr>
          <w:p>
            <w:pPr>
              <w:jc w:val="center"/>
              <w:spacing w:after="0"/>
              <w:rPr>
                <w:sz w:val="20"/>
                <w:szCs w:val="20"/>
                <w:color w:val="auto"/>
              </w:rPr>
            </w:pPr>
            <w:r>
              <w:rPr>
                <w:rFonts w:ascii="Arial" w:cs="Arial" w:eastAsia="Arial" w:hAnsi="Arial"/>
                <w:sz w:val="21"/>
                <w:szCs w:val="21"/>
                <w:color w:val="auto"/>
                <w:w w:val="89"/>
              </w:rPr>
              <w:t>Title of each class</w:t>
            </w:r>
          </w:p>
        </w:tc>
        <w:tc>
          <w:tcPr>
            <w:tcW w:w="2500" w:type="dxa"/>
            <w:vAlign w:val="bottom"/>
            <w:tcBorders>
              <w:top w:val="single" w:sz="8" w:color="00000A"/>
              <w:right w:val="single" w:sz="8" w:color="00000A"/>
            </w:tcBorders>
          </w:tcPr>
          <w:p>
            <w:pPr>
              <w:jc w:val="center"/>
              <w:spacing w:after="0"/>
              <w:rPr>
                <w:sz w:val="20"/>
                <w:szCs w:val="20"/>
                <w:color w:val="auto"/>
              </w:rPr>
            </w:pPr>
            <w:r>
              <w:rPr>
                <w:rFonts w:ascii="Arial" w:cs="Arial" w:eastAsia="Arial" w:hAnsi="Arial"/>
                <w:sz w:val="21"/>
                <w:szCs w:val="21"/>
                <w:color w:val="auto"/>
                <w:w w:val="90"/>
              </w:rPr>
              <w:t>Trading Symbol(s)</w:t>
            </w:r>
          </w:p>
        </w:tc>
        <w:tc>
          <w:tcPr>
            <w:tcW w:w="4560" w:type="dxa"/>
            <w:vAlign w:val="bottom"/>
            <w:tcBorders>
              <w:top w:val="single" w:sz="8" w:color="00000A"/>
              <w:right w:val="single" w:sz="8" w:color="00000A"/>
            </w:tcBorders>
          </w:tcPr>
          <w:p>
            <w:pPr>
              <w:jc w:val="center"/>
              <w:spacing w:after="0"/>
              <w:rPr>
                <w:sz w:val="20"/>
                <w:szCs w:val="20"/>
                <w:color w:val="auto"/>
              </w:rPr>
            </w:pPr>
            <w:r>
              <w:rPr>
                <w:rFonts w:ascii="Arial" w:cs="Arial" w:eastAsia="Arial" w:hAnsi="Arial"/>
                <w:sz w:val="21"/>
                <w:szCs w:val="21"/>
                <w:color w:val="auto"/>
                <w:w w:val="88"/>
              </w:rPr>
              <w:t>Name of each exchange on which registered</w:t>
            </w:r>
          </w:p>
        </w:tc>
      </w:tr>
      <w:tr>
        <w:trPr>
          <w:trHeight w:val="46"/>
        </w:trPr>
        <w:tc>
          <w:tcPr>
            <w:tcW w:w="4380" w:type="dxa"/>
            <w:vAlign w:val="bottom"/>
            <w:tcBorders>
              <w:left w:val="single" w:sz="8" w:color="00000A"/>
              <w:bottom w:val="single" w:sz="8" w:color="00000A"/>
              <w:right w:val="single" w:sz="8" w:color="00000A"/>
            </w:tcBorders>
          </w:tcPr>
          <w:p>
            <w:pPr>
              <w:spacing w:after="0"/>
              <w:rPr>
                <w:sz w:val="4"/>
                <w:szCs w:val="4"/>
                <w:color w:val="auto"/>
              </w:rPr>
            </w:pPr>
          </w:p>
        </w:tc>
        <w:tc>
          <w:tcPr>
            <w:tcW w:w="2500" w:type="dxa"/>
            <w:vAlign w:val="bottom"/>
            <w:tcBorders>
              <w:bottom w:val="single" w:sz="8" w:color="00000A"/>
              <w:right w:val="single" w:sz="8" w:color="00000A"/>
            </w:tcBorders>
          </w:tcPr>
          <w:p>
            <w:pPr>
              <w:spacing w:after="0"/>
              <w:rPr>
                <w:sz w:val="4"/>
                <w:szCs w:val="4"/>
                <w:color w:val="auto"/>
              </w:rPr>
            </w:pPr>
          </w:p>
        </w:tc>
        <w:tc>
          <w:tcPr>
            <w:tcW w:w="4560" w:type="dxa"/>
            <w:vAlign w:val="bottom"/>
            <w:tcBorders>
              <w:bottom w:val="single" w:sz="8" w:color="00000A"/>
              <w:right w:val="single" w:sz="8" w:color="00000A"/>
            </w:tcBorders>
          </w:tcPr>
          <w:p>
            <w:pPr>
              <w:spacing w:after="0"/>
              <w:rPr>
                <w:sz w:val="4"/>
                <w:szCs w:val="4"/>
                <w:color w:val="auto"/>
              </w:rPr>
            </w:pPr>
          </w:p>
        </w:tc>
      </w:tr>
      <w:tr>
        <w:trPr>
          <w:trHeight w:val="272"/>
        </w:trPr>
        <w:tc>
          <w:tcPr>
            <w:tcW w:w="4380" w:type="dxa"/>
            <w:vAlign w:val="bottom"/>
            <w:tcBorders>
              <w:left w:val="single" w:sz="8" w:color="00000A"/>
              <w:right w:val="single" w:sz="8" w:color="00000A"/>
            </w:tcBorders>
          </w:tcPr>
          <w:p>
            <w:pPr>
              <w:jc w:val="center"/>
              <w:spacing w:after="0"/>
              <w:rPr>
                <w:sz w:val="20"/>
                <w:szCs w:val="20"/>
                <w:color w:val="auto"/>
              </w:rPr>
            </w:pPr>
            <w:r>
              <w:rPr>
                <w:rFonts w:ascii="Arial" w:cs="Arial" w:eastAsia="Arial" w:hAnsi="Arial"/>
                <w:sz w:val="21"/>
                <w:szCs w:val="21"/>
                <w:color w:val="auto"/>
                <w:w w:val="90"/>
              </w:rPr>
              <w:t>Common Stock</w:t>
            </w:r>
          </w:p>
        </w:tc>
        <w:tc>
          <w:tcPr>
            <w:tcW w:w="2500" w:type="dxa"/>
            <w:vAlign w:val="bottom"/>
            <w:tcBorders>
              <w:right w:val="single" w:sz="8" w:color="00000A"/>
            </w:tcBorders>
          </w:tcPr>
          <w:p>
            <w:pPr>
              <w:jc w:val="center"/>
              <w:spacing w:after="0"/>
              <w:rPr>
                <w:sz w:val="20"/>
                <w:szCs w:val="20"/>
                <w:color w:val="auto"/>
              </w:rPr>
            </w:pPr>
            <w:r>
              <w:rPr>
                <w:rFonts w:ascii="Arial" w:cs="Arial" w:eastAsia="Arial" w:hAnsi="Arial"/>
                <w:sz w:val="21"/>
                <w:szCs w:val="21"/>
                <w:color w:val="auto"/>
                <w:w w:val="93"/>
              </w:rPr>
              <w:t>PNW</w:t>
            </w:r>
          </w:p>
        </w:tc>
        <w:tc>
          <w:tcPr>
            <w:tcW w:w="4560" w:type="dxa"/>
            <w:vAlign w:val="bottom"/>
            <w:tcBorders>
              <w:right w:val="single" w:sz="8" w:color="00000A"/>
            </w:tcBorders>
          </w:tcPr>
          <w:p>
            <w:pPr>
              <w:jc w:val="center"/>
              <w:spacing w:after="0"/>
              <w:rPr>
                <w:sz w:val="20"/>
                <w:szCs w:val="20"/>
                <w:color w:val="auto"/>
              </w:rPr>
            </w:pPr>
            <w:r>
              <w:rPr>
                <w:rFonts w:ascii="Arial" w:cs="Arial" w:eastAsia="Arial" w:hAnsi="Arial"/>
                <w:sz w:val="21"/>
                <w:szCs w:val="21"/>
                <w:color w:val="auto"/>
                <w:w w:val="90"/>
              </w:rPr>
              <w:t>The New York Stock Exchange</w:t>
            </w:r>
          </w:p>
        </w:tc>
      </w:tr>
      <w:tr>
        <w:trPr>
          <w:trHeight w:val="46"/>
        </w:trPr>
        <w:tc>
          <w:tcPr>
            <w:tcW w:w="4380" w:type="dxa"/>
            <w:vAlign w:val="bottom"/>
            <w:tcBorders>
              <w:left w:val="single" w:sz="8" w:color="00000A"/>
              <w:bottom w:val="single" w:sz="8" w:color="00000A"/>
              <w:right w:val="single" w:sz="8" w:color="00000A"/>
            </w:tcBorders>
          </w:tcPr>
          <w:p>
            <w:pPr>
              <w:spacing w:after="0"/>
              <w:rPr>
                <w:sz w:val="4"/>
                <w:szCs w:val="4"/>
                <w:color w:val="auto"/>
              </w:rPr>
            </w:pPr>
          </w:p>
        </w:tc>
        <w:tc>
          <w:tcPr>
            <w:tcW w:w="2500" w:type="dxa"/>
            <w:vAlign w:val="bottom"/>
            <w:tcBorders>
              <w:bottom w:val="single" w:sz="8" w:color="00000A"/>
              <w:right w:val="single" w:sz="8" w:color="00000A"/>
            </w:tcBorders>
          </w:tcPr>
          <w:p>
            <w:pPr>
              <w:spacing w:after="0"/>
              <w:rPr>
                <w:sz w:val="4"/>
                <w:szCs w:val="4"/>
                <w:color w:val="auto"/>
              </w:rPr>
            </w:pPr>
          </w:p>
        </w:tc>
        <w:tc>
          <w:tcPr>
            <w:tcW w:w="4560" w:type="dxa"/>
            <w:vAlign w:val="bottom"/>
            <w:tcBorders>
              <w:bottom w:val="single" w:sz="8" w:color="00000A"/>
              <w:right w:val="single" w:sz="8" w:color="00000A"/>
            </w:tcBorders>
          </w:tcPr>
          <w:p>
            <w:pPr>
              <w:spacing w:after="0"/>
              <w:rPr>
                <w:sz w:val="4"/>
                <w:szCs w:val="4"/>
                <w:color w:val="auto"/>
              </w:rPr>
            </w:pPr>
          </w:p>
        </w:tc>
      </w:tr>
    </w:tbl>
    <w:p>
      <w:pPr>
        <w:spacing w:after="0" w:line="230" w:lineRule="exact"/>
        <w:rPr>
          <w:sz w:val="24"/>
          <w:szCs w:val="24"/>
          <w:color w:val="auto"/>
        </w:rPr>
      </w:pPr>
    </w:p>
    <w:p>
      <w:pPr>
        <w:ind w:right="240"/>
        <w:spacing w:after="0" w:line="264" w:lineRule="auto"/>
        <w:rPr>
          <w:sz w:val="20"/>
          <w:szCs w:val="20"/>
          <w:color w:val="auto"/>
        </w:rPr>
      </w:pPr>
      <w:r>
        <w:rPr>
          <w:rFonts w:ascii="Arial" w:cs="Arial" w:eastAsia="Arial" w:hAnsi="Arial"/>
          <w:sz w:val="21"/>
          <w:szCs w:val="21"/>
          <w:color w:val="auto"/>
        </w:rPr>
        <w:t>Indicate by check mark whether the registrant is an emerging growth company as defined in Rule 405 of the Securities Act of 1933 (17 CFR §230.405) or Rule 12b-2 of the Securities Exchange Act of 1934 (17 CFR §240.12b-2).</w:t>
      </w:r>
    </w:p>
    <w:p>
      <w:pPr>
        <w:spacing w:after="0" w:line="309" w:lineRule="exact"/>
        <w:rPr>
          <w:sz w:val="24"/>
          <w:szCs w:val="24"/>
          <w:color w:val="auto"/>
        </w:rPr>
      </w:pPr>
    </w:p>
    <w:p>
      <w:pPr>
        <w:ind w:left="1320"/>
        <w:spacing w:after="0" w:line="242" w:lineRule="exact"/>
        <w:rPr>
          <w:sz w:val="20"/>
          <w:szCs w:val="20"/>
          <w:color w:val="auto"/>
        </w:rPr>
      </w:pPr>
      <w:r>
        <w:rPr>
          <w:rFonts w:ascii="Arial" w:cs="Arial" w:eastAsia="Arial" w:hAnsi="Arial"/>
          <w:sz w:val="21"/>
          <w:szCs w:val="21"/>
          <w:color w:val="auto"/>
        </w:rPr>
        <w:t xml:space="preserve">Emerging growth company </w:t>
      </w:r>
      <w:r>
        <w:rPr>
          <w:rFonts w:ascii="MS PGothic" w:cs="MS PGothic" w:eastAsia="MS PGothic" w:hAnsi="MS PGothic"/>
          <w:sz w:val="21"/>
          <w:szCs w:val="21"/>
          <w:color w:val="auto"/>
        </w:rPr>
        <w:t>☐</w:t>
      </w:r>
    </w:p>
    <w:p>
      <w:pPr>
        <w:spacing w:after="0" w:line="309" w:lineRule="exact"/>
        <w:rPr>
          <w:sz w:val="24"/>
          <w:szCs w:val="24"/>
          <w:color w:val="auto"/>
        </w:rPr>
      </w:pPr>
    </w:p>
    <w:p>
      <w:pPr>
        <w:ind w:right="800"/>
        <w:spacing w:after="0" w:line="265"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ectPr>
          <w:pgSz w:w="11900" w:h="16838" w:orient="portrait"/>
          <w:cols w:equalWidth="0" w:num="1">
            <w:col w:w="11440"/>
          </w:cols>
          <w:pgMar w:left="240" w:top="1138" w:right="219" w:bottom="0" w:gutter="0" w:footer="0" w:header="0"/>
        </w:sectPr>
      </w:pPr>
    </w:p>
    <w:bookmarkStart w:id="1" w:name="page2"/>
    <w:bookmarkEnd w:id="1"/>
    <w:p>
      <w:pPr>
        <w:spacing w:after="0" w:line="283" w:lineRule="auto"/>
        <w:rPr>
          <w:sz w:val="20"/>
          <w:szCs w:val="20"/>
          <w:color w:val="auto"/>
        </w:rPr>
      </w:pPr>
      <w:r>
        <w:rPr>
          <w:rFonts w:ascii="Arial" w:cs="Arial" w:eastAsia="Arial" w:hAnsi="Arial"/>
          <w:sz w:val="19"/>
          <w:szCs w:val="19"/>
          <w:color w:val="auto"/>
        </w:rPr>
        <w:t>This combined Form 8-K is separately filed or furnished by Pinnacle West Capital Corporation and Arizona Public Service Company. Each registrant is filing or furnishing on its own behalf all of the information contained in this Form 8-K that relates to such registrant and, where required, its subsidiaries. Except as stated in the preceding sentence, neither registrant is filing or furnishing any information that does not relate to such registrant, and therefore makes no representation as to any such information.</w:t>
      </w:r>
    </w:p>
    <w:p>
      <w:pPr>
        <w:sectPr>
          <w:pgSz w:w="11900" w:h="16838" w:orient="portrait"/>
          <w:cols w:equalWidth="0" w:num="1">
            <w:col w:w="11280"/>
          </w:cols>
          <w:pgMar w:left="240" w:top="126" w:right="379" w:bottom="1440" w:gutter="0" w:footer="0" w:header="0"/>
        </w:sectPr>
      </w:pPr>
    </w:p>
    <w:bookmarkStart w:id="2" w:name="page3"/>
    <w:bookmarkEnd w:id="2"/>
    <w:p>
      <w:pPr>
        <w:ind w:right="380"/>
        <w:spacing w:after="0" w:line="270" w:lineRule="auto"/>
        <w:rPr>
          <w:sz w:val="20"/>
          <w:szCs w:val="20"/>
          <w:color w:val="auto"/>
        </w:rPr>
      </w:pPr>
      <w:r>
        <w:rPr>
          <w:rFonts w:ascii="Arial" w:cs="Arial" w:eastAsia="Arial" w:hAnsi="Arial"/>
          <w:sz w:val="21"/>
          <w:szCs w:val="21"/>
          <w:b w:val="1"/>
          <w:bCs w:val="1"/>
          <w:color w:val="auto"/>
        </w:rPr>
        <w:t>Item 5.02 Departure of Directors or Certain Officers; Election of Directors; Appointment of Certain Officers; Compensatory Arrangements of Certain Officers.</w:t>
      </w:r>
    </w:p>
    <w:p>
      <w:pPr>
        <w:spacing w:after="0" w:line="197" w:lineRule="exact"/>
        <w:rPr>
          <w:sz w:val="20"/>
          <w:szCs w:val="20"/>
          <w:color w:val="auto"/>
        </w:rPr>
      </w:pPr>
    </w:p>
    <w:p>
      <w:pPr>
        <w:ind w:right="20" w:firstLine="648"/>
        <w:spacing w:after="0" w:line="297" w:lineRule="auto"/>
        <w:rPr>
          <w:sz w:val="20"/>
          <w:szCs w:val="20"/>
          <w:color w:val="auto"/>
        </w:rPr>
      </w:pPr>
      <w:r>
        <w:rPr>
          <w:rFonts w:ascii="Arial" w:cs="Arial" w:eastAsia="Arial" w:hAnsi="Arial"/>
          <w:sz w:val="19"/>
          <w:szCs w:val="19"/>
          <w:color w:val="auto"/>
        </w:rPr>
        <w:t>On January 8, 2020, the Human Resources Committee (the “Committee”) of the Board of Directors of Pinnacle West Capital Corporation (“Pinnacle West” or the “Company”), acting pursuant to a delegation of authority from the Boards of Directors of both Pinnacle West and Arizona Public Service Company (“APS”), appointed Theodore N. Geisler to the position of Senior Vice President and Chief Financial Officer of the Company and APS, effective immediately. James R. Hatfield was promoted to the position of Executive Vice President and Chief Administrative Officer of APS, also effective immediately.</w:t>
      </w:r>
    </w:p>
    <w:p>
      <w:pPr>
        <w:spacing w:after="0" w:line="147" w:lineRule="exact"/>
        <w:rPr>
          <w:sz w:val="20"/>
          <w:szCs w:val="20"/>
          <w:color w:val="auto"/>
        </w:rPr>
      </w:pPr>
    </w:p>
    <w:p>
      <w:pPr>
        <w:ind w:firstLine="648"/>
        <w:spacing w:after="0" w:line="246" w:lineRule="auto"/>
        <w:rPr>
          <w:sz w:val="20"/>
          <w:szCs w:val="20"/>
          <w:color w:val="auto"/>
        </w:rPr>
      </w:pPr>
      <w:r>
        <w:rPr>
          <w:rFonts w:ascii="Arial" w:cs="Arial" w:eastAsia="Arial" w:hAnsi="Arial"/>
          <w:sz w:val="22"/>
          <w:szCs w:val="22"/>
          <w:color w:val="auto"/>
        </w:rPr>
        <w:t>Mr. Geisler, age 41, has been Vice President and Chief Information Officer of APS since February 2018. He previously held the positions of General Manager, Transmission and Distribution Operations and Maintenance of APS from June 2017 to February 2018; Director, Investor Relations of Pinnacle West from April 2016 to June 2017; and Director, Transmission Operations and Maintenance of APS from May 2013 to April 2016. In connection with this appointment, Mr. Geisler’s annual base salary was increased to $360,000 and he has a target award opportunity of up to 60% of his base salary under the APS 2020 Annual Incentive Award Plan (see the Pinnacle West Capital Corporation/APS Current Report on Form 8-K filed on December 19, 2019 for further details on the APS 2020 Annual Incentive Award Plan). An equity award is expected to be granted in February 2020 with a grant date fair value of $500,000 under the regular long-term incentive program subject to the normal approval process by the Committee.</w:t>
      </w:r>
    </w:p>
    <w:p>
      <w:pPr>
        <w:spacing w:after="0" w:line="192" w:lineRule="exact"/>
        <w:rPr>
          <w:sz w:val="20"/>
          <w:szCs w:val="20"/>
          <w:color w:val="auto"/>
        </w:rPr>
      </w:pPr>
    </w:p>
    <w:p>
      <w:pPr>
        <w:ind w:firstLine="648"/>
        <w:spacing w:after="0" w:line="312" w:lineRule="auto"/>
        <w:rPr>
          <w:sz w:val="20"/>
          <w:szCs w:val="20"/>
          <w:color w:val="auto"/>
        </w:rPr>
      </w:pPr>
      <w:r>
        <w:rPr>
          <w:rFonts w:ascii="Arial" w:cs="Arial" w:eastAsia="Arial" w:hAnsi="Arial"/>
          <w:sz w:val="19"/>
          <w:szCs w:val="19"/>
          <w:color w:val="auto"/>
        </w:rPr>
        <w:t>On January 8, 2020, the Committee, acting pursuant to a delegation of authority from the APS Board, appointed Daniel T. Froetscher as President and Chief Operating Officer of APS, effective immediately. Jeffrey B. Guldner continues as Chairman of the Board and Chief Executive Officer of APS and Chairman of the Board, President and Chief Executive Officer of Pinnacle West.</w:t>
      </w:r>
    </w:p>
    <w:p>
      <w:pPr>
        <w:sectPr>
          <w:pgSz w:w="11900" w:h="16838" w:orient="portrait"/>
          <w:cols w:equalWidth="0" w:num="1">
            <w:col w:w="11400"/>
          </w:cols>
          <w:pgMar w:left="240" w:top="552" w:right="259" w:bottom="1440" w:gutter="0" w:footer="0" w:header="0"/>
        </w:sectPr>
      </w:pPr>
    </w:p>
    <w:bookmarkStart w:id="3" w:name="page4"/>
    <w:bookmarkEnd w:id="3"/>
    <w:p>
      <w:pPr>
        <w:jc w:val="center"/>
        <w:ind w:right="-19"/>
        <w:spacing w:after="0"/>
        <w:rPr>
          <w:sz w:val="20"/>
          <w:szCs w:val="20"/>
          <w:color w:val="auto"/>
        </w:rPr>
      </w:pPr>
      <w:r>
        <w:rPr>
          <w:rFonts w:ascii="Arial" w:cs="Arial" w:eastAsia="Arial" w:hAnsi="Arial"/>
          <w:sz w:val="22"/>
          <w:szCs w:val="22"/>
          <w:color w:val="auto"/>
        </w:rPr>
        <w:t>SIGNATURES</w:t>
      </w:r>
    </w:p>
    <w:p>
      <w:pPr>
        <w:spacing w:after="0" w:line="200" w:lineRule="exact"/>
        <w:rPr>
          <w:sz w:val="20"/>
          <w:szCs w:val="20"/>
          <w:color w:val="auto"/>
        </w:rPr>
      </w:pPr>
    </w:p>
    <w:p>
      <w:pPr>
        <w:spacing w:after="0" w:line="371" w:lineRule="exact"/>
        <w:rPr>
          <w:sz w:val="20"/>
          <w:szCs w:val="20"/>
          <w:color w:val="auto"/>
        </w:rPr>
      </w:pPr>
    </w:p>
    <w:p>
      <w:pPr>
        <w:ind w:firstLine="648"/>
        <w:spacing w:after="0" w:line="263" w:lineRule="auto"/>
        <w:rPr>
          <w:sz w:val="20"/>
          <w:szCs w:val="20"/>
          <w:color w:val="auto"/>
        </w:rPr>
      </w:pPr>
      <w:r>
        <w:rPr>
          <w:rFonts w:ascii="Arial" w:cs="Arial" w:eastAsia="Arial" w:hAnsi="Arial"/>
          <w:sz w:val="22"/>
          <w:szCs w:val="22"/>
          <w:color w:val="auto"/>
        </w:rPr>
        <w:t>Pursuant to the requirements of the Securities Exchange Act of 1934, each registrant has duly caused this report to be signed on its behalf by the undersigned hereunto duly authorized.</w:t>
      </w: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ind w:left="2840"/>
        <w:spacing w:after="0"/>
        <w:rPr>
          <w:sz w:val="20"/>
          <w:szCs w:val="20"/>
          <w:color w:val="auto"/>
        </w:rPr>
      </w:pPr>
      <w:r>
        <w:rPr>
          <w:rFonts w:ascii="Arial" w:cs="Arial" w:eastAsia="Arial" w:hAnsi="Arial"/>
          <w:sz w:val="22"/>
          <w:szCs w:val="22"/>
          <w:color w:val="auto"/>
        </w:rPr>
        <w:t>PINNACLE WEST CAPITAL CORPORATION</w:t>
      </w:r>
    </w:p>
    <w:p>
      <w:pPr>
        <w:spacing w:after="0" w:line="44" w:lineRule="exact"/>
        <w:rPr>
          <w:sz w:val="20"/>
          <w:szCs w:val="20"/>
          <w:color w:val="auto"/>
        </w:rPr>
      </w:pPr>
    </w:p>
    <w:p>
      <w:pPr>
        <w:ind w:left="2840"/>
        <w:spacing w:after="0"/>
        <w:rPr>
          <w:sz w:val="20"/>
          <w:szCs w:val="20"/>
          <w:color w:val="auto"/>
        </w:rPr>
      </w:pPr>
      <w:r>
        <w:rPr>
          <w:rFonts w:ascii="Arial" w:cs="Arial" w:eastAsia="Arial" w:hAnsi="Arial"/>
          <w:sz w:val="22"/>
          <w:szCs w:val="22"/>
          <w:color w:val="auto"/>
        </w:rPr>
        <w:t>(Registrant)</w:t>
      </w:r>
    </w:p>
    <w:p>
      <w:pPr>
        <w:spacing w:after="0" w:line="368" w:lineRule="exact"/>
        <w:rPr>
          <w:sz w:val="20"/>
          <w:szCs w:val="20"/>
          <w:color w:val="auto"/>
        </w:rPr>
      </w:pPr>
    </w:p>
    <w:p>
      <w:pPr>
        <w:ind w:left="40"/>
        <w:spacing w:after="0"/>
        <w:tabs>
          <w:tab w:leader="none" w:pos="2820" w:val="left"/>
        </w:tabs>
        <w:rPr>
          <w:sz w:val="20"/>
          <w:szCs w:val="20"/>
          <w:color w:val="auto"/>
        </w:rPr>
      </w:pPr>
      <w:r>
        <w:rPr>
          <w:rFonts w:ascii="Arial" w:cs="Arial" w:eastAsia="Arial" w:hAnsi="Arial"/>
          <w:sz w:val="22"/>
          <w:szCs w:val="22"/>
          <w:color w:val="auto"/>
        </w:rPr>
        <w:t>Dated: January 10, 2020</w:t>
      </w:r>
      <w:r>
        <w:rPr>
          <w:sz w:val="20"/>
          <w:szCs w:val="20"/>
          <w:color w:val="auto"/>
        </w:rPr>
        <w:tab/>
      </w:r>
      <w:r>
        <w:rPr>
          <w:rFonts w:ascii="Arial" w:cs="Arial" w:eastAsia="Arial" w:hAnsi="Arial"/>
          <w:sz w:val="19"/>
          <w:szCs w:val="19"/>
          <w:color w:val="auto"/>
        </w:rPr>
        <w:t>By: /s/ Robert E. Smith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1788795</wp:posOffset>
            </wp:positionH>
            <wp:positionV relativeFrom="paragraph">
              <wp:posOffset>24765</wp:posOffset>
            </wp:positionV>
            <wp:extent cx="276987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2769870" cy="8890"/>
                    </a:xfrm>
                    <a:prstGeom prst="rect">
                      <a:avLst/>
                    </a:prstGeom>
                    <a:noFill/>
                  </pic:spPr>
                </pic:pic>
              </a:graphicData>
            </a:graphic>
          </wp:anchor>
        </w:drawing>
      </w:r>
    </w:p>
    <w:p>
      <w:pPr>
        <w:spacing w:after="0" w:line="38" w:lineRule="exact"/>
        <w:rPr>
          <w:sz w:val="20"/>
          <w:szCs w:val="20"/>
          <w:color w:val="auto"/>
        </w:rPr>
      </w:pPr>
    </w:p>
    <w:p>
      <w:pPr>
        <w:ind w:left="2840"/>
        <w:spacing w:after="0"/>
        <w:rPr>
          <w:sz w:val="20"/>
          <w:szCs w:val="20"/>
          <w:color w:val="auto"/>
        </w:rPr>
      </w:pPr>
      <w:r>
        <w:rPr>
          <w:rFonts w:ascii="Arial" w:cs="Arial" w:eastAsia="Arial" w:hAnsi="Arial"/>
          <w:sz w:val="22"/>
          <w:szCs w:val="22"/>
          <w:color w:val="auto"/>
        </w:rPr>
        <w:t>Robert E. Smith</w:t>
      </w:r>
    </w:p>
    <w:p>
      <w:pPr>
        <w:spacing w:after="0" w:line="44" w:lineRule="exact"/>
        <w:rPr>
          <w:sz w:val="20"/>
          <w:szCs w:val="20"/>
          <w:color w:val="auto"/>
        </w:rPr>
      </w:pPr>
    </w:p>
    <w:p>
      <w:pPr>
        <w:ind w:left="2840"/>
        <w:spacing w:after="0"/>
        <w:rPr>
          <w:sz w:val="20"/>
          <w:szCs w:val="20"/>
          <w:color w:val="auto"/>
        </w:rPr>
      </w:pPr>
      <w:r>
        <w:rPr>
          <w:rFonts w:ascii="Arial" w:cs="Arial" w:eastAsia="Arial" w:hAnsi="Arial"/>
          <w:sz w:val="22"/>
          <w:szCs w:val="22"/>
          <w:color w:val="auto"/>
        </w:rPr>
        <w:t>Senior Vice President and</w:t>
      </w:r>
    </w:p>
    <w:p>
      <w:pPr>
        <w:spacing w:after="0" w:line="44" w:lineRule="exact"/>
        <w:rPr>
          <w:sz w:val="20"/>
          <w:szCs w:val="20"/>
          <w:color w:val="auto"/>
        </w:rPr>
      </w:pPr>
    </w:p>
    <w:p>
      <w:pPr>
        <w:ind w:left="2840"/>
        <w:spacing w:after="0"/>
        <w:rPr>
          <w:sz w:val="20"/>
          <w:szCs w:val="20"/>
          <w:color w:val="auto"/>
        </w:rPr>
      </w:pPr>
      <w:r>
        <w:rPr>
          <w:rFonts w:ascii="Arial" w:cs="Arial" w:eastAsia="Arial" w:hAnsi="Arial"/>
          <w:sz w:val="22"/>
          <w:szCs w:val="22"/>
          <w:color w:val="auto"/>
        </w:rPr>
        <w:t>General Counsel</w:t>
      </w:r>
    </w:p>
    <w:p>
      <w:pPr>
        <w:spacing w:after="0" w:line="368" w:lineRule="exact"/>
        <w:rPr>
          <w:sz w:val="20"/>
          <w:szCs w:val="20"/>
          <w:color w:val="auto"/>
        </w:rPr>
      </w:pPr>
    </w:p>
    <w:p>
      <w:pPr>
        <w:ind w:left="2840"/>
        <w:spacing w:after="0"/>
        <w:rPr>
          <w:sz w:val="20"/>
          <w:szCs w:val="20"/>
          <w:color w:val="auto"/>
        </w:rPr>
      </w:pPr>
      <w:r>
        <w:rPr>
          <w:rFonts w:ascii="Arial" w:cs="Arial" w:eastAsia="Arial" w:hAnsi="Arial"/>
          <w:sz w:val="22"/>
          <w:szCs w:val="22"/>
          <w:color w:val="auto"/>
        </w:rPr>
        <w:t>ARIZONA PUBLIC SERVICE COMPANY</w:t>
      </w:r>
    </w:p>
    <w:p>
      <w:pPr>
        <w:spacing w:after="0" w:line="44" w:lineRule="exact"/>
        <w:rPr>
          <w:sz w:val="20"/>
          <w:szCs w:val="20"/>
          <w:color w:val="auto"/>
        </w:rPr>
      </w:pPr>
    </w:p>
    <w:p>
      <w:pPr>
        <w:ind w:left="2840"/>
        <w:spacing w:after="0"/>
        <w:rPr>
          <w:sz w:val="20"/>
          <w:szCs w:val="20"/>
          <w:color w:val="auto"/>
        </w:rPr>
      </w:pPr>
      <w:r>
        <w:rPr>
          <w:rFonts w:ascii="Arial" w:cs="Arial" w:eastAsia="Arial" w:hAnsi="Arial"/>
          <w:sz w:val="22"/>
          <w:szCs w:val="22"/>
          <w:color w:val="auto"/>
        </w:rPr>
        <w:t>(Registrant)</w:t>
      </w:r>
    </w:p>
    <w:p>
      <w:pPr>
        <w:spacing w:after="0" w:line="368" w:lineRule="exact"/>
        <w:rPr>
          <w:sz w:val="20"/>
          <w:szCs w:val="20"/>
          <w:color w:val="auto"/>
        </w:rPr>
      </w:pPr>
    </w:p>
    <w:p>
      <w:pPr>
        <w:ind w:left="40"/>
        <w:spacing w:after="0"/>
        <w:tabs>
          <w:tab w:leader="none" w:pos="2820" w:val="left"/>
        </w:tabs>
        <w:rPr>
          <w:sz w:val="20"/>
          <w:szCs w:val="20"/>
          <w:color w:val="auto"/>
        </w:rPr>
      </w:pPr>
      <w:r>
        <w:rPr>
          <w:rFonts w:ascii="Arial" w:cs="Arial" w:eastAsia="Arial" w:hAnsi="Arial"/>
          <w:sz w:val="22"/>
          <w:szCs w:val="22"/>
          <w:color w:val="auto"/>
        </w:rPr>
        <w:t>Dated: January 10, 2020</w:t>
      </w:r>
      <w:r>
        <w:rPr>
          <w:sz w:val="20"/>
          <w:szCs w:val="20"/>
          <w:color w:val="auto"/>
        </w:rPr>
        <w:tab/>
      </w:r>
      <w:r>
        <w:rPr>
          <w:rFonts w:ascii="Arial" w:cs="Arial" w:eastAsia="Arial" w:hAnsi="Arial"/>
          <w:sz w:val="19"/>
          <w:szCs w:val="19"/>
          <w:color w:val="auto"/>
        </w:rPr>
        <w:t>By: /s/ Robert E. Smith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1788795</wp:posOffset>
            </wp:positionH>
            <wp:positionV relativeFrom="paragraph">
              <wp:posOffset>24765</wp:posOffset>
            </wp:positionV>
            <wp:extent cx="276987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2769870" cy="8890"/>
                    </a:xfrm>
                    <a:prstGeom prst="rect">
                      <a:avLst/>
                    </a:prstGeom>
                    <a:noFill/>
                  </pic:spPr>
                </pic:pic>
              </a:graphicData>
            </a:graphic>
          </wp:anchor>
        </w:drawing>
      </w:r>
    </w:p>
    <w:p>
      <w:pPr>
        <w:spacing w:after="0" w:line="38" w:lineRule="exact"/>
        <w:rPr>
          <w:sz w:val="20"/>
          <w:szCs w:val="20"/>
          <w:color w:val="auto"/>
        </w:rPr>
      </w:pPr>
    </w:p>
    <w:p>
      <w:pPr>
        <w:ind w:left="2840"/>
        <w:spacing w:after="0"/>
        <w:rPr>
          <w:sz w:val="20"/>
          <w:szCs w:val="20"/>
          <w:color w:val="auto"/>
        </w:rPr>
      </w:pPr>
      <w:r>
        <w:rPr>
          <w:rFonts w:ascii="Arial" w:cs="Arial" w:eastAsia="Arial" w:hAnsi="Arial"/>
          <w:sz w:val="22"/>
          <w:szCs w:val="22"/>
          <w:color w:val="auto"/>
        </w:rPr>
        <w:t>Robert E. Smith</w:t>
      </w:r>
    </w:p>
    <w:p>
      <w:pPr>
        <w:spacing w:after="0" w:line="44" w:lineRule="exact"/>
        <w:rPr>
          <w:sz w:val="20"/>
          <w:szCs w:val="20"/>
          <w:color w:val="auto"/>
        </w:rPr>
      </w:pPr>
    </w:p>
    <w:p>
      <w:pPr>
        <w:ind w:left="2840"/>
        <w:spacing w:after="0"/>
        <w:rPr>
          <w:sz w:val="20"/>
          <w:szCs w:val="20"/>
          <w:color w:val="auto"/>
        </w:rPr>
      </w:pPr>
      <w:r>
        <w:rPr>
          <w:rFonts w:ascii="Arial" w:cs="Arial" w:eastAsia="Arial" w:hAnsi="Arial"/>
          <w:sz w:val="22"/>
          <w:szCs w:val="22"/>
          <w:color w:val="auto"/>
        </w:rPr>
        <w:t>Senior Vice President and</w:t>
      </w:r>
    </w:p>
    <w:p>
      <w:pPr>
        <w:spacing w:after="0" w:line="44" w:lineRule="exact"/>
        <w:rPr>
          <w:sz w:val="20"/>
          <w:szCs w:val="20"/>
          <w:color w:val="auto"/>
        </w:rPr>
      </w:pPr>
    </w:p>
    <w:p>
      <w:pPr>
        <w:ind w:left="2840"/>
        <w:spacing w:after="0"/>
        <w:rPr>
          <w:sz w:val="20"/>
          <w:szCs w:val="20"/>
          <w:color w:val="auto"/>
        </w:rPr>
      </w:pPr>
      <w:r>
        <w:rPr>
          <w:rFonts w:ascii="Arial" w:cs="Arial" w:eastAsia="Arial" w:hAnsi="Arial"/>
          <w:sz w:val="22"/>
          <w:szCs w:val="22"/>
          <w:color w:val="auto"/>
        </w:rPr>
        <w:t>General Counsel</w:t>
      </w:r>
    </w:p>
    <w:sectPr>
      <w:pgSz w:w="11900" w:h="16838" w:orient="portrait"/>
      <w:cols w:equalWidth="0" w:num="1">
        <w:col w:w="11420"/>
      </w:cols>
      <w:pgMar w:left="240" w:top="780"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2020-01-10T16:02:35Z</dcterms:created>
  <dcterms:modified xsi:type="dcterms:W3CDTF">2020-01-10T16:02:35Z</dcterms:modified>
</cp:coreProperties>
</file>