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2"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144780</wp:posOffset>
            </wp:positionH>
            <wp:positionV relativeFrom="page">
              <wp:posOffset>770890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206375</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jc w:val="center"/>
        <w:ind w:right="6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260350</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60"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Securities Exchange Act of 1934</w:t>
      </w:r>
    </w:p>
    <w:p>
      <w:pPr>
        <w:spacing w:after="0" w:line="209"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Date of report (Date of earliest event reported): June 19,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221615</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tbl>
      <w:tblPr>
        <w:tblLayout w:type="fixed"/>
        <w:tblInd w:w="520" w:type="dxa"/>
        <w:tblCellMar>
          <w:top w:w="0" w:type="dxa"/>
          <w:left w:w="0" w:type="dxa"/>
          <w:bottom w:w="0" w:type="dxa"/>
          <w:right w:w="0" w:type="dxa"/>
        </w:tblCellMar>
      </w:tblPr>
      <w:tr>
        <w:trPr>
          <w:trHeight w:val="243"/>
        </w:trPr>
        <w:tc>
          <w:tcPr>
            <w:tcW w:w="2740" w:type="dxa"/>
            <w:vAlign w:val="bottom"/>
          </w:tcPr>
          <w:p>
            <w:pPr>
              <w:spacing w:after="0"/>
              <w:rPr>
                <w:sz w:val="21"/>
                <w:szCs w:val="21"/>
                <w:color w:val="auto"/>
              </w:rPr>
            </w:pPr>
          </w:p>
        </w:tc>
        <w:tc>
          <w:tcPr>
            <w:tcW w:w="4900" w:type="dxa"/>
            <w:vAlign w:val="bottom"/>
          </w:tcPr>
          <w:p>
            <w:pPr>
              <w:jc w:val="center"/>
              <w:spacing w:after="0"/>
              <w:rPr>
                <w:sz w:val="20"/>
                <w:szCs w:val="20"/>
                <w:color w:val="auto"/>
              </w:rPr>
            </w:pPr>
            <w:r>
              <w:rPr>
                <w:rFonts w:ascii="Arial" w:cs="Arial" w:eastAsia="Arial" w:hAnsi="Arial"/>
                <w:sz w:val="21"/>
                <w:szCs w:val="21"/>
                <w:color w:val="auto"/>
                <w:w w:val="89"/>
              </w:rPr>
              <w:t>Exact Name of Registrant as Specified in Charter;</w:t>
            </w:r>
          </w:p>
        </w:tc>
        <w:tc>
          <w:tcPr>
            <w:tcW w:w="2740" w:type="dxa"/>
            <w:vAlign w:val="bottom"/>
          </w:tcPr>
          <w:p>
            <w:pPr>
              <w:spacing w:after="0"/>
              <w:rPr>
                <w:sz w:val="21"/>
                <w:szCs w:val="21"/>
                <w:color w:val="auto"/>
              </w:rPr>
            </w:pPr>
          </w:p>
        </w:tc>
      </w:tr>
      <w:tr>
        <w:trPr>
          <w:trHeight w:val="243"/>
        </w:trPr>
        <w:tc>
          <w:tcPr>
            <w:tcW w:w="2740" w:type="dxa"/>
            <w:vAlign w:val="bottom"/>
          </w:tcPr>
          <w:p>
            <w:pPr>
              <w:spacing w:after="0"/>
              <w:rPr>
                <w:sz w:val="21"/>
                <w:szCs w:val="21"/>
                <w:color w:val="auto"/>
              </w:rPr>
            </w:pPr>
          </w:p>
        </w:tc>
        <w:tc>
          <w:tcPr>
            <w:tcW w:w="4900" w:type="dxa"/>
            <w:vAlign w:val="bottom"/>
          </w:tcPr>
          <w:p>
            <w:pPr>
              <w:jc w:val="center"/>
              <w:spacing w:after="0"/>
              <w:rPr>
                <w:sz w:val="20"/>
                <w:szCs w:val="20"/>
                <w:color w:val="auto"/>
              </w:rPr>
            </w:pPr>
            <w:r>
              <w:rPr>
                <w:rFonts w:ascii="Arial" w:cs="Arial" w:eastAsia="Arial" w:hAnsi="Arial"/>
                <w:sz w:val="21"/>
                <w:szCs w:val="21"/>
                <w:color w:val="auto"/>
                <w:w w:val="90"/>
              </w:rPr>
              <w:t>State of Incorporation;</w:t>
            </w:r>
          </w:p>
        </w:tc>
        <w:tc>
          <w:tcPr>
            <w:tcW w:w="2740" w:type="dxa"/>
            <w:vAlign w:val="bottom"/>
          </w:tcPr>
          <w:p>
            <w:pPr>
              <w:jc w:val="center"/>
              <w:ind w:right="36"/>
              <w:spacing w:after="0"/>
              <w:rPr>
                <w:sz w:val="20"/>
                <w:szCs w:val="20"/>
                <w:color w:val="auto"/>
              </w:rPr>
            </w:pPr>
            <w:r>
              <w:rPr>
                <w:rFonts w:ascii="Arial" w:cs="Arial" w:eastAsia="Arial" w:hAnsi="Arial"/>
                <w:sz w:val="21"/>
                <w:szCs w:val="21"/>
                <w:color w:val="auto"/>
                <w:w w:val="92"/>
              </w:rPr>
              <w:t>IRS Employer</w:t>
            </w:r>
          </w:p>
        </w:tc>
      </w:tr>
      <w:tr>
        <w:trPr>
          <w:trHeight w:val="277"/>
        </w:trPr>
        <w:tc>
          <w:tcPr>
            <w:tcW w:w="2740" w:type="dxa"/>
            <w:vAlign w:val="bottom"/>
            <w:tcBorders>
              <w:bottom w:val="single" w:sz="8" w:color="auto"/>
            </w:tcBorders>
          </w:tcPr>
          <w:p>
            <w:pPr>
              <w:jc w:val="center"/>
              <w:ind w:left="76"/>
              <w:spacing w:after="0"/>
              <w:rPr>
                <w:sz w:val="20"/>
                <w:szCs w:val="20"/>
                <w:color w:val="auto"/>
              </w:rPr>
            </w:pPr>
            <w:r>
              <w:rPr>
                <w:rFonts w:ascii="Arial" w:cs="Arial" w:eastAsia="Arial" w:hAnsi="Arial"/>
                <w:sz w:val="21"/>
                <w:szCs w:val="21"/>
                <w:color w:val="auto"/>
                <w:w w:val="91"/>
              </w:rPr>
              <w:t>Commission File Number</w:t>
            </w:r>
          </w:p>
        </w:tc>
        <w:tc>
          <w:tcPr>
            <w:tcW w:w="4900" w:type="dxa"/>
            <w:vAlign w:val="bottom"/>
            <w:tcBorders>
              <w:bottom w:val="single" w:sz="8" w:color="auto"/>
            </w:tcBorders>
          </w:tcPr>
          <w:p>
            <w:pPr>
              <w:jc w:val="center"/>
              <w:spacing w:after="0"/>
              <w:rPr>
                <w:sz w:val="20"/>
                <w:szCs w:val="20"/>
                <w:color w:val="auto"/>
              </w:rPr>
            </w:pPr>
            <w:r>
              <w:rPr>
                <w:rFonts w:ascii="Arial" w:cs="Arial" w:eastAsia="Arial" w:hAnsi="Arial"/>
                <w:sz w:val="21"/>
                <w:szCs w:val="21"/>
                <w:color w:val="auto"/>
                <w:w w:val="88"/>
              </w:rPr>
              <w:t>Address and Telephone Number</w:t>
            </w:r>
          </w:p>
        </w:tc>
        <w:tc>
          <w:tcPr>
            <w:tcW w:w="2740" w:type="dxa"/>
            <w:vAlign w:val="bottom"/>
            <w:tcBorders>
              <w:bottom w:val="single" w:sz="8" w:color="auto"/>
            </w:tcBorders>
          </w:tcPr>
          <w:p>
            <w:pPr>
              <w:jc w:val="center"/>
              <w:ind w:right="36"/>
              <w:spacing w:after="0"/>
              <w:rPr>
                <w:sz w:val="20"/>
                <w:szCs w:val="20"/>
                <w:color w:val="auto"/>
              </w:rPr>
            </w:pPr>
            <w:r>
              <w:rPr>
                <w:rFonts w:ascii="Arial" w:cs="Arial" w:eastAsia="Arial" w:hAnsi="Arial"/>
                <w:sz w:val="21"/>
                <w:szCs w:val="21"/>
                <w:color w:val="auto"/>
                <w:w w:val="92"/>
              </w:rPr>
              <w:t>Identification Number</w:t>
            </w:r>
          </w:p>
        </w:tc>
      </w:tr>
      <w:tr>
        <w:trPr>
          <w:trHeight w:val="554"/>
        </w:trPr>
        <w:tc>
          <w:tcPr>
            <w:tcW w:w="2740" w:type="dxa"/>
            <w:vAlign w:val="bottom"/>
          </w:tcPr>
          <w:p>
            <w:pPr>
              <w:jc w:val="center"/>
              <w:ind w:left="76"/>
              <w:spacing w:after="0"/>
              <w:rPr>
                <w:sz w:val="20"/>
                <w:szCs w:val="20"/>
                <w:color w:val="auto"/>
              </w:rPr>
            </w:pPr>
            <w:r>
              <w:rPr>
                <w:rFonts w:ascii="Arial" w:cs="Arial" w:eastAsia="Arial" w:hAnsi="Arial"/>
                <w:sz w:val="21"/>
                <w:szCs w:val="21"/>
                <w:color w:val="auto"/>
                <w:w w:val="91"/>
              </w:rPr>
              <w:t>1-8962</w:t>
            </w:r>
          </w:p>
        </w:tc>
        <w:tc>
          <w:tcPr>
            <w:tcW w:w="4900" w:type="dxa"/>
            <w:vAlign w:val="bottom"/>
          </w:tcPr>
          <w:p>
            <w:pPr>
              <w:ind w:left="200"/>
              <w:spacing w:after="0"/>
              <w:rPr>
                <w:sz w:val="20"/>
                <w:szCs w:val="20"/>
                <w:color w:val="auto"/>
              </w:rPr>
            </w:pPr>
            <w:r>
              <w:rPr>
                <w:rFonts w:ascii="Arial" w:cs="Arial" w:eastAsia="Arial" w:hAnsi="Arial"/>
                <w:sz w:val="21"/>
                <w:szCs w:val="21"/>
                <w:color w:val="auto"/>
              </w:rPr>
              <w:t>Pinnacle West Capital Corporation</w:t>
            </w:r>
          </w:p>
        </w:tc>
        <w:tc>
          <w:tcPr>
            <w:tcW w:w="2740" w:type="dxa"/>
            <w:vAlign w:val="bottom"/>
          </w:tcPr>
          <w:p>
            <w:pPr>
              <w:jc w:val="right"/>
              <w:ind w:right="836"/>
              <w:spacing w:after="0"/>
              <w:rPr>
                <w:sz w:val="20"/>
                <w:szCs w:val="20"/>
                <w:color w:val="auto"/>
              </w:rPr>
            </w:pPr>
            <w:r>
              <w:rPr>
                <w:rFonts w:ascii="Arial" w:cs="Arial" w:eastAsia="Arial" w:hAnsi="Arial"/>
                <w:sz w:val="21"/>
                <w:szCs w:val="21"/>
                <w:color w:val="auto"/>
              </w:rPr>
              <w:t>86-0512431</w:t>
            </w:r>
          </w:p>
        </w:tc>
      </w:tr>
      <w:tr>
        <w:trPr>
          <w:trHeight w:val="243"/>
        </w:trPr>
        <w:tc>
          <w:tcPr>
            <w:tcW w:w="2740" w:type="dxa"/>
            <w:vAlign w:val="bottom"/>
          </w:tcPr>
          <w:p>
            <w:pPr>
              <w:spacing w:after="0"/>
              <w:rPr>
                <w:sz w:val="21"/>
                <w:szCs w:val="21"/>
                <w:color w:val="auto"/>
              </w:rPr>
            </w:pPr>
          </w:p>
        </w:tc>
        <w:tc>
          <w:tcPr>
            <w:tcW w:w="4900" w:type="dxa"/>
            <w:vAlign w:val="bottom"/>
          </w:tcPr>
          <w:p>
            <w:pPr>
              <w:ind w:left="200"/>
              <w:spacing w:after="0"/>
              <w:rPr>
                <w:sz w:val="20"/>
                <w:szCs w:val="20"/>
                <w:color w:val="auto"/>
              </w:rPr>
            </w:pPr>
            <w:r>
              <w:rPr>
                <w:rFonts w:ascii="Arial" w:cs="Arial" w:eastAsia="Arial" w:hAnsi="Arial"/>
                <w:sz w:val="21"/>
                <w:szCs w:val="21"/>
                <w:color w:val="auto"/>
              </w:rPr>
              <w:t>(an Arizona corporation)</w:t>
            </w:r>
          </w:p>
        </w:tc>
        <w:tc>
          <w:tcPr>
            <w:tcW w:w="2740" w:type="dxa"/>
            <w:vAlign w:val="bottom"/>
          </w:tcPr>
          <w:p>
            <w:pPr>
              <w:spacing w:after="0"/>
              <w:rPr>
                <w:sz w:val="21"/>
                <w:szCs w:val="21"/>
                <w:color w:val="auto"/>
              </w:rPr>
            </w:pPr>
          </w:p>
        </w:tc>
      </w:tr>
      <w:tr>
        <w:trPr>
          <w:trHeight w:val="243"/>
        </w:trPr>
        <w:tc>
          <w:tcPr>
            <w:tcW w:w="2740" w:type="dxa"/>
            <w:vAlign w:val="bottom"/>
          </w:tcPr>
          <w:p>
            <w:pPr>
              <w:spacing w:after="0"/>
              <w:rPr>
                <w:sz w:val="21"/>
                <w:szCs w:val="21"/>
                <w:color w:val="auto"/>
              </w:rPr>
            </w:pPr>
          </w:p>
        </w:tc>
        <w:tc>
          <w:tcPr>
            <w:tcW w:w="4900" w:type="dxa"/>
            <w:vAlign w:val="bottom"/>
          </w:tcPr>
          <w:p>
            <w:pPr>
              <w:ind w:left="200"/>
              <w:spacing w:after="0"/>
              <w:rPr>
                <w:sz w:val="20"/>
                <w:szCs w:val="20"/>
                <w:color w:val="auto"/>
              </w:rPr>
            </w:pPr>
            <w:r>
              <w:rPr>
                <w:rFonts w:ascii="Arial" w:cs="Arial" w:eastAsia="Arial" w:hAnsi="Arial"/>
                <w:sz w:val="21"/>
                <w:szCs w:val="21"/>
                <w:color w:val="auto"/>
              </w:rPr>
              <w:t>400 North Fifth Street, P.O. Box 53999</w:t>
            </w:r>
          </w:p>
        </w:tc>
        <w:tc>
          <w:tcPr>
            <w:tcW w:w="2740" w:type="dxa"/>
            <w:vAlign w:val="bottom"/>
          </w:tcPr>
          <w:p>
            <w:pPr>
              <w:spacing w:after="0"/>
              <w:rPr>
                <w:sz w:val="21"/>
                <w:szCs w:val="21"/>
                <w:color w:val="auto"/>
              </w:rPr>
            </w:pPr>
          </w:p>
        </w:tc>
      </w:tr>
      <w:tr>
        <w:trPr>
          <w:trHeight w:val="243"/>
        </w:trPr>
        <w:tc>
          <w:tcPr>
            <w:tcW w:w="2740" w:type="dxa"/>
            <w:vAlign w:val="bottom"/>
          </w:tcPr>
          <w:p>
            <w:pPr>
              <w:spacing w:after="0"/>
              <w:rPr>
                <w:sz w:val="21"/>
                <w:szCs w:val="21"/>
                <w:color w:val="auto"/>
              </w:rPr>
            </w:pPr>
          </w:p>
        </w:tc>
        <w:tc>
          <w:tcPr>
            <w:tcW w:w="4900" w:type="dxa"/>
            <w:vAlign w:val="bottom"/>
          </w:tcPr>
          <w:p>
            <w:pPr>
              <w:ind w:left="200"/>
              <w:spacing w:after="0"/>
              <w:rPr>
                <w:sz w:val="20"/>
                <w:szCs w:val="20"/>
                <w:color w:val="auto"/>
              </w:rPr>
            </w:pPr>
            <w:r>
              <w:rPr>
                <w:rFonts w:ascii="Arial" w:cs="Arial" w:eastAsia="Arial" w:hAnsi="Arial"/>
                <w:sz w:val="21"/>
                <w:szCs w:val="21"/>
                <w:color w:val="auto"/>
              </w:rPr>
              <w:t>Phoenix, AZ 85072-3999</w:t>
            </w:r>
          </w:p>
        </w:tc>
        <w:tc>
          <w:tcPr>
            <w:tcW w:w="2740" w:type="dxa"/>
            <w:vAlign w:val="bottom"/>
          </w:tcPr>
          <w:p>
            <w:pPr>
              <w:spacing w:after="0"/>
              <w:rPr>
                <w:sz w:val="21"/>
                <w:szCs w:val="21"/>
                <w:color w:val="auto"/>
              </w:rPr>
            </w:pPr>
          </w:p>
        </w:tc>
      </w:tr>
      <w:tr>
        <w:trPr>
          <w:trHeight w:val="264"/>
        </w:trPr>
        <w:tc>
          <w:tcPr>
            <w:tcW w:w="2740" w:type="dxa"/>
            <w:vAlign w:val="bottom"/>
          </w:tcPr>
          <w:p>
            <w:pPr>
              <w:spacing w:after="0"/>
              <w:rPr>
                <w:sz w:val="22"/>
                <w:szCs w:val="22"/>
                <w:color w:val="auto"/>
              </w:rPr>
            </w:pPr>
          </w:p>
        </w:tc>
        <w:tc>
          <w:tcPr>
            <w:tcW w:w="4900" w:type="dxa"/>
            <w:vAlign w:val="bottom"/>
          </w:tcPr>
          <w:p>
            <w:pPr>
              <w:ind w:left="200"/>
              <w:spacing w:after="0"/>
              <w:rPr>
                <w:sz w:val="20"/>
                <w:szCs w:val="20"/>
                <w:color w:val="auto"/>
              </w:rPr>
            </w:pPr>
            <w:r>
              <w:rPr>
                <w:rFonts w:ascii="Arial" w:cs="Arial" w:eastAsia="Arial" w:hAnsi="Arial"/>
                <w:sz w:val="21"/>
                <w:szCs w:val="21"/>
                <w:color w:val="auto"/>
              </w:rPr>
              <w:t>(602) 250-1000</w:t>
            </w:r>
          </w:p>
        </w:tc>
        <w:tc>
          <w:tcPr>
            <w:tcW w:w="2740" w:type="dxa"/>
            <w:vAlign w:val="bottom"/>
          </w:tcPr>
          <w:p>
            <w:pPr>
              <w:spacing w:after="0"/>
              <w:rPr>
                <w:sz w:val="22"/>
                <w:szCs w:val="22"/>
                <w:color w:val="auto"/>
              </w:rPr>
            </w:pPr>
          </w:p>
        </w:tc>
      </w:tr>
      <w:tr>
        <w:trPr>
          <w:trHeight w:val="573"/>
        </w:trPr>
        <w:tc>
          <w:tcPr>
            <w:tcW w:w="2740" w:type="dxa"/>
            <w:vAlign w:val="bottom"/>
          </w:tcPr>
          <w:p>
            <w:pPr>
              <w:jc w:val="center"/>
              <w:ind w:left="76"/>
              <w:spacing w:after="0"/>
              <w:rPr>
                <w:sz w:val="20"/>
                <w:szCs w:val="20"/>
                <w:color w:val="auto"/>
              </w:rPr>
            </w:pPr>
            <w:r>
              <w:rPr>
                <w:rFonts w:ascii="Arial" w:cs="Arial" w:eastAsia="Arial" w:hAnsi="Arial"/>
                <w:sz w:val="21"/>
                <w:szCs w:val="21"/>
                <w:color w:val="auto"/>
                <w:w w:val="91"/>
              </w:rPr>
              <w:t>1-4473</w:t>
            </w:r>
          </w:p>
        </w:tc>
        <w:tc>
          <w:tcPr>
            <w:tcW w:w="4900" w:type="dxa"/>
            <w:vAlign w:val="bottom"/>
          </w:tcPr>
          <w:p>
            <w:pPr>
              <w:ind w:left="200"/>
              <w:spacing w:after="0"/>
              <w:rPr>
                <w:sz w:val="20"/>
                <w:szCs w:val="20"/>
                <w:color w:val="auto"/>
              </w:rPr>
            </w:pPr>
            <w:r>
              <w:rPr>
                <w:rFonts w:ascii="Arial" w:cs="Arial" w:eastAsia="Arial" w:hAnsi="Arial"/>
                <w:sz w:val="21"/>
                <w:szCs w:val="21"/>
                <w:color w:val="auto"/>
              </w:rPr>
              <w:t>Arizona Public Service Company</w:t>
            </w:r>
          </w:p>
        </w:tc>
        <w:tc>
          <w:tcPr>
            <w:tcW w:w="2740" w:type="dxa"/>
            <w:vAlign w:val="bottom"/>
          </w:tcPr>
          <w:p>
            <w:pPr>
              <w:jc w:val="right"/>
              <w:ind w:right="856"/>
              <w:spacing w:after="0"/>
              <w:rPr>
                <w:sz w:val="20"/>
                <w:szCs w:val="20"/>
                <w:color w:val="auto"/>
              </w:rPr>
            </w:pPr>
            <w:r>
              <w:rPr>
                <w:rFonts w:ascii="Arial" w:cs="Arial" w:eastAsia="Arial" w:hAnsi="Arial"/>
                <w:sz w:val="21"/>
                <w:szCs w:val="21"/>
                <w:color w:val="auto"/>
              </w:rPr>
              <w:t>86-0011170</w:t>
            </w:r>
          </w:p>
        </w:tc>
      </w:tr>
      <w:tr>
        <w:trPr>
          <w:trHeight w:val="261"/>
        </w:trPr>
        <w:tc>
          <w:tcPr>
            <w:tcW w:w="2740" w:type="dxa"/>
            <w:vAlign w:val="bottom"/>
          </w:tcPr>
          <w:p>
            <w:pPr>
              <w:spacing w:after="0"/>
              <w:rPr>
                <w:sz w:val="22"/>
                <w:szCs w:val="22"/>
                <w:color w:val="auto"/>
              </w:rPr>
            </w:pPr>
          </w:p>
        </w:tc>
        <w:tc>
          <w:tcPr>
            <w:tcW w:w="4900" w:type="dxa"/>
            <w:vAlign w:val="bottom"/>
          </w:tcPr>
          <w:p>
            <w:pPr>
              <w:ind w:left="200"/>
              <w:spacing w:after="0"/>
              <w:rPr>
                <w:sz w:val="20"/>
                <w:szCs w:val="20"/>
                <w:color w:val="auto"/>
              </w:rPr>
            </w:pPr>
            <w:r>
              <w:rPr>
                <w:rFonts w:ascii="Arial" w:cs="Arial" w:eastAsia="Arial" w:hAnsi="Arial"/>
                <w:sz w:val="21"/>
                <w:szCs w:val="21"/>
                <w:color w:val="auto"/>
              </w:rPr>
              <w:t>(an Arizona corporation)</w:t>
            </w:r>
          </w:p>
        </w:tc>
        <w:tc>
          <w:tcPr>
            <w:tcW w:w="2740" w:type="dxa"/>
            <w:vAlign w:val="bottom"/>
          </w:tcPr>
          <w:p>
            <w:pPr>
              <w:spacing w:after="0"/>
              <w:rPr>
                <w:sz w:val="22"/>
                <w:szCs w:val="22"/>
                <w:color w:val="auto"/>
              </w:rPr>
            </w:pPr>
          </w:p>
        </w:tc>
      </w:tr>
    </w:tbl>
    <w:p>
      <w:pPr>
        <w:ind w:left="3460"/>
        <w:spacing w:after="0"/>
        <w:rPr>
          <w:sz w:val="20"/>
          <w:szCs w:val="20"/>
          <w:color w:val="auto"/>
        </w:rPr>
      </w:pPr>
      <w:r>
        <w:rPr>
          <w:rFonts w:ascii="Arial" w:cs="Arial" w:eastAsia="Arial" w:hAnsi="Arial"/>
          <w:sz w:val="21"/>
          <w:szCs w:val="21"/>
          <w:color w:val="auto"/>
        </w:rPr>
        <w:t>400 North Fifth Street, P.O. Box 53999</w:t>
      </w:r>
    </w:p>
    <w:p>
      <w:pPr>
        <w:spacing w:after="0" w:line="2" w:lineRule="exact"/>
        <w:rPr>
          <w:sz w:val="24"/>
          <w:szCs w:val="24"/>
          <w:color w:val="auto"/>
        </w:rPr>
      </w:pPr>
    </w:p>
    <w:p>
      <w:pPr>
        <w:ind w:left="3460"/>
        <w:spacing w:after="0"/>
        <w:rPr>
          <w:sz w:val="20"/>
          <w:szCs w:val="20"/>
          <w:color w:val="auto"/>
        </w:rPr>
      </w:pPr>
      <w:r>
        <w:rPr>
          <w:rFonts w:ascii="Arial" w:cs="Arial" w:eastAsia="Arial" w:hAnsi="Arial"/>
          <w:sz w:val="21"/>
          <w:szCs w:val="21"/>
          <w:color w:val="auto"/>
        </w:rPr>
        <w:t>Phoenix, AZ 85072-3999</w:t>
      </w:r>
    </w:p>
    <w:p>
      <w:pPr>
        <w:spacing w:after="0" w:line="2" w:lineRule="exact"/>
        <w:rPr>
          <w:sz w:val="24"/>
          <w:szCs w:val="24"/>
          <w:color w:val="auto"/>
        </w:rPr>
      </w:pPr>
    </w:p>
    <w:p>
      <w:pPr>
        <w:ind w:left="3460"/>
        <w:spacing w:after="0"/>
        <w:rPr>
          <w:sz w:val="20"/>
          <w:szCs w:val="20"/>
          <w:color w:val="auto"/>
        </w:rPr>
      </w:pPr>
      <w:r>
        <w:rPr>
          <w:rFonts w:ascii="Arial" w:cs="Arial" w:eastAsia="Arial" w:hAnsi="Arial"/>
          <w:sz w:val="21"/>
          <w:szCs w:val="21"/>
          <w:color w:val="auto"/>
        </w:rPr>
        <w:t>(602) 250-1000</w:t>
      </w:r>
    </w:p>
    <w:p>
      <w:pPr>
        <w:spacing w:after="0" w:line="227" w:lineRule="exact"/>
        <w:rPr>
          <w:sz w:val="24"/>
          <w:szCs w:val="24"/>
          <w:color w:val="auto"/>
        </w:rPr>
      </w:pPr>
    </w:p>
    <w:p>
      <w:pPr>
        <w:ind w:right="180"/>
        <w:spacing w:after="0" w:line="264" w:lineRule="auto"/>
        <w:rPr>
          <w:sz w:val="20"/>
          <w:szCs w:val="20"/>
          <w:color w:val="auto"/>
        </w:rPr>
      </w:pPr>
      <w:r>
        <w:rPr>
          <w:rFonts w:ascii="Arial" w:cs="Arial" w:eastAsia="Arial" w:hAnsi="Arial"/>
          <w:sz w:val="21"/>
          <w:szCs w:val="21"/>
          <w:color w:val="auto"/>
        </w:rPr>
        <w:t>Check the appropriate box below if the Form 8-K filing is intended to simultaneously satisfy the filing obligation of the registrant under any of the following provisions:</w:t>
      </w:r>
    </w:p>
    <w:p>
      <w:pPr>
        <w:spacing w:after="0" w:line="198" w:lineRule="exact"/>
        <w:rPr>
          <w:sz w:val="24"/>
          <w:szCs w:val="24"/>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Written communications pursuant to Rule 425 under the Securities Act (17 CFR 230.425)</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Soliciting material pursuant to Rule 14a-12 under the Exchange Act (17 CFR 240.14a-12)</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244" w:lineRule="exact"/>
        <w:rPr>
          <w:rFonts w:ascii="MS PGothic" w:cs="MS PGothic" w:eastAsia="MS PGothic" w:hAnsi="MS PGothic"/>
          <w:sz w:val="21"/>
          <w:szCs w:val="21"/>
          <w:color w:val="auto"/>
        </w:rPr>
      </w:pPr>
    </w:p>
    <w:p>
      <w:pPr>
        <w:ind w:right="1300" w:firstLine="656"/>
        <w:spacing w:after="0" w:line="371" w:lineRule="auto"/>
        <w:tabs>
          <w:tab w:leader="none" w:pos="876"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13e-4(c) under the Exchange Act (17 CFR 240.13e-4(c)) Securities registered pursuant to Section 12(b) of the Act:</w:t>
      </w:r>
    </w:p>
    <w:p>
      <w:pPr>
        <w:spacing w:after="0" w:line="84" w:lineRule="exact"/>
        <w:rPr>
          <w:sz w:val="24"/>
          <w:szCs w:val="24"/>
          <w:color w:val="auto"/>
        </w:rPr>
      </w:pPr>
    </w:p>
    <w:tbl>
      <w:tblPr>
        <w:tblLayout w:type="fixed"/>
        <w:tblInd w:w="10" w:type="dxa"/>
        <w:tblCellMar>
          <w:top w:w="0" w:type="dxa"/>
          <w:left w:w="0" w:type="dxa"/>
          <w:bottom w:w="0" w:type="dxa"/>
          <w:right w:w="0" w:type="dxa"/>
        </w:tblCellMar>
      </w:tblPr>
      <w:tr>
        <w:trPr>
          <w:trHeight w:val="292"/>
        </w:trPr>
        <w:tc>
          <w:tcPr>
            <w:tcW w:w="438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9"/>
              </w:rPr>
              <w:t>Title of each class</w:t>
            </w:r>
          </w:p>
        </w:tc>
        <w:tc>
          <w:tcPr>
            <w:tcW w:w="250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Trading Symbol(s)</w:t>
            </w:r>
          </w:p>
        </w:tc>
        <w:tc>
          <w:tcPr>
            <w:tcW w:w="456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8"/>
              </w:rPr>
              <w:t>Name of each exchange on which registered</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r>
        <w:trPr>
          <w:trHeight w:val="272"/>
        </w:trPr>
        <w:tc>
          <w:tcPr>
            <w:tcW w:w="438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Common Stock</w:t>
            </w:r>
          </w:p>
        </w:tc>
        <w:tc>
          <w:tcPr>
            <w:tcW w:w="250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3"/>
              </w:rPr>
              <w:t>PNW</w:t>
            </w:r>
          </w:p>
        </w:tc>
        <w:tc>
          <w:tcPr>
            <w:tcW w:w="456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0"/>
              </w:rPr>
              <w:t>The New York Stock Exchange</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bl>
    <w:p>
      <w:pPr>
        <w:spacing w:after="0" w:line="230" w:lineRule="exact"/>
        <w:rPr>
          <w:sz w:val="24"/>
          <w:szCs w:val="24"/>
          <w:color w:val="auto"/>
        </w:rPr>
      </w:pPr>
    </w:p>
    <w:p>
      <w:pPr>
        <w:ind w:right="240"/>
        <w:spacing w:after="0" w:line="265" w:lineRule="exact"/>
        <w:rPr>
          <w:sz w:val="20"/>
          <w:szCs w:val="20"/>
          <w:color w:val="auto"/>
        </w:rPr>
      </w:pPr>
      <w:r>
        <w:rPr>
          <w:rFonts w:ascii="Arial" w:cs="Arial" w:eastAsia="Arial" w:hAnsi="Arial"/>
          <w:sz w:val="19"/>
          <w:szCs w:val="19"/>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9"/>
          <w:szCs w:val="19"/>
          <w:color w:val="auto"/>
        </w:rPr>
        <w:t>☐</w:t>
      </w:r>
    </w:p>
    <w:p>
      <w:pPr>
        <w:spacing w:after="0" w:line="201" w:lineRule="exact"/>
        <w:rPr>
          <w:sz w:val="24"/>
          <w:szCs w:val="24"/>
          <w:color w:val="auto"/>
        </w:rPr>
      </w:pPr>
    </w:p>
    <w:p>
      <w:pPr>
        <w:ind w:right="800"/>
        <w:spacing w:after="0" w:line="265"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389" w:lineRule="exact"/>
        <w:rPr>
          <w:sz w:val="24"/>
          <w:szCs w:val="24"/>
          <w:color w:val="auto"/>
        </w:rPr>
      </w:pPr>
    </w:p>
    <w:p>
      <w:pPr>
        <w:ind w:right="340"/>
        <w:spacing w:after="0" w:line="348" w:lineRule="auto"/>
        <w:rPr>
          <w:sz w:val="20"/>
          <w:szCs w:val="20"/>
          <w:color w:val="auto"/>
        </w:rPr>
      </w:pPr>
      <w:r>
        <w:rPr>
          <w:rFonts w:ascii="Arial" w:cs="Arial" w:eastAsia="Arial" w:hAnsi="Arial"/>
          <w:sz w:val="18"/>
          <w:szCs w:val="18"/>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w:t>
      </w:r>
    </w:p>
    <w:p>
      <w:pPr>
        <w:sectPr>
          <w:pgSz w:w="11900" w:h="16931" w:orient="portrait"/>
          <w:cols w:equalWidth="0" w:num="1">
            <w:col w:w="11440"/>
          </w:cols>
          <w:pgMar w:left="240" w:top="1408" w:right="219" w:bottom="0" w:gutter="0" w:footer="0" w:header="0"/>
        </w:sectPr>
      </w:pPr>
    </w:p>
    <w:bookmarkStart w:id="1" w:name="page2"/>
    <w:bookmarkEnd w:id="1"/>
    <w:p>
      <w:pPr>
        <w:spacing w:after="0" w:line="264" w:lineRule="auto"/>
        <w:rPr>
          <w:sz w:val="20"/>
          <w:szCs w:val="20"/>
          <w:color w:val="auto"/>
        </w:rPr>
      </w:pPr>
      <w:r>
        <w:rPr>
          <w:rFonts w:ascii="Arial" w:cs="Arial" w:eastAsia="Arial" w:hAnsi="Arial"/>
          <w:sz w:val="21"/>
          <w:szCs w:val="21"/>
          <w:color w:val="auto"/>
        </w:rPr>
        <w:t>and, where required, its subsidiaries. Except as stated in the preceding sentence, neither registrant is filing or furnishing any information that does not relate to such registrant, and therefore makes no representation as to any such information.</w:t>
      </w:r>
    </w:p>
    <w:p>
      <w:pPr>
        <w:sectPr>
          <w:pgSz w:w="11900" w:h="16838" w:orient="portrait"/>
          <w:cols w:equalWidth="0" w:num="1">
            <w:col w:w="11280"/>
          </w:cols>
          <w:pgMar w:left="240" w:top="126" w:right="379" w:bottom="1440" w:gutter="0" w:footer="0" w:header="0"/>
        </w:sectPr>
      </w:pPr>
    </w:p>
    <w:bookmarkStart w:id="2" w:name="page3"/>
    <w:bookmarkEnd w:id="2"/>
    <w:p>
      <w:pPr>
        <w:ind w:right="1140"/>
        <w:spacing w:after="0" w:line="269" w:lineRule="auto"/>
        <w:rPr>
          <w:sz w:val="20"/>
          <w:szCs w:val="20"/>
          <w:color w:val="auto"/>
        </w:rPr>
      </w:pPr>
      <w:r>
        <w:rPr>
          <w:rFonts w:ascii="Arial" w:cs="Arial" w:eastAsia="Arial" w:hAnsi="Arial"/>
          <w:sz w:val="22"/>
          <w:szCs w:val="22"/>
          <w:b w:val="1"/>
          <w:bCs w:val="1"/>
          <w:color w:val="auto"/>
        </w:rPr>
        <w:t>Item 5.02 Departure of Directors or Certain Officers; Election of Directors; Appointment of Certain Officers; Compensatory Arrangements of Certain Officers.</w:t>
      </w:r>
    </w:p>
    <w:p>
      <w:pPr>
        <w:spacing w:after="0" w:line="209" w:lineRule="exact"/>
        <w:rPr>
          <w:sz w:val="20"/>
          <w:szCs w:val="20"/>
          <w:color w:val="auto"/>
        </w:rPr>
      </w:pPr>
    </w:p>
    <w:p>
      <w:pPr>
        <w:ind w:firstLine="648"/>
        <w:spacing w:after="0" w:line="290" w:lineRule="auto"/>
        <w:rPr>
          <w:sz w:val="20"/>
          <w:szCs w:val="20"/>
          <w:color w:val="auto"/>
        </w:rPr>
      </w:pPr>
      <w:r>
        <w:rPr>
          <w:rFonts w:ascii="Arial" w:cs="Arial" w:eastAsia="Arial" w:hAnsi="Arial"/>
          <w:sz w:val="19"/>
          <w:szCs w:val="19"/>
          <w:color w:val="auto"/>
        </w:rPr>
        <w:t>On June 19, 2019, the Boards of Directors of Pinnacle West Capital Corporation (“Pinnacle West” or the “Company”) (a holding company) and Arizona Public Service Company (“APS”) (an electric utility) appointed Elizabeth A. Blankenship to the position of Vice President, Controller and Chief Accounting Officer of the Company and APS, a wholly-owned subsidiary of Pinnacle West, effective immediately. Ms. Blankenship, age 47, has been the General Manager, Accounting Operations of APS since April 2019. She previously held the positions of Director, Accounting Operations of APS from August 2014 to April 2019 and Manager, Accounting of APS from August 2011 to August 2014. In connection with this appointment, Ms. Blankenship has a target award opportunity of up to 40% of her base salary under the APS 2019 Incentive Award Plan (see the Pinnacle West/APS Current Report on Form 8-K filed on December 21, 2018 for further details on the APS 2019 Incentive Award Plan).</w:t>
      </w:r>
    </w:p>
    <w:p>
      <w:pPr>
        <w:sectPr>
          <w:pgSz w:w="11900" w:h="16838" w:orient="portrait"/>
          <w:cols w:equalWidth="0" w:num="1">
            <w:col w:w="11240"/>
          </w:cols>
          <w:pgMar w:left="240" w:top="787" w:right="41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22"/>
          <w:szCs w:val="22"/>
          <w:color w:val="auto"/>
        </w:rPr>
        <w:t>SIGNATURES</w:t>
      </w:r>
    </w:p>
    <w:p>
      <w:pPr>
        <w:spacing w:after="0" w:line="200" w:lineRule="exact"/>
        <w:rPr>
          <w:sz w:val="20"/>
          <w:szCs w:val="20"/>
          <w:color w:val="auto"/>
        </w:rPr>
      </w:pPr>
    </w:p>
    <w:p>
      <w:pPr>
        <w:spacing w:after="0" w:line="371"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each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PINNACLE WEST CAPITAL CORPORATION</w:t>
      </w:r>
    </w:p>
    <w:p>
      <w:pPr>
        <w:spacing w:after="0" w:line="44"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1420"/>
        <w:spacing w:after="0"/>
        <w:tabs>
          <w:tab w:leader="none" w:pos="4740" w:val="left"/>
        </w:tabs>
        <w:rPr>
          <w:sz w:val="20"/>
          <w:szCs w:val="20"/>
          <w:color w:val="auto"/>
        </w:rPr>
      </w:pPr>
      <w:r>
        <w:rPr>
          <w:rFonts w:ascii="Arial" w:cs="Arial" w:eastAsia="Arial" w:hAnsi="Arial"/>
          <w:sz w:val="22"/>
          <w:szCs w:val="22"/>
          <w:color w:val="auto"/>
        </w:rPr>
        <w:t>Dated: June 25, 2019</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3014980</wp:posOffset>
            </wp:positionH>
            <wp:positionV relativeFrom="paragraph">
              <wp:posOffset>24765</wp:posOffset>
            </wp:positionV>
            <wp:extent cx="3361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61690" cy="8890"/>
                    </a:xfrm>
                    <a:prstGeom prst="rect">
                      <a:avLst/>
                    </a:prstGeom>
                    <a:noFill/>
                  </pic:spPr>
                </pic:pic>
              </a:graphicData>
            </a:graphic>
          </wp:anchor>
        </w:drawing>
      </w:r>
    </w:p>
    <w:p>
      <w:pPr>
        <w:spacing w:after="0" w:line="38"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Chief Financial Officer</w:t>
      </w:r>
    </w:p>
    <w:p>
      <w:pPr>
        <w:spacing w:after="0" w:line="368"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ARIZONA PUBLIC SERVICE COMPANY</w:t>
      </w:r>
    </w:p>
    <w:p>
      <w:pPr>
        <w:spacing w:after="0" w:line="44"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1420"/>
        <w:spacing w:after="0"/>
        <w:tabs>
          <w:tab w:leader="none" w:pos="4740" w:val="left"/>
        </w:tabs>
        <w:rPr>
          <w:sz w:val="20"/>
          <w:szCs w:val="20"/>
          <w:color w:val="auto"/>
        </w:rPr>
      </w:pPr>
      <w:r>
        <w:rPr>
          <w:rFonts w:ascii="Arial" w:cs="Arial" w:eastAsia="Arial" w:hAnsi="Arial"/>
          <w:sz w:val="22"/>
          <w:szCs w:val="22"/>
          <w:color w:val="auto"/>
        </w:rPr>
        <w:t>Dated: June 25, 2019</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3014980</wp:posOffset>
            </wp:positionH>
            <wp:positionV relativeFrom="paragraph">
              <wp:posOffset>24765</wp:posOffset>
            </wp:positionV>
            <wp:extent cx="3361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1690" cy="8890"/>
                    </a:xfrm>
                    <a:prstGeom prst="rect">
                      <a:avLst/>
                    </a:prstGeom>
                    <a:noFill/>
                  </pic:spPr>
                </pic:pic>
              </a:graphicData>
            </a:graphic>
          </wp:anchor>
        </w:drawing>
      </w:r>
    </w:p>
    <w:p>
      <w:pPr>
        <w:spacing w:after="0" w:line="38"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4760"/>
        <w:spacing w:after="0"/>
        <w:rPr>
          <w:sz w:val="20"/>
          <w:szCs w:val="20"/>
          <w:color w:val="auto"/>
        </w:rPr>
      </w:pPr>
      <w:r>
        <w:rPr>
          <w:rFonts w:ascii="Arial" w:cs="Arial" w:eastAsia="Arial" w:hAnsi="Arial"/>
          <w:sz w:val="22"/>
          <w:szCs w:val="22"/>
          <w:color w:val="auto"/>
        </w:rPr>
        <w:t>Chief Financial Officer</w:t>
      </w:r>
    </w:p>
    <w:sectPr>
      <w:pgSz w:w="11900" w:h="16838" w:orient="portrait"/>
      <w:cols w:equalWidth="0" w:num="1">
        <w:col w:w="11420"/>
      </w:cols>
      <w:pgMar w:left="240" w:top="100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2019-12-01T11:51:44Z</dcterms:created>
  <dcterms:modified xsi:type="dcterms:W3CDTF">2019-12-01T11:51:44Z</dcterms:modified>
</cp:coreProperties>
</file>