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39"/>
        <w:spacing w:after="0"/>
        <w:rPr>
          <w:sz w:val="20"/>
          <w:szCs w:val="20"/>
          <w:color w:val="auto"/>
        </w:rPr>
      </w:pPr>
      <w:r>
        <w:rPr>
          <w:rFonts w:ascii="Arial" w:cs="Arial" w:eastAsia="Arial" w:hAnsi="Arial"/>
          <w:sz w:val="18"/>
          <w:szCs w:val="18"/>
          <w:color w:val="auto"/>
        </w:rPr>
        <w:t>UNITED STATES</w:t>
      </w:r>
    </w:p>
    <w:p>
      <w:pPr>
        <w:jc w:val="center"/>
        <w:ind w:right="-139"/>
        <w:spacing w:after="0" w:line="234" w:lineRule="auto"/>
        <w:rPr>
          <w:sz w:val="20"/>
          <w:szCs w:val="20"/>
          <w:color w:val="auto"/>
        </w:rPr>
      </w:pPr>
      <w:r>
        <w:rPr>
          <w:rFonts w:ascii="Arial" w:cs="Arial" w:eastAsia="Arial" w:hAnsi="Arial"/>
          <w:sz w:val="18"/>
          <w:szCs w:val="18"/>
          <w:color w:val="auto"/>
        </w:rPr>
        <w:t>SECURITIES AND EXCHANGE COMMISSION</w:t>
      </w:r>
    </w:p>
    <w:p>
      <w:pPr>
        <w:spacing w:after="0" w:line="1" w:lineRule="exact"/>
        <w:rPr>
          <w:sz w:val="24"/>
          <w:szCs w:val="24"/>
          <w:color w:val="auto"/>
        </w:rPr>
      </w:pPr>
    </w:p>
    <w:p>
      <w:pPr>
        <w:jc w:val="center"/>
        <w:ind w:right="-139"/>
        <w:spacing w:after="0"/>
        <w:rPr>
          <w:sz w:val="20"/>
          <w:szCs w:val="20"/>
          <w:color w:val="auto"/>
        </w:rPr>
      </w:pPr>
      <w:r>
        <w:rPr>
          <w:rFonts w:ascii="Arial" w:cs="Arial" w:eastAsia="Arial" w:hAnsi="Arial"/>
          <w:sz w:val="18"/>
          <w:szCs w:val="18"/>
          <w:color w:val="auto"/>
        </w:rPr>
        <w:t>Washington, D.C. 20549</w:t>
      </w:r>
    </w:p>
    <w:p>
      <w:pPr>
        <w:spacing w:after="0" w:line="212" w:lineRule="exact"/>
        <w:rPr>
          <w:sz w:val="24"/>
          <w:szCs w:val="24"/>
          <w:color w:val="auto"/>
        </w:rPr>
      </w:pPr>
    </w:p>
    <w:p>
      <w:pPr>
        <w:jc w:val="center"/>
        <w:ind w:right="-139"/>
        <w:spacing w:after="0"/>
        <w:rPr>
          <w:sz w:val="20"/>
          <w:szCs w:val="20"/>
          <w:color w:val="auto"/>
        </w:rPr>
      </w:pPr>
      <w:r>
        <w:rPr>
          <w:rFonts w:ascii="Arial" w:cs="Arial" w:eastAsia="Arial" w:hAnsi="Arial"/>
          <w:sz w:val="18"/>
          <w:szCs w:val="18"/>
          <w:color w:val="auto"/>
        </w:rPr>
        <w:t>SCHEDULE 14A</w:t>
      </w:r>
    </w:p>
    <w:p>
      <w:pPr>
        <w:spacing w:after="0" w:line="207" w:lineRule="exact"/>
        <w:rPr>
          <w:sz w:val="24"/>
          <w:szCs w:val="24"/>
          <w:color w:val="auto"/>
        </w:rPr>
      </w:pPr>
    </w:p>
    <w:p>
      <w:pPr>
        <w:ind w:left="3780"/>
        <w:spacing w:after="0"/>
        <w:rPr>
          <w:sz w:val="20"/>
          <w:szCs w:val="20"/>
          <w:color w:val="auto"/>
        </w:rPr>
      </w:pPr>
      <w:r>
        <w:rPr>
          <w:rFonts w:ascii="Arial" w:cs="Arial" w:eastAsia="Arial" w:hAnsi="Arial"/>
          <w:sz w:val="18"/>
          <w:szCs w:val="18"/>
          <w:color w:val="auto"/>
        </w:rPr>
        <w:t>Proxy Statement Pursuant to Section 14(a) of the</w:t>
      </w:r>
    </w:p>
    <w:p>
      <w:pPr>
        <w:ind w:left="3700"/>
        <w:spacing w:after="0"/>
        <w:rPr>
          <w:sz w:val="20"/>
          <w:szCs w:val="20"/>
          <w:color w:val="auto"/>
        </w:rPr>
      </w:pPr>
      <w:r>
        <w:rPr>
          <w:rFonts w:ascii="Arial" w:cs="Arial" w:eastAsia="Arial" w:hAnsi="Arial"/>
          <w:sz w:val="18"/>
          <w:szCs w:val="18"/>
          <w:color w:val="auto"/>
        </w:rPr>
        <w:t>Securities Exchange Act of 1934 (Amendment No. )</w:t>
      </w:r>
    </w:p>
    <w:p>
      <w:pPr>
        <w:spacing w:after="0" w:line="147" w:lineRule="exact"/>
        <w:rPr>
          <w:sz w:val="24"/>
          <w:szCs w:val="24"/>
          <w:color w:val="auto"/>
        </w:rPr>
      </w:pPr>
    </w:p>
    <w:p>
      <w:pPr>
        <w:spacing w:after="0" w:line="242" w:lineRule="exact"/>
        <w:tabs>
          <w:tab w:leader="none" w:pos="7580" w:val="left"/>
        </w:tabs>
        <w:rPr>
          <w:sz w:val="20"/>
          <w:szCs w:val="20"/>
          <w:color w:val="auto"/>
        </w:rPr>
      </w:pPr>
      <w:r>
        <w:rPr>
          <w:rFonts w:ascii="MS PGothic" w:cs="MS PGothic" w:eastAsia="MS PGothic" w:hAnsi="MS PGothic"/>
          <w:sz w:val="21"/>
          <w:szCs w:val="21"/>
          <w:color w:val="auto"/>
        </w:rPr>
        <w:t>☑</w:t>
      </w:r>
      <w:r>
        <w:rPr>
          <w:rFonts w:ascii="Arial" w:cs="Arial" w:eastAsia="Arial" w:hAnsi="Arial"/>
          <w:sz w:val="18"/>
          <w:szCs w:val="18"/>
          <w:color w:val="auto"/>
        </w:rPr>
        <w:t xml:space="preserve"> Filed by the Registrant</w:t>
      </w:r>
      <w:r>
        <w:rPr>
          <w:sz w:val="20"/>
          <w:szCs w:val="20"/>
          <w:color w:val="auto"/>
        </w:rPr>
        <w:tab/>
      </w:r>
      <w:r>
        <w:rPr>
          <w:rFonts w:ascii="MS PGothic" w:cs="MS PGothic" w:eastAsia="MS PGothic" w:hAnsi="MS PGothic"/>
          <w:sz w:val="22"/>
          <w:szCs w:val="22"/>
          <w:color w:val="auto"/>
        </w:rPr>
        <w:t xml:space="preserve">☐ </w:t>
      </w:r>
      <w:r>
        <w:rPr>
          <w:rFonts w:ascii="Arial" w:cs="Arial" w:eastAsia="Arial" w:hAnsi="Arial"/>
          <w:sz w:val="17"/>
          <w:szCs w:val="17"/>
          <w:color w:val="auto"/>
        </w:rPr>
        <w:t>Filed by a Party other than the Registrant</w:t>
      </w:r>
    </w:p>
    <w:p>
      <w:pPr>
        <w:spacing w:after="0" w:line="323" w:lineRule="exact"/>
        <w:rPr>
          <w:sz w:val="24"/>
          <w:szCs w:val="24"/>
          <w:color w:val="auto"/>
        </w:rPr>
      </w:pPr>
    </w:p>
    <w:p>
      <w:pPr>
        <w:ind w:left="80"/>
        <w:spacing w:after="0"/>
        <w:rPr>
          <w:sz w:val="20"/>
          <w:szCs w:val="20"/>
          <w:color w:val="auto"/>
        </w:rPr>
      </w:pPr>
      <w:r>
        <w:rPr>
          <w:rFonts w:ascii="Arial" w:cs="Arial" w:eastAsia="Arial" w:hAnsi="Arial"/>
          <w:sz w:val="18"/>
          <w:szCs w:val="18"/>
          <w:color w:val="auto"/>
        </w:rPr>
        <w:t>CHECK THE APPROPRIATE BOX:</w:t>
      </w:r>
    </w:p>
    <w:p>
      <w:pPr>
        <w:spacing w:after="0" w:line="33" w:lineRule="exact"/>
        <w:rPr>
          <w:sz w:val="24"/>
          <w:szCs w:val="24"/>
          <w:color w:val="auto"/>
        </w:rPr>
      </w:pPr>
    </w:p>
    <w:p>
      <w:pPr>
        <w:ind w:left="540" w:hanging="460"/>
        <w:spacing w:after="0"/>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Preliminary Proxy Statement</w:t>
      </w:r>
    </w:p>
    <w:p>
      <w:pPr>
        <w:spacing w:after="0" w:line="45" w:lineRule="exact"/>
        <w:rPr>
          <w:rFonts w:ascii="MS PGothic" w:cs="MS PGothic" w:eastAsia="MS PGothic" w:hAnsi="MS PGothic"/>
          <w:sz w:val="22"/>
          <w:szCs w:val="22"/>
          <w:color w:val="auto"/>
        </w:rPr>
      </w:pPr>
    </w:p>
    <w:p>
      <w:pPr>
        <w:ind w:left="540" w:hanging="460"/>
        <w:spacing w:after="0" w:line="222" w:lineRule="auto"/>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Confidential, For Use of the Commission Only (as permitted by Rule 14a-6(e)(2))</w:t>
      </w:r>
    </w:p>
    <w:p>
      <w:pPr>
        <w:spacing w:after="0" w:line="46" w:lineRule="exact"/>
        <w:rPr>
          <w:rFonts w:ascii="MS PGothic" w:cs="MS PGothic" w:eastAsia="MS PGothic" w:hAnsi="MS PGothic"/>
          <w:sz w:val="22"/>
          <w:szCs w:val="22"/>
          <w:color w:val="auto"/>
        </w:rPr>
      </w:pPr>
    </w:p>
    <w:p>
      <w:pPr>
        <w:ind w:left="540" w:hanging="460"/>
        <w:spacing w:after="0" w:line="222" w:lineRule="auto"/>
        <w:tabs>
          <w:tab w:leader="none" w:pos="540" w:val="left"/>
        </w:tabs>
        <w:numPr>
          <w:ilvl w:val="0"/>
          <w:numId w:val="1"/>
        </w:numPr>
        <w:rPr>
          <w:rFonts w:ascii="MS PGothic" w:cs="MS PGothic" w:eastAsia="MS PGothic" w:hAnsi="MS PGothic"/>
          <w:sz w:val="22"/>
          <w:szCs w:val="22"/>
          <w:color w:val="auto"/>
        </w:rPr>
      </w:pPr>
      <w:r>
        <w:rPr>
          <w:rFonts w:ascii="Arial" w:cs="Arial" w:eastAsia="Arial" w:hAnsi="Arial"/>
          <w:sz w:val="18"/>
          <w:szCs w:val="18"/>
          <w:color w:val="auto"/>
        </w:rPr>
        <w:t>Definitive Proxy Statement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-478155</wp:posOffset>
            </wp:positionV>
            <wp:extent cx="7246620" cy="8147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814705"/>
                    </a:xfrm>
                    <a:prstGeom prst="rect">
                      <a:avLst/>
                    </a:prstGeom>
                    <a:noFill/>
                  </pic:spPr>
                </pic:pic>
              </a:graphicData>
            </a:graphic>
          </wp:anchor>
        </w:drawing>
      </w:r>
    </w:p>
    <w:p>
      <w:pPr>
        <w:spacing w:after="0" w:line="10" w:lineRule="exact"/>
        <w:rPr>
          <w:sz w:val="24"/>
          <w:szCs w:val="24"/>
          <w:color w:val="auto"/>
        </w:rPr>
      </w:pPr>
    </w:p>
    <w:p>
      <w:pPr>
        <w:ind w:left="540" w:hanging="460"/>
        <w:spacing w:after="0"/>
        <w:tabs>
          <w:tab w:leader="none" w:pos="540" w:val="left"/>
        </w:tabs>
        <w:numPr>
          <w:ilvl w:val="0"/>
          <w:numId w:val="2"/>
        </w:numPr>
        <w:rPr>
          <w:rFonts w:ascii="MS PGothic" w:cs="MS PGothic" w:eastAsia="MS PGothic" w:hAnsi="MS PGothic"/>
          <w:sz w:val="22"/>
          <w:szCs w:val="22"/>
          <w:color w:val="auto"/>
        </w:rPr>
      </w:pPr>
      <w:r>
        <w:rPr>
          <w:rFonts w:ascii="Arial" w:cs="Arial" w:eastAsia="Arial" w:hAnsi="Arial"/>
          <w:sz w:val="18"/>
          <w:szCs w:val="18"/>
          <w:color w:val="auto"/>
        </w:rPr>
        <w:t>Definitive Additional Materials</w:t>
      </w:r>
    </w:p>
    <w:p>
      <w:pPr>
        <w:spacing w:after="0" w:line="29" w:lineRule="exact"/>
        <w:rPr>
          <w:sz w:val="24"/>
          <w:szCs w:val="24"/>
          <w:color w:val="auto"/>
        </w:rPr>
      </w:pPr>
    </w:p>
    <w:p>
      <w:pPr>
        <w:ind w:left="540" w:hanging="460"/>
        <w:spacing w:after="0"/>
        <w:tabs>
          <w:tab w:leader="none" w:pos="540" w:val="left"/>
        </w:tabs>
        <w:numPr>
          <w:ilvl w:val="0"/>
          <w:numId w:val="3"/>
        </w:numPr>
        <w:rPr>
          <w:rFonts w:ascii="MS PGothic" w:cs="MS PGothic" w:eastAsia="MS PGothic" w:hAnsi="MS PGothic"/>
          <w:sz w:val="22"/>
          <w:szCs w:val="22"/>
          <w:color w:val="auto"/>
        </w:rPr>
      </w:pPr>
      <w:r>
        <w:rPr>
          <w:rFonts w:ascii="Arial" w:cs="Arial" w:eastAsia="Arial" w:hAnsi="Arial"/>
          <w:sz w:val="18"/>
          <w:szCs w:val="18"/>
          <w:color w:val="auto"/>
        </w:rPr>
        <w:t>Soliciting Material Under Rule 14a-12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10160</wp:posOffset>
            </wp:positionV>
            <wp:extent cx="72466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2774950</wp:posOffset>
            </wp:positionH>
            <wp:positionV relativeFrom="paragraph">
              <wp:posOffset>155575</wp:posOffset>
            </wp:positionV>
            <wp:extent cx="1715135" cy="3517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715135" cy="3517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87" w:lineRule="exact"/>
        <w:rPr>
          <w:sz w:val="24"/>
          <w:szCs w:val="24"/>
          <w:color w:val="auto"/>
        </w:rPr>
      </w:pPr>
    </w:p>
    <w:p>
      <w:pPr>
        <w:jc w:val="center"/>
        <w:ind w:right="-139"/>
        <w:spacing w:after="0"/>
        <w:rPr>
          <w:sz w:val="20"/>
          <w:szCs w:val="20"/>
          <w:color w:val="auto"/>
        </w:rPr>
      </w:pPr>
      <w:r>
        <w:rPr>
          <w:rFonts w:ascii="Arial" w:cs="Arial" w:eastAsia="Arial" w:hAnsi="Arial"/>
          <w:sz w:val="22"/>
          <w:szCs w:val="22"/>
          <w:b w:val="1"/>
          <w:bCs w:val="1"/>
          <w:color w:val="auto"/>
        </w:rPr>
        <w:t>Pinnacle West Capital Corporation</w:t>
      </w:r>
    </w:p>
    <w:p>
      <w:pPr>
        <w:spacing w:after="0" w:line="226" w:lineRule="exact"/>
        <w:rPr>
          <w:sz w:val="24"/>
          <w:szCs w:val="24"/>
          <w:color w:val="auto"/>
        </w:rPr>
      </w:pPr>
    </w:p>
    <w:p>
      <w:pPr>
        <w:jc w:val="center"/>
        <w:ind w:right="-139"/>
        <w:spacing w:after="0"/>
        <w:rPr>
          <w:sz w:val="20"/>
          <w:szCs w:val="20"/>
          <w:color w:val="auto"/>
        </w:rPr>
      </w:pPr>
      <w:r>
        <w:rPr>
          <w:rFonts w:ascii="Arial" w:cs="Arial" w:eastAsia="Arial" w:hAnsi="Arial"/>
          <w:sz w:val="14"/>
          <w:szCs w:val="14"/>
          <w:color w:val="auto"/>
        </w:rPr>
        <w:t>(Name of Registrant as Specified In Its Charter)</w:t>
      </w:r>
    </w:p>
    <w:p>
      <w:pPr>
        <w:jc w:val="center"/>
        <w:ind w:right="-139"/>
        <w:spacing w:after="0"/>
        <w:rPr>
          <w:sz w:val="20"/>
          <w:szCs w:val="20"/>
          <w:color w:val="auto"/>
        </w:rPr>
      </w:pPr>
      <w:r>
        <w:rPr>
          <w:rFonts w:ascii="Arial" w:cs="Arial" w:eastAsia="Arial" w:hAnsi="Arial"/>
          <w:sz w:val="14"/>
          <w:szCs w:val="14"/>
          <w:color w:val="auto"/>
        </w:rPr>
        <w:t>(Name of Person(s) Filing Proxy Statement, if Other Than the Registrant)</w:t>
      </w:r>
    </w:p>
    <w:p>
      <w:pPr>
        <w:spacing w:after="0" w:line="221" w:lineRule="exact"/>
        <w:rPr>
          <w:sz w:val="24"/>
          <w:szCs w:val="24"/>
          <w:color w:val="auto"/>
        </w:rPr>
      </w:pPr>
    </w:p>
    <w:p>
      <w:pPr>
        <w:ind w:left="80"/>
        <w:spacing w:after="0"/>
        <w:rPr>
          <w:sz w:val="20"/>
          <w:szCs w:val="20"/>
          <w:color w:val="auto"/>
        </w:rPr>
      </w:pPr>
      <w:r>
        <w:rPr>
          <w:rFonts w:ascii="Arial" w:cs="Arial" w:eastAsia="Arial" w:hAnsi="Arial"/>
          <w:sz w:val="18"/>
          <w:szCs w:val="18"/>
          <w:color w:val="auto"/>
        </w:rPr>
        <w:t>PAYMENT OF FILING FEE (CHECK THE APPROPRIATE BOX):</w:t>
      </w:r>
    </w:p>
    <w:p>
      <w:pPr>
        <w:spacing w:after="0" w:line="33" w:lineRule="exact"/>
        <w:rPr>
          <w:sz w:val="24"/>
          <w:szCs w:val="24"/>
          <w:color w:val="auto"/>
        </w:rPr>
      </w:pPr>
    </w:p>
    <w:p>
      <w:pPr>
        <w:ind w:left="540" w:hanging="460"/>
        <w:spacing w:after="0"/>
        <w:tabs>
          <w:tab w:leader="none" w:pos="540" w:val="left"/>
        </w:tabs>
        <w:numPr>
          <w:ilvl w:val="0"/>
          <w:numId w:val="4"/>
        </w:numPr>
        <w:rPr>
          <w:rFonts w:ascii="MS PGothic" w:cs="MS PGothic" w:eastAsia="MS PGothic" w:hAnsi="MS PGothic"/>
          <w:sz w:val="22"/>
          <w:szCs w:val="22"/>
          <w:color w:val="auto"/>
        </w:rPr>
      </w:pPr>
      <w:r>
        <w:rPr>
          <w:rFonts w:ascii="Arial" w:cs="Arial" w:eastAsia="Arial" w:hAnsi="Arial"/>
          <w:sz w:val="18"/>
          <w:szCs w:val="18"/>
          <w:color w:val="auto"/>
        </w:rPr>
        <w:t>No fee required.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7246620" cy="16979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1697990"/>
                    </a:xfrm>
                    <a:prstGeom prst="rect">
                      <a:avLst/>
                    </a:prstGeom>
                    <a:noFill/>
                  </pic:spPr>
                </pic:pic>
              </a:graphicData>
            </a:graphic>
          </wp:anchor>
        </w:drawing>
      </w:r>
    </w:p>
    <w:p>
      <w:pPr>
        <w:spacing w:after="0" w:line="9" w:lineRule="exact"/>
        <w:rPr>
          <w:sz w:val="24"/>
          <w:szCs w:val="24"/>
          <w:color w:val="auto"/>
        </w:rPr>
      </w:pPr>
    </w:p>
    <w:p>
      <w:pPr>
        <w:ind w:left="540" w:hanging="460"/>
        <w:spacing w:after="0"/>
        <w:tabs>
          <w:tab w:leader="none" w:pos="540" w:val="left"/>
        </w:tabs>
        <w:numPr>
          <w:ilvl w:val="0"/>
          <w:numId w:val="5"/>
        </w:numPr>
        <w:rPr>
          <w:rFonts w:ascii="MS PGothic" w:cs="MS PGothic" w:eastAsia="MS PGothic" w:hAnsi="MS PGothic"/>
          <w:sz w:val="22"/>
          <w:szCs w:val="22"/>
          <w:color w:val="auto"/>
        </w:rPr>
      </w:pPr>
      <w:r>
        <w:rPr>
          <w:rFonts w:ascii="Arial" w:cs="Arial" w:eastAsia="Arial" w:hAnsi="Arial"/>
          <w:sz w:val="18"/>
          <w:szCs w:val="18"/>
          <w:color w:val="auto"/>
        </w:rPr>
        <w:t>Fee computed on table below per Exchange Act Rules 14a-6(i)(1) and 0-11.</w:t>
      </w:r>
    </w:p>
    <w:p>
      <w:pPr>
        <w:spacing w:after="0" w:line="14" w:lineRule="exact"/>
        <w:rPr>
          <w:rFonts w:ascii="MS PGothic" w:cs="MS PGothic" w:eastAsia="MS PGothic" w:hAnsi="MS PGothic"/>
          <w:sz w:val="22"/>
          <w:szCs w:val="22"/>
          <w:color w:val="auto"/>
        </w:rPr>
      </w:pPr>
    </w:p>
    <w:p>
      <w:pPr>
        <w:ind w:left="860" w:hanging="163"/>
        <w:spacing w:after="0" w:line="221" w:lineRule="auto"/>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Title of each class of securities to which transaction applies:</w:t>
      </w:r>
    </w:p>
    <w:p>
      <w:pPr>
        <w:ind w:left="860" w:hanging="163"/>
        <w:spacing w:after="0" w:line="221" w:lineRule="auto"/>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Aggregate number of securities to which transaction applies:</w:t>
      </w:r>
    </w:p>
    <w:p>
      <w:pPr>
        <w:ind w:left="700" w:right="60" w:hanging="3"/>
        <w:spacing w:after="0" w:line="221" w:lineRule="auto"/>
        <w:tabs>
          <w:tab w:leader="none" w:pos="857" w:val="left"/>
        </w:tabs>
        <w:numPr>
          <w:ilvl w:val="1"/>
          <w:numId w:val="5"/>
        </w:numPr>
        <w:rPr>
          <w:rFonts w:ascii="Arial" w:cs="Arial" w:eastAsia="Arial" w:hAnsi="Arial"/>
          <w:sz w:val="14"/>
          <w:szCs w:val="14"/>
          <w:color w:val="auto"/>
        </w:rPr>
      </w:pPr>
      <w:r>
        <w:rPr>
          <w:rFonts w:ascii="Arial" w:cs="Arial" w:eastAsia="Arial" w:hAnsi="Arial"/>
          <w:sz w:val="14"/>
          <w:szCs w:val="14"/>
          <w:color w:val="auto"/>
        </w:rPr>
        <w:t>Per unit price or other underlying value of transaction computed pursuant to Exchange Act Rule 0-11 (set forth the amount on which the filing fee is calculated and state how it was determined):</w:t>
      </w:r>
    </w:p>
    <w:p>
      <w:pPr>
        <w:ind w:left="860" w:hanging="163"/>
        <w:spacing w:after="0" w:line="221" w:lineRule="auto"/>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Proposed maximum aggregate value of transaction:</w:t>
      </w:r>
    </w:p>
    <w:p>
      <w:pPr>
        <w:ind w:left="860" w:hanging="163"/>
        <w:spacing w:after="0"/>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Total fee paid:</w:t>
      </w:r>
    </w:p>
    <w:p>
      <w:pPr>
        <w:spacing w:after="0" w:line="2" w:lineRule="exact"/>
        <w:rPr>
          <w:rFonts w:ascii="Arial" w:cs="Arial" w:eastAsia="Arial" w:hAnsi="Arial"/>
          <w:sz w:val="14"/>
          <w:szCs w:val="14"/>
          <w:color w:val="auto"/>
        </w:rPr>
      </w:pPr>
    </w:p>
    <w:p>
      <w:pPr>
        <w:ind w:left="540" w:hanging="460"/>
        <w:spacing w:after="0"/>
        <w:tabs>
          <w:tab w:leader="none" w:pos="540" w:val="left"/>
        </w:tabs>
        <w:numPr>
          <w:ilvl w:val="0"/>
          <w:numId w:val="5"/>
        </w:numPr>
        <w:rPr>
          <w:rFonts w:ascii="MS PGothic" w:cs="MS PGothic" w:eastAsia="MS PGothic" w:hAnsi="MS PGothic"/>
          <w:sz w:val="22"/>
          <w:szCs w:val="22"/>
          <w:color w:val="auto"/>
        </w:rPr>
      </w:pPr>
      <w:r>
        <w:rPr>
          <w:rFonts w:ascii="Arial" w:cs="Arial" w:eastAsia="Arial" w:hAnsi="Arial"/>
          <w:sz w:val="18"/>
          <w:szCs w:val="18"/>
          <w:color w:val="auto"/>
        </w:rPr>
        <w:t>Fee paid previously with preliminary materials:</w:t>
      </w:r>
    </w:p>
    <w:p>
      <w:pPr>
        <w:spacing w:after="0" w:line="32" w:lineRule="exact"/>
        <w:rPr>
          <w:rFonts w:ascii="MS PGothic" w:cs="MS PGothic" w:eastAsia="MS PGothic" w:hAnsi="MS PGothic"/>
          <w:sz w:val="22"/>
          <w:szCs w:val="22"/>
          <w:color w:val="auto"/>
        </w:rPr>
      </w:pPr>
    </w:p>
    <w:p>
      <w:pPr>
        <w:ind w:left="540" w:hanging="460"/>
        <w:spacing w:after="0" w:line="221" w:lineRule="auto"/>
        <w:tabs>
          <w:tab w:leader="none" w:pos="540" w:val="left"/>
        </w:tabs>
        <w:numPr>
          <w:ilvl w:val="0"/>
          <w:numId w:val="5"/>
        </w:numPr>
        <w:rPr>
          <w:rFonts w:ascii="MS PGothic" w:cs="MS PGothic" w:eastAsia="MS PGothic" w:hAnsi="MS PGothic"/>
          <w:sz w:val="22"/>
          <w:szCs w:val="22"/>
          <w:color w:val="auto"/>
        </w:rPr>
      </w:pPr>
      <w:r>
        <w:rPr>
          <w:rFonts w:ascii="Arial" w:cs="Arial" w:eastAsia="Arial" w:hAnsi="Arial"/>
          <w:sz w:val="18"/>
          <w:szCs w:val="18"/>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 w:lineRule="exact"/>
        <w:rPr>
          <w:rFonts w:ascii="MS PGothic" w:cs="MS PGothic" w:eastAsia="MS PGothic" w:hAnsi="MS PGothic"/>
          <w:sz w:val="22"/>
          <w:szCs w:val="22"/>
          <w:color w:val="auto"/>
        </w:rPr>
      </w:pPr>
    </w:p>
    <w:p>
      <w:pPr>
        <w:ind w:left="860" w:hanging="163"/>
        <w:spacing w:after="0" w:line="221" w:lineRule="auto"/>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Amount previously paid:</w:t>
      </w:r>
    </w:p>
    <w:p>
      <w:pPr>
        <w:ind w:left="860" w:hanging="163"/>
        <w:spacing w:after="0" w:line="221" w:lineRule="auto"/>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Form, Schedule or Registration Statement No.:</w:t>
      </w:r>
    </w:p>
    <w:p>
      <w:pPr>
        <w:ind w:left="860" w:hanging="163"/>
        <w:spacing w:after="0" w:line="221" w:lineRule="auto"/>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Filing Party:</w:t>
      </w:r>
    </w:p>
    <w:p>
      <w:pPr>
        <w:ind w:left="860" w:hanging="163"/>
        <w:spacing w:after="0"/>
        <w:tabs>
          <w:tab w:leader="none" w:pos="860" w:val="left"/>
        </w:tabs>
        <w:numPr>
          <w:ilvl w:val="1"/>
          <w:numId w:val="5"/>
        </w:numPr>
        <w:rPr>
          <w:rFonts w:ascii="Arial" w:cs="Arial" w:eastAsia="Arial" w:hAnsi="Arial"/>
          <w:sz w:val="14"/>
          <w:szCs w:val="14"/>
          <w:color w:val="auto"/>
        </w:rPr>
      </w:pPr>
      <w:r>
        <w:rPr>
          <w:rFonts w:ascii="Arial" w:cs="Arial" w:eastAsia="Arial" w:hAnsi="Arial"/>
          <w:sz w:val="14"/>
          <w:szCs w:val="14"/>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-6985</wp:posOffset>
            </wp:positionV>
            <wp:extent cx="724662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222250</wp:posOffset>
            </wp:positionV>
            <wp:extent cx="7267575" cy="21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67575" cy="21590"/>
                    </a:xfrm>
                    <a:prstGeom prst="rect">
                      <a:avLst/>
                    </a:prstGeom>
                    <a:noFill/>
                  </pic:spPr>
                </pic:pic>
              </a:graphicData>
            </a:graphic>
          </wp:anchor>
        </w:drawing>
      </w:r>
    </w:p>
    <w:p>
      <w:pPr>
        <w:sectPr>
          <w:pgSz w:w="11900" w:h="16838" w:orient="portrait"/>
          <w:cols w:equalWidth="0" w:num="1">
            <w:col w:w="11300"/>
          </w:cols>
          <w:pgMar w:left="240" w:top="246" w:right="359" w:bottom="1440" w:gutter="0" w:footer="0" w:header="0"/>
        </w:sectPr>
      </w:pPr>
    </w:p>
    <w:bookmarkStart w:id="1" w:name="page2"/>
    <w:bookmarkEnd w:id="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8475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67575" cy="48475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 w:name="page3"/>
    <w:bookmarkEnd w:id="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 w:name="page4"/>
    <w:bookmarkEnd w:id="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 w:name="page5"/>
    <w:bookmarkEnd w:id="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 w:name="page10"/>
    <w:bookmarkEnd w:id="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243205</wp:posOffset>
            </wp:positionV>
            <wp:extent cx="7267575" cy="46418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67575" cy="464185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
      <w:numFmt w:val="bullet"/>
      <w:start w:val="1"/>
    </w:lvl>
  </w:abstractNum>
  <w:abstractNum w:abstractNumId="2">
    <w:nsid w:val="625558EC"/>
    <w:multiLevelType w:val="hybridMultilevel"/>
    <w:lvl w:ilvl="0">
      <w:lvlJc w:val="left"/>
      <w:lvlText w:val="☐"/>
      <w:numFmt w:val="bullet"/>
      <w:start w:val="1"/>
    </w:lvl>
  </w:abstractNum>
  <w:abstractNum w:abstractNumId="3">
    <w:nsid w:val="238E1F29"/>
    <w:multiLevelType w:val="hybridMultilevel"/>
    <w:lvl w:ilvl="0">
      <w:lvlJc w:val="left"/>
      <w:lvlText w:val="☑"/>
      <w:numFmt w:val="bullet"/>
      <w:start w:val="1"/>
    </w:lvl>
  </w:abstractNum>
  <w:abstractNum w:abstractNumId="4">
    <w:nsid w:val="46E87CCD"/>
    <w:multiLevelType w:val="hybridMultilevel"/>
    <w:lvl w:ilvl="0">
      <w:lvlJc w:val="left"/>
      <w:lvlText w:val="☐"/>
      <w:numFmt w:val="bullet"/>
      <w:start w:val="1"/>
    </w:lvl>
    <w:lvl w:ilvl="1">
      <w:lvlJc w:val="left"/>
      <w:lvlText w:val="%2)"/>
      <w:numFmt w:val="decimal"/>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2019-12-03T19:53:30Z</dcterms:created>
  <dcterms:modified xsi:type="dcterms:W3CDTF">2019-12-03T19:53:30Z</dcterms:modified>
</cp:coreProperties>
</file>