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22"/>
          <w:szCs w:val="22"/>
          <w:b w:val="1"/>
          <w:bCs w:val="1"/>
          <w:color w:val="auto"/>
        </w:rPr>
        <w:t>UNITED STATES</w:t>
      </w:r>
    </w:p>
    <w:p>
      <w:pPr>
        <w:spacing w:after="0" w:line="28"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SECURITIES AND EXCHANGE COMMISSION</w:t>
      </w:r>
    </w:p>
    <w:p>
      <w:pPr>
        <w:spacing w:after="0" w:line="4" w:lineRule="exact"/>
        <w:rPr>
          <w:sz w:val="24"/>
          <w:szCs w:val="24"/>
          <w:color w:val="auto"/>
        </w:rPr>
      </w:pPr>
    </w:p>
    <w:p>
      <w:pPr>
        <w:jc w:val="center"/>
        <w:ind w:right="-99"/>
        <w:spacing w:after="0"/>
        <w:rPr>
          <w:sz w:val="20"/>
          <w:szCs w:val="20"/>
          <w:color w:val="auto"/>
        </w:rPr>
      </w:pPr>
      <w:r>
        <w:rPr>
          <w:rFonts w:ascii="Arial" w:cs="Arial" w:eastAsia="Arial" w:hAnsi="Arial"/>
          <w:sz w:val="22"/>
          <w:szCs w:val="22"/>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3238500</wp:posOffset>
            </wp:positionH>
            <wp:positionV relativeFrom="paragraph">
              <wp:posOffset>288925</wp:posOffset>
            </wp:positionV>
            <wp:extent cx="11410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410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FORM 8-K/A</w:t>
      </w:r>
    </w:p>
    <w:p>
      <w:pPr>
        <w:spacing w:after="0" w:line="28"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(Amendment No. 1)</w:t>
      </w:r>
    </w:p>
    <w:p>
      <w:pPr>
        <w:spacing w:after="0" w:line="236"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4"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Securities Exchange Act of 1934</w:t>
      </w:r>
    </w:p>
    <w:p>
      <w:pPr>
        <w:spacing w:after="0" w:line="242" w:lineRule="exact"/>
        <w:rPr>
          <w:sz w:val="24"/>
          <w:szCs w:val="24"/>
          <w:color w:val="auto"/>
        </w:rPr>
      </w:pPr>
    </w:p>
    <w:p>
      <w:pPr>
        <w:jc w:val="center"/>
        <w:ind w:right="-99"/>
        <w:spacing w:after="0"/>
        <w:tabs>
          <w:tab w:leader="none" w:pos="180" w:val="left"/>
        </w:tabs>
        <w:rPr>
          <w:sz w:val="20"/>
          <w:szCs w:val="20"/>
          <w:color w:val="auto"/>
        </w:rPr>
      </w:pPr>
      <w:r>
        <w:rPr>
          <w:rFonts w:ascii="Arial" w:cs="Arial" w:eastAsia="Arial" w:hAnsi="Arial"/>
          <w:sz w:val="22"/>
          <w:szCs w:val="22"/>
          <w:color w:val="auto"/>
        </w:rPr>
        <w:t>Date of report (Date of earliest event reported):</w:t>
      </w:r>
      <w:r>
        <w:rPr>
          <w:sz w:val="20"/>
          <w:szCs w:val="20"/>
          <w:color w:val="auto"/>
        </w:rPr>
        <w:tab/>
      </w:r>
      <w:r>
        <w:rPr>
          <w:rFonts w:ascii="Arial" w:cs="Arial" w:eastAsia="Arial" w:hAnsi="Arial"/>
          <w:sz w:val="19"/>
          <w:szCs w:val="19"/>
          <w:color w:val="auto"/>
        </w:rPr>
        <w:t>February 20, 2019</w:t>
      </w:r>
    </w:p>
    <w:p>
      <w:pPr>
        <w:spacing w:after="0" w:line="200" w:lineRule="exact"/>
        <w:rPr>
          <w:sz w:val="24"/>
          <w:szCs w:val="24"/>
          <w:color w:val="auto"/>
        </w:rPr>
      </w:pPr>
    </w:p>
    <w:p>
      <w:pPr>
        <w:spacing w:after="0" w:line="232" w:lineRule="exact"/>
        <w:rPr>
          <w:sz w:val="24"/>
          <w:szCs w:val="24"/>
          <w:color w:val="auto"/>
        </w:rPr>
      </w:pPr>
    </w:p>
    <w:tbl>
      <w:tblPr>
        <w:tblLayout w:type="fixed"/>
        <w:tblInd w:w="0" w:type="dxa"/>
        <w:tblCellMar>
          <w:top w:w="0" w:type="dxa"/>
          <w:left w:w="0" w:type="dxa"/>
          <w:bottom w:w="0" w:type="dxa"/>
          <w:right w:w="0" w:type="dxa"/>
        </w:tblCellMar>
      </w:tblPr>
      <w:tr>
        <w:trPr>
          <w:trHeight w:val="257"/>
        </w:trPr>
        <w:tc>
          <w:tcPr>
            <w:tcW w:w="3000" w:type="dxa"/>
            <w:vAlign w:val="bottom"/>
          </w:tcPr>
          <w:p>
            <w:pPr>
              <w:spacing w:after="0"/>
              <w:rPr>
                <w:sz w:val="22"/>
                <w:szCs w:val="22"/>
                <w:color w:val="auto"/>
              </w:rPr>
            </w:pPr>
          </w:p>
        </w:tc>
        <w:tc>
          <w:tcPr>
            <w:tcW w:w="5580" w:type="dxa"/>
            <w:vAlign w:val="bottom"/>
          </w:tcPr>
          <w:p>
            <w:pPr>
              <w:jc w:val="center"/>
              <w:spacing w:after="0"/>
              <w:rPr>
                <w:sz w:val="20"/>
                <w:szCs w:val="20"/>
                <w:color w:val="auto"/>
              </w:rPr>
            </w:pPr>
            <w:r>
              <w:rPr>
                <w:rFonts w:ascii="Arial" w:cs="Arial" w:eastAsia="Arial" w:hAnsi="Arial"/>
                <w:sz w:val="22"/>
                <w:szCs w:val="22"/>
                <w:color w:val="auto"/>
                <w:w w:val="89"/>
              </w:rPr>
              <w:t>Exact Name of Registrant as Specified in Charter; State</w:t>
            </w:r>
          </w:p>
        </w:tc>
        <w:tc>
          <w:tcPr>
            <w:tcW w:w="2960" w:type="dxa"/>
            <w:vAlign w:val="bottom"/>
          </w:tcPr>
          <w:p>
            <w:pPr>
              <w:spacing w:after="0"/>
              <w:rPr>
                <w:sz w:val="22"/>
                <w:szCs w:val="22"/>
                <w:color w:val="auto"/>
              </w:rPr>
            </w:pPr>
          </w:p>
        </w:tc>
      </w:tr>
      <w:tr>
        <w:trPr>
          <w:trHeight w:val="257"/>
        </w:trPr>
        <w:tc>
          <w:tcPr>
            <w:tcW w:w="3000" w:type="dxa"/>
            <w:vAlign w:val="bottom"/>
          </w:tcPr>
          <w:p>
            <w:pPr>
              <w:spacing w:after="0"/>
              <w:rPr>
                <w:sz w:val="22"/>
                <w:szCs w:val="22"/>
                <w:color w:val="auto"/>
              </w:rPr>
            </w:pPr>
          </w:p>
        </w:tc>
        <w:tc>
          <w:tcPr>
            <w:tcW w:w="5580" w:type="dxa"/>
            <w:vAlign w:val="bottom"/>
          </w:tcPr>
          <w:p>
            <w:pPr>
              <w:jc w:val="center"/>
              <w:spacing w:after="0"/>
              <w:rPr>
                <w:sz w:val="20"/>
                <w:szCs w:val="20"/>
                <w:color w:val="auto"/>
              </w:rPr>
            </w:pPr>
            <w:r>
              <w:rPr>
                <w:rFonts w:ascii="Arial" w:cs="Arial" w:eastAsia="Arial" w:hAnsi="Arial"/>
                <w:sz w:val="22"/>
                <w:szCs w:val="22"/>
                <w:color w:val="auto"/>
                <w:w w:val="94"/>
              </w:rPr>
              <w:t>of Incorporation;</w:t>
            </w:r>
          </w:p>
        </w:tc>
        <w:tc>
          <w:tcPr>
            <w:tcW w:w="2960" w:type="dxa"/>
            <w:vAlign w:val="bottom"/>
          </w:tcPr>
          <w:p>
            <w:pPr>
              <w:jc w:val="center"/>
              <w:ind w:right="171"/>
              <w:spacing w:after="0"/>
              <w:rPr>
                <w:sz w:val="20"/>
                <w:szCs w:val="20"/>
                <w:color w:val="auto"/>
              </w:rPr>
            </w:pPr>
            <w:r>
              <w:rPr>
                <w:rFonts w:ascii="Arial" w:cs="Arial" w:eastAsia="Arial" w:hAnsi="Arial"/>
                <w:sz w:val="22"/>
                <w:szCs w:val="22"/>
                <w:color w:val="auto"/>
                <w:w w:val="91"/>
              </w:rPr>
              <w:t>IRS Employer</w:t>
            </w:r>
          </w:p>
        </w:tc>
      </w:tr>
      <w:tr>
        <w:trPr>
          <w:trHeight w:val="293"/>
        </w:trPr>
        <w:tc>
          <w:tcPr>
            <w:tcW w:w="3000" w:type="dxa"/>
            <w:vAlign w:val="bottom"/>
            <w:tcBorders>
              <w:bottom w:val="single" w:sz="8" w:color="auto"/>
            </w:tcBorders>
          </w:tcPr>
          <w:p>
            <w:pPr>
              <w:jc w:val="center"/>
              <w:ind w:left="111"/>
              <w:spacing w:after="0"/>
              <w:rPr>
                <w:sz w:val="20"/>
                <w:szCs w:val="20"/>
                <w:color w:val="auto"/>
              </w:rPr>
            </w:pPr>
            <w:r>
              <w:rPr>
                <w:rFonts w:ascii="Arial" w:cs="Arial" w:eastAsia="Arial" w:hAnsi="Arial"/>
                <w:sz w:val="22"/>
                <w:szCs w:val="22"/>
                <w:color w:val="auto"/>
                <w:w w:val="91"/>
              </w:rPr>
              <w:t>Commission File Number</w:t>
            </w:r>
          </w:p>
        </w:tc>
        <w:tc>
          <w:tcPr>
            <w:tcW w:w="5580" w:type="dxa"/>
            <w:vAlign w:val="bottom"/>
            <w:tcBorders>
              <w:bottom w:val="single" w:sz="8" w:color="auto"/>
            </w:tcBorders>
          </w:tcPr>
          <w:p>
            <w:pPr>
              <w:jc w:val="center"/>
              <w:spacing w:after="0"/>
              <w:rPr>
                <w:sz w:val="20"/>
                <w:szCs w:val="20"/>
                <w:color w:val="auto"/>
              </w:rPr>
            </w:pPr>
            <w:r>
              <w:rPr>
                <w:rFonts w:ascii="Arial" w:cs="Arial" w:eastAsia="Arial" w:hAnsi="Arial"/>
                <w:sz w:val="22"/>
                <w:szCs w:val="22"/>
                <w:color w:val="auto"/>
                <w:w w:val="88"/>
              </w:rPr>
              <w:t>Address and Telephone Number</w:t>
            </w:r>
          </w:p>
        </w:tc>
        <w:tc>
          <w:tcPr>
            <w:tcW w:w="2960" w:type="dxa"/>
            <w:vAlign w:val="bottom"/>
            <w:tcBorders>
              <w:bottom w:val="single" w:sz="8" w:color="auto"/>
            </w:tcBorders>
          </w:tcPr>
          <w:p>
            <w:pPr>
              <w:jc w:val="center"/>
              <w:ind w:right="171"/>
              <w:spacing w:after="0"/>
              <w:rPr>
                <w:sz w:val="20"/>
                <w:szCs w:val="20"/>
                <w:color w:val="auto"/>
              </w:rPr>
            </w:pPr>
            <w:r>
              <w:rPr>
                <w:rFonts w:ascii="Arial" w:cs="Arial" w:eastAsia="Arial" w:hAnsi="Arial"/>
                <w:sz w:val="22"/>
                <w:szCs w:val="22"/>
                <w:color w:val="auto"/>
                <w:w w:val="94"/>
              </w:rPr>
              <w:t>Identification Number</w:t>
            </w:r>
          </w:p>
        </w:tc>
      </w:tr>
      <w:tr>
        <w:trPr>
          <w:trHeight w:val="586"/>
        </w:trPr>
        <w:tc>
          <w:tcPr>
            <w:tcW w:w="3000" w:type="dxa"/>
            <w:vAlign w:val="bottom"/>
          </w:tcPr>
          <w:p>
            <w:pPr>
              <w:jc w:val="right"/>
              <w:ind w:right="971"/>
              <w:spacing w:after="0"/>
              <w:rPr>
                <w:sz w:val="20"/>
                <w:szCs w:val="20"/>
                <w:color w:val="auto"/>
              </w:rPr>
            </w:pPr>
            <w:r>
              <w:rPr>
                <w:rFonts w:ascii="Arial" w:cs="Arial" w:eastAsia="Arial" w:hAnsi="Arial"/>
                <w:sz w:val="22"/>
                <w:szCs w:val="22"/>
                <w:color w:val="auto"/>
              </w:rPr>
              <w:t>1-8962</w:t>
            </w:r>
          </w:p>
        </w:tc>
        <w:tc>
          <w:tcPr>
            <w:tcW w:w="5580" w:type="dxa"/>
            <w:vAlign w:val="bottom"/>
          </w:tcPr>
          <w:p>
            <w:pPr>
              <w:ind w:left="260"/>
              <w:spacing w:after="0"/>
              <w:rPr>
                <w:sz w:val="20"/>
                <w:szCs w:val="20"/>
                <w:color w:val="auto"/>
              </w:rPr>
            </w:pPr>
            <w:r>
              <w:rPr>
                <w:rFonts w:ascii="Arial" w:cs="Arial" w:eastAsia="Arial" w:hAnsi="Arial"/>
                <w:sz w:val="22"/>
                <w:szCs w:val="22"/>
                <w:color w:val="auto"/>
              </w:rPr>
              <w:t>Pinnacle West Capital Corporation</w:t>
            </w:r>
          </w:p>
        </w:tc>
        <w:tc>
          <w:tcPr>
            <w:tcW w:w="2960" w:type="dxa"/>
            <w:vAlign w:val="bottom"/>
          </w:tcPr>
          <w:p>
            <w:pPr>
              <w:jc w:val="center"/>
              <w:ind w:right="171"/>
              <w:spacing w:after="0"/>
              <w:rPr>
                <w:sz w:val="20"/>
                <w:szCs w:val="20"/>
                <w:color w:val="auto"/>
              </w:rPr>
            </w:pPr>
            <w:r>
              <w:rPr>
                <w:rFonts w:ascii="Arial" w:cs="Arial" w:eastAsia="Arial" w:hAnsi="Arial"/>
                <w:sz w:val="22"/>
                <w:szCs w:val="22"/>
                <w:color w:val="auto"/>
                <w:w w:val="88"/>
              </w:rPr>
              <w:t>86-0512431</w:t>
            </w:r>
          </w:p>
        </w:tc>
      </w:tr>
      <w:tr>
        <w:trPr>
          <w:trHeight w:val="257"/>
        </w:trPr>
        <w:tc>
          <w:tcPr>
            <w:tcW w:w="3000" w:type="dxa"/>
            <w:vAlign w:val="bottom"/>
          </w:tcPr>
          <w:p>
            <w:pPr>
              <w:spacing w:after="0"/>
              <w:rPr>
                <w:sz w:val="22"/>
                <w:szCs w:val="22"/>
                <w:color w:val="auto"/>
              </w:rPr>
            </w:pPr>
          </w:p>
        </w:tc>
        <w:tc>
          <w:tcPr>
            <w:tcW w:w="5580" w:type="dxa"/>
            <w:vAlign w:val="bottom"/>
          </w:tcPr>
          <w:p>
            <w:pPr>
              <w:ind w:left="260"/>
              <w:spacing w:after="0"/>
              <w:rPr>
                <w:sz w:val="20"/>
                <w:szCs w:val="20"/>
                <w:color w:val="auto"/>
              </w:rPr>
            </w:pPr>
            <w:r>
              <w:rPr>
                <w:rFonts w:ascii="Arial" w:cs="Arial" w:eastAsia="Arial" w:hAnsi="Arial"/>
                <w:sz w:val="22"/>
                <w:szCs w:val="22"/>
                <w:color w:val="auto"/>
              </w:rPr>
              <w:t>(an Arizona corporation)</w:t>
            </w:r>
          </w:p>
        </w:tc>
        <w:tc>
          <w:tcPr>
            <w:tcW w:w="2960" w:type="dxa"/>
            <w:vAlign w:val="bottom"/>
          </w:tcPr>
          <w:p>
            <w:pPr>
              <w:spacing w:after="0"/>
              <w:rPr>
                <w:sz w:val="22"/>
                <w:szCs w:val="22"/>
                <w:color w:val="auto"/>
              </w:rPr>
            </w:pPr>
          </w:p>
        </w:tc>
      </w:tr>
      <w:tr>
        <w:trPr>
          <w:trHeight w:val="257"/>
        </w:trPr>
        <w:tc>
          <w:tcPr>
            <w:tcW w:w="3000" w:type="dxa"/>
            <w:vAlign w:val="bottom"/>
          </w:tcPr>
          <w:p>
            <w:pPr>
              <w:spacing w:after="0"/>
              <w:rPr>
                <w:sz w:val="22"/>
                <w:szCs w:val="22"/>
                <w:color w:val="auto"/>
              </w:rPr>
            </w:pPr>
          </w:p>
        </w:tc>
        <w:tc>
          <w:tcPr>
            <w:tcW w:w="5580" w:type="dxa"/>
            <w:vAlign w:val="bottom"/>
          </w:tcPr>
          <w:p>
            <w:pPr>
              <w:ind w:left="260"/>
              <w:spacing w:after="0"/>
              <w:rPr>
                <w:sz w:val="20"/>
                <w:szCs w:val="20"/>
                <w:color w:val="auto"/>
              </w:rPr>
            </w:pPr>
            <w:r>
              <w:rPr>
                <w:rFonts w:ascii="Arial" w:cs="Arial" w:eastAsia="Arial" w:hAnsi="Arial"/>
                <w:sz w:val="22"/>
                <w:szCs w:val="22"/>
                <w:color w:val="auto"/>
              </w:rPr>
              <w:t>400 North Fifth Street, P.O. Box 53999</w:t>
            </w:r>
          </w:p>
        </w:tc>
        <w:tc>
          <w:tcPr>
            <w:tcW w:w="2960" w:type="dxa"/>
            <w:vAlign w:val="bottom"/>
          </w:tcPr>
          <w:p>
            <w:pPr>
              <w:spacing w:after="0"/>
              <w:rPr>
                <w:sz w:val="22"/>
                <w:szCs w:val="22"/>
                <w:color w:val="auto"/>
              </w:rPr>
            </w:pPr>
          </w:p>
        </w:tc>
      </w:tr>
      <w:tr>
        <w:trPr>
          <w:trHeight w:val="257"/>
        </w:trPr>
        <w:tc>
          <w:tcPr>
            <w:tcW w:w="3000" w:type="dxa"/>
            <w:vAlign w:val="bottom"/>
          </w:tcPr>
          <w:p>
            <w:pPr>
              <w:spacing w:after="0"/>
              <w:rPr>
                <w:sz w:val="22"/>
                <w:szCs w:val="22"/>
                <w:color w:val="auto"/>
              </w:rPr>
            </w:pPr>
          </w:p>
        </w:tc>
        <w:tc>
          <w:tcPr>
            <w:tcW w:w="5580" w:type="dxa"/>
            <w:vAlign w:val="bottom"/>
          </w:tcPr>
          <w:p>
            <w:pPr>
              <w:ind w:left="260"/>
              <w:spacing w:after="0"/>
              <w:rPr>
                <w:sz w:val="20"/>
                <w:szCs w:val="20"/>
                <w:color w:val="auto"/>
              </w:rPr>
            </w:pPr>
            <w:r>
              <w:rPr>
                <w:rFonts w:ascii="Arial" w:cs="Arial" w:eastAsia="Arial" w:hAnsi="Arial"/>
                <w:sz w:val="22"/>
                <w:szCs w:val="22"/>
                <w:color w:val="auto"/>
              </w:rPr>
              <w:t>Phoenix, AZ 85072-3999</w:t>
            </w:r>
          </w:p>
        </w:tc>
        <w:tc>
          <w:tcPr>
            <w:tcW w:w="2960" w:type="dxa"/>
            <w:vAlign w:val="bottom"/>
          </w:tcPr>
          <w:p>
            <w:pPr>
              <w:spacing w:after="0"/>
              <w:rPr>
                <w:sz w:val="22"/>
                <w:szCs w:val="22"/>
                <w:color w:val="auto"/>
              </w:rPr>
            </w:pPr>
          </w:p>
        </w:tc>
      </w:tr>
      <w:tr>
        <w:trPr>
          <w:trHeight w:val="279"/>
        </w:trPr>
        <w:tc>
          <w:tcPr>
            <w:tcW w:w="3000" w:type="dxa"/>
            <w:vAlign w:val="bottom"/>
          </w:tcPr>
          <w:p>
            <w:pPr>
              <w:spacing w:after="0"/>
              <w:rPr>
                <w:sz w:val="24"/>
                <w:szCs w:val="24"/>
                <w:color w:val="auto"/>
              </w:rPr>
            </w:pPr>
          </w:p>
        </w:tc>
        <w:tc>
          <w:tcPr>
            <w:tcW w:w="5580" w:type="dxa"/>
            <w:vAlign w:val="bottom"/>
          </w:tcPr>
          <w:p>
            <w:pPr>
              <w:ind w:left="260"/>
              <w:spacing w:after="0"/>
              <w:rPr>
                <w:sz w:val="20"/>
                <w:szCs w:val="20"/>
                <w:color w:val="auto"/>
              </w:rPr>
            </w:pPr>
            <w:r>
              <w:rPr>
                <w:rFonts w:ascii="Arial" w:cs="Arial" w:eastAsia="Arial" w:hAnsi="Arial"/>
                <w:sz w:val="22"/>
                <w:szCs w:val="22"/>
                <w:color w:val="auto"/>
              </w:rPr>
              <w:t>(602) 250-1000</w:t>
            </w:r>
          </w:p>
        </w:tc>
        <w:tc>
          <w:tcPr>
            <w:tcW w:w="2960" w:type="dxa"/>
            <w:vAlign w:val="bottom"/>
          </w:tcPr>
          <w:p>
            <w:pPr>
              <w:spacing w:after="0"/>
              <w:rPr>
                <w:sz w:val="24"/>
                <w:szCs w:val="24"/>
                <w:color w:val="auto"/>
              </w:rPr>
            </w:pPr>
          </w:p>
        </w:tc>
      </w:tr>
    </w:tbl>
    <w:p>
      <w:pPr>
        <w:spacing w:after="0" w:line="263" w:lineRule="exact"/>
        <w:rPr>
          <w:sz w:val="24"/>
          <w:szCs w:val="24"/>
          <w:color w:val="auto"/>
        </w:rPr>
      </w:pPr>
    </w:p>
    <w:p>
      <w:pPr>
        <w:ind w:right="780" w:firstLine="685"/>
        <w:spacing w:after="0" w:line="268" w:lineRule="auto"/>
        <w:rPr>
          <w:sz w:val="20"/>
          <w:szCs w:val="20"/>
          <w:color w:val="auto"/>
        </w:rPr>
      </w:pPr>
      <w:r>
        <w:rPr>
          <w:rFonts w:ascii="Arial" w:cs="Arial" w:eastAsia="Arial" w:hAnsi="Arial"/>
          <w:sz w:val="22"/>
          <w:szCs w:val="22"/>
          <w:color w:val="auto"/>
        </w:rPr>
        <w:t>Check the appropriate box below if the Form 8-K filing is intended to simultaneously satisfy the filing obligation of the registrant under any of the following provisions:</w:t>
      </w:r>
    </w:p>
    <w:p>
      <w:pPr>
        <w:spacing w:after="0" w:line="205" w:lineRule="exact"/>
        <w:rPr>
          <w:sz w:val="24"/>
          <w:szCs w:val="24"/>
          <w:color w:val="auto"/>
        </w:rPr>
      </w:pPr>
    </w:p>
    <w:p>
      <w:pPr>
        <w:ind w:left="920" w:hanging="241"/>
        <w:spacing w:after="0"/>
        <w:tabs>
          <w:tab w:leader="none" w:pos="92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Written communications pursuant to Rule 425 under the Securities Act (17 CFR 230.425)</w:t>
      </w:r>
    </w:p>
    <w:p>
      <w:pPr>
        <w:spacing w:after="0" w:line="260" w:lineRule="exact"/>
        <w:rPr>
          <w:rFonts w:ascii="MS PGothic" w:cs="MS PGothic" w:eastAsia="MS PGothic" w:hAnsi="MS PGothic"/>
          <w:sz w:val="22"/>
          <w:szCs w:val="22"/>
          <w:color w:val="auto"/>
        </w:rPr>
      </w:pPr>
    </w:p>
    <w:p>
      <w:pPr>
        <w:ind w:left="920" w:hanging="241"/>
        <w:spacing w:after="0"/>
        <w:tabs>
          <w:tab w:leader="none" w:pos="92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Soliciting material pursuant to Rule 14a-12 under the Exchange Act (17 CFR 240.14a-12)</w:t>
      </w:r>
    </w:p>
    <w:p>
      <w:pPr>
        <w:spacing w:after="0" w:line="260" w:lineRule="exact"/>
        <w:rPr>
          <w:rFonts w:ascii="MS PGothic" w:cs="MS PGothic" w:eastAsia="MS PGothic" w:hAnsi="MS PGothic"/>
          <w:sz w:val="22"/>
          <w:szCs w:val="22"/>
          <w:color w:val="auto"/>
        </w:rPr>
      </w:pPr>
    </w:p>
    <w:p>
      <w:pPr>
        <w:ind w:left="920" w:hanging="241"/>
        <w:spacing w:after="0"/>
        <w:tabs>
          <w:tab w:leader="none" w:pos="92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14d-2(b) under the Exchange Act (17 CFR 240.14d-2(b))</w:t>
      </w:r>
    </w:p>
    <w:p>
      <w:pPr>
        <w:spacing w:after="0" w:line="260" w:lineRule="exact"/>
        <w:rPr>
          <w:rFonts w:ascii="MS PGothic" w:cs="MS PGothic" w:eastAsia="MS PGothic" w:hAnsi="MS PGothic"/>
          <w:sz w:val="22"/>
          <w:szCs w:val="22"/>
          <w:color w:val="auto"/>
        </w:rPr>
      </w:pPr>
    </w:p>
    <w:p>
      <w:pPr>
        <w:ind w:left="920" w:hanging="241"/>
        <w:spacing w:after="0"/>
        <w:tabs>
          <w:tab w:leader="none" w:pos="92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Pre-commencement communications pursuant to Rule 13e-4(c) under the Exchange Act (17 CFR 240.13e-4(c))</w:t>
      </w:r>
    </w:p>
    <w:p>
      <w:pPr>
        <w:spacing w:after="0" w:line="260" w:lineRule="exact"/>
        <w:rPr>
          <w:sz w:val="24"/>
          <w:szCs w:val="24"/>
          <w:color w:val="auto"/>
        </w:rPr>
      </w:pPr>
    </w:p>
    <w:p>
      <w:pPr>
        <w:jc w:val="both"/>
        <w:ind w:right="240" w:firstLine="685"/>
        <w:spacing w:after="0" w:line="272" w:lineRule="exact"/>
        <w:rPr>
          <w:sz w:val="20"/>
          <w:szCs w:val="20"/>
          <w:color w:val="auto"/>
        </w:rPr>
      </w:pPr>
      <w:r>
        <w:rPr>
          <w:rFonts w:ascii="Arial" w:cs="Arial" w:eastAsia="Arial" w:hAnsi="Arial"/>
          <w:sz w:val="22"/>
          <w:szCs w:val="22"/>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22"/>
          <w:szCs w:val="22"/>
          <w:color w:val="auto"/>
        </w:rPr>
        <w:t>☐</w:t>
      </w:r>
    </w:p>
    <w:p>
      <w:pPr>
        <w:spacing w:after="0" w:line="211" w:lineRule="exact"/>
        <w:rPr>
          <w:sz w:val="24"/>
          <w:szCs w:val="24"/>
          <w:color w:val="auto"/>
        </w:rPr>
      </w:pPr>
    </w:p>
    <w:p>
      <w:pPr>
        <w:ind w:firstLine="685"/>
        <w:spacing w:after="0" w:line="279" w:lineRule="exact"/>
        <w:rPr>
          <w:sz w:val="20"/>
          <w:szCs w:val="20"/>
          <w:color w:val="auto"/>
        </w:rPr>
      </w:pPr>
      <w:r>
        <w:rPr>
          <w:rFonts w:ascii="Arial" w:cs="Arial" w:eastAsia="Arial" w:hAnsi="Arial"/>
          <w:sz w:val="20"/>
          <w:szCs w:val="20"/>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20"/>
          <w:szCs w:val="20"/>
          <w:color w:val="auto"/>
        </w:rPr>
        <w:t>☐</w:t>
      </w:r>
    </w:p>
    <w:p>
      <w:pPr>
        <w:sectPr>
          <w:pgSz w:w="12240" w:h="15840" w:orient="portrait"/>
          <w:cols w:equalWidth="0" w:num="1">
            <w:col w:w="11900"/>
          </w:cols>
          <w:pgMar w:left="120" w:top="579" w:right="220"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Explanatory Note</w:t>
      </w:r>
    </w:p>
    <w:p>
      <w:pPr>
        <w:spacing w:after="0" w:line="238" w:lineRule="exact"/>
        <w:rPr>
          <w:sz w:val="20"/>
          <w:szCs w:val="20"/>
          <w:color w:val="auto"/>
        </w:rPr>
      </w:pPr>
    </w:p>
    <w:p>
      <w:pPr>
        <w:jc w:val="both"/>
        <w:ind w:right="160" w:firstLine="685"/>
        <w:spacing w:after="0" w:line="273" w:lineRule="auto"/>
        <w:rPr>
          <w:sz w:val="20"/>
          <w:szCs w:val="20"/>
          <w:color w:val="auto"/>
        </w:rPr>
      </w:pPr>
      <w:r>
        <w:rPr>
          <w:rFonts w:ascii="Arial" w:cs="Arial" w:eastAsia="Arial" w:hAnsi="Arial"/>
          <w:sz w:val="21"/>
          <w:szCs w:val="21"/>
          <w:color w:val="auto"/>
        </w:rPr>
        <w:t>This Current Report on Form 8-K/A (the “Amendment”) amends the Current Report on Form 8-K filed on December 20, 2018 (the “Original 8-K”). This Amendment supplements the Original Form 8-K with the information set forth below. All other information set forth in the Original Form 8-K is otherwise unchanged and is incorporated herein by reference.</w:t>
      </w:r>
    </w:p>
    <w:p>
      <w:pPr>
        <w:spacing w:after="0" w:line="168" w:lineRule="exact"/>
        <w:rPr>
          <w:sz w:val="20"/>
          <w:szCs w:val="20"/>
          <w:color w:val="auto"/>
        </w:rPr>
      </w:pPr>
    </w:p>
    <w:p>
      <w:pPr>
        <w:ind w:right="240"/>
        <w:spacing w:after="0" w:line="273" w:lineRule="auto"/>
        <w:rPr>
          <w:sz w:val="20"/>
          <w:szCs w:val="20"/>
          <w:color w:val="auto"/>
        </w:rPr>
      </w:pPr>
      <w:r>
        <w:rPr>
          <w:rFonts w:ascii="Arial" w:cs="Arial" w:eastAsia="Arial" w:hAnsi="Arial"/>
          <w:sz w:val="22"/>
          <w:szCs w:val="22"/>
          <w:b w:val="1"/>
          <w:bCs w:val="1"/>
          <w:color w:val="auto"/>
        </w:rPr>
        <w:t>Item 5.02. Departure of Directors or Certain Officers; Election of Directors; Appointment of Certain Officers; Compensatory Arrangements of Certain Officers.</w:t>
      </w:r>
    </w:p>
    <w:p>
      <w:pPr>
        <w:spacing w:after="0" w:line="201" w:lineRule="exact"/>
        <w:rPr>
          <w:sz w:val="20"/>
          <w:szCs w:val="20"/>
          <w:color w:val="auto"/>
        </w:rPr>
      </w:pPr>
    </w:p>
    <w:p>
      <w:pPr>
        <w:jc w:val="both"/>
        <w:ind w:firstLine="656"/>
        <w:spacing w:after="0" w:line="251" w:lineRule="auto"/>
        <w:rPr>
          <w:sz w:val="20"/>
          <w:szCs w:val="20"/>
          <w:color w:val="auto"/>
        </w:rPr>
      </w:pPr>
      <w:r>
        <w:rPr>
          <w:rFonts w:ascii="Arial" w:cs="Arial" w:eastAsia="Arial" w:hAnsi="Arial"/>
          <w:sz w:val="22"/>
          <w:szCs w:val="22"/>
          <w:color w:val="auto"/>
        </w:rPr>
        <w:t>On December 20, 2018, Pinnacle West Capital Corporation (the “Company”) filed a Form 8-K announcing the election of James E. Trevathan, Jr. to the Board of Directors of the Company effective December 19, 2018 and stating that committee assignments would be designated at a future meeting. On February 20, 2019, the Board of Directors of the Company appointed Mr. Trevathan to its Human Resources Committee and Nuclear and Operating Committee.</w:t>
      </w:r>
    </w:p>
    <w:p>
      <w:pPr>
        <w:sectPr>
          <w:pgSz w:w="12240" w:h="15840" w:orient="portrait"/>
          <w:cols w:equalWidth="0" w:num="1">
            <w:col w:w="11920"/>
          </w:cols>
          <w:pgMar w:left="120" w:top="465" w:right="200" w:bottom="1440" w:gutter="0" w:footer="0" w:header="0"/>
        </w:sectPr>
      </w:pPr>
    </w:p>
    <w:bookmarkStart w:id="2" w:name="page3"/>
    <w:bookmarkEnd w:id="2"/>
    <w:p>
      <w:pPr>
        <w:jc w:val="center"/>
        <w:spacing w:after="0"/>
        <w:rPr>
          <w:sz w:val="20"/>
          <w:szCs w:val="20"/>
          <w:color w:val="auto"/>
        </w:rPr>
      </w:pPr>
      <w:r>
        <w:rPr>
          <w:rFonts w:ascii="Arial" w:cs="Arial" w:eastAsia="Arial" w:hAnsi="Arial"/>
          <w:sz w:val="23"/>
          <w:szCs w:val="23"/>
          <w:color w:val="auto"/>
        </w:rPr>
        <w:t>SIGNATURES</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firstLine="685"/>
        <w:spacing w:after="0" w:line="270" w:lineRule="auto"/>
        <w:rPr>
          <w:sz w:val="20"/>
          <w:szCs w:val="20"/>
          <w:color w:val="auto"/>
        </w:rPr>
      </w:pPr>
      <w:r>
        <w:rPr>
          <w:rFonts w:ascii="Arial" w:cs="Arial" w:eastAsia="Arial" w:hAnsi="Arial"/>
          <w:sz w:val="23"/>
          <w:szCs w:val="23"/>
          <w:color w:val="auto"/>
        </w:rPr>
        <w:t>Pursuant to the requirements of the Securities Exchange Act of 1934, each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5160"/>
        <w:spacing w:after="0"/>
        <w:rPr>
          <w:sz w:val="20"/>
          <w:szCs w:val="20"/>
          <w:color w:val="auto"/>
        </w:rPr>
      </w:pPr>
      <w:r>
        <w:rPr>
          <w:rFonts w:ascii="Arial" w:cs="Arial" w:eastAsia="Arial" w:hAnsi="Arial"/>
          <w:sz w:val="23"/>
          <w:szCs w:val="23"/>
          <w:color w:val="auto"/>
        </w:rPr>
        <w:t>PINNACLE WEST CAPITAL CORPORATION</w:t>
      </w:r>
    </w:p>
    <w:p>
      <w:pPr>
        <w:spacing w:after="0" w:line="49" w:lineRule="exact"/>
        <w:rPr>
          <w:sz w:val="20"/>
          <w:szCs w:val="20"/>
          <w:color w:val="auto"/>
        </w:rPr>
      </w:pPr>
    </w:p>
    <w:p>
      <w:pPr>
        <w:ind w:left="5160"/>
        <w:spacing w:after="0"/>
        <w:rPr>
          <w:sz w:val="20"/>
          <w:szCs w:val="20"/>
          <w:color w:val="auto"/>
        </w:rPr>
      </w:pPr>
      <w:r>
        <w:rPr>
          <w:rFonts w:ascii="Arial" w:cs="Arial" w:eastAsia="Arial" w:hAnsi="Arial"/>
          <w:sz w:val="23"/>
          <w:szCs w:val="23"/>
          <w:color w:val="auto"/>
        </w:rPr>
        <w:t>(Registrant)</w:t>
      </w:r>
    </w:p>
    <w:p>
      <w:pPr>
        <w:spacing w:after="0" w:line="392" w:lineRule="exact"/>
        <w:rPr>
          <w:sz w:val="20"/>
          <w:szCs w:val="20"/>
          <w:color w:val="auto"/>
        </w:rPr>
      </w:pPr>
    </w:p>
    <w:p>
      <w:pPr>
        <w:ind w:left="2280"/>
        <w:spacing w:after="0"/>
        <w:tabs>
          <w:tab w:leader="none" w:pos="5140" w:val="left"/>
        </w:tabs>
        <w:rPr>
          <w:sz w:val="20"/>
          <w:szCs w:val="20"/>
          <w:color w:val="auto"/>
        </w:rPr>
      </w:pPr>
      <w:r>
        <w:rPr>
          <w:rFonts w:ascii="Arial" w:cs="Arial" w:eastAsia="Arial" w:hAnsi="Arial"/>
          <w:sz w:val="23"/>
          <w:szCs w:val="23"/>
          <w:color w:val="auto"/>
        </w:rPr>
        <w:t>Dated: February 26, 2019</w:t>
      </w:r>
      <w:r>
        <w:rPr>
          <w:sz w:val="20"/>
          <w:szCs w:val="20"/>
          <w:color w:val="auto"/>
        </w:rPr>
        <w:tab/>
      </w:r>
      <w:r>
        <w:rPr>
          <w:rFonts w:ascii="Arial" w:cs="Arial" w:eastAsia="Arial" w:hAnsi="Arial"/>
          <w:sz w:val="20"/>
          <w:szCs w:val="20"/>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3256280</wp:posOffset>
            </wp:positionH>
            <wp:positionV relativeFrom="paragraph">
              <wp:posOffset>27940</wp:posOffset>
            </wp:positionV>
            <wp:extent cx="293433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934335" cy="8890"/>
                    </a:xfrm>
                    <a:prstGeom prst="rect">
                      <a:avLst/>
                    </a:prstGeom>
                    <a:noFill/>
                  </pic:spPr>
                </pic:pic>
              </a:graphicData>
            </a:graphic>
          </wp:anchor>
        </w:drawing>
      </w:r>
    </w:p>
    <w:p>
      <w:pPr>
        <w:spacing w:after="0" w:line="44" w:lineRule="exact"/>
        <w:rPr>
          <w:sz w:val="20"/>
          <w:szCs w:val="20"/>
          <w:color w:val="auto"/>
        </w:rPr>
      </w:pPr>
    </w:p>
    <w:p>
      <w:pPr>
        <w:ind w:left="5160"/>
        <w:spacing w:after="0"/>
        <w:rPr>
          <w:sz w:val="20"/>
          <w:szCs w:val="20"/>
          <w:color w:val="auto"/>
        </w:rPr>
      </w:pPr>
      <w:r>
        <w:rPr>
          <w:rFonts w:ascii="Arial" w:cs="Arial" w:eastAsia="Arial" w:hAnsi="Arial"/>
          <w:sz w:val="23"/>
          <w:szCs w:val="23"/>
          <w:color w:val="auto"/>
        </w:rPr>
        <w:t>James R. Hatfield</w:t>
      </w:r>
    </w:p>
    <w:p>
      <w:pPr>
        <w:spacing w:after="0" w:line="49" w:lineRule="exact"/>
        <w:rPr>
          <w:sz w:val="20"/>
          <w:szCs w:val="20"/>
          <w:color w:val="auto"/>
        </w:rPr>
      </w:pPr>
    </w:p>
    <w:p>
      <w:pPr>
        <w:ind w:left="5160"/>
        <w:spacing w:after="0"/>
        <w:rPr>
          <w:sz w:val="20"/>
          <w:szCs w:val="20"/>
          <w:color w:val="auto"/>
        </w:rPr>
      </w:pPr>
      <w:r>
        <w:rPr>
          <w:rFonts w:ascii="Arial" w:cs="Arial" w:eastAsia="Arial" w:hAnsi="Arial"/>
          <w:sz w:val="23"/>
          <w:szCs w:val="23"/>
          <w:color w:val="auto"/>
        </w:rPr>
        <w:t>Executive Vice President and</w:t>
      </w:r>
    </w:p>
    <w:p>
      <w:pPr>
        <w:spacing w:after="0" w:line="49" w:lineRule="exact"/>
        <w:rPr>
          <w:sz w:val="20"/>
          <w:szCs w:val="20"/>
          <w:color w:val="auto"/>
        </w:rPr>
      </w:pPr>
    </w:p>
    <w:p>
      <w:pPr>
        <w:ind w:left="5160"/>
        <w:spacing w:after="0"/>
        <w:rPr>
          <w:sz w:val="20"/>
          <w:szCs w:val="20"/>
          <w:color w:val="auto"/>
        </w:rPr>
      </w:pPr>
      <w:r>
        <w:rPr>
          <w:rFonts w:ascii="Arial" w:cs="Arial" w:eastAsia="Arial" w:hAnsi="Arial"/>
          <w:sz w:val="23"/>
          <w:szCs w:val="23"/>
          <w:color w:val="auto"/>
        </w:rPr>
        <w:t>Chief Financial Officer</w:t>
      </w:r>
    </w:p>
    <w:sectPr>
      <w:pgSz w:w="12240" w:h="15840" w:orient="portrait"/>
      <w:cols w:equalWidth="0" w:num="1">
        <w:col w:w="12000"/>
      </w:cols>
      <w:pgMar w:left="120" w:top="703" w:right="1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2020-01-09T15:16:03Z</dcterms:created>
  <dcterms:modified xsi:type="dcterms:W3CDTF">2020-01-09T15:16:03Z</dcterms:modified>
</cp:coreProperties>
</file>