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before="0" w:after="0"/>
        <w:rPr/>
      </w:pPr>
      <w:bookmarkStart w:id="0" w:name="doc4.xml.htm"/>
      <w:bookmarkStart w:id="1" w:name="ksdoc4"/>
      <w:bookmarkEnd w:id="0"/>
      <w:bookmarkEnd w:id="1"/>
      <w:r>
        <w:rPr/>
        <w:t xml:space="preserve">SEC Form 4 </w:t>
      </w:r>
    </w:p>
    <w:tbl>
      <w:tblPr>
        <w:tblW w:w="5000" w:type="pct"/>
        <w:jc w:val="left"/>
        <w:tblInd w:w="0" w:type="dxa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360"/>
        <w:gridCol w:w="1888"/>
        <w:gridCol w:w="5968"/>
        <w:gridCol w:w="1989"/>
      </w:tblGrid>
      <w:tr>
        <w:trPr/>
        <w:tc>
          <w:tcPr>
            <w:tcW w:w="2248" w:type="dxa"/>
            <w:gridSpan w:val="2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>
                <w:rFonts w:ascii="arial;helvetica;sans-serif" w:hAnsi="arial;helvetica;sans-serif"/>
                <w:b/>
                <w:sz w:val="36"/>
              </w:rPr>
            </w:pPr>
            <w:r>
              <w:rPr>
                <w:rFonts w:ascii="arial;helvetica;sans-serif" w:hAnsi="arial;helvetica;sans-serif"/>
                <w:b/>
                <w:sz w:val="36"/>
              </w:rPr>
              <w:t>FORM 4</w:t>
            </w:r>
          </w:p>
        </w:tc>
        <w:tc>
          <w:tcPr>
            <w:tcW w:w="5968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arial;helvetica;sans-serif" w:hAnsi="arial;helvetica;sans-serif"/>
                <w:b/>
                <w:sz w:val="28"/>
              </w:rPr>
              <w:t>UNITED STATES SECURITIES AND EXCHANGE COMMISSION</w:t>
            </w:r>
            <w:r>
              <w:rPr/>
              <w:br/>
            </w:r>
            <w:r>
              <w:rPr>
                <w:rFonts w:ascii="arial;helvetica;sans-serif" w:hAnsi="arial;helvetica;sans-serif"/>
                <w:sz w:val="20"/>
              </w:rPr>
              <w:t>Washington, D.C. 20549</w:t>
            </w:r>
            <w:r>
              <w:rPr/>
              <w:br/>
              <w:br/>
            </w:r>
            <w:r>
              <w:rPr>
                <w:rFonts w:ascii="arial;helvetica;sans-serif" w:hAnsi="arial;helvetica;sans-serif"/>
                <w:b/>
                <w:sz w:val="28"/>
              </w:rPr>
              <w:t>STATEMENT OF CHANGES IN BENEFICIAL OWNERSHIP</w:t>
            </w:r>
            <w:r>
              <w:rPr/>
              <w:br/>
              <w:br/>
            </w:r>
            <w:r>
              <w:rPr>
                <w:rFonts w:ascii="arial;helvetica;sans-serif" w:hAnsi="arial;helvetica;sans-serif"/>
                <w:sz w:val="20"/>
              </w:rPr>
              <w:t>Filed pursuant to Section 16(a) of the Securities Exchange Act of 1934</w:t>
            </w:r>
            <w:r>
              <w:rPr/>
              <w:br/>
            </w:r>
            <w:r>
              <w:rPr>
                <w:rFonts w:ascii="arial;helvetica;sans-serif" w:hAnsi="arial;helvetica;sans-serif"/>
                <w:sz w:val="20"/>
              </w:rPr>
              <w:t>or Section 30(h) of the Investment Company Act of 1940</w:t>
            </w:r>
            <w:r>
              <w:rPr/>
              <w:t xml:space="preserve"> </w:t>
            </w:r>
          </w:p>
        </w:tc>
        <w:tc>
          <w:tcPr>
            <w:tcW w:w="1989" w:type="dxa"/>
            <w:vMerge w:val="restart"/>
            <w:tcBorders/>
            <w:shd w:fill="auto" w:val="clear"/>
          </w:tcPr>
          <w:p>
            <w:pPr>
              <w:pStyle w:val="TableContents"/>
              <w:spacing w:before="0" w:after="0"/>
              <w:jc w:val="center"/>
              <w:rPr/>
            </w:pPr>
            <w:r>
              <w:rPr/>
              <w:t xml:space="preserve">  </w:t>
            </w:r>
          </w:p>
          <w:tbl>
            <w:tblPr>
              <w:tblW w:w="5000" w:type="pct"/>
              <w:jc w:val="center"/>
              <w:tblInd w:w="0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1869"/>
            </w:tblGrid>
            <w:tr>
              <w:trPr/>
              <w:tc>
                <w:tcPr>
                  <w:tcW w:w="1869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0"/>
                    <w:jc w:val="center"/>
                    <w:rPr>
                      <w:rFonts w:ascii="arial;helvetica;sans-serif" w:hAnsi="arial;helvetica;sans-serif"/>
                      <w:b w:val="false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b w:val="false"/>
                      <w:sz w:val="24"/>
                    </w:rPr>
                    <w:t>OMB APPROVAL</w:t>
                  </w:r>
                </w:p>
                <w:tbl>
                  <w:tblPr>
                    <w:tblW w:w="5000" w:type="pct"/>
                    <w:jc w:val="left"/>
                    <w:tblInd w:w="0" w:type="dxa"/>
                    <w:tblCellMar>
                      <w:top w:w="28" w:type="dxa"/>
                      <w:left w:w="28" w:type="dxa"/>
                      <w:bottom w:w="28" w:type="dxa"/>
                      <w:right w:w="28" w:type="dxa"/>
                    </w:tblCellMar>
                  </w:tblPr>
                  <w:tblGrid>
                    <w:gridCol w:w="1145"/>
                    <w:gridCol w:w="668"/>
                  </w:tblGrid>
                  <w:tr>
                    <w:trPr/>
                    <w:tc>
                      <w:tcPr>
                        <w:tcW w:w="114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TableContents"/>
                          <w:spacing w:before="0" w:after="283"/>
                          <w:jc w:val="left"/>
                          <w:rPr>
                            <w:rFonts w:ascii="arial;helvetica;sans-serif" w:hAnsi="arial;helvetica;sans-serif"/>
                            <w:sz w:val="14"/>
                          </w:rPr>
                        </w:pPr>
                        <w:r>
                          <w:rPr>
                            <w:rFonts w:ascii="arial;helvetica;sans-serif" w:hAnsi="arial;helvetica;sans-serif"/>
                            <w:sz w:val="14"/>
                          </w:rPr>
                          <w:t>OMB Number:</w:t>
                        </w:r>
                      </w:p>
                    </w:tc>
                    <w:tc>
                      <w:tcPr>
                        <w:tcW w:w="668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TableContents"/>
                          <w:spacing w:before="0" w:after="283"/>
                          <w:jc w:val="right"/>
                          <w:rPr>
                            <w:rFonts w:ascii="arial;helvetica;sans-serif" w:hAnsi="arial;helvetica;sans-serif"/>
                            <w:sz w:val="14"/>
                          </w:rPr>
                        </w:pPr>
                        <w:r>
                          <w:rPr>
                            <w:rFonts w:ascii="arial;helvetica;sans-serif" w:hAnsi="arial;helvetica;sans-serif"/>
                            <w:sz w:val="14"/>
                          </w:rPr>
                          <w:t>3235-0287</w:t>
                        </w:r>
                      </w:p>
                    </w:tc>
                  </w:tr>
                  <w:tr>
                    <w:trPr/>
                    <w:tc>
                      <w:tcPr>
                        <w:tcW w:w="1813" w:type="dxa"/>
                        <w:gridSpan w:val="2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TableContents"/>
                          <w:spacing w:before="0" w:after="283"/>
                          <w:jc w:val="left"/>
                          <w:rPr>
                            <w:rFonts w:ascii="arial;helvetica;sans-serif" w:hAnsi="arial;helvetica;sans-serif"/>
                            <w:sz w:val="14"/>
                          </w:rPr>
                        </w:pPr>
                        <w:r>
                          <w:rPr>
                            <w:rFonts w:ascii="arial;helvetica;sans-serif" w:hAnsi="arial;helvetica;sans-serif"/>
                            <w:sz w:val="14"/>
                          </w:rPr>
                          <w:t>Estimated average burden</w:t>
                        </w:r>
                      </w:p>
                    </w:tc>
                  </w:tr>
                  <w:tr>
                    <w:trPr/>
                    <w:tc>
                      <w:tcPr>
                        <w:tcW w:w="114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TableContents"/>
                          <w:spacing w:before="0" w:after="283"/>
                          <w:jc w:val="left"/>
                          <w:rPr>
                            <w:rFonts w:ascii="arial;helvetica;sans-serif" w:hAnsi="arial;helvetica;sans-serif"/>
                            <w:sz w:val="14"/>
                          </w:rPr>
                        </w:pPr>
                        <w:r>
                          <w:rPr>
                            <w:rFonts w:ascii="arial;helvetica;sans-serif" w:hAnsi="arial;helvetica;sans-serif"/>
                            <w:sz w:val="14"/>
                          </w:rPr>
                          <w:t>hours per response:</w:t>
                        </w:r>
                      </w:p>
                    </w:tc>
                    <w:tc>
                      <w:tcPr>
                        <w:tcW w:w="668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TableContents"/>
                          <w:spacing w:before="0" w:after="283"/>
                          <w:jc w:val="right"/>
                          <w:rPr>
                            <w:rFonts w:ascii="arial;helvetica;sans-serif" w:hAnsi="arial;helvetica;sans-serif"/>
                            <w:sz w:val="14"/>
                          </w:rPr>
                        </w:pPr>
                        <w:r>
                          <w:rPr>
                            <w:rFonts w:ascii="arial;helvetica;sans-serif" w:hAnsi="arial;helvetica;sans-serif"/>
                            <w:sz w:val="14"/>
                          </w:rPr>
                          <w:t>0.5</w:t>
                        </w:r>
                      </w:p>
                    </w:tc>
                  </w:tr>
                </w:tbl>
                <w:p>
                  <w:pPr>
                    <w:pStyle w:val="TableContents"/>
                    <w:spacing w:before="0" w:after="283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869" w:type="dxa"/>
                  <w:tcBorders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</w:tr>
          </w:tbl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drawing>
                <wp:inline distT="0" distB="0" distL="0" distR="0">
                  <wp:extent cx="152400" cy="152400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Check this box if no longer subject to Section 16. Form 4 or Form 5 obligations may continue. </w:t>
            </w:r>
            <w:r>
              <w:rPr>
                <w:rFonts w:ascii="arial;helvetica;sans-serif" w:hAnsi="arial;helvetica;sans-serif"/>
                <w:i/>
                <w:sz w:val="14"/>
              </w:rPr>
              <w:t>See</w:t>
            </w:r>
            <w:r>
              <w:rPr>
                <w:rFonts w:ascii="arial;helvetica;sans-serif" w:hAnsi="arial;helvetica;sans-serif"/>
                <w:sz w:val="14"/>
              </w:rPr>
              <w:t xml:space="preserve"> Instruction 1(b).</w:t>
            </w:r>
          </w:p>
        </w:tc>
        <w:tc>
          <w:tcPr>
            <w:tcW w:w="596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9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tbl>
      <w:tblPr>
        <w:tblW w:w="5000" w:type="pct"/>
        <w:jc w:val="left"/>
        <w:tblInd w:w="0" w:type="dxa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3571"/>
        <w:gridCol w:w="3572"/>
        <w:gridCol w:w="3062"/>
      </w:tblGrid>
      <w:tr>
        <w:trPr/>
        <w:tc>
          <w:tcPr>
            <w:tcW w:w="357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Contents"/>
              <w:spacing w:before="0" w:after="0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>1. Name and Address of Reporting Person</w:t>
            </w:r>
            <w:r>
              <w:rPr>
                <w:rFonts w:ascii="arial;helvetica;sans-serif" w:hAnsi="arial;helvetica;sans-serif"/>
                <w:position w:val="7"/>
                <w:sz w:val="16"/>
                <w:sz w:val="20"/>
              </w:rPr>
              <w:t>*</w:t>
            </w:r>
          </w:p>
          <w:tbl>
            <w:tblPr>
              <w:tblW w:w="5000" w:type="pct"/>
              <w:jc w:val="left"/>
              <w:tblInd w:w="0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3451"/>
            </w:tblGrid>
            <w:tr>
              <w:trPr/>
              <w:tc>
                <w:tcPr>
                  <w:tcW w:w="345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/>
                  </w:pPr>
                  <w:hyperlink r:id="rId3">
                    <w:r>
                      <w:rPr>
                        <w:rStyle w:val="InternetLink"/>
                      </w:rPr>
                      <w:t>GULDNER JEFFREY B.</w:t>
                    </w:r>
                  </w:hyperlink>
                </w:p>
              </w:tc>
            </w:tr>
          </w:tbl>
          <w:p>
            <w:pPr>
              <w:pStyle w:val="HorizontalLine"/>
              <w:rPr/>
            </w:pPr>
            <w:r>
              <w:rPr/>
            </w:r>
          </w:p>
          <w:tbl>
            <w:tblPr>
              <w:tblW w:w="5000" w:type="pct"/>
              <w:jc w:val="left"/>
              <w:tblInd w:w="0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1150"/>
              <w:gridCol w:w="1150"/>
              <w:gridCol w:w="1151"/>
            </w:tblGrid>
            <w:tr>
              <w:trPr/>
              <w:tc>
                <w:tcPr>
                  <w:tcW w:w="115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(Last)</w:t>
                  </w:r>
                </w:p>
              </w:tc>
              <w:tc>
                <w:tcPr>
                  <w:tcW w:w="115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(First)</w:t>
                  </w:r>
                </w:p>
              </w:tc>
              <w:tc>
                <w:tcPr>
                  <w:tcW w:w="115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(Middle)</w:t>
                  </w:r>
                </w:p>
              </w:tc>
            </w:tr>
          </w:tbl>
          <w:tbl>
            <w:tblPr>
              <w:tblW w:w="5000" w:type="pct"/>
              <w:jc w:val="left"/>
              <w:tblInd w:w="0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3451"/>
            </w:tblGrid>
            <w:tr>
              <w:trPr/>
              <w:tc>
                <w:tcPr>
                  <w:tcW w:w="345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</w:pPr>
                  <w:r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  <w:t>400 NORTH 5TH STREET</w:t>
                  </w:r>
                </w:p>
              </w:tc>
            </w:tr>
            <w:tr>
              <w:trPr/>
              <w:tc>
                <w:tcPr>
                  <w:tcW w:w="345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</w:pPr>
                  <w:r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  <w:t>MS 8602</w:t>
                  </w:r>
                </w:p>
              </w:tc>
            </w:tr>
          </w:tbl>
          <w:p>
            <w:pPr>
              <w:pStyle w:val="HorizontalLine"/>
              <w:rPr/>
            </w:pPr>
            <w:r>
              <w:rPr/>
            </w:r>
          </w:p>
          <w:p>
            <w:pPr>
              <w:pStyle w:val="TableContents"/>
              <w:spacing w:before="0" w:after="0"/>
              <w:jc w:val="left"/>
              <w:rPr/>
            </w:pPr>
            <w:r>
              <w:rPr>
                <w:rFonts w:ascii="arial;helvetica;sans-serif" w:hAnsi="arial;helvetica;sans-serif"/>
                <w:sz w:val="20"/>
              </w:rPr>
              <w:t>(Street)</w:t>
            </w:r>
            <w:r>
              <w:rPr/>
              <w:t xml:space="preserve"> </w:t>
            </w:r>
          </w:p>
          <w:tbl>
            <w:tblPr>
              <w:tblW w:w="5000" w:type="pct"/>
              <w:jc w:val="left"/>
              <w:tblInd w:w="0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1150"/>
              <w:gridCol w:w="1150"/>
              <w:gridCol w:w="1151"/>
            </w:tblGrid>
            <w:tr>
              <w:trPr/>
              <w:tc>
                <w:tcPr>
                  <w:tcW w:w="115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</w:pPr>
                  <w:r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  <w:t>PHOENIX</w:t>
                  </w:r>
                </w:p>
              </w:tc>
              <w:tc>
                <w:tcPr>
                  <w:tcW w:w="115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</w:pPr>
                  <w:r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  <w:t>AZ</w:t>
                  </w:r>
                </w:p>
              </w:tc>
              <w:tc>
                <w:tcPr>
                  <w:tcW w:w="115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</w:pPr>
                  <w:r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  <w:t>85004</w:t>
                  </w:r>
                </w:p>
              </w:tc>
            </w:tr>
          </w:tbl>
          <w:p>
            <w:pPr>
              <w:pStyle w:val="HorizontalLine"/>
              <w:rPr/>
            </w:pPr>
            <w:r>
              <w:rPr/>
            </w:r>
          </w:p>
          <w:tbl>
            <w:tblPr>
              <w:tblW w:w="5000" w:type="pct"/>
              <w:jc w:val="left"/>
              <w:tblInd w:w="0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1150"/>
              <w:gridCol w:w="1150"/>
              <w:gridCol w:w="1151"/>
            </w:tblGrid>
            <w:tr>
              <w:trPr/>
              <w:tc>
                <w:tcPr>
                  <w:tcW w:w="115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(City)</w:t>
                  </w:r>
                </w:p>
              </w:tc>
              <w:tc>
                <w:tcPr>
                  <w:tcW w:w="115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(State)</w:t>
                  </w:r>
                </w:p>
              </w:tc>
              <w:tc>
                <w:tcPr>
                  <w:tcW w:w="115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(Zip)</w:t>
                  </w:r>
                </w:p>
              </w:tc>
            </w:tr>
          </w:tbl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7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arial;helvetica;sans-serif" w:hAnsi="arial;helvetica;sans-serif"/>
                <w:sz w:val="20"/>
              </w:rPr>
              <w:t xml:space="preserve">2. Issuer Name </w:t>
            </w:r>
            <w:r>
              <w:rPr>
                <w:rFonts w:ascii="arial;helvetica;sans-serif" w:hAnsi="arial;helvetica;sans-serif"/>
                <w:b/>
                <w:sz w:val="20"/>
              </w:rPr>
              <w:t>and</w:t>
            </w:r>
            <w:r>
              <w:rPr>
                <w:rFonts w:ascii="arial;helvetica;sans-serif" w:hAnsi="arial;helvetica;sans-serif"/>
                <w:sz w:val="20"/>
              </w:rPr>
              <w:t xml:space="preserve"> Ticker or Trading Symbol </w:t>
            </w:r>
            <w:r>
              <w:rPr/>
              <w:br/>
            </w:r>
            <w:hyperlink r:id="rId4">
              <w:r>
                <w:rPr>
                  <w:rStyle w:val="InternetLink"/>
                </w:rPr>
                <w:t>PINNACLE WEST CAPITAL CORP</w:t>
              </w:r>
            </w:hyperlink>
            <w:r>
              <w:rPr/>
              <w:t xml:space="preserve"> [ </w:t>
            </w:r>
            <w:r>
              <w:rPr>
                <w:rFonts w:ascii="Times;serif" w:hAnsi="Times;serif"/>
                <w:color w:val="0000FF"/>
                <w:sz w:val="24"/>
                <w:highlight w:val="white"/>
              </w:rPr>
              <w:t>PNW</w:t>
            </w:r>
            <w:r>
              <w:rPr/>
              <w:t xml:space="preserve"> ] </w:t>
            </w:r>
          </w:p>
        </w:tc>
        <w:tc>
          <w:tcPr>
            <w:tcW w:w="3062" w:type="dxa"/>
            <w:vMerge w:val="restart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Contents"/>
              <w:spacing w:before="0" w:after="0"/>
              <w:jc w:val="left"/>
              <w:rPr/>
            </w:pPr>
            <w:r>
              <w:rPr>
                <w:rFonts w:ascii="arial;helvetica;sans-serif" w:hAnsi="arial;helvetica;sans-serif"/>
                <w:sz w:val="20"/>
              </w:rPr>
              <w:t xml:space="preserve">5. Relationship of Reporting Person(s) to Issuer </w:t>
            </w:r>
            <w:r>
              <w:rPr/>
              <w:br/>
            </w:r>
            <w:r>
              <w:rPr>
                <w:rFonts w:ascii="arial;helvetica;sans-serif" w:hAnsi="arial;helvetica;sans-serif"/>
                <w:sz w:val="20"/>
              </w:rPr>
              <w:t>(Check all applicable)</w:t>
            </w:r>
            <w:r>
              <w:rPr/>
              <w:t xml:space="preserve"> </w:t>
            </w:r>
          </w:p>
          <w:tbl>
            <w:tblPr>
              <w:tblW w:w="5000" w:type="pct"/>
              <w:jc w:val="left"/>
              <w:tblInd w:w="0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440"/>
              <w:gridCol w:w="1031"/>
              <w:gridCol w:w="440"/>
              <w:gridCol w:w="1031"/>
            </w:tblGrid>
            <w:tr>
              <w:trPr/>
              <w:tc>
                <w:tcPr>
                  <w:tcW w:w="44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  <w:tc>
                <w:tcPr>
                  <w:tcW w:w="103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Director</w:t>
                  </w:r>
                </w:p>
              </w:tc>
              <w:tc>
                <w:tcPr>
                  <w:tcW w:w="44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  <w:tc>
                <w:tcPr>
                  <w:tcW w:w="103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10% Owner</w:t>
                  </w:r>
                </w:p>
              </w:tc>
            </w:tr>
            <w:tr>
              <w:trPr/>
              <w:tc>
                <w:tcPr>
                  <w:tcW w:w="44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</w:pPr>
                  <w:r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  <w:t>X</w:t>
                  </w:r>
                </w:p>
              </w:tc>
              <w:tc>
                <w:tcPr>
                  <w:tcW w:w="103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Officer (give title below)</w:t>
                  </w:r>
                </w:p>
              </w:tc>
              <w:tc>
                <w:tcPr>
                  <w:tcW w:w="44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  <w:tc>
                <w:tcPr>
                  <w:tcW w:w="103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Other (specify below)</w:t>
                  </w:r>
                </w:p>
              </w:tc>
            </w:tr>
            <w:tr>
              <w:trPr/>
              <w:tc>
                <w:tcPr>
                  <w:tcW w:w="2942" w:type="dxa"/>
                  <w:gridSpan w:val="4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</w:pPr>
                  <w:r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  <w:t>EVP, Public Policy</w:t>
                  </w:r>
                </w:p>
              </w:tc>
            </w:tr>
          </w:tbl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571" w:type="dxa"/>
            <w:vMerge w:val="continue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arial;helvetica;sans-serif" w:hAnsi="arial;helvetica;sans-serif"/>
                <w:sz w:val="20"/>
              </w:rPr>
              <w:t>3. Date of Earliest Transaction (Month/Day/Year)</w:t>
            </w:r>
            <w:r>
              <w:rPr/>
              <w:br/>
            </w:r>
            <w:r>
              <w:rPr>
                <w:rFonts w:ascii="Times;serif" w:hAnsi="Times;serif"/>
                <w:color w:val="0000FF"/>
                <w:sz w:val="24"/>
                <w:highlight w:val="white"/>
              </w:rPr>
              <w:t>02/20/2019</w:t>
            </w:r>
            <w:r>
              <w:rPr/>
              <w:t xml:space="preserve"> </w:t>
            </w:r>
          </w:p>
        </w:tc>
        <w:tc>
          <w:tcPr>
            <w:tcW w:w="3062" w:type="dxa"/>
            <w:vMerge w:val="continue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571" w:type="dxa"/>
            <w:vMerge w:val="continue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7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>4. If Amendment, Date of Original Filed (Month/Day/Year)</w:t>
            </w:r>
          </w:p>
        </w:tc>
        <w:tc>
          <w:tcPr>
            <w:tcW w:w="306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</w:tcPr>
          <w:p>
            <w:pPr>
              <w:pStyle w:val="TableContents"/>
              <w:spacing w:before="0" w:after="0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 xml:space="preserve">6. Individual or Joint/Group Filing (Check Applicable Line) </w:t>
            </w:r>
          </w:p>
          <w:tbl>
            <w:tblPr>
              <w:tblW w:w="5000" w:type="pct"/>
              <w:jc w:val="left"/>
              <w:tblInd w:w="0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440"/>
              <w:gridCol w:w="2502"/>
            </w:tblGrid>
            <w:tr>
              <w:trPr/>
              <w:tc>
                <w:tcPr>
                  <w:tcW w:w="44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</w:pPr>
                  <w:r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  <w:t>X</w:t>
                  </w:r>
                </w:p>
              </w:tc>
              <w:tc>
                <w:tcPr>
                  <w:tcW w:w="2502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Form filed by One Reporting Person</w:t>
                  </w:r>
                </w:p>
              </w:tc>
            </w:tr>
            <w:tr>
              <w:trPr/>
              <w:tc>
                <w:tcPr>
                  <w:tcW w:w="44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  <w:tc>
                <w:tcPr>
                  <w:tcW w:w="2502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Form filed by More than One Reporting Person</w:t>
                  </w:r>
                </w:p>
              </w:tc>
            </w:tr>
          </w:tbl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tblW w:w="5000" w:type="pct"/>
        <w:jc w:val="left"/>
        <w:tblInd w:w="0" w:type="dxa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2434"/>
        <w:gridCol w:w="905"/>
        <w:gridCol w:w="774"/>
        <w:gridCol w:w="601"/>
        <w:gridCol w:w="351"/>
        <w:gridCol w:w="812"/>
        <w:gridCol w:w="461"/>
        <w:gridCol w:w="759"/>
        <w:gridCol w:w="1174"/>
        <w:gridCol w:w="1006"/>
        <w:gridCol w:w="928"/>
      </w:tblGrid>
      <w:tr>
        <w:trPr>
          <w:tblHeader w:val="true"/>
        </w:trPr>
        <w:tc>
          <w:tcPr>
            <w:tcW w:w="10205" w:type="dxa"/>
            <w:gridSpan w:val="11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center"/>
              <w:rPr>
                <w:rFonts w:ascii="arial;helvetica;sans-serif" w:hAnsi="arial;helvetica;sans-serif"/>
                <w:b/>
                <w:sz w:val="24"/>
              </w:rPr>
            </w:pPr>
            <w:r>
              <w:rPr>
                <w:rFonts w:ascii="arial;helvetica;sans-serif" w:hAnsi="arial;helvetica;sans-serif"/>
                <w:b/>
                <w:sz w:val="24"/>
              </w:rPr>
              <w:t>Table I - Non-Derivative Securities Acquired, Disposed of, or Beneficially Owned</w:t>
            </w:r>
          </w:p>
        </w:tc>
      </w:tr>
      <w:tr>
        <w:trPr>
          <w:tblHeader w:val="true"/>
        </w:trPr>
        <w:tc>
          <w:tcPr>
            <w:tcW w:w="2434" w:type="dxa"/>
            <w:vMerge w:val="restart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 xml:space="preserve">1. Title of Security (Instr. 3) </w:t>
            </w:r>
          </w:p>
        </w:tc>
        <w:tc>
          <w:tcPr>
            <w:tcW w:w="905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2. Transaction Date (Month/Day/Year)</w:t>
            </w:r>
          </w:p>
        </w:tc>
        <w:tc>
          <w:tcPr>
            <w:tcW w:w="774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2A. Deemed Execution Date, if any (Month/Day/Year)</w:t>
            </w:r>
          </w:p>
        </w:tc>
        <w:tc>
          <w:tcPr>
            <w:tcW w:w="952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3. Transaction Code (Instr. 8) </w:t>
            </w:r>
          </w:p>
        </w:tc>
        <w:tc>
          <w:tcPr>
            <w:tcW w:w="2032" w:type="dxa"/>
            <w:gridSpan w:val="3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4. Securities Acquired (A) or Disposed Of (D) (Instr. 3, 4 and 5) </w:t>
            </w:r>
          </w:p>
        </w:tc>
        <w:tc>
          <w:tcPr>
            <w:tcW w:w="1174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5. Amount of Securities Beneficially Owned Following Reported Transaction(s) (Instr. 3 and 4) </w:t>
            </w:r>
          </w:p>
        </w:tc>
        <w:tc>
          <w:tcPr>
            <w:tcW w:w="1006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6. Ownership Form: Direct (D) or Indirect (I) (Instr. 4) </w:t>
            </w:r>
          </w:p>
        </w:tc>
        <w:tc>
          <w:tcPr>
            <w:tcW w:w="928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7. Nature of Indirect Beneficial Ownership (Instr. 4) </w:t>
            </w:r>
          </w:p>
        </w:tc>
      </w:tr>
      <w:tr>
        <w:trPr>
          <w:tblHeader w:val="true"/>
        </w:trPr>
        <w:tc>
          <w:tcPr>
            <w:tcW w:w="2434" w:type="dxa"/>
            <w:vMerge w:val="continue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5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74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Code</w:t>
            </w:r>
          </w:p>
        </w:tc>
        <w:tc>
          <w:tcPr>
            <w:tcW w:w="3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V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Amount</w:t>
            </w:r>
          </w:p>
        </w:tc>
        <w:tc>
          <w:tcPr>
            <w:tcW w:w="4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(A) or (D)</w:t>
            </w:r>
          </w:p>
        </w:tc>
        <w:tc>
          <w:tcPr>
            <w:tcW w:w="75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Price</w:t>
            </w:r>
          </w:p>
        </w:tc>
        <w:tc>
          <w:tcPr>
            <w:tcW w:w="1174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6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8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434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Common Stock</w:t>
            </w:r>
          </w:p>
        </w:tc>
        <w:tc>
          <w:tcPr>
            <w:tcW w:w="90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02/20/2019</w:t>
            </w:r>
          </w:p>
        </w:tc>
        <w:tc>
          <w:tcPr>
            <w:tcW w:w="7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0"/>
                <w:highlight w:val="white"/>
              </w:rPr>
            </w:pPr>
            <w:r>
              <w:rPr>
                <w:rFonts w:ascii="Times;serif" w:hAnsi="Times;serif"/>
                <w:color w:val="0000FF"/>
                <w:sz w:val="20"/>
                <w:highlight w:val="white"/>
              </w:rPr>
              <w:t>M</w:t>
            </w:r>
          </w:p>
        </w:tc>
        <w:tc>
          <w:tcPr>
            <w:tcW w:w="3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303</w:t>
            </w:r>
            <w:r>
              <w:rPr>
                <w:rFonts w:ascii="Times;serif" w:hAnsi="Times;serif"/>
                <w:color w:val="008000"/>
                <w:position w:val="7"/>
                <w:sz w:val="16"/>
                <w:sz w:val="20"/>
                <w:highlight w:val="white"/>
              </w:rPr>
              <w:t>(1)</w:t>
            </w:r>
            <w:r>
              <w:rPr/>
              <w:t xml:space="preserve"> </w:t>
            </w:r>
          </w:p>
        </w:tc>
        <w:tc>
          <w:tcPr>
            <w:tcW w:w="4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A</w:t>
            </w:r>
          </w:p>
        </w:tc>
        <w:tc>
          <w:tcPr>
            <w:tcW w:w="75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arial;helvetica;sans-serif" w:hAnsi="arial;helvetica;sans-serif"/>
                <w:b w:val="false"/>
                <w:sz w:val="24"/>
              </w:rPr>
              <w:t>$</w:t>
            </w:r>
            <w:r>
              <w:rPr>
                <w:rFonts w:ascii="Times;serif" w:hAnsi="Times;serif"/>
                <w:color w:val="0000FF"/>
                <w:sz w:val="24"/>
                <w:highlight w:val="white"/>
              </w:rPr>
              <w:t>0.00</w:t>
            </w:r>
            <w:r>
              <w:rPr>
                <w:rFonts w:ascii="Times;serif" w:hAnsi="Times;serif"/>
                <w:color w:val="008000"/>
                <w:position w:val="7"/>
                <w:sz w:val="16"/>
                <w:sz w:val="20"/>
                <w:highlight w:val="white"/>
              </w:rPr>
              <w:t>(1)</w:t>
            </w:r>
            <w:r>
              <w:rPr/>
              <w:t xml:space="preserve"> </w:t>
            </w:r>
          </w:p>
        </w:tc>
        <w:tc>
          <w:tcPr>
            <w:tcW w:w="11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20,739</w:t>
            </w:r>
          </w:p>
        </w:tc>
        <w:tc>
          <w:tcPr>
            <w:tcW w:w="100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D</w:t>
            </w:r>
          </w:p>
        </w:tc>
        <w:tc>
          <w:tcPr>
            <w:tcW w:w="92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434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Common Stock</w:t>
            </w:r>
          </w:p>
        </w:tc>
        <w:tc>
          <w:tcPr>
            <w:tcW w:w="90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02/20/2019</w:t>
            </w:r>
          </w:p>
        </w:tc>
        <w:tc>
          <w:tcPr>
            <w:tcW w:w="7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0"/>
                <w:highlight w:val="white"/>
              </w:rPr>
            </w:pPr>
            <w:r>
              <w:rPr>
                <w:rFonts w:ascii="Times;serif" w:hAnsi="Times;serif"/>
                <w:color w:val="0000FF"/>
                <w:sz w:val="20"/>
                <w:highlight w:val="white"/>
              </w:rPr>
              <w:t>D</w:t>
            </w:r>
          </w:p>
        </w:tc>
        <w:tc>
          <w:tcPr>
            <w:tcW w:w="3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303</w:t>
            </w:r>
          </w:p>
        </w:tc>
        <w:tc>
          <w:tcPr>
            <w:tcW w:w="4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D</w:t>
            </w:r>
          </w:p>
        </w:tc>
        <w:tc>
          <w:tcPr>
            <w:tcW w:w="75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arial;helvetica;sans-serif" w:hAnsi="arial;helvetica;sans-serif"/>
                <w:b w:val="false"/>
                <w:sz w:val="24"/>
              </w:rPr>
              <w:t>$</w:t>
            </w:r>
            <w:r>
              <w:rPr>
                <w:rFonts w:ascii="Times;serif" w:hAnsi="Times;serif"/>
                <w:color w:val="0000FF"/>
                <w:sz w:val="24"/>
                <w:highlight w:val="white"/>
              </w:rPr>
              <w:t>90.93</w:t>
            </w:r>
            <w:r>
              <w:rPr/>
              <w:t xml:space="preserve"> </w:t>
            </w:r>
          </w:p>
        </w:tc>
        <w:tc>
          <w:tcPr>
            <w:tcW w:w="11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20,436</w:t>
            </w:r>
          </w:p>
        </w:tc>
        <w:tc>
          <w:tcPr>
            <w:tcW w:w="100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D</w:t>
            </w:r>
          </w:p>
        </w:tc>
        <w:tc>
          <w:tcPr>
            <w:tcW w:w="92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434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Common Stock</w:t>
            </w:r>
          </w:p>
        </w:tc>
        <w:tc>
          <w:tcPr>
            <w:tcW w:w="90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02/20/2019</w:t>
            </w:r>
          </w:p>
        </w:tc>
        <w:tc>
          <w:tcPr>
            <w:tcW w:w="7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0"/>
                <w:highlight w:val="white"/>
              </w:rPr>
            </w:pPr>
            <w:r>
              <w:rPr>
                <w:rFonts w:ascii="Times;serif" w:hAnsi="Times;serif"/>
                <w:color w:val="0000FF"/>
                <w:sz w:val="20"/>
                <w:highlight w:val="white"/>
              </w:rPr>
              <w:t>M</w:t>
            </w:r>
          </w:p>
        </w:tc>
        <w:tc>
          <w:tcPr>
            <w:tcW w:w="3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303</w:t>
            </w:r>
            <w:r>
              <w:rPr>
                <w:rFonts w:ascii="Times;serif" w:hAnsi="Times;serif"/>
                <w:color w:val="008000"/>
                <w:position w:val="7"/>
                <w:sz w:val="16"/>
                <w:sz w:val="20"/>
                <w:highlight w:val="white"/>
              </w:rPr>
              <w:t>(1)</w:t>
            </w:r>
            <w:r>
              <w:rPr/>
              <w:t xml:space="preserve"> </w:t>
            </w:r>
          </w:p>
        </w:tc>
        <w:tc>
          <w:tcPr>
            <w:tcW w:w="4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A</w:t>
            </w:r>
          </w:p>
        </w:tc>
        <w:tc>
          <w:tcPr>
            <w:tcW w:w="75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arial;helvetica;sans-serif" w:hAnsi="arial;helvetica;sans-serif"/>
                <w:b w:val="false"/>
                <w:sz w:val="24"/>
              </w:rPr>
              <w:t>$</w:t>
            </w:r>
            <w:r>
              <w:rPr>
                <w:rFonts w:ascii="Times;serif" w:hAnsi="Times;serif"/>
                <w:color w:val="0000FF"/>
                <w:sz w:val="24"/>
                <w:highlight w:val="white"/>
              </w:rPr>
              <w:t>0.00</w:t>
            </w:r>
            <w:r>
              <w:rPr>
                <w:rFonts w:ascii="Times;serif" w:hAnsi="Times;serif"/>
                <w:color w:val="008000"/>
                <w:position w:val="7"/>
                <w:sz w:val="16"/>
                <w:sz w:val="20"/>
                <w:highlight w:val="white"/>
              </w:rPr>
              <w:t>(1)</w:t>
            </w:r>
            <w:r>
              <w:rPr/>
              <w:t xml:space="preserve"> </w:t>
            </w:r>
          </w:p>
        </w:tc>
        <w:tc>
          <w:tcPr>
            <w:tcW w:w="11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20,739</w:t>
            </w:r>
          </w:p>
        </w:tc>
        <w:tc>
          <w:tcPr>
            <w:tcW w:w="100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D</w:t>
            </w:r>
          </w:p>
        </w:tc>
        <w:tc>
          <w:tcPr>
            <w:tcW w:w="92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434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Common Stock</w:t>
            </w:r>
          </w:p>
        </w:tc>
        <w:tc>
          <w:tcPr>
            <w:tcW w:w="90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02/20/2019</w:t>
            </w:r>
          </w:p>
        </w:tc>
        <w:tc>
          <w:tcPr>
            <w:tcW w:w="7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;serif" w:hAnsi="Times;serif"/>
                <w:color w:val="0000FF"/>
                <w:sz w:val="20"/>
                <w:highlight w:val="white"/>
              </w:rPr>
              <w:t>F</w:t>
            </w:r>
            <w:r>
              <w:rPr>
                <w:rFonts w:ascii="Times;serif" w:hAnsi="Times;serif"/>
                <w:color w:val="008000"/>
                <w:position w:val="7"/>
                <w:sz w:val="16"/>
                <w:sz w:val="20"/>
                <w:highlight w:val="white"/>
              </w:rPr>
              <w:t>(2)</w:t>
            </w:r>
            <w:r>
              <w:rPr/>
              <w:t xml:space="preserve"> </w:t>
            </w:r>
          </w:p>
        </w:tc>
        <w:tc>
          <w:tcPr>
            <w:tcW w:w="3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135</w:t>
            </w:r>
          </w:p>
        </w:tc>
        <w:tc>
          <w:tcPr>
            <w:tcW w:w="4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D</w:t>
            </w:r>
          </w:p>
        </w:tc>
        <w:tc>
          <w:tcPr>
            <w:tcW w:w="75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arial;helvetica;sans-serif" w:hAnsi="arial;helvetica;sans-serif"/>
                <w:b w:val="false"/>
                <w:sz w:val="24"/>
              </w:rPr>
              <w:t>$</w:t>
            </w:r>
            <w:r>
              <w:rPr>
                <w:rFonts w:ascii="Times;serif" w:hAnsi="Times;serif"/>
                <w:color w:val="0000FF"/>
                <w:sz w:val="24"/>
                <w:highlight w:val="white"/>
              </w:rPr>
              <w:t>90.93</w:t>
            </w:r>
            <w:r>
              <w:rPr/>
              <w:t xml:space="preserve"> </w:t>
            </w:r>
          </w:p>
        </w:tc>
        <w:tc>
          <w:tcPr>
            <w:tcW w:w="11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20,604</w:t>
            </w:r>
          </w:p>
        </w:tc>
        <w:tc>
          <w:tcPr>
            <w:tcW w:w="100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D</w:t>
            </w:r>
          </w:p>
        </w:tc>
        <w:tc>
          <w:tcPr>
            <w:tcW w:w="92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434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Common Stock</w:t>
            </w:r>
          </w:p>
        </w:tc>
        <w:tc>
          <w:tcPr>
            <w:tcW w:w="90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02/20/2019</w:t>
            </w:r>
          </w:p>
        </w:tc>
        <w:tc>
          <w:tcPr>
            <w:tcW w:w="7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0"/>
                <w:highlight w:val="white"/>
              </w:rPr>
            </w:pPr>
            <w:r>
              <w:rPr>
                <w:rFonts w:ascii="Times;serif" w:hAnsi="Times;serif"/>
                <w:color w:val="0000FF"/>
                <w:sz w:val="20"/>
                <w:highlight w:val="white"/>
              </w:rPr>
              <w:t>M</w:t>
            </w:r>
          </w:p>
        </w:tc>
        <w:tc>
          <w:tcPr>
            <w:tcW w:w="3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298</w:t>
            </w:r>
            <w:r>
              <w:rPr>
                <w:rFonts w:ascii="Times;serif" w:hAnsi="Times;serif"/>
                <w:color w:val="008000"/>
                <w:position w:val="7"/>
                <w:sz w:val="16"/>
                <w:sz w:val="20"/>
                <w:highlight w:val="white"/>
              </w:rPr>
              <w:t>(1)</w:t>
            </w:r>
            <w:r>
              <w:rPr/>
              <w:t xml:space="preserve"> </w:t>
            </w:r>
          </w:p>
        </w:tc>
        <w:tc>
          <w:tcPr>
            <w:tcW w:w="4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A</w:t>
            </w:r>
          </w:p>
        </w:tc>
        <w:tc>
          <w:tcPr>
            <w:tcW w:w="75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arial;helvetica;sans-serif" w:hAnsi="arial;helvetica;sans-serif"/>
                <w:b w:val="false"/>
                <w:sz w:val="24"/>
              </w:rPr>
              <w:t>$</w:t>
            </w:r>
            <w:r>
              <w:rPr>
                <w:rFonts w:ascii="Times;serif" w:hAnsi="Times;serif"/>
                <w:color w:val="0000FF"/>
                <w:sz w:val="24"/>
                <w:highlight w:val="white"/>
              </w:rPr>
              <w:t>0.00</w:t>
            </w:r>
            <w:r>
              <w:rPr>
                <w:rFonts w:ascii="Times;serif" w:hAnsi="Times;serif"/>
                <w:color w:val="008000"/>
                <w:position w:val="7"/>
                <w:sz w:val="16"/>
                <w:sz w:val="20"/>
                <w:highlight w:val="white"/>
              </w:rPr>
              <w:t>(1)</w:t>
            </w:r>
            <w:r>
              <w:rPr/>
              <w:t xml:space="preserve"> </w:t>
            </w:r>
          </w:p>
        </w:tc>
        <w:tc>
          <w:tcPr>
            <w:tcW w:w="11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20,902</w:t>
            </w:r>
          </w:p>
        </w:tc>
        <w:tc>
          <w:tcPr>
            <w:tcW w:w="100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D</w:t>
            </w:r>
          </w:p>
        </w:tc>
        <w:tc>
          <w:tcPr>
            <w:tcW w:w="92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434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Common Stock</w:t>
            </w:r>
          </w:p>
        </w:tc>
        <w:tc>
          <w:tcPr>
            <w:tcW w:w="90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02/20/2019</w:t>
            </w:r>
          </w:p>
        </w:tc>
        <w:tc>
          <w:tcPr>
            <w:tcW w:w="7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0"/>
                <w:highlight w:val="white"/>
              </w:rPr>
            </w:pPr>
            <w:r>
              <w:rPr>
                <w:rFonts w:ascii="Times;serif" w:hAnsi="Times;serif"/>
                <w:color w:val="0000FF"/>
                <w:sz w:val="20"/>
                <w:highlight w:val="white"/>
              </w:rPr>
              <w:t>D</w:t>
            </w:r>
          </w:p>
        </w:tc>
        <w:tc>
          <w:tcPr>
            <w:tcW w:w="3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298</w:t>
            </w:r>
          </w:p>
        </w:tc>
        <w:tc>
          <w:tcPr>
            <w:tcW w:w="4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D</w:t>
            </w:r>
          </w:p>
        </w:tc>
        <w:tc>
          <w:tcPr>
            <w:tcW w:w="75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arial;helvetica;sans-serif" w:hAnsi="arial;helvetica;sans-serif"/>
                <w:b w:val="false"/>
                <w:sz w:val="24"/>
              </w:rPr>
              <w:t>$</w:t>
            </w:r>
            <w:r>
              <w:rPr>
                <w:rFonts w:ascii="Times;serif" w:hAnsi="Times;serif"/>
                <w:color w:val="0000FF"/>
                <w:sz w:val="24"/>
                <w:highlight w:val="white"/>
              </w:rPr>
              <w:t>90.93</w:t>
            </w:r>
            <w:r>
              <w:rPr/>
              <w:t xml:space="preserve"> </w:t>
            </w:r>
          </w:p>
        </w:tc>
        <w:tc>
          <w:tcPr>
            <w:tcW w:w="11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20,604</w:t>
            </w:r>
          </w:p>
        </w:tc>
        <w:tc>
          <w:tcPr>
            <w:tcW w:w="100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D</w:t>
            </w:r>
          </w:p>
        </w:tc>
        <w:tc>
          <w:tcPr>
            <w:tcW w:w="92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434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Common Stock</w:t>
            </w:r>
          </w:p>
        </w:tc>
        <w:tc>
          <w:tcPr>
            <w:tcW w:w="90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02/20/2019</w:t>
            </w:r>
          </w:p>
        </w:tc>
        <w:tc>
          <w:tcPr>
            <w:tcW w:w="7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0"/>
                <w:highlight w:val="white"/>
              </w:rPr>
            </w:pPr>
            <w:r>
              <w:rPr>
                <w:rFonts w:ascii="Times;serif" w:hAnsi="Times;serif"/>
                <w:color w:val="0000FF"/>
                <w:sz w:val="20"/>
                <w:highlight w:val="white"/>
              </w:rPr>
              <w:t>M</w:t>
            </w:r>
          </w:p>
        </w:tc>
        <w:tc>
          <w:tcPr>
            <w:tcW w:w="3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297</w:t>
            </w:r>
            <w:r>
              <w:rPr>
                <w:rFonts w:ascii="Times;serif" w:hAnsi="Times;serif"/>
                <w:color w:val="008000"/>
                <w:position w:val="7"/>
                <w:sz w:val="16"/>
                <w:sz w:val="20"/>
                <w:highlight w:val="white"/>
              </w:rPr>
              <w:t>(1)</w:t>
            </w:r>
            <w:r>
              <w:rPr/>
              <w:t xml:space="preserve"> </w:t>
            </w:r>
          </w:p>
        </w:tc>
        <w:tc>
          <w:tcPr>
            <w:tcW w:w="4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A</w:t>
            </w:r>
          </w:p>
        </w:tc>
        <w:tc>
          <w:tcPr>
            <w:tcW w:w="75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arial;helvetica;sans-serif" w:hAnsi="arial;helvetica;sans-serif"/>
                <w:b w:val="false"/>
                <w:sz w:val="24"/>
              </w:rPr>
              <w:t>$</w:t>
            </w:r>
            <w:r>
              <w:rPr>
                <w:rFonts w:ascii="Times;serif" w:hAnsi="Times;serif"/>
                <w:color w:val="0000FF"/>
                <w:sz w:val="24"/>
                <w:highlight w:val="white"/>
              </w:rPr>
              <w:t>0.00</w:t>
            </w:r>
            <w:r>
              <w:rPr>
                <w:rFonts w:ascii="Times;serif" w:hAnsi="Times;serif"/>
                <w:color w:val="008000"/>
                <w:position w:val="7"/>
                <w:sz w:val="16"/>
                <w:sz w:val="20"/>
                <w:highlight w:val="white"/>
              </w:rPr>
              <w:t>(1)</w:t>
            </w:r>
            <w:r>
              <w:rPr/>
              <w:t xml:space="preserve"> </w:t>
            </w:r>
          </w:p>
        </w:tc>
        <w:tc>
          <w:tcPr>
            <w:tcW w:w="11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20,901</w:t>
            </w:r>
          </w:p>
        </w:tc>
        <w:tc>
          <w:tcPr>
            <w:tcW w:w="100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D</w:t>
            </w:r>
          </w:p>
        </w:tc>
        <w:tc>
          <w:tcPr>
            <w:tcW w:w="92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434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Common Stock</w:t>
            </w:r>
          </w:p>
        </w:tc>
        <w:tc>
          <w:tcPr>
            <w:tcW w:w="90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02/20/2019</w:t>
            </w:r>
          </w:p>
        </w:tc>
        <w:tc>
          <w:tcPr>
            <w:tcW w:w="7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;serif" w:hAnsi="Times;serif"/>
                <w:color w:val="0000FF"/>
                <w:sz w:val="20"/>
                <w:highlight w:val="white"/>
              </w:rPr>
              <w:t>F</w:t>
            </w:r>
            <w:r>
              <w:rPr>
                <w:rFonts w:ascii="Times;serif" w:hAnsi="Times;serif"/>
                <w:color w:val="008000"/>
                <w:position w:val="7"/>
                <w:sz w:val="16"/>
                <w:sz w:val="20"/>
                <w:highlight w:val="white"/>
              </w:rPr>
              <w:t>(2)</w:t>
            </w:r>
            <w:r>
              <w:rPr/>
              <w:t xml:space="preserve"> </w:t>
            </w:r>
          </w:p>
        </w:tc>
        <w:tc>
          <w:tcPr>
            <w:tcW w:w="3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133</w:t>
            </w:r>
          </w:p>
        </w:tc>
        <w:tc>
          <w:tcPr>
            <w:tcW w:w="4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D</w:t>
            </w:r>
          </w:p>
        </w:tc>
        <w:tc>
          <w:tcPr>
            <w:tcW w:w="75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arial;helvetica;sans-serif" w:hAnsi="arial;helvetica;sans-serif"/>
                <w:b w:val="false"/>
                <w:sz w:val="24"/>
              </w:rPr>
              <w:t>$</w:t>
            </w:r>
            <w:r>
              <w:rPr>
                <w:rFonts w:ascii="Times;serif" w:hAnsi="Times;serif"/>
                <w:color w:val="0000FF"/>
                <w:sz w:val="24"/>
                <w:highlight w:val="white"/>
              </w:rPr>
              <w:t>90.93</w:t>
            </w:r>
            <w:r>
              <w:rPr/>
              <w:t xml:space="preserve"> </w:t>
            </w:r>
          </w:p>
        </w:tc>
        <w:tc>
          <w:tcPr>
            <w:tcW w:w="11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20,768</w:t>
            </w:r>
          </w:p>
        </w:tc>
        <w:tc>
          <w:tcPr>
            <w:tcW w:w="100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D</w:t>
            </w:r>
          </w:p>
        </w:tc>
        <w:tc>
          <w:tcPr>
            <w:tcW w:w="92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434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Common Stock</w:t>
            </w:r>
          </w:p>
        </w:tc>
        <w:tc>
          <w:tcPr>
            <w:tcW w:w="90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02/20/2019</w:t>
            </w:r>
          </w:p>
        </w:tc>
        <w:tc>
          <w:tcPr>
            <w:tcW w:w="7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0"/>
                <w:highlight w:val="white"/>
              </w:rPr>
            </w:pPr>
            <w:r>
              <w:rPr>
                <w:rFonts w:ascii="Times;serif" w:hAnsi="Times;serif"/>
                <w:color w:val="0000FF"/>
                <w:sz w:val="20"/>
                <w:highlight w:val="white"/>
              </w:rPr>
              <w:t>M</w:t>
            </w:r>
          </w:p>
        </w:tc>
        <w:tc>
          <w:tcPr>
            <w:tcW w:w="3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627</w:t>
            </w:r>
            <w:r>
              <w:rPr>
                <w:rFonts w:ascii="Times;serif" w:hAnsi="Times;serif"/>
                <w:color w:val="008000"/>
                <w:position w:val="7"/>
                <w:sz w:val="16"/>
                <w:sz w:val="20"/>
                <w:highlight w:val="white"/>
              </w:rPr>
              <w:t>(3)</w:t>
            </w:r>
            <w:r>
              <w:rPr/>
              <w:t xml:space="preserve"> </w:t>
            </w:r>
          </w:p>
        </w:tc>
        <w:tc>
          <w:tcPr>
            <w:tcW w:w="4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A</w:t>
            </w:r>
          </w:p>
        </w:tc>
        <w:tc>
          <w:tcPr>
            <w:tcW w:w="75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arial;helvetica;sans-serif" w:hAnsi="arial;helvetica;sans-serif"/>
                <w:b w:val="false"/>
                <w:sz w:val="24"/>
              </w:rPr>
              <w:t>$</w:t>
            </w:r>
            <w:r>
              <w:rPr>
                <w:rFonts w:ascii="Times;serif" w:hAnsi="Times;serif"/>
                <w:color w:val="0000FF"/>
                <w:sz w:val="24"/>
                <w:highlight w:val="white"/>
              </w:rPr>
              <w:t>0.00</w:t>
            </w:r>
            <w:r>
              <w:rPr>
                <w:rFonts w:ascii="Times;serif" w:hAnsi="Times;serif"/>
                <w:color w:val="008000"/>
                <w:position w:val="7"/>
                <w:sz w:val="16"/>
                <w:sz w:val="20"/>
                <w:highlight w:val="white"/>
              </w:rPr>
              <w:t>(3)</w:t>
            </w:r>
            <w:r>
              <w:rPr/>
              <w:t xml:space="preserve"> </w:t>
            </w:r>
          </w:p>
        </w:tc>
        <w:tc>
          <w:tcPr>
            <w:tcW w:w="11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21,395</w:t>
            </w:r>
          </w:p>
        </w:tc>
        <w:tc>
          <w:tcPr>
            <w:tcW w:w="100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D</w:t>
            </w:r>
          </w:p>
        </w:tc>
        <w:tc>
          <w:tcPr>
            <w:tcW w:w="92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434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Common Stock</w:t>
            </w:r>
          </w:p>
        </w:tc>
        <w:tc>
          <w:tcPr>
            <w:tcW w:w="90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02/20/2019</w:t>
            </w:r>
          </w:p>
        </w:tc>
        <w:tc>
          <w:tcPr>
            <w:tcW w:w="7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0"/>
                <w:highlight w:val="white"/>
              </w:rPr>
            </w:pPr>
            <w:r>
              <w:rPr>
                <w:rFonts w:ascii="Times;serif" w:hAnsi="Times;serif"/>
                <w:color w:val="0000FF"/>
                <w:sz w:val="20"/>
                <w:highlight w:val="white"/>
              </w:rPr>
              <w:t>D</w:t>
            </w:r>
          </w:p>
        </w:tc>
        <w:tc>
          <w:tcPr>
            <w:tcW w:w="3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627</w:t>
            </w:r>
          </w:p>
        </w:tc>
        <w:tc>
          <w:tcPr>
            <w:tcW w:w="4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D</w:t>
            </w:r>
          </w:p>
        </w:tc>
        <w:tc>
          <w:tcPr>
            <w:tcW w:w="75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arial;helvetica;sans-serif" w:hAnsi="arial;helvetica;sans-serif"/>
                <w:b w:val="false"/>
                <w:sz w:val="24"/>
              </w:rPr>
              <w:t>$</w:t>
            </w:r>
            <w:r>
              <w:rPr>
                <w:rFonts w:ascii="Times;serif" w:hAnsi="Times;serif"/>
                <w:color w:val="0000FF"/>
                <w:sz w:val="24"/>
                <w:highlight w:val="white"/>
              </w:rPr>
              <w:t>90.93</w:t>
            </w:r>
            <w:r>
              <w:rPr/>
              <w:t xml:space="preserve"> </w:t>
            </w:r>
          </w:p>
        </w:tc>
        <w:tc>
          <w:tcPr>
            <w:tcW w:w="11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20,768</w:t>
            </w:r>
          </w:p>
        </w:tc>
        <w:tc>
          <w:tcPr>
            <w:tcW w:w="100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D</w:t>
            </w:r>
          </w:p>
        </w:tc>
        <w:tc>
          <w:tcPr>
            <w:tcW w:w="92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434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Common Stock</w:t>
            </w:r>
          </w:p>
        </w:tc>
        <w:tc>
          <w:tcPr>
            <w:tcW w:w="90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02/20/2019</w:t>
            </w:r>
          </w:p>
        </w:tc>
        <w:tc>
          <w:tcPr>
            <w:tcW w:w="7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0"/>
                <w:highlight w:val="white"/>
              </w:rPr>
            </w:pPr>
            <w:r>
              <w:rPr>
                <w:rFonts w:ascii="Times;serif" w:hAnsi="Times;serif"/>
                <w:color w:val="0000FF"/>
                <w:sz w:val="20"/>
                <w:highlight w:val="white"/>
              </w:rPr>
              <w:t>M</w:t>
            </w:r>
          </w:p>
        </w:tc>
        <w:tc>
          <w:tcPr>
            <w:tcW w:w="3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681</w:t>
            </w:r>
            <w:r>
              <w:rPr>
                <w:rFonts w:ascii="Times;serif" w:hAnsi="Times;serif"/>
                <w:color w:val="008000"/>
                <w:position w:val="7"/>
                <w:sz w:val="16"/>
                <w:sz w:val="20"/>
                <w:highlight w:val="white"/>
              </w:rPr>
              <w:t>(3)</w:t>
            </w:r>
            <w:r>
              <w:rPr/>
              <w:t xml:space="preserve"> </w:t>
            </w:r>
          </w:p>
        </w:tc>
        <w:tc>
          <w:tcPr>
            <w:tcW w:w="4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A</w:t>
            </w:r>
          </w:p>
        </w:tc>
        <w:tc>
          <w:tcPr>
            <w:tcW w:w="75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arial;helvetica;sans-serif" w:hAnsi="arial;helvetica;sans-serif"/>
                <w:b w:val="false"/>
                <w:sz w:val="24"/>
              </w:rPr>
              <w:t>$</w:t>
            </w:r>
            <w:r>
              <w:rPr>
                <w:rFonts w:ascii="Times;serif" w:hAnsi="Times;serif"/>
                <w:color w:val="0000FF"/>
                <w:sz w:val="24"/>
                <w:highlight w:val="white"/>
              </w:rPr>
              <w:t>0.00</w:t>
            </w:r>
            <w:r>
              <w:rPr>
                <w:rFonts w:ascii="Times;serif" w:hAnsi="Times;serif"/>
                <w:color w:val="008000"/>
                <w:position w:val="7"/>
                <w:sz w:val="16"/>
                <w:sz w:val="20"/>
                <w:highlight w:val="white"/>
              </w:rPr>
              <w:t>(3)</w:t>
            </w:r>
            <w:r>
              <w:rPr/>
              <w:t xml:space="preserve"> </w:t>
            </w:r>
          </w:p>
        </w:tc>
        <w:tc>
          <w:tcPr>
            <w:tcW w:w="11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21,449</w:t>
            </w:r>
          </w:p>
        </w:tc>
        <w:tc>
          <w:tcPr>
            <w:tcW w:w="100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D</w:t>
            </w:r>
          </w:p>
        </w:tc>
        <w:tc>
          <w:tcPr>
            <w:tcW w:w="92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434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Common Stock</w:t>
            </w:r>
          </w:p>
        </w:tc>
        <w:tc>
          <w:tcPr>
            <w:tcW w:w="90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02/20/2019</w:t>
            </w:r>
          </w:p>
        </w:tc>
        <w:tc>
          <w:tcPr>
            <w:tcW w:w="7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0"/>
                <w:highlight w:val="white"/>
              </w:rPr>
            </w:pPr>
            <w:r>
              <w:rPr>
                <w:rFonts w:ascii="Times;serif" w:hAnsi="Times;serif"/>
                <w:color w:val="0000FF"/>
                <w:sz w:val="20"/>
                <w:highlight w:val="white"/>
              </w:rPr>
              <w:t>D</w:t>
            </w:r>
          </w:p>
        </w:tc>
        <w:tc>
          <w:tcPr>
            <w:tcW w:w="3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681</w:t>
            </w:r>
          </w:p>
        </w:tc>
        <w:tc>
          <w:tcPr>
            <w:tcW w:w="4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D</w:t>
            </w:r>
          </w:p>
        </w:tc>
        <w:tc>
          <w:tcPr>
            <w:tcW w:w="75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arial;helvetica;sans-serif" w:hAnsi="arial;helvetica;sans-serif"/>
                <w:b w:val="false"/>
                <w:sz w:val="24"/>
              </w:rPr>
              <w:t>$</w:t>
            </w:r>
            <w:r>
              <w:rPr>
                <w:rFonts w:ascii="Times;serif" w:hAnsi="Times;serif"/>
                <w:color w:val="0000FF"/>
                <w:sz w:val="24"/>
                <w:highlight w:val="white"/>
              </w:rPr>
              <w:t>90.93</w:t>
            </w:r>
            <w:r>
              <w:rPr/>
              <w:t xml:space="preserve"> </w:t>
            </w:r>
          </w:p>
        </w:tc>
        <w:tc>
          <w:tcPr>
            <w:tcW w:w="11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20,768</w:t>
            </w:r>
          </w:p>
        </w:tc>
        <w:tc>
          <w:tcPr>
            <w:tcW w:w="100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D</w:t>
            </w:r>
          </w:p>
        </w:tc>
        <w:tc>
          <w:tcPr>
            <w:tcW w:w="92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434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Common Stock</w:t>
            </w:r>
          </w:p>
        </w:tc>
        <w:tc>
          <w:tcPr>
            <w:tcW w:w="90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02/20/2019</w:t>
            </w:r>
          </w:p>
        </w:tc>
        <w:tc>
          <w:tcPr>
            <w:tcW w:w="7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0"/>
                <w:highlight w:val="white"/>
              </w:rPr>
            </w:pPr>
            <w:r>
              <w:rPr>
                <w:rFonts w:ascii="Times;serif" w:hAnsi="Times;serif"/>
                <w:color w:val="0000FF"/>
                <w:sz w:val="20"/>
                <w:highlight w:val="white"/>
              </w:rPr>
              <w:t>A</w:t>
            </w:r>
          </w:p>
        </w:tc>
        <w:tc>
          <w:tcPr>
            <w:tcW w:w="3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67</w:t>
            </w:r>
            <w:r>
              <w:rPr>
                <w:rFonts w:ascii="Times;serif" w:hAnsi="Times;serif"/>
                <w:color w:val="008000"/>
                <w:position w:val="7"/>
                <w:sz w:val="16"/>
                <w:sz w:val="20"/>
                <w:highlight w:val="white"/>
              </w:rPr>
              <w:t>(4)</w:t>
            </w:r>
            <w:r>
              <w:rPr/>
              <w:t xml:space="preserve"> </w:t>
            </w:r>
          </w:p>
        </w:tc>
        <w:tc>
          <w:tcPr>
            <w:tcW w:w="4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A</w:t>
            </w:r>
          </w:p>
        </w:tc>
        <w:tc>
          <w:tcPr>
            <w:tcW w:w="75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arial;helvetica;sans-serif" w:hAnsi="arial;helvetica;sans-serif"/>
                <w:b w:val="false"/>
                <w:sz w:val="24"/>
              </w:rPr>
              <w:t>$</w:t>
            </w:r>
            <w:r>
              <w:rPr>
                <w:rFonts w:ascii="Times;serif" w:hAnsi="Times;serif"/>
                <w:color w:val="0000FF"/>
                <w:sz w:val="24"/>
                <w:highlight w:val="white"/>
              </w:rPr>
              <w:t>0.00</w:t>
            </w:r>
            <w:r>
              <w:rPr>
                <w:rFonts w:ascii="Times;serif" w:hAnsi="Times;serif"/>
                <w:color w:val="008000"/>
                <w:position w:val="7"/>
                <w:sz w:val="16"/>
                <w:sz w:val="20"/>
                <w:highlight w:val="white"/>
              </w:rPr>
              <w:t>(4)</w:t>
            </w:r>
            <w:r>
              <w:rPr/>
              <w:t xml:space="preserve"> </w:t>
            </w:r>
          </w:p>
        </w:tc>
        <w:tc>
          <w:tcPr>
            <w:tcW w:w="11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20,835</w:t>
            </w:r>
          </w:p>
        </w:tc>
        <w:tc>
          <w:tcPr>
            <w:tcW w:w="100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D</w:t>
            </w:r>
          </w:p>
        </w:tc>
        <w:tc>
          <w:tcPr>
            <w:tcW w:w="92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434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Common Stock</w:t>
            </w:r>
          </w:p>
        </w:tc>
        <w:tc>
          <w:tcPr>
            <w:tcW w:w="90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02/20/2019</w:t>
            </w:r>
          </w:p>
        </w:tc>
        <w:tc>
          <w:tcPr>
            <w:tcW w:w="7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;serif" w:hAnsi="Times;serif"/>
                <w:color w:val="0000FF"/>
                <w:sz w:val="20"/>
                <w:highlight w:val="white"/>
              </w:rPr>
              <w:t>F</w:t>
            </w:r>
            <w:r>
              <w:rPr>
                <w:rFonts w:ascii="Times;serif" w:hAnsi="Times;serif"/>
                <w:color w:val="008000"/>
                <w:position w:val="7"/>
                <w:sz w:val="16"/>
                <w:sz w:val="20"/>
                <w:highlight w:val="white"/>
              </w:rPr>
              <w:t>(2)</w:t>
            </w:r>
            <w:r>
              <w:rPr/>
              <w:t xml:space="preserve"> </w:t>
            </w:r>
          </w:p>
        </w:tc>
        <w:tc>
          <w:tcPr>
            <w:tcW w:w="3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31</w:t>
            </w:r>
          </w:p>
        </w:tc>
        <w:tc>
          <w:tcPr>
            <w:tcW w:w="4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D</w:t>
            </w:r>
          </w:p>
        </w:tc>
        <w:tc>
          <w:tcPr>
            <w:tcW w:w="75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arial;helvetica;sans-serif" w:hAnsi="arial;helvetica;sans-serif"/>
                <w:b w:val="false"/>
                <w:sz w:val="24"/>
              </w:rPr>
              <w:t>$</w:t>
            </w:r>
            <w:r>
              <w:rPr>
                <w:rFonts w:ascii="Times;serif" w:hAnsi="Times;serif"/>
                <w:color w:val="0000FF"/>
                <w:sz w:val="24"/>
                <w:highlight w:val="white"/>
              </w:rPr>
              <w:t>90.93</w:t>
            </w:r>
            <w:r>
              <w:rPr/>
              <w:t xml:space="preserve"> </w:t>
            </w:r>
          </w:p>
        </w:tc>
        <w:tc>
          <w:tcPr>
            <w:tcW w:w="11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20,804</w:t>
            </w:r>
          </w:p>
        </w:tc>
        <w:tc>
          <w:tcPr>
            <w:tcW w:w="100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D</w:t>
            </w:r>
          </w:p>
        </w:tc>
        <w:tc>
          <w:tcPr>
            <w:tcW w:w="92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434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Common Stock</w:t>
            </w:r>
          </w:p>
        </w:tc>
        <w:tc>
          <w:tcPr>
            <w:tcW w:w="905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7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0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6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59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7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124</w:t>
            </w:r>
          </w:p>
        </w:tc>
        <w:tc>
          <w:tcPr>
            <w:tcW w:w="1006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I</w:t>
            </w:r>
          </w:p>
        </w:tc>
        <w:tc>
          <w:tcPr>
            <w:tcW w:w="928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by 401(k)</w:t>
            </w:r>
          </w:p>
        </w:tc>
      </w:tr>
    </w:tbl>
    <w:tbl>
      <w:tblPr>
        <w:tblW w:w="11843" w:type="dxa"/>
        <w:jc w:val="left"/>
        <w:tblInd w:w="0" w:type="dxa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980"/>
        <w:gridCol w:w="861"/>
        <w:gridCol w:w="891"/>
        <w:gridCol w:w="771"/>
        <w:gridCol w:w="591"/>
        <w:gridCol w:w="300"/>
        <w:gridCol w:w="302"/>
        <w:gridCol w:w="499"/>
        <w:gridCol w:w="906"/>
        <w:gridCol w:w="801"/>
        <w:gridCol w:w="891"/>
        <w:gridCol w:w="636"/>
        <w:gridCol w:w="801"/>
        <w:gridCol w:w="936"/>
        <w:gridCol w:w="831"/>
        <w:gridCol w:w="846"/>
      </w:tblGrid>
      <w:tr>
        <w:trPr>
          <w:tblHeader w:val="true"/>
        </w:trPr>
        <w:tc>
          <w:tcPr>
            <w:tcW w:w="11843" w:type="dxa"/>
            <w:gridSpan w:val="16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center"/>
              <w:rPr>
                <w:rFonts w:ascii="arial;helvetica;sans-serif" w:hAnsi="arial;helvetica;sans-serif"/>
                <w:b w:val="false"/>
                <w:sz w:val="24"/>
              </w:rPr>
            </w:pPr>
            <w:r>
              <w:rPr>
                <w:rFonts w:ascii="arial;helvetica;sans-serif" w:hAnsi="arial;helvetica;sans-serif"/>
                <w:b/>
                <w:sz w:val="24"/>
              </w:rPr>
              <w:t>Table II - Derivative Securities Acquired, Disposed of, or Beneficially Owned</w:t>
            </w:r>
            <w:r>
              <w:rPr>
                <w:rFonts w:ascii="arial;helvetica;sans-serif" w:hAnsi="arial;helvetica;sans-serif"/>
                <w:b w:val="false"/>
                <w:sz w:val="24"/>
              </w:rPr>
              <w:br/>
            </w:r>
            <w:r>
              <w:rPr>
                <w:rFonts w:ascii="arial;helvetica;sans-serif" w:hAnsi="arial;helvetica;sans-serif"/>
                <w:b/>
                <w:sz w:val="24"/>
              </w:rPr>
              <w:t>(e.g., puts, calls, warrants, options, convertible securities)</w:t>
            </w:r>
            <w:r>
              <w:rPr>
                <w:rFonts w:ascii="arial;helvetica;sans-serif" w:hAnsi="arial;helvetica;sans-serif"/>
                <w:b w:val="false"/>
                <w:sz w:val="24"/>
              </w:rPr>
              <w:t xml:space="preserve"> </w:t>
            </w:r>
          </w:p>
        </w:tc>
      </w:tr>
      <w:tr>
        <w:trPr>
          <w:tblHeader w:val="true"/>
        </w:trPr>
        <w:tc>
          <w:tcPr>
            <w:tcW w:w="980" w:type="dxa"/>
            <w:vMerge w:val="restart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1. Title of Derivative Security (Instr. 3) </w:t>
            </w:r>
          </w:p>
        </w:tc>
        <w:tc>
          <w:tcPr>
            <w:tcW w:w="861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2. Conversion or Exercise Price of Derivative Security </w:t>
            </w:r>
          </w:p>
        </w:tc>
        <w:tc>
          <w:tcPr>
            <w:tcW w:w="891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3. Transaction Date (Month/Day/Year)</w:t>
            </w:r>
          </w:p>
        </w:tc>
        <w:tc>
          <w:tcPr>
            <w:tcW w:w="771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3A. Deemed Execution Date, if any (Month/Day/Year)</w:t>
            </w:r>
          </w:p>
        </w:tc>
        <w:tc>
          <w:tcPr>
            <w:tcW w:w="891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4. Transaction Code (Instr. 8) </w:t>
            </w:r>
          </w:p>
        </w:tc>
        <w:tc>
          <w:tcPr>
            <w:tcW w:w="801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5. Number of Derivative Securities Acquired (A) or Disposed of (D) (Instr. 3, 4 and 5) </w:t>
            </w:r>
          </w:p>
        </w:tc>
        <w:tc>
          <w:tcPr>
            <w:tcW w:w="1707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6. Date Exercisable and Expiration Date (Month/Day/Year)</w:t>
            </w:r>
          </w:p>
        </w:tc>
        <w:tc>
          <w:tcPr>
            <w:tcW w:w="1527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7. Title and Amount of Securities Underlying Derivative Security (Instr. 3 and 4) </w:t>
            </w:r>
          </w:p>
        </w:tc>
        <w:tc>
          <w:tcPr>
            <w:tcW w:w="801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8. Price of Derivative Security (Instr. 5) </w:t>
            </w:r>
          </w:p>
        </w:tc>
        <w:tc>
          <w:tcPr>
            <w:tcW w:w="936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9. Number of derivative Securities Beneficially Owned Following Reported Transaction(s) (Instr. 4) </w:t>
            </w:r>
          </w:p>
        </w:tc>
        <w:tc>
          <w:tcPr>
            <w:tcW w:w="831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10. Ownership Form: Direct (D) or Indirect (I) (Instr. 4) </w:t>
            </w:r>
          </w:p>
        </w:tc>
        <w:tc>
          <w:tcPr>
            <w:tcW w:w="846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11. Nature of Indirect Beneficial Ownership (Instr. 4) </w:t>
            </w:r>
          </w:p>
        </w:tc>
      </w:tr>
      <w:tr>
        <w:trPr>
          <w:tblHeader w:val="true"/>
        </w:trPr>
        <w:tc>
          <w:tcPr>
            <w:tcW w:w="980" w:type="dxa"/>
            <w:vMerge w:val="continue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61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1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71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bottom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Code</w:t>
            </w:r>
          </w:p>
        </w:tc>
        <w:tc>
          <w:tcPr>
            <w:tcW w:w="3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bottom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V</w:t>
            </w:r>
          </w:p>
        </w:tc>
        <w:tc>
          <w:tcPr>
            <w:tcW w:w="30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bottom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(A)</w:t>
            </w:r>
          </w:p>
        </w:tc>
        <w:tc>
          <w:tcPr>
            <w:tcW w:w="49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bottom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(D)</w:t>
            </w:r>
          </w:p>
        </w:tc>
        <w:tc>
          <w:tcPr>
            <w:tcW w:w="90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bottom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Date Exercisable</w:t>
            </w:r>
          </w:p>
        </w:tc>
        <w:tc>
          <w:tcPr>
            <w:tcW w:w="8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bottom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Expiration Date</w:t>
            </w:r>
          </w:p>
        </w:tc>
        <w:tc>
          <w:tcPr>
            <w:tcW w:w="8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bottom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Title</w:t>
            </w:r>
          </w:p>
        </w:tc>
        <w:tc>
          <w:tcPr>
            <w:tcW w:w="63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bottom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Amount or Number of Shares</w:t>
            </w:r>
          </w:p>
        </w:tc>
        <w:tc>
          <w:tcPr>
            <w:tcW w:w="801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6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31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46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8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Times;serif" w:hAnsi="Times;serif"/>
                <w:color w:val="0000FF"/>
                <w:sz w:val="20"/>
                <w:highlight w:val="white"/>
              </w:rPr>
            </w:pPr>
            <w:r>
              <w:rPr>
                <w:rFonts w:ascii="Times;serif" w:hAnsi="Times;serif"/>
                <w:color w:val="0000FF"/>
                <w:sz w:val="20"/>
                <w:highlight w:val="white"/>
              </w:rPr>
              <w:t>Restricted Stock Units</w:t>
            </w:r>
          </w:p>
        </w:tc>
        <w:tc>
          <w:tcPr>
            <w:tcW w:w="8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8000"/>
                <w:position w:val="7"/>
                <w:sz w:val="16"/>
                <w:sz w:val="20"/>
                <w:highlight w:val="white"/>
              </w:rPr>
            </w:pPr>
            <w:r>
              <w:rPr>
                <w:rFonts w:ascii="Times;serif" w:hAnsi="Times;serif"/>
                <w:color w:val="008000"/>
                <w:position w:val="7"/>
                <w:sz w:val="16"/>
                <w:sz w:val="20"/>
                <w:highlight w:val="white"/>
              </w:rPr>
              <w:t>(1)</w:t>
            </w:r>
          </w:p>
        </w:tc>
        <w:tc>
          <w:tcPr>
            <w:tcW w:w="8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0"/>
                <w:highlight w:val="white"/>
              </w:rPr>
            </w:pPr>
            <w:r>
              <w:rPr>
                <w:rFonts w:ascii="Times;serif" w:hAnsi="Times;serif"/>
                <w:color w:val="0000FF"/>
                <w:sz w:val="20"/>
                <w:highlight w:val="white"/>
              </w:rPr>
              <w:t>02/20/2019</w:t>
            </w:r>
          </w:p>
        </w:tc>
        <w:tc>
          <w:tcPr>
            <w:tcW w:w="77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0"/>
                <w:highlight w:val="white"/>
              </w:rPr>
            </w:pPr>
            <w:r>
              <w:rPr>
                <w:rFonts w:ascii="Times;serif" w:hAnsi="Times;serif"/>
                <w:color w:val="0000FF"/>
                <w:sz w:val="20"/>
                <w:highlight w:val="white"/>
              </w:rPr>
              <w:t>M</w:t>
            </w:r>
          </w:p>
        </w:tc>
        <w:tc>
          <w:tcPr>
            <w:tcW w:w="3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0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9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0"/>
                <w:highlight w:val="white"/>
              </w:rPr>
            </w:pPr>
            <w:r>
              <w:rPr>
                <w:rFonts w:ascii="Times;serif" w:hAnsi="Times;serif"/>
                <w:color w:val="0000FF"/>
                <w:sz w:val="20"/>
                <w:highlight w:val="white"/>
              </w:rPr>
              <w:t>606</w:t>
            </w:r>
          </w:p>
        </w:tc>
        <w:tc>
          <w:tcPr>
            <w:tcW w:w="90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;serif" w:hAnsi="Times;serif"/>
                <w:color w:val="008000"/>
                <w:position w:val="7"/>
                <w:sz w:val="16"/>
                <w:sz w:val="20"/>
                <w:highlight w:val="white"/>
              </w:rPr>
              <w:t>(5)</w:t>
            </w:r>
            <w:r>
              <w:rPr/>
              <w:t xml:space="preserve"> </w:t>
            </w:r>
          </w:p>
        </w:tc>
        <w:tc>
          <w:tcPr>
            <w:tcW w:w="8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;serif" w:hAnsi="Times;serif"/>
                <w:color w:val="008000"/>
                <w:position w:val="7"/>
                <w:sz w:val="16"/>
                <w:sz w:val="20"/>
                <w:highlight w:val="white"/>
              </w:rPr>
              <w:t>(5)</w:t>
            </w:r>
            <w:r>
              <w:rPr/>
              <w:t xml:space="preserve"> </w:t>
            </w:r>
          </w:p>
        </w:tc>
        <w:tc>
          <w:tcPr>
            <w:tcW w:w="8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0"/>
                <w:highlight w:val="white"/>
              </w:rPr>
            </w:pPr>
            <w:r>
              <w:rPr>
                <w:rFonts w:ascii="Times;serif" w:hAnsi="Times;serif"/>
                <w:color w:val="0000FF"/>
                <w:sz w:val="20"/>
                <w:highlight w:val="white"/>
              </w:rPr>
              <w:t>Common Stock</w:t>
            </w:r>
          </w:p>
        </w:tc>
        <w:tc>
          <w:tcPr>
            <w:tcW w:w="63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606</w:t>
            </w:r>
          </w:p>
        </w:tc>
        <w:tc>
          <w:tcPr>
            <w:tcW w:w="8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8000"/>
                <w:position w:val="7"/>
                <w:sz w:val="16"/>
                <w:sz w:val="20"/>
                <w:highlight w:val="white"/>
              </w:rPr>
            </w:pPr>
            <w:r>
              <w:rPr>
                <w:rFonts w:ascii="Times;serif" w:hAnsi="Times;serif"/>
                <w:color w:val="008000"/>
                <w:position w:val="7"/>
                <w:sz w:val="16"/>
                <w:sz w:val="20"/>
                <w:highlight w:val="white"/>
              </w:rPr>
              <w:t>(1)</w:t>
            </w:r>
          </w:p>
        </w:tc>
        <w:tc>
          <w:tcPr>
            <w:tcW w:w="93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0"/>
                <w:highlight w:val="white"/>
              </w:rPr>
            </w:pPr>
            <w:r>
              <w:rPr>
                <w:rFonts w:ascii="Times;serif" w:hAnsi="Times;serif"/>
                <w:color w:val="0000FF"/>
                <w:sz w:val="20"/>
                <w:highlight w:val="white"/>
              </w:rPr>
              <w:t>0</w:t>
            </w:r>
          </w:p>
        </w:tc>
        <w:tc>
          <w:tcPr>
            <w:tcW w:w="8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0"/>
                <w:highlight w:val="white"/>
              </w:rPr>
            </w:pPr>
            <w:r>
              <w:rPr>
                <w:rFonts w:ascii="Times;serif" w:hAnsi="Times;serif"/>
                <w:color w:val="0000FF"/>
                <w:sz w:val="20"/>
                <w:highlight w:val="white"/>
              </w:rPr>
              <w:t>D</w:t>
            </w:r>
          </w:p>
        </w:tc>
        <w:tc>
          <w:tcPr>
            <w:tcW w:w="8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98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Times;serif" w:hAnsi="Times;serif"/>
                <w:color w:val="0000FF"/>
                <w:sz w:val="20"/>
                <w:highlight w:val="white"/>
              </w:rPr>
            </w:pPr>
            <w:r>
              <w:rPr>
                <w:rFonts w:ascii="Times;serif" w:hAnsi="Times;serif"/>
                <w:color w:val="0000FF"/>
                <w:sz w:val="20"/>
                <w:highlight w:val="white"/>
              </w:rPr>
              <w:t>Restricted Stock Units</w:t>
            </w:r>
          </w:p>
        </w:tc>
        <w:tc>
          <w:tcPr>
            <w:tcW w:w="8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8000"/>
                <w:position w:val="7"/>
                <w:sz w:val="16"/>
                <w:sz w:val="20"/>
                <w:highlight w:val="white"/>
              </w:rPr>
            </w:pPr>
            <w:r>
              <w:rPr>
                <w:rFonts w:ascii="Times;serif" w:hAnsi="Times;serif"/>
                <w:color w:val="008000"/>
                <w:position w:val="7"/>
                <w:sz w:val="16"/>
                <w:sz w:val="20"/>
                <w:highlight w:val="white"/>
              </w:rPr>
              <w:t>(1)</w:t>
            </w:r>
          </w:p>
        </w:tc>
        <w:tc>
          <w:tcPr>
            <w:tcW w:w="8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0"/>
                <w:highlight w:val="white"/>
              </w:rPr>
            </w:pPr>
            <w:r>
              <w:rPr>
                <w:rFonts w:ascii="Times;serif" w:hAnsi="Times;serif"/>
                <w:color w:val="0000FF"/>
                <w:sz w:val="20"/>
                <w:highlight w:val="white"/>
              </w:rPr>
              <w:t>02/20/2019</w:t>
            </w:r>
          </w:p>
        </w:tc>
        <w:tc>
          <w:tcPr>
            <w:tcW w:w="77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0"/>
                <w:highlight w:val="white"/>
              </w:rPr>
            </w:pPr>
            <w:r>
              <w:rPr>
                <w:rFonts w:ascii="Times;serif" w:hAnsi="Times;serif"/>
                <w:color w:val="0000FF"/>
                <w:sz w:val="20"/>
                <w:highlight w:val="white"/>
              </w:rPr>
              <w:t>M</w:t>
            </w:r>
          </w:p>
        </w:tc>
        <w:tc>
          <w:tcPr>
            <w:tcW w:w="3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0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9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0"/>
                <w:highlight w:val="white"/>
              </w:rPr>
            </w:pPr>
            <w:r>
              <w:rPr>
                <w:rFonts w:ascii="Times;serif" w:hAnsi="Times;serif"/>
                <w:color w:val="0000FF"/>
                <w:sz w:val="20"/>
                <w:highlight w:val="white"/>
              </w:rPr>
              <w:t>595</w:t>
            </w:r>
          </w:p>
        </w:tc>
        <w:tc>
          <w:tcPr>
            <w:tcW w:w="90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;serif" w:hAnsi="Times;serif"/>
                <w:color w:val="008000"/>
                <w:position w:val="7"/>
                <w:sz w:val="16"/>
                <w:sz w:val="20"/>
                <w:highlight w:val="white"/>
              </w:rPr>
              <w:t>(6)</w:t>
            </w:r>
            <w:r>
              <w:rPr/>
              <w:t xml:space="preserve"> </w:t>
            </w:r>
          </w:p>
        </w:tc>
        <w:tc>
          <w:tcPr>
            <w:tcW w:w="8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;serif" w:hAnsi="Times;serif"/>
                <w:color w:val="008000"/>
                <w:position w:val="7"/>
                <w:sz w:val="16"/>
                <w:sz w:val="20"/>
                <w:highlight w:val="white"/>
              </w:rPr>
              <w:t>(6)</w:t>
            </w:r>
            <w:r>
              <w:rPr/>
              <w:t xml:space="preserve"> </w:t>
            </w:r>
          </w:p>
        </w:tc>
        <w:tc>
          <w:tcPr>
            <w:tcW w:w="8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0"/>
                <w:highlight w:val="white"/>
              </w:rPr>
            </w:pPr>
            <w:r>
              <w:rPr>
                <w:rFonts w:ascii="Times;serif" w:hAnsi="Times;serif"/>
                <w:color w:val="0000FF"/>
                <w:sz w:val="20"/>
                <w:highlight w:val="white"/>
              </w:rPr>
              <w:t>Common Stock</w:t>
            </w:r>
          </w:p>
        </w:tc>
        <w:tc>
          <w:tcPr>
            <w:tcW w:w="63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595</w:t>
            </w:r>
          </w:p>
        </w:tc>
        <w:tc>
          <w:tcPr>
            <w:tcW w:w="8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8000"/>
                <w:position w:val="7"/>
                <w:sz w:val="16"/>
                <w:sz w:val="20"/>
                <w:highlight w:val="white"/>
              </w:rPr>
            </w:pPr>
            <w:r>
              <w:rPr>
                <w:rFonts w:ascii="Times;serif" w:hAnsi="Times;serif"/>
                <w:color w:val="008000"/>
                <w:position w:val="7"/>
                <w:sz w:val="16"/>
                <w:sz w:val="20"/>
                <w:highlight w:val="white"/>
              </w:rPr>
              <w:t>(1)</w:t>
            </w:r>
          </w:p>
        </w:tc>
        <w:tc>
          <w:tcPr>
            <w:tcW w:w="93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0"/>
                <w:highlight w:val="white"/>
              </w:rPr>
            </w:pPr>
            <w:r>
              <w:rPr>
                <w:rFonts w:ascii="Times;serif" w:hAnsi="Times;serif"/>
                <w:color w:val="0000FF"/>
                <w:sz w:val="20"/>
                <w:highlight w:val="white"/>
              </w:rPr>
              <w:t>595</w:t>
            </w:r>
          </w:p>
        </w:tc>
        <w:tc>
          <w:tcPr>
            <w:tcW w:w="8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0"/>
                <w:highlight w:val="white"/>
              </w:rPr>
            </w:pPr>
            <w:r>
              <w:rPr>
                <w:rFonts w:ascii="Times;serif" w:hAnsi="Times;serif"/>
                <w:color w:val="0000FF"/>
                <w:sz w:val="20"/>
                <w:highlight w:val="white"/>
              </w:rPr>
              <w:t>D</w:t>
            </w:r>
          </w:p>
        </w:tc>
        <w:tc>
          <w:tcPr>
            <w:tcW w:w="8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98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Times;serif" w:hAnsi="Times;serif"/>
                <w:color w:val="0000FF"/>
                <w:sz w:val="20"/>
                <w:highlight w:val="white"/>
              </w:rPr>
            </w:pPr>
            <w:r>
              <w:rPr>
                <w:rFonts w:ascii="Times;serif" w:hAnsi="Times;serif"/>
                <w:color w:val="0000FF"/>
                <w:sz w:val="20"/>
                <w:highlight w:val="white"/>
              </w:rPr>
              <w:t>Restricted Stock Units</w:t>
            </w:r>
          </w:p>
        </w:tc>
        <w:tc>
          <w:tcPr>
            <w:tcW w:w="8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8000"/>
                <w:position w:val="7"/>
                <w:sz w:val="16"/>
                <w:sz w:val="20"/>
                <w:highlight w:val="white"/>
              </w:rPr>
            </w:pPr>
            <w:r>
              <w:rPr>
                <w:rFonts w:ascii="Times;serif" w:hAnsi="Times;serif"/>
                <w:color w:val="008000"/>
                <w:position w:val="7"/>
                <w:sz w:val="16"/>
                <w:sz w:val="20"/>
                <w:highlight w:val="white"/>
              </w:rPr>
              <w:t>(3)</w:t>
            </w:r>
          </w:p>
        </w:tc>
        <w:tc>
          <w:tcPr>
            <w:tcW w:w="8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0"/>
                <w:highlight w:val="white"/>
              </w:rPr>
            </w:pPr>
            <w:r>
              <w:rPr>
                <w:rFonts w:ascii="Times;serif" w:hAnsi="Times;serif"/>
                <w:color w:val="0000FF"/>
                <w:sz w:val="20"/>
                <w:highlight w:val="white"/>
              </w:rPr>
              <w:t>02/20/2019</w:t>
            </w:r>
          </w:p>
        </w:tc>
        <w:tc>
          <w:tcPr>
            <w:tcW w:w="77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0"/>
                <w:highlight w:val="white"/>
              </w:rPr>
            </w:pPr>
            <w:r>
              <w:rPr>
                <w:rFonts w:ascii="Times;serif" w:hAnsi="Times;serif"/>
                <w:color w:val="0000FF"/>
                <w:sz w:val="20"/>
                <w:highlight w:val="white"/>
              </w:rPr>
              <w:t>M</w:t>
            </w:r>
          </w:p>
        </w:tc>
        <w:tc>
          <w:tcPr>
            <w:tcW w:w="3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0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9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0"/>
                <w:highlight w:val="white"/>
              </w:rPr>
            </w:pPr>
            <w:r>
              <w:rPr>
                <w:rFonts w:ascii="Times;serif" w:hAnsi="Times;serif"/>
                <w:color w:val="0000FF"/>
                <w:sz w:val="20"/>
                <w:highlight w:val="white"/>
              </w:rPr>
              <w:t>627</w:t>
            </w:r>
          </w:p>
        </w:tc>
        <w:tc>
          <w:tcPr>
            <w:tcW w:w="90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;serif" w:hAnsi="Times;serif"/>
                <w:color w:val="008000"/>
                <w:position w:val="7"/>
                <w:sz w:val="16"/>
                <w:sz w:val="20"/>
                <w:highlight w:val="white"/>
              </w:rPr>
              <w:t>(7)</w:t>
            </w:r>
            <w:r>
              <w:rPr/>
              <w:t xml:space="preserve"> </w:t>
            </w:r>
          </w:p>
        </w:tc>
        <w:tc>
          <w:tcPr>
            <w:tcW w:w="8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;serif" w:hAnsi="Times;serif"/>
                <w:color w:val="008000"/>
                <w:position w:val="7"/>
                <w:sz w:val="16"/>
                <w:sz w:val="20"/>
                <w:highlight w:val="white"/>
              </w:rPr>
              <w:t>(7)</w:t>
            </w:r>
            <w:r>
              <w:rPr/>
              <w:t xml:space="preserve"> </w:t>
            </w:r>
          </w:p>
        </w:tc>
        <w:tc>
          <w:tcPr>
            <w:tcW w:w="8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0"/>
                <w:highlight w:val="white"/>
              </w:rPr>
            </w:pPr>
            <w:r>
              <w:rPr>
                <w:rFonts w:ascii="Times;serif" w:hAnsi="Times;serif"/>
                <w:color w:val="0000FF"/>
                <w:sz w:val="20"/>
                <w:highlight w:val="white"/>
              </w:rPr>
              <w:t>Common Stock</w:t>
            </w:r>
          </w:p>
        </w:tc>
        <w:tc>
          <w:tcPr>
            <w:tcW w:w="63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627</w:t>
            </w:r>
          </w:p>
        </w:tc>
        <w:tc>
          <w:tcPr>
            <w:tcW w:w="8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8000"/>
                <w:position w:val="7"/>
                <w:sz w:val="16"/>
                <w:sz w:val="20"/>
                <w:highlight w:val="white"/>
              </w:rPr>
            </w:pPr>
            <w:r>
              <w:rPr>
                <w:rFonts w:ascii="Times;serif" w:hAnsi="Times;serif"/>
                <w:color w:val="008000"/>
                <w:position w:val="7"/>
                <w:sz w:val="16"/>
                <w:sz w:val="20"/>
                <w:highlight w:val="white"/>
              </w:rPr>
              <w:t>(3)</w:t>
            </w:r>
          </w:p>
        </w:tc>
        <w:tc>
          <w:tcPr>
            <w:tcW w:w="93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0"/>
                <w:highlight w:val="white"/>
              </w:rPr>
            </w:pPr>
            <w:r>
              <w:rPr>
                <w:rFonts w:ascii="Times;serif" w:hAnsi="Times;serif"/>
                <w:color w:val="0000FF"/>
                <w:sz w:val="20"/>
                <w:highlight w:val="white"/>
              </w:rPr>
              <w:t>1,254</w:t>
            </w:r>
          </w:p>
        </w:tc>
        <w:tc>
          <w:tcPr>
            <w:tcW w:w="8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0"/>
                <w:highlight w:val="white"/>
              </w:rPr>
            </w:pPr>
            <w:r>
              <w:rPr>
                <w:rFonts w:ascii="Times;serif" w:hAnsi="Times;serif"/>
                <w:color w:val="0000FF"/>
                <w:sz w:val="20"/>
                <w:highlight w:val="white"/>
              </w:rPr>
              <w:t>D</w:t>
            </w:r>
          </w:p>
        </w:tc>
        <w:tc>
          <w:tcPr>
            <w:tcW w:w="8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980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Times;serif" w:hAnsi="Times;serif"/>
                <w:color w:val="0000FF"/>
                <w:sz w:val="20"/>
                <w:highlight w:val="white"/>
              </w:rPr>
            </w:pPr>
            <w:r>
              <w:rPr>
                <w:rFonts w:ascii="Times;serif" w:hAnsi="Times;serif"/>
                <w:color w:val="0000FF"/>
                <w:sz w:val="20"/>
                <w:highlight w:val="white"/>
              </w:rPr>
              <w:t>Restricted Stock Units</w:t>
            </w:r>
          </w:p>
        </w:tc>
        <w:tc>
          <w:tcPr>
            <w:tcW w:w="86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8000"/>
                <w:position w:val="7"/>
                <w:sz w:val="16"/>
                <w:sz w:val="20"/>
                <w:highlight w:val="white"/>
              </w:rPr>
            </w:pPr>
            <w:r>
              <w:rPr>
                <w:rFonts w:ascii="Times;serif" w:hAnsi="Times;serif"/>
                <w:color w:val="008000"/>
                <w:position w:val="7"/>
                <w:sz w:val="16"/>
                <w:sz w:val="20"/>
                <w:highlight w:val="white"/>
              </w:rPr>
              <w:t>(3)</w:t>
            </w:r>
          </w:p>
        </w:tc>
        <w:tc>
          <w:tcPr>
            <w:tcW w:w="89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0"/>
                <w:highlight w:val="white"/>
              </w:rPr>
            </w:pPr>
            <w:r>
              <w:rPr>
                <w:rFonts w:ascii="Times;serif" w:hAnsi="Times;serif"/>
                <w:color w:val="0000FF"/>
                <w:sz w:val="20"/>
                <w:highlight w:val="white"/>
              </w:rPr>
              <w:t>02/20/2019</w:t>
            </w:r>
          </w:p>
        </w:tc>
        <w:tc>
          <w:tcPr>
            <w:tcW w:w="77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0"/>
                <w:highlight w:val="white"/>
              </w:rPr>
            </w:pPr>
            <w:r>
              <w:rPr>
                <w:rFonts w:ascii="Times;serif" w:hAnsi="Times;serif"/>
                <w:color w:val="0000FF"/>
                <w:sz w:val="20"/>
                <w:highlight w:val="white"/>
              </w:rPr>
              <w:t>M</w:t>
            </w:r>
          </w:p>
        </w:tc>
        <w:tc>
          <w:tcPr>
            <w:tcW w:w="30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0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99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0"/>
                <w:highlight w:val="white"/>
              </w:rPr>
            </w:pPr>
            <w:r>
              <w:rPr>
                <w:rFonts w:ascii="Times;serif" w:hAnsi="Times;serif"/>
                <w:color w:val="0000FF"/>
                <w:sz w:val="20"/>
                <w:highlight w:val="white"/>
              </w:rPr>
              <w:t>681</w:t>
            </w:r>
          </w:p>
        </w:tc>
        <w:tc>
          <w:tcPr>
            <w:tcW w:w="906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;serif" w:hAnsi="Times;serif"/>
                <w:color w:val="008000"/>
                <w:position w:val="7"/>
                <w:sz w:val="16"/>
                <w:sz w:val="20"/>
                <w:highlight w:val="white"/>
              </w:rPr>
              <w:t>(8)</w:t>
            </w:r>
            <w:r>
              <w:rPr/>
              <w:t xml:space="preserve"> </w:t>
            </w:r>
          </w:p>
        </w:tc>
        <w:tc>
          <w:tcPr>
            <w:tcW w:w="80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;serif" w:hAnsi="Times;serif"/>
                <w:color w:val="008000"/>
                <w:position w:val="7"/>
                <w:sz w:val="16"/>
                <w:sz w:val="20"/>
                <w:highlight w:val="white"/>
              </w:rPr>
              <w:t>(8)</w:t>
            </w:r>
            <w:r>
              <w:rPr/>
              <w:t xml:space="preserve"> </w:t>
            </w:r>
          </w:p>
        </w:tc>
        <w:tc>
          <w:tcPr>
            <w:tcW w:w="89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0"/>
                <w:highlight w:val="white"/>
              </w:rPr>
            </w:pPr>
            <w:r>
              <w:rPr>
                <w:rFonts w:ascii="Times;serif" w:hAnsi="Times;serif"/>
                <w:color w:val="0000FF"/>
                <w:sz w:val="20"/>
                <w:highlight w:val="white"/>
              </w:rPr>
              <w:t>Common Stock</w:t>
            </w:r>
          </w:p>
        </w:tc>
        <w:tc>
          <w:tcPr>
            <w:tcW w:w="636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681</w:t>
            </w:r>
          </w:p>
        </w:tc>
        <w:tc>
          <w:tcPr>
            <w:tcW w:w="80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8000"/>
                <w:position w:val="7"/>
                <w:sz w:val="16"/>
                <w:sz w:val="20"/>
                <w:highlight w:val="white"/>
              </w:rPr>
            </w:pPr>
            <w:r>
              <w:rPr>
                <w:rFonts w:ascii="Times;serif" w:hAnsi="Times;serif"/>
                <w:color w:val="008000"/>
                <w:position w:val="7"/>
                <w:sz w:val="16"/>
                <w:sz w:val="20"/>
                <w:highlight w:val="white"/>
              </w:rPr>
              <w:t>(3)</w:t>
            </w:r>
          </w:p>
        </w:tc>
        <w:tc>
          <w:tcPr>
            <w:tcW w:w="936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0"/>
                <w:highlight w:val="white"/>
              </w:rPr>
            </w:pPr>
            <w:r>
              <w:rPr>
                <w:rFonts w:ascii="Times;serif" w:hAnsi="Times;serif"/>
                <w:color w:val="0000FF"/>
                <w:sz w:val="20"/>
                <w:highlight w:val="white"/>
              </w:rPr>
              <w:t>2,043</w:t>
            </w:r>
          </w:p>
        </w:tc>
        <w:tc>
          <w:tcPr>
            <w:tcW w:w="83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0"/>
                <w:highlight w:val="white"/>
              </w:rPr>
            </w:pPr>
            <w:r>
              <w:rPr>
                <w:rFonts w:ascii="Times;serif" w:hAnsi="Times;serif"/>
                <w:color w:val="0000FF"/>
                <w:sz w:val="20"/>
                <w:highlight w:val="white"/>
              </w:rPr>
              <w:t>D</w:t>
            </w:r>
          </w:p>
        </w:tc>
        <w:tc>
          <w:tcPr>
            <w:tcW w:w="846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tblW w:w="5000" w:type="pct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0205"/>
      </w:tblGrid>
      <w:tr>
        <w:trPr/>
        <w:tc>
          <w:tcPr>
            <w:tcW w:w="102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b/>
                <w:sz w:val="20"/>
              </w:rPr>
            </w:pPr>
            <w:r>
              <w:rPr>
                <w:rFonts w:ascii="arial;helvetica;sans-serif" w:hAnsi="arial;helvetica;sans-serif"/>
                <w:b/>
                <w:sz w:val="20"/>
              </w:rPr>
              <w:t>Explanation of Responses:</w:t>
            </w:r>
          </w:p>
        </w:tc>
      </w:tr>
      <w:tr>
        <w:trPr/>
        <w:tc>
          <w:tcPr>
            <w:tcW w:w="10205" w:type="dxa"/>
            <w:tcBorders/>
            <w:shd w:fill="FFFFFF" w:val="clear"/>
            <w:vAlign w:val="center"/>
          </w:tcPr>
          <w:p>
            <w:pPr>
              <w:pStyle w:val="TableContents"/>
              <w:spacing w:before="0" w:after="283"/>
              <w:rPr>
                <w:rFonts w:ascii="Times;serif" w:hAnsi="Times;serif"/>
                <w:color w:val="008000"/>
                <w:sz w:val="20"/>
              </w:rPr>
            </w:pPr>
            <w:r>
              <w:rPr>
                <w:rFonts w:ascii="Times;serif" w:hAnsi="Times;serif"/>
                <w:color w:val="008000"/>
                <w:sz w:val="20"/>
              </w:rPr>
              <w:t>1. Each Restricted Stock Unit represents a contingent right to receive the economic equivalent of one share of the Company's common stock. The Restricted Stock Units will be settled, at the reporting person's election, in 100% shares of common stock or 50% in common stock and 50% in cash.</w:t>
            </w:r>
          </w:p>
        </w:tc>
      </w:tr>
      <w:tr>
        <w:trPr/>
        <w:tc>
          <w:tcPr>
            <w:tcW w:w="10205" w:type="dxa"/>
            <w:tcBorders/>
            <w:shd w:fill="FFFFFF" w:val="clear"/>
            <w:vAlign w:val="center"/>
          </w:tcPr>
          <w:p>
            <w:pPr>
              <w:pStyle w:val="TableContents"/>
              <w:spacing w:before="0" w:after="283"/>
              <w:rPr>
                <w:rFonts w:ascii="Times;serif" w:hAnsi="Times;serif"/>
                <w:color w:val="008000"/>
                <w:sz w:val="20"/>
              </w:rPr>
            </w:pPr>
            <w:r>
              <w:rPr>
                <w:rFonts w:ascii="Times;serif" w:hAnsi="Times;serif"/>
                <w:color w:val="008000"/>
                <w:sz w:val="20"/>
              </w:rPr>
              <w:t>2. Shares retained by the Company for the purpose of meeting tax withholding requirements. The recipient retained all other shares.</w:t>
            </w:r>
          </w:p>
        </w:tc>
      </w:tr>
      <w:tr>
        <w:trPr/>
        <w:tc>
          <w:tcPr>
            <w:tcW w:w="10205" w:type="dxa"/>
            <w:tcBorders/>
            <w:shd w:fill="FFFFFF" w:val="clear"/>
            <w:vAlign w:val="center"/>
          </w:tcPr>
          <w:p>
            <w:pPr>
              <w:pStyle w:val="TableContents"/>
              <w:spacing w:before="0" w:after="283"/>
              <w:rPr>
                <w:rFonts w:ascii="Times;serif" w:hAnsi="Times;serif"/>
                <w:color w:val="008000"/>
                <w:sz w:val="20"/>
              </w:rPr>
            </w:pPr>
            <w:r>
              <w:rPr>
                <w:rFonts w:ascii="Times;serif" w:hAnsi="Times;serif"/>
                <w:color w:val="008000"/>
                <w:sz w:val="20"/>
              </w:rPr>
              <w:t>3. Each Restricted Stock Unit represents a contingent right to receive the economic equivalent of one share of the Company's common stock. The Restricted Stock Units will be settled, at the reporting person's election, in 100% shares of common stock, 50% in common stock and 50% in cash, or 100% in cash.</w:t>
            </w:r>
          </w:p>
        </w:tc>
      </w:tr>
      <w:tr>
        <w:trPr/>
        <w:tc>
          <w:tcPr>
            <w:tcW w:w="10205" w:type="dxa"/>
            <w:tcBorders/>
            <w:shd w:fill="FFFFFF" w:val="clear"/>
            <w:vAlign w:val="center"/>
          </w:tcPr>
          <w:p>
            <w:pPr>
              <w:pStyle w:val="TableContents"/>
              <w:spacing w:before="0" w:after="283"/>
              <w:rPr>
                <w:rFonts w:ascii="Times;serif" w:hAnsi="Times;serif"/>
                <w:color w:val="008000"/>
                <w:sz w:val="20"/>
              </w:rPr>
            </w:pPr>
            <w:r>
              <w:rPr>
                <w:rFonts w:ascii="Times;serif" w:hAnsi="Times;serif"/>
                <w:color w:val="008000"/>
                <w:sz w:val="20"/>
              </w:rPr>
              <w:t>4. Represents shares of common stock received by the individual in settlement of dividend rights granted in connection with the 2015, 2016, 2017, and 2018 Restricted Stock Unit grants.</w:t>
            </w:r>
          </w:p>
        </w:tc>
      </w:tr>
      <w:tr>
        <w:trPr/>
        <w:tc>
          <w:tcPr>
            <w:tcW w:w="10205" w:type="dxa"/>
            <w:tcBorders/>
            <w:shd w:fill="FFFFFF" w:val="clear"/>
            <w:vAlign w:val="center"/>
          </w:tcPr>
          <w:p>
            <w:pPr>
              <w:pStyle w:val="TableContents"/>
              <w:spacing w:before="0" w:after="283"/>
              <w:rPr>
                <w:rFonts w:ascii="Times;serif" w:hAnsi="Times;serif"/>
                <w:color w:val="008000"/>
                <w:sz w:val="20"/>
              </w:rPr>
            </w:pPr>
            <w:r>
              <w:rPr>
                <w:rFonts w:ascii="Times;serif" w:hAnsi="Times;serif"/>
                <w:color w:val="008000"/>
                <w:sz w:val="20"/>
              </w:rPr>
              <w:t>5. The Restricted Stock Units award was granted and was effective in February 2015, and vest in four equal, annual installments beginning on February 20, 2016.</w:t>
            </w:r>
          </w:p>
        </w:tc>
      </w:tr>
      <w:tr>
        <w:trPr/>
        <w:tc>
          <w:tcPr>
            <w:tcW w:w="10205" w:type="dxa"/>
            <w:tcBorders/>
            <w:shd w:fill="FFFFFF" w:val="clear"/>
            <w:vAlign w:val="center"/>
          </w:tcPr>
          <w:p>
            <w:pPr>
              <w:pStyle w:val="TableContents"/>
              <w:spacing w:before="0" w:after="283"/>
              <w:rPr>
                <w:rFonts w:ascii="Times;serif" w:hAnsi="Times;serif"/>
                <w:color w:val="008000"/>
                <w:sz w:val="20"/>
              </w:rPr>
            </w:pPr>
            <w:r>
              <w:rPr>
                <w:rFonts w:ascii="Times;serif" w:hAnsi="Times;serif"/>
                <w:color w:val="008000"/>
                <w:sz w:val="20"/>
              </w:rPr>
              <w:t>6. The Restricted Stock Units award was granted and was effective in February 2016, and vests in four equal, annual installments beginning on February 20, 2017.</w:t>
            </w:r>
          </w:p>
        </w:tc>
      </w:tr>
      <w:tr>
        <w:trPr/>
        <w:tc>
          <w:tcPr>
            <w:tcW w:w="10205" w:type="dxa"/>
            <w:tcBorders/>
            <w:shd w:fill="FFFFFF" w:val="clear"/>
            <w:vAlign w:val="center"/>
          </w:tcPr>
          <w:p>
            <w:pPr>
              <w:pStyle w:val="TableContents"/>
              <w:spacing w:before="0" w:after="283"/>
              <w:rPr>
                <w:rFonts w:ascii="Times;serif" w:hAnsi="Times;serif"/>
                <w:color w:val="008000"/>
                <w:sz w:val="20"/>
              </w:rPr>
            </w:pPr>
            <w:r>
              <w:rPr>
                <w:rFonts w:ascii="Times;serif" w:hAnsi="Times;serif"/>
                <w:color w:val="008000"/>
                <w:sz w:val="20"/>
              </w:rPr>
              <w:t>7. The Restricted Stock Units award was granted and was effective in February 2017, and vest in four equal, annual installments beginning on February 20, 2018.</w:t>
            </w:r>
          </w:p>
        </w:tc>
      </w:tr>
      <w:tr>
        <w:trPr/>
        <w:tc>
          <w:tcPr>
            <w:tcW w:w="10205" w:type="dxa"/>
            <w:tcBorders/>
            <w:shd w:fill="FFFFFF" w:val="clear"/>
            <w:vAlign w:val="center"/>
          </w:tcPr>
          <w:p>
            <w:pPr>
              <w:pStyle w:val="TableContents"/>
              <w:spacing w:before="0" w:after="283"/>
              <w:rPr>
                <w:rFonts w:ascii="Times;serif" w:hAnsi="Times;serif"/>
                <w:color w:val="008000"/>
                <w:sz w:val="20"/>
              </w:rPr>
            </w:pPr>
            <w:r>
              <w:rPr>
                <w:rFonts w:ascii="Times;serif" w:hAnsi="Times;serif"/>
                <w:color w:val="008000"/>
                <w:sz w:val="20"/>
              </w:rPr>
              <w:t>8. The Restricted Stock Units award was granted and was effective in February 2018, and vest in four equal, annual installments beginning on February 20, 2019.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b/>
                <w:sz w:val="24"/>
              </w:rPr>
            </w:pPr>
            <w:r>
              <w:rPr>
                <w:rFonts w:ascii="arial;helvetica;sans-serif" w:hAnsi="arial;helvetica;sans-serif"/>
                <w:b/>
                <w:sz w:val="24"/>
              </w:rPr>
              <w:t>Remarks:</w:t>
            </w:r>
          </w:p>
        </w:tc>
      </w:tr>
      <w:tr>
        <w:trPr/>
        <w:tc>
          <w:tcPr>
            <w:tcW w:w="10205" w:type="dxa"/>
            <w:tcBorders/>
            <w:shd w:fill="FFFFFF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tblW w:w="5000" w:type="pct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123"/>
        <w:gridCol w:w="2041"/>
        <w:gridCol w:w="2041"/>
      </w:tblGrid>
      <w:tr>
        <w:trPr/>
        <w:tc>
          <w:tcPr>
            <w:tcW w:w="612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4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rFonts w:ascii="Times;serif" w:hAnsi="Times;serif"/>
                <w:color w:val="0000FF"/>
                <w:sz w:val="24"/>
                <w:highlight w:val="white"/>
                <w:u w:val="singl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  <w:u w:val="single"/>
              </w:rPr>
              <w:t>/s/ Diane Wood, Attorney-in-Fact</w:t>
            </w:r>
          </w:p>
        </w:tc>
        <w:tc>
          <w:tcPr>
            <w:tcW w:w="204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rFonts w:ascii="Times;serif" w:hAnsi="Times;serif"/>
                <w:color w:val="0000FF"/>
                <w:sz w:val="24"/>
                <w:highlight w:val="white"/>
                <w:u w:val="singl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  <w:u w:val="single"/>
              </w:rPr>
              <w:t>02/22/2019</w:t>
            </w:r>
          </w:p>
        </w:tc>
      </w:tr>
      <w:tr>
        <w:trPr/>
        <w:tc>
          <w:tcPr>
            <w:tcW w:w="612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4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>** Signature of Reporting Person</w:t>
            </w:r>
          </w:p>
        </w:tc>
        <w:tc>
          <w:tcPr>
            <w:tcW w:w="204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>Date</w:t>
            </w:r>
          </w:p>
        </w:tc>
      </w:tr>
      <w:tr>
        <w:trPr/>
        <w:tc>
          <w:tcPr>
            <w:tcW w:w="10205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>Reminder: Report on a separate line for each class of securities beneficially owned directly or indirectly.</w:t>
            </w:r>
          </w:p>
        </w:tc>
      </w:tr>
      <w:tr>
        <w:trPr/>
        <w:tc>
          <w:tcPr>
            <w:tcW w:w="10205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 xml:space="preserve">* If the form is filed by more than one reporting person, </w:t>
            </w:r>
            <w:r>
              <w:rPr>
                <w:rFonts w:ascii="arial;helvetica;sans-serif" w:hAnsi="arial;helvetica;sans-serif"/>
                <w:i/>
                <w:sz w:val="20"/>
              </w:rPr>
              <w:t>see</w:t>
            </w:r>
            <w:r>
              <w:rPr>
                <w:rFonts w:ascii="arial;helvetica;sans-serif" w:hAnsi="arial;helvetica;sans-serif"/>
                <w:sz w:val="20"/>
              </w:rPr>
              <w:t xml:space="preserve"> Instruction 4 (b)(v).</w:t>
            </w:r>
          </w:p>
        </w:tc>
      </w:tr>
      <w:tr>
        <w:trPr/>
        <w:tc>
          <w:tcPr>
            <w:tcW w:w="10205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 xml:space="preserve">** Intentional misstatements or omissions of facts constitute Federal Criminal Violations </w:t>
            </w:r>
            <w:r>
              <w:rPr>
                <w:rFonts w:ascii="arial;helvetica;sans-serif" w:hAnsi="arial;helvetica;sans-serif"/>
                <w:i/>
                <w:sz w:val="20"/>
              </w:rPr>
              <w:t>See</w:t>
            </w:r>
            <w:r>
              <w:rPr>
                <w:rFonts w:ascii="arial;helvetica;sans-serif" w:hAnsi="arial;helvetica;sans-serif"/>
                <w:sz w:val="20"/>
              </w:rPr>
              <w:t xml:space="preserve"> 18 U.S.C. 1001 and 15 U.S.C. 78ff(a).</w:t>
            </w:r>
          </w:p>
        </w:tc>
      </w:tr>
      <w:tr>
        <w:trPr/>
        <w:tc>
          <w:tcPr>
            <w:tcW w:w="10205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 xml:space="preserve">Note: File three copies of this Form, one of which must be manually signed. If space is insufficient, </w:t>
            </w:r>
            <w:r>
              <w:rPr>
                <w:rFonts w:ascii="arial;helvetica;sans-serif" w:hAnsi="arial;helvetica;sans-serif"/>
                <w:i/>
                <w:sz w:val="20"/>
              </w:rPr>
              <w:t>see</w:t>
            </w:r>
            <w:r>
              <w:rPr>
                <w:rFonts w:ascii="arial;helvetica;sans-serif" w:hAnsi="arial;helvetica;sans-serif"/>
                <w:sz w:val="20"/>
              </w:rPr>
              <w:t xml:space="preserve"> Instruction 6 for procedure.</w:t>
            </w:r>
          </w:p>
        </w:tc>
      </w:tr>
      <w:tr>
        <w:trPr/>
        <w:tc>
          <w:tcPr>
            <w:tcW w:w="10205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b/>
                <w:sz w:val="20"/>
              </w:rPr>
            </w:pPr>
            <w:r>
              <w:rPr>
                <w:rFonts w:ascii="arial;helvetica;sans-serif" w:hAnsi="arial;helvetica;sans-serif"/>
                <w:b/>
                <w:sz w:val="20"/>
              </w:rPr>
              <w:t>Persons who respond to the collection of information contained in this form are not required to respond unless the form displays a currently valid OMB Number.</w:t>
            </w:r>
          </w:p>
        </w:tc>
      </w:tr>
    </w:tbl>
    <w:p>
      <w:pPr>
        <w:pStyle w:val="TextBody"/>
        <w:spacing w:before="0" w:after="283"/>
        <w:rPr/>
      </w:pPr>
      <w:r>
        <w:rPr/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 Unicode MS"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arial">
    <w:altName w:val="helvetica"/>
    <w:charset w:val="00"/>
    <w:family w:val="auto"/>
    <w:pitch w:val="default"/>
  </w:font>
  <w:font w:name="Times">
    <w:altName w:val="Times New Roman"/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1134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Liberation Sans Unicode MS" w:hAnsi="Liberation Sans Unicode MS"/>
      <w:b/>
      <w:bCs/>
      <w:sz w:val="48"/>
      <w:szCs w:val="44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lear" w:pos="1134"/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lear" w:pos="1134"/>
        <w:tab w:val="center" w:pos="4818" w:leader="none"/>
        <w:tab w:val="right" w:pos="9637" w:leader="none"/>
      </w:tabs>
    </w:pPr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Liberation Sans" w:hAnsi="Liberation Sans"/>
      <w:sz w:val="28"/>
      <w:szCs w:val="28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List">
    <w:name w:val="List"/>
    <w:basedOn w:val="TextBody"/>
    <w:pPr/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sec.gov/cgi-bin/browse-edgar?action=getcompany&amp;CIK=0001521334" TargetMode="External"/><Relationship Id="rId4" Type="http://schemas.openxmlformats.org/officeDocument/2006/relationships/hyperlink" Target="http://www.sec.gov/cgi-bin/browse-edgar?action=getcompany&amp;CIK=0000764622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LibreOffice/6.2.2.2$Linux_X86_64 LibreOffice_project/2b840030fec2aae0fd2658d8d4f9548af4e3518d</Application>
  <Pages>1</Pages>
  <Words>959</Words>
  <CharactersWithSpaces>5728</CharactersWithSpaces>
  <Paragraphs>258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