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956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95681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Smith Robert Edgar</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660"/>
        <w:spacing w:after="0" w:line="402" w:lineRule="auto"/>
        <w:rPr>
          <w:sz w:val="20"/>
          <w:szCs w:val="20"/>
          <w:color w:val="auto"/>
        </w:rPr>
      </w:pPr>
      <w:r>
        <w:rPr>
          <w:rFonts w:ascii="Arial" w:cs="Arial" w:eastAsia="Arial" w:hAnsi="Arial"/>
          <w:sz w:val="16"/>
          <w:szCs w:val="16"/>
          <w:color w:val="0000FF"/>
        </w:rPr>
        <w:t>400 NORTH FIFTH STREET MAIL STATION 8602</w:t>
      </w:r>
    </w:p>
    <w:p>
      <w:pPr>
        <w:spacing w:after="0" w:line="161"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920" w:type="dxa"/>
            <w:vAlign w:val="bottom"/>
            <w:gridSpan w:val="2"/>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2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vMerge w:val="continue"/>
          </w:tcPr>
          <w:p>
            <w:pPr>
              <w:spacing w:after="0"/>
              <w:rPr>
                <w:sz w:val="3"/>
                <w:szCs w:val="3"/>
                <w:color w:val="auto"/>
              </w:rPr>
            </w:pPr>
          </w:p>
        </w:tc>
        <w:tc>
          <w:tcPr>
            <w:tcW w:w="1400" w:type="dxa"/>
            <w:vAlign w:val="bottom"/>
            <w:vMerge w:val="continue"/>
          </w:tcPr>
          <w:p>
            <w:pPr>
              <w:spacing w:after="0"/>
              <w:rPr>
                <w:sz w:val="3"/>
                <w:szCs w:val="3"/>
                <w:color w:val="auto"/>
              </w:rPr>
            </w:pPr>
          </w:p>
        </w:tc>
        <w:tc>
          <w:tcPr>
            <w:tcW w:w="15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400" w:type="dxa"/>
            <w:vAlign w:val="bottom"/>
            <w:vMerge w:val="restart"/>
          </w:tcPr>
          <w:p>
            <w:pPr>
              <w:ind w:left="100"/>
              <w:spacing w:after="0" w:line="149" w:lineRule="exact"/>
              <w:rPr>
                <w:sz w:val="20"/>
                <w:szCs w:val="20"/>
                <w:color w:val="auto"/>
              </w:rPr>
            </w:pPr>
            <w:r>
              <w:rPr>
                <w:rFonts w:ascii="Arial" w:cs="Arial" w:eastAsia="Arial" w:hAnsi="Arial"/>
                <w:sz w:val="14"/>
                <w:szCs w:val="14"/>
                <w:color w:val="auto"/>
              </w:rPr>
              <w:t>below)</w:t>
            </w:r>
          </w:p>
        </w:tc>
        <w:tc>
          <w:tcPr>
            <w:tcW w:w="1500" w:type="dxa"/>
            <w:vAlign w:val="bottom"/>
            <w:vMerge w:val="restart"/>
          </w:tcPr>
          <w:p>
            <w:pPr>
              <w:ind w:left="340"/>
              <w:spacing w:after="0" w:line="149"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0"/>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20" w:type="dxa"/>
            <w:vAlign w:val="bottom"/>
          </w:tcPr>
          <w:p>
            <w:pPr>
              <w:spacing w:after="0"/>
              <w:rPr>
                <w:sz w:val="16"/>
                <w:szCs w:val="16"/>
                <w:color w:val="auto"/>
              </w:rPr>
            </w:pPr>
          </w:p>
        </w:tc>
        <w:tc>
          <w:tcPr>
            <w:tcW w:w="2900" w:type="dxa"/>
            <w:vAlign w:val="bottom"/>
            <w:gridSpan w:val="2"/>
          </w:tcPr>
          <w:p>
            <w:pPr>
              <w:ind w:left="280"/>
              <w:spacing w:after="0" w:line="195" w:lineRule="exact"/>
              <w:rPr>
                <w:sz w:val="20"/>
                <w:szCs w:val="20"/>
                <w:color w:val="auto"/>
              </w:rPr>
            </w:pPr>
            <w:r>
              <w:rPr>
                <w:rFonts w:ascii="Arial" w:cs="Arial" w:eastAsia="Arial" w:hAnsi="Arial"/>
                <w:sz w:val="18"/>
                <w:szCs w:val="18"/>
                <w:color w:val="0000FF"/>
              </w:rPr>
              <w:t>SVP and General Counsel</w:t>
            </w: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02/19/2019</w:t>
            </w:r>
          </w:p>
        </w:tc>
        <w:tc>
          <w:tcPr>
            <w:tcW w:w="6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3160" w:type="dxa"/>
            <w:vAlign w:val="bottom"/>
            <w:tcBorders>
              <w:bottom w:val="single" w:sz="8" w:color="2C2C2C"/>
            </w:tcBorders>
          </w:tcPr>
          <w:p>
            <w:pPr>
              <w:spacing w:after="0"/>
              <w:rPr>
                <w:sz w:val="16"/>
                <w:szCs w:val="16"/>
                <w:color w:val="auto"/>
              </w:rPr>
            </w:pPr>
          </w:p>
        </w:tc>
        <w:tc>
          <w:tcPr>
            <w:tcW w:w="620" w:type="dxa"/>
            <w:vAlign w:val="bottom"/>
            <w:tcBorders>
              <w:bottom w:val="single" w:sz="8" w:color="2C2C2C"/>
            </w:tcBorders>
          </w:tcPr>
          <w:p>
            <w:pPr>
              <w:spacing w:after="0"/>
              <w:rPr>
                <w:sz w:val="16"/>
                <w:szCs w:val="16"/>
                <w:color w:val="auto"/>
              </w:rPr>
            </w:pPr>
          </w:p>
        </w:tc>
        <w:tc>
          <w:tcPr>
            <w:tcW w:w="3420" w:type="dxa"/>
            <w:vAlign w:val="bottom"/>
            <w:tcBorders>
              <w:bottom w:val="single" w:sz="8" w:color="2C2C2C"/>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52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40" w:type="dxa"/>
            <w:vAlign w:val="bottom"/>
            <w:vMerge w:val="restart"/>
          </w:tcPr>
          <w:p>
            <w:pPr>
              <w:jc w:val="right"/>
              <w:ind w:right="241"/>
              <w:spacing w:after="0"/>
              <w:rPr>
                <w:sz w:val="20"/>
                <w:szCs w:val="20"/>
                <w:color w:val="auto"/>
              </w:rPr>
            </w:pPr>
            <w:r>
              <w:rPr>
                <w:rFonts w:ascii="Arial" w:cs="Arial" w:eastAsia="Arial" w:hAnsi="Arial"/>
                <w:sz w:val="11"/>
                <w:szCs w:val="11"/>
                <w:color w:val="008000"/>
              </w:rPr>
              <w:t>(2)</w:t>
            </w:r>
          </w:p>
        </w:tc>
        <w:tc>
          <w:tcPr>
            <w:tcW w:w="720" w:type="dxa"/>
            <w:vAlign w:val="bottom"/>
            <w:vMerge w:val="restart"/>
          </w:tcPr>
          <w:p>
            <w:pPr>
              <w:ind w:left="8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2,872</w:t>
            </w:r>
          </w:p>
        </w:tc>
        <w:tc>
          <w:tcPr>
            <w:tcW w:w="72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9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720" w:type="dxa"/>
            <w:vAlign w:val="bottom"/>
          </w:tcPr>
          <w:p>
            <w:pPr>
              <w:ind w:left="60"/>
              <w:spacing w:after="0" w:line="133"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11"/>
                <w:szCs w:val="11"/>
                <w:color w:val="auto"/>
              </w:rPr>
            </w:pPr>
          </w:p>
        </w:tc>
        <w:tc>
          <w:tcPr>
            <w:tcW w:w="1140" w:type="dxa"/>
            <w:vAlign w:val="bottom"/>
          </w:tcPr>
          <w:p>
            <w:pPr>
              <w:jc w:val="right"/>
              <w:ind w:right="198"/>
              <w:spacing w:after="0" w:line="133" w:lineRule="exact"/>
              <w:rPr>
                <w:sz w:val="20"/>
                <w:szCs w:val="20"/>
                <w:color w:val="auto"/>
              </w:rPr>
            </w:pPr>
            <w:r>
              <w:rPr>
                <w:rFonts w:ascii="Arial" w:cs="Arial" w:eastAsia="Arial" w:hAnsi="Arial"/>
                <w:sz w:val="14"/>
                <w:szCs w:val="14"/>
                <w:color w:val="0000FF"/>
              </w:rPr>
              <w:t>02/19/2019</w:t>
            </w:r>
          </w:p>
        </w:tc>
        <w:tc>
          <w:tcPr>
            <w:tcW w:w="1140" w:type="dxa"/>
            <w:vAlign w:val="bottom"/>
          </w:tcPr>
          <w:p>
            <w:pPr>
              <w:spacing w:after="0"/>
              <w:rPr>
                <w:sz w:val="11"/>
                <w:szCs w:val="11"/>
                <w:color w:val="auto"/>
              </w:rPr>
            </w:pPr>
          </w:p>
        </w:tc>
        <w:tc>
          <w:tcPr>
            <w:tcW w:w="820" w:type="dxa"/>
            <w:vAlign w:val="bottom"/>
          </w:tcPr>
          <w:p>
            <w:pPr>
              <w:ind w:left="160"/>
              <w:spacing w:after="0" w:line="133" w:lineRule="exact"/>
              <w:rPr>
                <w:sz w:val="20"/>
                <w:szCs w:val="20"/>
                <w:color w:val="auto"/>
              </w:rPr>
            </w:pPr>
            <w:r>
              <w:rPr>
                <w:rFonts w:ascii="Arial" w:cs="Arial" w:eastAsia="Arial" w:hAnsi="Arial"/>
                <w:sz w:val="14"/>
                <w:szCs w:val="14"/>
                <w:color w:val="0000FF"/>
              </w:rPr>
              <w:t>A</w:t>
            </w:r>
          </w:p>
        </w:tc>
        <w:tc>
          <w:tcPr>
            <w:tcW w:w="500" w:type="dxa"/>
            <w:vAlign w:val="bottom"/>
          </w:tcPr>
          <w:p>
            <w:pPr>
              <w:ind w:left="100"/>
              <w:spacing w:after="0" w:line="133" w:lineRule="exact"/>
              <w:rPr>
                <w:sz w:val="20"/>
                <w:szCs w:val="20"/>
                <w:color w:val="auto"/>
              </w:rPr>
            </w:pPr>
            <w:r>
              <w:rPr>
                <w:rFonts w:ascii="Arial" w:cs="Arial" w:eastAsia="Arial" w:hAnsi="Arial"/>
                <w:sz w:val="14"/>
                <w:szCs w:val="14"/>
                <w:color w:val="0000FF"/>
              </w:rPr>
              <w:t>2,872</w:t>
            </w:r>
          </w:p>
        </w:tc>
        <w:tc>
          <w:tcPr>
            <w:tcW w:w="28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980" w:type="dxa"/>
            <w:vAlign w:val="bottom"/>
          </w:tcPr>
          <w:p>
            <w:pPr>
              <w:ind w:left="340"/>
              <w:spacing w:after="0" w:line="133" w:lineRule="exact"/>
              <w:rPr>
                <w:sz w:val="20"/>
                <w:szCs w:val="20"/>
                <w:color w:val="auto"/>
              </w:rPr>
            </w:pPr>
            <w:r>
              <w:rPr>
                <w:rFonts w:ascii="Arial" w:cs="Arial" w:eastAsia="Arial" w:hAnsi="Arial"/>
                <w:sz w:val="14"/>
                <w:szCs w:val="14"/>
                <w:color w:val="0000FF"/>
              </w:rPr>
              <w:t>2,872</w:t>
            </w:r>
          </w:p>
        </w:tc>
        <w:tc>
          <w:tcPr>
            <w:tcW w:w="760" w:type="dxa"/>
            <w:vAlign w:val="bottom"/>
          </w:tcPr>
          <w:p>
            <w:pPr>
              <w:ind w:left="340"/>
              <w:spacing w:after="0" w:line="133" w:lineRule="exact"/>
              <w:rPr>
                <w:sz w:val="20"/>
                <w:szCs w:val="20"/>
                <w:color w:val="auto"/>
              </w:rPr>
            </w:pPr>
            <w:r>
              <w:rPr>
                <w:rFonts w:ascii="Arial" w:cs="Arial" w:eastAsia="Arial" w:hAnsi="Arial"/>
                <w:sz w:val="14"/>
                <w:szCs w:val="14"/>
                <w:color w:val="0000FF"/>
              </w:rPr>
              <w:t>D</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20" w:type="dxa"/>
            <w:vAlign w:val="bottom"/>
          </w:tcPr>
          <w:p>
            <w:pPr>
              <w:ind w:left="180"/>
              <w:spacing w:after="0" w:line="149" w:lineRule="exact"/>
              <w:rPr>
                <w:sz w:val="20"/>
                <w:szCs w:val="20"/>
                <w:color w:val="auto"/>
              </w:rPr>
            </w:pPr>
            <w:r>
              <w:rPr>
                <w:rFonts w:ascii="Arial" w:cs="Arial" w:eastAsia="Arial" w:hAnsi="Arial"/>
                <w:sz w:val="14"/>
                <w:szCs w:val="14"/>
                <w:color w:val="0000FF"/>
              </w:rPr>
              <w:t>Stock</w:t>
            </w:r>
          </w:p>
        </w:tc>
        <w:tc>
          <w:tcPr>
            <w:tcW w:w="5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720" w:type="dxa"/>
            <w:vAlign w:val="bottom"/>
            <w:vMerge w:val="continue"/>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500" w:type="dxa"/>
            <w:vAlign w:val="bottom"/>
          </w:tcPr>
          <w:p>
            <w:pPr>
              <w:spacing w:after="0"/>
              <w:rPr>
                <w:sz w:val="3"/>
                <w:szCs w:val="3"/>
                <w:color w:val="auto"/>
              </w:rPr>
            </w:pPr>
          </w:p>
        </w:tc>
        <w:tc>
          <w:tcPr>
            <w:tcW w:w="2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20" w:type="dxa"/>
            <w:vAlign w:val="bottom"/>
          </w:tcPr>
          <w:p>
            <w:pPr>
              <w:spacing w:after="0"/>
              <w:rPr>
                <w:sz w:val="3"/>
                <w:szCs w:val="3"/>
                <w:color w:val="auto"/>
              </w:rPr>
            </w:pPr>
          </w:p>
        </w:tc>
        <w:tc>
          <w:tcPr>
            <w:tcW w:w="540" w:type="dxa"/>
            <w:vAlign w:val="bottom"/>
          </w:tcPr>
          <w:p>
            <w:pPr>
              <w:spacing w:after="0"/>
              <w:rPr>
                <w:sz w:val="3"/>
                <w:szCs w:val="3"/>
                <w:color w:val="auto"/>
              </w:rPr>
            </w:pPr>
          </w:p>
        </w:tc>
        <w:tc>
          <w:tcPr>
            <w:tcW w:w="720" w:type="dxa"/>
            <w:vAlign w:val="bottom"/>
          </w:tcPr>
          <w:p>
            <w:pPr>
              <w:spacing w:after="0"/>
              <w:rPr>
                <w:sz w:val="3"/>
                <w:szCs w:val="3"/>
                <w:color w:val="auto"/>
              </w:rPr>
            </w:pPr>
          </w:p>
        </w:tc>
        <w:tc>
          <w:tcPr>
            <w:tcW w:w="9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2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100% shares of common stock, 50% in common stock and 50% in cash, or 100% in cash.</w:t>
      </w:r>
    </w:p>
    <w:p>
      <w:pPr>
        <w:spacing w:after="0" w:line="30" w:lineRule="exact"/>
        <w:rPr>
          <w:rFonts w:ascii="Arial" w:cs="Arial" w:eastAsia="Arial" w:hAnsi="Arial"/>
          <w:sz w:val="14"/>
          <w:szCs w:val="14"/>
          <w:color w:val="008000"/>
        </w:rPr>
      </w:pPr>
    </w:p>
    <w:p>
      <w:pPr>
        <w:ind w:left="40" w:right="2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on February 19, 2019, and vests in four equal, annual installments beginning on February 20, 2020, and will be settled in four equal, annual installments beginning February 20, 2020.</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02/21/2019</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28362"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2020-01-09T13:36:59Z</dcterms:created>
  <dcterms:modified xsi:type="dcterms:W3CDTF">2020-01-09T13:36:59Z</dcterms:modified>
</cp:coreProperties>
</file>