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w:t>
      </w: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19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7, 2014</w:t>
      </w:r>
    </w:p>
    <w:p>
      <w:pPr>
        <w:spacing w:after="0" w:line="20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Exact Name of Registrant as Specified in</w:t>
            </w:r>
          </w:p>
        </w:tc>
        <w:tc>
          <w:tcPr>
            <w:tcW w:w="23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49"/>
        </w:trPr>
        <w:tc>
          <w:tcPr>
            <w:tcW w:w="21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Commission File Number</w:t>
            </w:r>
          </w:p>
        </w:tc>
        <w:tc>
          <w:tcPr>
            <w:tcW w:w="260" w:type="dxa"/>
            <w:vAlign w:val="bottom"/>
            <w:vMerge w:val="restart"/>
          </w:tcPr>
          <w:p>
            <w:pPr>
              <w:spacing w:after="0"/>
              <w:rPr>
                <w:sz w:val="12"/>
                <w:szCs w:val="12"/>
                <w:color w:val="auto"/>
              </w:rPr>
            </w:pPr>
          </w:p>
        </w:tc>
        <w:tc>
          <w:tcPr>
            <w:tcW w:w="66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Charter; State of Incorporation;</w:t>
            </w:r>
          </w:p>
        </w:tc>
        <w:tc>
          <w:tcPr>
            <w:tcW w:w="2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120" w:type="dxa"/>
            <w:vAlign w:val="bottom"/>
            <w:tcBorders>
              <w:bottom w:val="single" w:sz="8" w:color="auto"/>
            </w:tcBorders>
            <w:vMerge w:val="continue"/>
          </w:tcPr>
          <w:p>
            <w:pPr>
              <w:spacing w:after="0"/>
              <w:rPr>
                <w:sz w:val="14"/>
                <w:szCs w:val="14"/>
                <w:color w:val="auto"/>
              </w:rPr>
            </w:pPr>
          </w:p>
        </w:tc>
        <w:tc>
          <w:tcPr>
            <w:tcW w:w="260" w:type="dxa"/>
            <w:vAlign w:val="bottom"/>
            <w:vMerge w:val="continue"/>
          </w:tcPr>
          <w:p>
            <w:pPr>
              <w:spacing w:after="0"/>
              <w:rPr>
                <w:sz w:val="14"/>
                <w:szCs w:val="14"/>
                <w:color w:val="auto"/>
              </w:rPr>
            </w:pPr>
          </w:p>
        </w:tc>
        <w:tc>
          <w:tcPr>
            <w:tcW w:w="6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Address and Telephone Number</w:t>
            </w:r>
          </w:p>
        </w:tc>
        <w:tc>
          <w:tcPr>
            <w:tcW w:w="260" w:type="dxa"/>
            <w:vAlign w:val="bottom"/>
          </w:tcPr>
          <w:p>
            <w:pPr>
              <w:spacing w:after="0"/>
              <w:rPr>
                <w:sz w:val="14"/>
                <w:szCs w:val="14"/>
                <w:color w:val="auto"/>
              </w:rPr>
            </w:pPr>
          </w:p>
        </w:tc>
        <w:tc>
          <w:tcPr>
            <w:tcW w:w="2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Identification Number</w:t>
            </w:r>
          </w:p>
        </w:tc>
        <w:tc>
          <w:tcPr>
            <w:tcW w:w="0" w:type="dxa"/>
            <w:vAlign w:val="bottom"/>
          </w:tcPr>
          <w:p>
            <w:pPr>
              <w:spacing w:after="0"/>
              <w:rPr>
                <w:sz w:val="1"/>
                <w:szCs w:val="1"/>
                <w:color w:val="auto"/>
              </w:rPr>
            </w:pPr>
          </w:p>
        </w:tc>
      </w:tr>
    </w:tbl>
    <w:p>
      <w:pPr>
        <w:spacing w:after="0" w:line="10" w:lineRule="exact"/>
        <w:rPr>
          <w:sz w:val="24"/>
          <w:szCs w:val="24"/>
          <w:color w:val="auto"/>
        </w:rPr>
      </w:pPr>
    </w:p>
    <w:tbl>
      <w:tblPr>
        <w:tblLayout w:type="fixed"/>
        <w:tblInd w:w="820" w:type="dxa"/>
        <w:tblCellMar>
          <w:top w:w="0" w:type="dxa"/>
          <w:left w:w="0" w:type="dxa"/>
          <w:bottom w:w="0" w:type="dxa"/>
          <w:right w:w="0" w:type="dxa"/>
        </w:tblCellMar>
      </w:tblPr>
      <w:tr>
        <w:trPr>
          <w:trHeight w:val="368"/>
        </w:trPr>
        <w:tc>
          <w:tcPr>
            <w:tcW w:w="1020" w:type="dxa"/>
            <w:vAlign w:val="bottom"/>
            <w:vMerge w:val="restart"/>
          </w:tcPr>
          <w:p>
            <w:pPr>
              <w:jc w:val="right"/>
              <w:ind w:right="430"/>
              <w:spacing w:after="0"/>
              <w:rPr>
                <w:sz w:val="20"/>
                <w:szCs w:val="20"/>
                <w:color w:val="auto"/>
              </w:rPr>
            </w:pPr>
            <w:r>
              <w:rPr>
                <w:rFonts w:ascii="Arial" w:cs="Arial" w:eastAsia="Arial" w:hAnsi="Arial"/>
                <w:sz w:val="18"/>
                <w:szCs w:val="18"/>
                <w:b w:val="1"/>
                <w:bCs w:val="1"/>
                <w:color w:val="auto"/>
                <w:w w:val="85"/>
              </w:rPr>
              <w:t>1-8962</w:t>
            </w:r>
          </w:p>
        </w:tc>
        <w:tc>
          <w:tcPr>
            <w:tcW w:w="6680" w:type="dxa"/>
            <w:vAlign w:val="bottom"/>
          </w:tcPr>
          <w:p>
            <w:pPr>
              <w:ind w:left="540"/>
              <w:spacing w:after="0"/>
              <w:rPr>
                <w:sz w:val="20"/>
                <w:szCs w:val="20"/>
                <w:color w:val="auto"/>
              </w:rPr>
            </w:pPr>
            <w:r>
              <w:rPr>
                <w:rFonts w:ascii="Arial" w:cs="Arial" w:eastAsia="Arial" w:hAnsi="Arial"/>
                <w:sz w:val="32"/>
                <w:szCs w:val="32"/>
                <w:b w:val="1"/>
                <w:bCs w:val="1"/>
                <w:color w:val="auto"/>
              </w:rPr>
              <w:t>Pinnacle West Capital Corporation</w:t>
            </w:r>
          </w:p>
        </w:tc>
        <w:tc>
          <w:tcPr>
            <w:tcW w:w="21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86-0512431</w:t>
            </w:r>
          </w:p>
        </w:tc>
        <w:tc>
          <w:tcPr>
            <w:tcW w:w="0" w:type="dxa"/>
            <w:vAlign w:val="bottom"/>
          </w:tcPr>
          <w:p>
            <w:pPr>
              <w:spacing w:after="0"/>
              <w:rPr>
                <w:sz w:val="1"/>
                <w:szCs w:val="1"/>
                <w:color w:val="auto"/>
              </w:rPr>
            </w:pPr>
          </w:p>
        </w:tc>
      </w:tr>
      <w:tr>
        <w:trPr>
          <w:trHeight w:val="54"/>
        </w:trPr>
        <w:tc>
          <w:tcPr>
            <w:tcW w:w="1020" w:type="dxa"/>
            <w:vAlign w:val="bottom"/>
            <w:vMerge w:val="continue"/>
          </w:tcPr>
          <w:p>
            <w:pPr>
              <w:spacing w:after="0"/>
              <w:rPr>
                <w:sz w:val="4"/>
                <w:szCs w:val="4"/>
                <w:color w:val="auto"/>
              </w:rPr>
            </w:pPr>
          </w:p>
        </w:tc>
        <w:tc>
          <w:tcPr>
            <w:tcW w:w="6680" w:type="dxa"/>
            <w:vAlign w:val="bottom"/>
          </w:tcPr>
          <w:p>
            <w:pPr>
              <w:spacing w:after="0"/>
              <w:rPr>
                <w:sz w:val="4"/>
                <w:szCs w:val="4"/>
                <w:color w:val="auto"/>
              </w:rPr>
            </w:pPr>
          </w:p>
        </w:tc>
        <w:tc>
          <w:tcPr>
            <w:tcW w:w="2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46"/>
        </w:trPr>
        <w:tc>
          <w:tcPr>
            <w:tcW w:w="1020" w:type="dxa"/>
            <w:vAlign w:val="bottom"/>
          </w:tcPr>
          <w:p>
            <w:pPr>
              <w:spacing w:after="0"/>
              <w:rPr>
                <w:sz w:val="24"/>
                <w:szCs w:val="24"/>
                <w:color w:val="auto"/>
              </w:rPr>
            </w:pPr>
          </w:p>
        </w:tc>
        <w:tc>
          <w:tcPr>
            <w:tcW w:w="6680" w:type="dxa"/>
            <w:vAlign w:val="bottom"/>
          </w:tcPr>
          <w:p>
            <w:pPr>
              <w:ind w:left="540"/>
              <w:spacing w:after="0"/>
              <w:rPr>
                <w:sz w:val="20"/>
                <w:szCs w:val="20"/>
                <w:color w:val="auto"/>
              </w:rPr>
            </w:pPr>
            <w:r>
              <w:rPr>
                <w:rFonts w:ascii="Arial" w:cs="Arial" w:eastAsia="Arial" w:hAnsi="Arial"/>
                <w:sz w:val="18"/>
                <w:szCs w:val="18"/>
                <w:b w:val="1"/>
                <w:bCs w:val="1"/>
                <w:color w:val="auto"/>
              </w:rPr>
              <w:t>(an Arizona corporation)</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6680" w:type="dxa"/>
            <w:vAlign w:val="bottom"/>
          </w:tcPr>
          <w:p>
            <w:pPr>
              <w:ind w:left="540"/>
              <w:spacing w:after="0"/>
              <w:rPr>
                <w:sz w:val="20"/>
                <w:szCs w:val="20"/>
                <w:color w:val="auto"/>
              </w:rPr>
            </w:pPr>
            <w:r>
              <w:rPr>
                <w:rFonts w:ascii="Arial" w:cs="Arial" w:eastAsia="Arial" w:hAnsi="Arial"/>
                <w:sz w:val="18"/>
                <w:szCs w:val="18"/>
                <w:b w:val="1"/>
                <w:bCs w:val="1"/>
                <w:color w:val="auto"/>
              </w:rPr>
              <w:t>400 North Fifth Street, P.O. Box 53999</w:t>
            </w: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6680" w:type="dxa"/>
            <w:vAlign w:val="bottom"/>
          </w:tcPr>
          <w:p>
            <w:pPr>
              <w:ind w:left="540"/>
              <w:spacing w:after="0"/>
              <w:rPr>
                <w:sz w:val="20"/>
                <w:szCs w:val="20"/>
                <w:color w:val="auto"/>
              </w:rPr>
            </w:pPr>
            <w:r>
              <w:rPr>
                <w:rFonts w:ascii="Arial" w:cs="Arial" w:eastAsia="Arial" w:hAnsi="Arial"/>
                <w:sz w:val="18"/>
                <w:szCs w:val="18"/>
                <w:b w:val="1"/>
                <w:bCs w:val="1"/>
                <w:color w:val="auto"/>
              </w:rPr>
              <w:t>Phoenix, AZ 85072-3999</w:t>
            </w: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20" w:type="dxa"/>
            <w:vAlign w:val="bottom"/>
          </w:tcPr>
          <w:p>
            <w:pPr>
              <w:spacing w:after="0"/>
              <w:rPr>
                <w:sz w:val="20"/>
                <w:szCs w:val="20"/>
                <w:color w:val="auto"/>
              </w:rPr>
            </w:pPr>
          </w:p>
        </w:tc>
        <w:tc>
          <w:tcPr>
            <w:tcW w:w="6680" w:type="dxa"/>
            <w:vAlign w:val="bottom"/>
          </w:tcPr>
          <w:p>
            <w:pPr>
              <w:ind w:left="540"/>
              <w:spacing w:after="0"/>
              <w:rPr>
                <w:sz w:val="20"/>
                <w:szCs w:val="20"/>
                <w:color w:val="auto"/>
              </w:rPr>
            </w:pPr>
            <w:r>
              <w:rPr>
                <w:rFonts w:ascii="Arial" w:cs="Arial" w:eastAsia="Arial" w:hAnsi="Arial"/>
                <w:sz w:val="18"/>
                <w:szCs w:val="18"/>
                <w:b w:val="1"/>
                <w:bCs w:val="1"/>
                <w:color w:val="auto"/>
              </w:rPr>
              <w:t>(602) 250-1000</w:t>
            </w:r>
          </w:p>
        </w:tc>
        <w:tc>
          <w:tcPr>
            <w:tcW w:w="2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1020" w:type="dxa"/>
            <w:vAlign w:val="bottom"/>
            <w:vMerge w:val="restart"/>
          </w:tcPr>
          <w:p>
            <w:pPr>
              <w:jc w:val="right"/>
              <w:ind w:right="430"/>
              <w:spacing w:after="0"/>
              <w:rPr>
                <w:sz w:val="20"/>
                <w:szCs w:val="20"/>
                <w:color w:val="auto"/>
              </w:rPr>
            </w:pPr>
            <w:r>
              <w:rPr>
                <w:rFonts w:ascii="Arial" w:cs="Arial" w:eastAsia="Arial" w:hAnsi="Arial"/>
                <w:sz w:val="18"/>
                <w:szCs w:val="18"/>
                <w:b w:val="1"/>
                <w:bCs w:val="1"/>
                <w:color w:val="auto"/>
                <w:w w:val="85"/>
              </w:rPr>
              <w:t>1-4473</w:t>
            </w:r>
          </w:p>
        </w:tc>
        <w:tc>
          <w:tcPr>
            <w:tcW w:w="6680" w:type="dxa"/>
            <w:vAlign w:val="bottom"/>
          </w:tcPr>
          <w:p>
            <w:pPr>
              <w:ind w:left="540"/>
              <w:spacing w:after="0"/>
              <w:rPr>
                <w:sz w:val="20"/>
                <w:szCs w:val="20"/>
                <w:color w:val="auto"/>
              </w:rPr>
            </w:pPr>
            <w:r>
              <w:rPr>
                <w:rFonts w:ascii="Arial" w:cs="Arial" w:eastAsia="Arial" w:hAnsi="Arial"/>
                <w:sz w:val="32"/>
                <w:szCs w:val="32"/>
                <w:b w:val="1"/>
                <w:bCs w:val="1"/>
                <w:color w:val="auto"/>
              </w:rPr>
              <w:t>Arizona Public Service Company</w:t>
            </w:r>
          </w:p>
        </w:tc>
        <w:tc>
          <w:tcPr>
            <w:tcW w:w="21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86-0011170</w:t>
            </w:r>
          </w:p>
        </w:tc>
        <w:tc>
          <w:tcPr>
            <w:tcW w:w="0" w:type="dxa"/>
            <w:vAlign w:val="bottom"/>
          </w:tcPr>
          <w:p>
            <w:pPr>
              <w:spacing w:after="0"/>
              <w:rPr>
                <w:sz w:val="1"/>
                <w:szCs w:val="1"/>
                <w:color w:val="auto"/>
              </w:rPr>
            </w:pPr>
          </w:p>
        </w:tc>
      </w:tr>
      <w:tr>
        <w:trPr>
          <w:trHeight w:val="54"/>
        </w:trPr>
        <w:tc>
          <w:tcPr>
            <w:tcW w:w="1020" w:type="dxa"/>
            <w:vAlign w:val="bottom"/>
            <w:vMerge w:val="continue"/>
          </w:tcPr>
          <w:p>
            <w:pPr>
              <w:spacing w:after="0"/>
              <w:rPr>
                <w:sz w:val="4"/>
                <w:szCs w:val="4"/>
                <w:color w:val="auto"/>
              </w:rPr>
            </w:pPr>
          </w:p>
        </w:tc>
        <w:tc>
          <w:tcPr>
            <w:tcW w:w="6680" w:type="dxa"/>
            <w:vAlign w:val="bottom"/>
          </w:tcPr>
          <w:p>
            <w:pPr>
              <w:spacing w:after="0"/>
              <w:rPr>
                <w:sz w:val="4"/>
                <w:szCs w:val="4"/>
                <w:color w:val="auto"/>
              </w:rPr>
            </w:pPr>
          </w:p>
        </w:tc>
        <w:tc>
          <w:tcPr>
            <w:tcW w:w="2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30" w:lineRule="exact"/>
        <w:rPr>
          <w:sz w:val="24"/>
          <w:szCs w:val="24"/>
          <w:color w:val="auto"/>
        </w:rPr>
      </w:pPr>
    </w:p>
    <w:p>
      <w:pPr>
        <w:ind w:left="2380"/>
        <w:spacing w:after="0"/>
        <w:rPr>
          <w:sz w:val="20"/>
          <w:szCs w:val="20"/>
          <w:color w:val="auto"/>
        </w:rPr>
      </w:pPr>
      <w:r>
        <w:rPr>
          <w:rFonts w:ascii="Arial" w:cs="Arial" w:eastAsia="Arial" w:hAnsi="Arial"/>
          <w:sz w:val="18"/>
          <w:szCs w:val="18"/>
          <w:b w:val="1"/>
          <w:bCs w:val="1"/>
          <w:color w:val="auto"/>
        </w:rPr>
        <w:t>(an Arizona corporation)</w:t>
      </w:r>
    </w:p>
    <w:p>
      <w:pPr>
        <w:spacing w:after="0" w:line="27" w:lineRule="exact"/>
        <w:rPr>
          <w:sz w:val="24"/>
          <w:szCs w:val="24"/>
          <w:color w:val="auto"/>
        </w:rPr>
      </w:pPr>
    </w:p>
    <w:p>
      <w:pPr>
        <w:ind w:left="2380"/>
        <w:spacing w:after="0"/>
        <w:rPr>
          <w:sz w:val="20"/>
          <w:szCs w:val="20"/>
          <w:color w:val="auto"/>
        </w:rPr>
      </w:pPr>
      <w:r>
        <w:rPr>
          <w:rFonts w:ascii="Arial" w:cs="Arial" w:eastAsia="Arial" w:hAnsi="Arial"/>
          <w:sz w:val="18"/>
          <w:szCs w:val="18"/>
          <w:b w:val="1"/>
          <w:bCs w:val="1"/>
          <w:color w:val="auto"/>
        </w:rPr>
        <w:t>400 North Fifth Street, P.O. Box 53999</w:t>
      </w:r>
    </w:p>
    <w:p>
      <w:pPr>
        <w:spacing w:after="0" w:line="9" w:lineRule="exact"/>
        <w:rPr>
          <w:sz w:val="24"/>
          <w:szCs w:val="24"/>
          <w:color w:val="auto"/>
        </w:rPr>
      </w:pPr>
    </w:p>
    <w:p>
      <w:pPr>
        <w:ind w:left="2380"/>
        <w:spacing w:after="0"/>
        <w:rPr>
          <w:sz w:val="20"/>
          <w:szCs w:val="20"/>
          <w:color w:val="auto"/>
        </w:rPr>
      </w:pPr>
      <w:r>
        <w:rPr>
          <w:rFonts w:ascii="Arial" w:cs="Arial" w:eastAsia="Arial" w:hAnsi="Arial"/>
          <w:sz w:val="18"/>
          <w:szCs w:val="18"/>
          <w:b w:val="1"/>
          <w:bCs w:val="1"/>
          <w:color w:val="auto"/>
        </w:rPr>
        <w:t>Phoenix, AZ 85072-3999</w:t>
      </w:r>
    </w:p>
    <w:p>
      <w:pPr>
        <w:spacing w:after="0" w:line="9" w:lineRule="exact"/>
        <w:rPr>
          <w:sz w:val="24"/>
          <w:szCs w:val="24"/>
          <w:color w:val="auto"/>
        </w:rPr>
      </w:pPr>
    </w:p>
    <w:p>
      <w:pPr>
        <w:ind w:left="2380"/>
        <w:spacing w:after="0"/>
        <w:rPr>
          <w:sz w:val="20"/>
          <w:szCs w:val="20"/>
          <w:color w:val="auto"/>
        </w:rPr>
      </w:pPr>
      <w:r>
        <w:rPr>
          <w:rFonts w:ascii="Arial" w:cs="Arial" w:eastAsia="Arial" w:hAnsi="Arial"/>
          <w:sz w:val="18"/>
          <w:szCs w:val="18"/>
          <w:b w:val="1"/>
          <w:bCs w:val="1"/>
          <w:color w:val="auto"/>
        </w:rPr>
        <w:t>(602) 250-1000</w:t>
      </w:r>
    </w:p>
    <w:p>
      <w:pPr>
        <w:spacing w:after="0" w:line="211" w:lineRule="exact"/>
        <w:rPr>
          <w:sz w:val="24"/>
          <w:szCs w:val="24"/>
          <w:color w:val="auto"/>
        </w:rPr>
      </w:pPr>
    </w:p>
    <w:p>
      <w:pPr>
        <w:ind w:right="22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25" w:lineRule="exact"/>
        <w:rPr>
          <w:sz w:val="24"/>
          <w:szCs w:val="24"/>
          <w:color w:val="auto"/>
        </w:rPr>
      </w:pPr>
    </w:p>
    <w:p>
      <w:pPr>
        <w:ind w:right="260" w:firstLine="648"/>
        <w:spacing w:after="0" w:line="259" w:lineRule="auto"/>
        <w:rPr>
          <w:sz w:val="20"/>
          <w:szCs w:val="20"/>
          <w:color w:val="auto"/>
        </w:rPr>
      </w:pPr>
      <w:r>
        <w:rPr>
          <w:rFonts w:ascii="Arial" w:cs="Arial" w:eastAsia="Arial" w:hAnsi="Arial"/>
          <w:sz w:val="18"/>
          <w:szCs w:val="18"/>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170815</wp:posOffset>
            </wp:positionV>
            <wp:extent cx="72466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408940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4"/>
          <w:szCs w:val="24"/>
          <w:color w:val="auto"/>
        </w:rPr>
      </w:pPr>
    </w:p>
    <w:p>
      <w:pPr>
        <w:ind w:firstLine="648"/>
        <w:spacing w:after="0" w:line="291" w:lineRule="auto"/>
        <w:rPr>
          <w:sz w:val="20"/>
          <w:szCs w:val="20"/>
          <w:color w:val="auto"/>
        </w:rPr>
      </w:pPr>
      <w:r>
        <w:rPr>
          <w:rFonts w:ascii="Arial" w:cs="Arial" w:eastAsia="Arial" w:hAnsi="Arial"/>
          <w:sz w:val="16"/>
          <w:szCs w:val="16"/>
          <w:color w:val="auto"/>
        </w:rPr>
        <w:t>As previously reported, in 1986 Arizona Public Service Company (“APS”) entered into agreements with three separate lessor trust entities in order to sell and lease back interests in Palo Verde Nuclear Generating Station Unit 2 and related common facilities. Two of the leases were entered into in</w:t>
      </w:r>
    </w:p>
    <w:p>
      <w:pPr>
        <w:jc w:val="both"/>
        <w:ind w:right="240"/>
        <w:spacing w:after="0" w:line="302" w:lineRule="auto"/>
        <w:rPr>
          <w:sz w:val="20"/>
          <w:szCs w:val="20"/>
          <w:color w:val="auto"/>
        </w:rPr>
      </w:pPr>
      <w:r>
        <w:rPr>
          <w:rFonts w:ascii="Arial" w:cs="Arial" w:eastAsia="Arial" w:hAnsi="Arial"/>
          <w:sz w:val="16"/>
          <w:szCs w:val="16"/>
          <w:color w:val="auto"/>
        </w:rPr>
        <w:t>August 1986 (the “August Leases”), and the third lease was entered into in December 1986 (the “December Lease”). Each lease is between APS and U.S. Bank National Association, not in its individual capacity, but solely as Owner Trustee under trust agreements with each of Emerson Finance LLC, Security Pacific Capital Leasing Corporation, and PV2-APS 150 Corporation (assignee of Chase Manhattan Realty Leasing Corporation), respectively.</w:t>
      </w:r>
    </w:p>
    <w:p>
      <w:pPr>
        <w:spacing w:after="0" w:line="155" w:lineRule="exact"/>
        <w:rPr>
          <w:sz w:val="24"/>
          <w:szCs w:val="24"/>
          <w:color w:val="auto"/>
        </w:rPr>
      </w:pPr>
    </w:p>
    <w:p>
      <w:pPr>
        <w:ind w:right="60" w:firstLine="648"/>
        <w:spacing w:after="0" w:line="257" w:lineRule="auto"/>
        <w:rPr>
          <w:sz w:val="20"/>
          <w:szCs w:val="20"/>
          <w:color w:val="auto"/>
        </w:rPr>
      </w:pPr>
      <w:r>
        <w:rPr>
          <w:rFonts w:ascii="Arial" w:cs="Arial" w:eastAsia="Arial" w:hAnsi="Arial"/>
          <w:sz w:val="18"/>
          <w:szCs w:val="18"/>
          <w:color w:val="auto"/>
        </w:rPr>
        <w:t>APS will pay approximately $49 million per year during 2014 and 2015 related to these leases. All three leases will expire on December 31, 2015, unless extended. On July 7, 2014, APS provided irrevocable notice that APS will exercise its option to renew the August Leases through December 31, 2033 and the December Lease through December 31, 2023. APS will be required to make annual payments under the August Leases and the December Lease aggregating approximately $23 million for 2016 and beyond. APS has the option to purchase the leased interests at their respective fair market values at the end of 2033 (the August Leases) and 2023 (the December Lease).</w:t>
      </w:r>
    </w:p>
    <w:p>
      <w:pPr>
        <w:spacing w:after="0" w:line="18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SIGNATURES</w:t>
      </w:r>
    </w:p>
    <w:p>
      <w:pPr>
        <w:sectPr>
          <w:pgSz w:w="11900" w:h="16838" w:orient="portrait"/>
          <w:cols w:equalWidth="0" w:num="1">
            <w:col w:w="11420"/>
          </w:cols>
          <w:pgMar w:left="240" w:top="544" w:right="239" w:bottom="0" w:gutter="0" w:footer="0" w:header="0"/>
        </w:sectPr>
      </w:pPr>
    </w:p>
    <w:bookmarkStart w:id="1" w:name="page2"/>
    <w:bookmarkEnd w:id="1"/>
    <w:p>
      <w:pPr>
        <w:ind w:right="4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40" w:type="dxa"/>
            <w:vAlign w:val="bottom"/>
          </w:tcPr>
          <w:p>
            <w:pPr>
              <w:spacing w:after="0"/>
              <w:rPr>
                <w:sz w:val="18"/>
                <w:szCs w:val="18"/>
                <w:color w:val="auto"/>
              </w:rPr>
            </w:pPr>
          </w:p>
        </w:tc>
        <w:tc>
          <w:tcPr>
            <w:tcW w:w="7880" w:type="dxa"/>
            <w:vAlign w:val="bottom"/>
            <w:gridSpan w:val="2"/>
          </w:tcPr>
          <w:p>
            <w:pPr>
              <w:ind w:left="2180"/>
              <w:spacing w:after="0"/>
              <w:rPr>
                <w:sz w:val="20"/>
                <w:szCs w:val="20"/>
                <w:color w:val="auto"/>
              </w:rPr>
            </w:pPr>
            <w:r>
              <w:rPr>
                <w:rFonts w:ascii="Arial" w:cs="Arial" w:eastAsia="Arial" w:hAnsi="Arial"/>
                <w:sz w:val="18"/>
                <w:szCs w:val="18"/>
                <w:color w:val="auto"/>
              </w:rPr>
              <w:t>PINNACLE WEST CAPITAL CORPORATION</w:t>
            </w:r>
          </w:p>
        </w:tc>
        <w:tc>
          <w:tcPr>
            <w:tcW w:w="4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p>
        </w:tc>
        <w:tc>
          <w:tcPr>
            <w:tcW w:w="7880" w:type="dxa"/>
            <w:vAlign w:val="bottom"/>
            <w:gridSpan w:val="2"/>
          </w:tcPr>
          <w:p>
            <w:pPr>
              <w:ind w:left="218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r>
      <w:tr>
        <w:trPr>
          <w:trHeight w:val="648"/>
        </w:trPr>
        <w:tc>
          <w:tcPr>
            <w:tcW w:w="3540" w:type="dxa"/>
            <w:vAlign w:val="bottom"/>
          </w:tcPr>
          <w:p>
            <w:pPr>
              <w:spacing w:after="0"/>
              <w:rPr>
                <w:sz w:val="20"/>
                <w:szCs w:val="20"/>
                <w:color w:val="auto"/>
              </w:rPr>
            </w:pPr>
            <w:r>
              <w:rPr>
                <w:rFonts w:ascii="Arial" w:cs="Arial" w:eastAsia="Arial" w:hAnsi="Arial"/>
                <w:sz w:val="18"/>
                <w:szCs w:val="18"/>
                <w:color w:val="auto"/>
              </w:rPr>
              <w:t>Dated: July 9, 2014</w:t>
            </w:r>
          </w:p>
        </w:tc>
        <w:tc>
          <w:tcPr>
            <w:tcW w:w="2680" w:type="dxa"/>
            <w:vAlign w:val="bottom"/>
          </w:tcPr>
          <w:p>
            <w:pPr>
              <w:ind w:left="2180"/>
              <w:spacing w:after="0"/>
              <w:rPr>
                <w:sz w:val="20"/>
                <w:szCs w:val="20"/>
                <w:color w:val="auto"/>
              </w:rPr>
            </w:pPr>
            <w:r>
              <w:rPr>
                <w:rFonts w:ascii="Arial" w:cs="Arial" w:eastAsia="Arial" w:hAnsi="Arial"/>
                <w:sz w:val="18"/>
                <w:szCs w:val="18"/>
                <w:color w:val="auto"/>
              </w:rPr>
              <w:t>By:</w:t>
            </w:r>
          </w:p>
        </w:tc>
        <w:tc>
          <w:tcPr>
            <w:tcW w:w="52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40" w:type="dxa"/>
            <w:vAlign w:val="bottom"/>
          </w:tcPr>
          <w:p>
            <w:pPr>
              <w:spacing w:after="0"/>
              <w:rPr>
                <w:sz w:val="24"/>
                <w:szCs w:val="24"/>
                <w:color w:val="auto"/>
              </w:rPr>
            </w:pPr>
          </w:p>
        </w:tc>
      </w:tr>
      <w:tr>
        <w:trPr>
          <w:trHeight w:val="195"/>
        </w:trPr>
        <w:tc>
          <w:tcPr>
            <w:tcW w:w="3540" w:type="dxa"/>
            <w:vAlign w:val="bottom"/>
          </w:tcPr>
          <w:p>
            <w:pPr>
              <w:spacing w:after="0"/>
              <w:rPr>
                <w:sz w:val="16"/>
                <w:szCs w:val="16"/>
                <w:color w:val="auto"/>
              </w:rPr>
            </w:pPr>
          </w:p>
        </w:tc>
        <w:tc>
          <w:tcPr>
            <w:tcW w:w="2680" w:type="dxa"/>
            <w:vAlign w:val="bottom"/>
          </w:tcPr>
          <w:p>
            <w:pPr>
              <w:spacing w:after="0"/>
              <w:rPr>
                <w:sz w:val="16"/>
                <w:szCs w:val="16"/>
                <w:color w:val="auto"/>
              </w:rPr>
            </w:pPr>
          </w:p>
        </w:tc>
        <w:tc>
          <w:tcPr>
            <w:tcW w:w="5200" w:type="dxa"/>
            <w:vAlign w:val="bottom"/>
          </w:tcPr>
          <w:p>
            <w:pPr>
              <w:spacing w:after="0" w:line="195" w:lineRule="exact"/>
              <w:rPr>
                <w:sz w:val="20"/>
                <w:szCs w:val="20"/>
                <w:color w:val="auto"/>
              </w:rPr>
            </w:pPr>
            <w:r>
              <w:rPr>
                <w:rFonts w:ascii="Arial" w:cs="Arial" w:eastAsia="Arial" w:hAnsi="Arial"/>
                <w:sz w:val="18"/>
                <w:szCs w:val="18"/>
                <w:color w:val="auto"/>
              </w:rPr>
              <w:t>James R. Hatfield</w:t>
            </w:r>
          </w:p>
        </w:tc>
        <w:tc>
          <w:tcPr>
            <w:tcW w:w="40" w:type="dxa"/>
            <w:vAlign w:val="bottom"/>
          </w:tcPr>
          <w:p>
            <w:pPr>
              <w:spacing w:after="0"/>
              <w:rPr>
                <w:sz w:val="16"/>
                <w:szCs w:val="16"/>
                <w:color w:val="auto"/>
              </w:rPr>
            </w:pPr>
          </w:p>
        </w:tc>
      </w:tr>
      <w:tr>
        <w:trPr>
          <w:trHeight w:val="216"/>
        </w:trPr>
        <w:tc>
          <w:tcPr>
            <w:tcW w:w="354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Executive Vice President and</w:t>
            </w:r>
          </w:p>
        </w:tc>
        <w:tc>
          <w:tcPr>
            <w:tcW w:w="4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20"/>
                <w:szCs w:val="20"/>
                <w:color w:val="auto"/>
              </w:rPr>
            </w:pPr>
          </w:p>
        </w:tc>
      </w:tr>
      <w:tr>
        <w:trPr>
          <w:trHeight w:val="634"/>
        </w:trPr>
        <w:tc>
          <w:tcPr>
            <w:tcW w:w="3540" w:type="dxa"/>
            <w:vAlign w:val="bottom"/>
          </w:tcPr>
          <w:p>
            <w:pPr>
              <w:spacing w:after="0"/>
              <w:rPr>
                <w:sz w:val="24"/>
                <w:szCs w:val="24"/>
                <w:color w:val="auto"/>
              </w:rPr>
            </w:pPr>
          </w:p>
        </w:tc>
        <w:tc>
          <w:tcPr>
            <w:tcW w:w="7880" w:type="dxa"/>
            <w:vAlign w:val="bottom"/>
            <w:gridSpan w:val="2"/>
          </w:tcPr>
          <w:p>
            <w:pPr>
              <w:ind w:left="2180"/>
              <w:spacing w:after="0"/>
              <w:rPr>
                <w:sz w:val="20"/>
                <w:szCs w:val="20"/>
                <w:color w:val="auto"/>
              </w:rPr>
            </w:pPr>
            <w:r>
              <w:rPr>
                <w:rFonts w:ascii="Arial" w:cs="Arial" w:eastAsia="Arial" w:hAnsi="Arial"/>
                <w:sz w:val="18"/>
                <w:szCs w:val="18"/>
                <w:color w:val="auto"/>
              </w:rPr>
              <w:t>ARIZONA PUBLIC SERVICE COMPANY</w:t>
            </w:r>
          </w:p>
        </w:tc>
        <w:tc>
          <w:tcPr>
            <w:tcW w:w="40" w:type="dxa"/>
            <w:vAlign w:val="bottom"/>
          </w:tcPr>
          <w:p>
            <w:pPr>
              <w:spacing w:after="0"/>
              <w:rPr>
                <w:sz w:val="24"/>
                <w:szCs w:val="24"/>
                <w:color w:val="auto"/>
              </w:rPr>
            </w:pPr>
          </w:p>
        </w:tc>
      </w:tr>
      <w:tr>
        <w:trPr>
          <w:trHeight w:val="230"/>
        </w:trPr>
        <w:tc>
          <w:tcPr>
            <w:tcW w:w="3540" w:type="dxa"/>
            <w:vAlign w:val="bottom"/>
          </w:tcPr>
          <w:p>
            <w:pPr>
              <w:spacing w:after="0"/>
              <w:rPr>
                <w:sz w:val="20"/>
                <w:szCs w:val="20"/>
                <w:color w:val="auto"/>
              </w:rPr>
            </w:pPr>
          </w:p>
        </w:tc>
        <w:tc>
          <w:tcPr>
            <w:tcW w:w="7880" w:type="dxa"/>
            <w:vAlign w:val="bottom"/>
            <w:gridSpan w:val="2"/>
          </w:tcPr>
          <w:p>
            <w:pPr>
              <w:ind w:left="218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r>
      <w:tr>
        <w:trPr>
          <w:trHeight w:val="648"/>
        </w:trPr>
        <w:tc>
          <w:tcPr>
            <w:tcW w:w="3540" w:type="dxa"/>
            <w:vAlign w:val="bottom"/>
          </w:tcPr>
          <w:p>
            <w:pPr>
              <w:spacing w:after="0"/>
              <w:rPr>
                <w:sz w:val="20"/>
                <w:szCs w:val="20"/>
                <w:color w:val="auto"/>
              </w:rPr>
            </w:pPr>
            <w:r>
              <w:rPr>
                <w:rFonts w:ascii="Arial" w:cs="Arial" w:eastAsia="Arial" w:hAnsi="Arial"/>
                <w:sz w:val="18"/>
                <w:szCs w:val="18"/>
                <w:color w:val="auto"/>
              </w:rPr>
              <w:t>Dated: July 9, 2014</w:t>
            </w:r>
          </w:p>
        </w:tc>
        <w:tc>
          <w:tcPr>
            <w:tcW w:w="2680" w:type="dxa"/>
            <w:vAlign w:val="bottom"/>
          </w:tcPr>
          <w:p>
            <w:pPr>
              <w:ind w:left="2180"/>
              <w:spacing w:after="0"/>
              <w:rPr>
                <w:sz w:val="20"/>
                <w:szCs w:val="20"/>
                <w:color w:val="auto"/>
              </w:rPr>
            </w:pPr>
            <w:r>
              <w:rPr>
                <w:rFonts w:ascii="Arial" w:cs="Arial" w:eastAsia="Arial" w:hAnsi="Arial"/>
                <w:sz w:val="18"/>
                <w:szCs w:val="18"/>
                <w:color w:val="auto"/>
              </w:rPr>
              <w:t>By:</w:t>
            </w:r>
          </w:p>
        </w:tc>
        <w:tc>
          <w:tcPr>
            <w:tcW w:w="52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40" w:type="dxa"/>
            <w:vAlign w:val="bottom"/>
          </w:tcPr>
          <w:p>
            <w:pPr>
              <w:spacing w:after="0"/>
              <w:rPr>
                <w:sz w:val="24"/>
                <w:szCs w:val="24"/>
                <w:color w:val="auto"/>
              </w:rPr>
            </w:pPr>
          </w:p>
        </w:tc>
      </w:tr>
      <w:tr>
        <w:trPr>
          <w:trHeight w:val="195"/>
        </w:trPr>
        <w:tc>
          <w:tcPr>
            <w:tcW w:w="3540" w:type="dxa"/>
            <w:vAlign w:val="bottom"/>
          </w:tcPr>
          <w:p>
            <w:pPr>
              <w:spacing w:after="0"/>
              <w:rPr>
                <w:sz w:val="16"/>
                <w:szCs w:val="16"/>
                <w:color w:val="auto"/>
              </w:rPr>
            </w:pPr>
          </w:p>
        </w:tc>
        <w:tc>
          <w:tcPr>
            <w:tcW w:w="2680" w:type="dxa"/>
            <w:vAlign w:val="bottom"/>
          </w:tcPr>
          <w:p>
            <w:pPr>
              <w:spacing w:after="0"/>
              <w:rPr>
                <w:sz w:val="16"/>
                <w:szCs w:val="16"/>
                <w:color w:val="auto"/>
              </w:rPr>
            </w:pPr>
          </w:p>
        </w:tc>
        <w:tc>
          <w:tcPr>
            <w:tcW w:w="5200" w:type="dxa"/>
            <w:vAlign w:val="bottom"/>
          </w:tcPr>
          <w:p>
            <w:pPr>
              <w:spacing w:after="0" w:line="195" w:lineRule="exact"/>
              <w:rPr>
                <w:sz w:val="20"/>
                <w:szCs w:val="20"/>
                <w:color w:val="auto"/>
              </w:rPr>
            </w:pPr>
            <w:r>
              <w:rPr>
                <w:rFonts w:ascii="Arial" w:cs="Arial" w:eastAsia="Arial" w:hAnsi="Arial"/>
                <w:sz w:val="18"/>
                <w:szCs w:val="18"/>
                <w:color w:val="auto"/>
              </w:rPr>
              <w:t>James R. Hatfield</w:t>
            </w:r>
          </w:p>
        </w:tc>
        <w:tc>
          <w:tcPr>
            <w:tcW w:w="40" w:type="dxa"/>
            <w:vAlign w:val="bottom"/>
          </w:tcPr>
          <w:p>
            <w:pPr>
              <w:spacing w:after="0"/>
              <w:rPr>
                <w:sz w:val="16"/>
                <w:szCs w:val="16"/>
                <w:color w:val="auto"/>
              </w:rPr>
            </w:pPr>
          </w:p>
        </w:tc>
      </w:tr>
      <w:tr>
        <w:trPr>
          <w:trHeight w:val="216"/>
        </w:trPr>
        <w:tc>
          <w:tcPr>
            <w:tcW w:w="354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Executive Vice President and</w:t>
            </w:r>
          </w:p>
        </w:tc>
        <w:tc>
          <w:tcPr>
            <w:tcW w:w="4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20"/>
                <w:szCs w:val="20"/>
                <w:color w:val="auto"/>
              </w:rPr>
            </w:pPr>
          </w:p>
        </w:tc>
      </w:tr>
      <w:tr>
        <w:trPr>
          <w:trHeight w:val="432"/>
        </w:trPr>
        <w:tc>
          <w:tcPr>
            <w:tcW w:w="3540" w:type="dxa"/>
            <w:vAlign w:val="bottom"/>
          </w:tcPr>
          <w:p>
            <w:pPr>
              <w:spacing w:after="0"/>
              <w:rPr>
                <w:sz w:val="24"/>
                <w:szCs w:val="24"/>
                <w:color w:val="auto"/>
              </w:rPr>
            </w:pPr>
          </w:p>
        </w:tc>
        <w:tc>
          <w:tcPr>
            <w:tcW w:w="2680" w:type="dxa"/>
            <w:vAlign w:val="bottom"/>
          </w:tcPr>
          <w:p>
            <w:pPr>
              <w:ind w:left="2120"/>
              <w:spacing w:after="0"/>
              <w:rPr>
                <w:sz w:val="20"/>
                <w:szCs w:val="20"/>
                <w:color w:val="auto"/>
              </w:rPr>
            </w:pPr>
            <w:r>
              <w:rPr>
                <w:rFonts w:ascii="Arial" w:cs="Arial" w:eastAsia="Arial" w:hAnsi="Arial"/>
                <w:sz w:val="18"/>
                <w:szCs w:val="18"/>
                <w:color w:val="auto"/>
              </w:rPr>
              <w:t>3</w:t>
            </w:r>
          </w:p>
        </w:tc>
        <w:tc>
          <w:tcPr>
            <w:tcW w:w="52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40" w:type="dxa"/>
            <w:vAlign w:val="bottom"/>
            <w:tcBorders>
              <w:bottom w:val="single" w:sz="8" w:color="010101"/>
            </w:tcBorders>
          </w:tcPr>
          <w:p>
            <w:pPr>
              <w:spacing w:after="0"/>
              <w:rPr>
                <w:sz w:val="11"/>
                <w:szCs w:val="11"/>
                <w:color w:val="auto"/>
              </w:rPr>
            </w:pPr>
          </w:p>
        </w:tc>
        <w:tc>
          <w:tcPr>
            <w:tcW w:w="2680" w:type="dxa"/>
            <w:vAlign w:val="bottom"/>
            <w:tcBorders>
              <w:bottom w:val="single" w:sz="8" w:color="010101"/>
            </w:tcBorders>
          </w:tcPr>
          <w:p>
            <w:pPr>
              <w:spacing w:after="0"/>
              <w:rPr>
                <w:sz w:val="11"/>
                <w:szCs w:val="11"/>
                <w:color w:val="auto"/>
              </w:rPr>
            </w:pPr>
          </w:p>
        </w:tc>
        <w:tc>
          <w:tcPr>
            <w:tcW w:w="520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5"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2020-01-27T23:44:50Z</dcterms:created>
  <dcterms:modified xsi:type="dcterms:W3CDTF">2020-01-27T23:44:50Z</dcterms:modified>
</cp:coreProperties>
</file>