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157480</wp:posOffset>
            </wp:positionH>
            <wp:positionV relativeFrom="page">
              <wp:posOffset>166370</wp:posOffset>
            </wp:positionV>
            <wp:extent cx="7246620" cy="26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157480</wp:posOffset>
            </wp:positionH>
            <wp:positionV relativeFrom="page">
              <wp:posOffset>200660</wp:posOffset>
            </wp:positionV>
            <wp:extent cx="724662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UNITED STATES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SECURITIES AND EXCHANGE COMMISSION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Washington, D.C. 20549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175895</wp:posOffset>
            </wp:positionV>
            <wp:extent cx="1878330" cy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FORM 8-K</w:t>
      </w: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CURRENT REPORT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Pursuant to Section 13 or 15(d) of the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Securities Exchange Act of 1934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5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Date of Report (Date of earliest event reported): April 8, 2010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418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gridSpan w:val="3"/>
          </w:tcPr>
          <w:p>
            <w:pPr>
              <w:jc w:val="center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Exact Name of Registrant as Specified in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6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60" w:type="dxa"/>
            <w:vAlign w:val="bottom"/>
            <w:gridSpan w:val="3"/>
          </w:tcPr>
          <w:p>
            <w:pPr>
              <w:jc w:val="center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Charter; State of Incorporation;</w:t>
            </w:r>
          </w:p>
        </w:tc>
        <w:tc>
          <w:tcPr>
            <w:tcW w:w="3040" w:type="dxa"/>
            <w:vAlign w:val="bottom"/>
          </w:tcPr>
          <w:p>
            <w:pPr>
              <w:jc w:val="center"/>
              <w:ind w:right="4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IRS Employer</w:t>
            </w:r>
          </w:p>
        </w:tc>
      </w:tr>
      <w:tr>
        <w:trPr>
          <w:trHeight w:val="230"/>
        </w:trPr>
        <w:tc>
          <w:tcPr>
            <w:tcW w:w="3100" w:type="dxa"/>
            <w:vAlign w:val="bottom"/>
          </w:tcPr>
          <w:p>
            <w:pPr>
              <w:jc w:val="center"/>
              <w:ind w:left="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Commission File Number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60" w:type="dxa"/>
            <w:vAlign w:val="bottom"/>
            <w:gridSpan w:val="3"/>
          </w:tcPr>
          <w:p>
            <w:pPr>
              <w:jc w:val="center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Address and Telephone Number</w:t>
            </w:r>
          </w:p>
        </w:tc>
        <w:tc>
          <w:tcPr>
            <w:tcW w:w="3040" w:type="dxa"/>
            <w:vAlign w:val="bottom"/>
          </w:tcPr>
          <w:p>
            <w:pPr>
              <w:jc w:val="center"/>
              <w:ind w:right="4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4"/>
              </w:rPr>
              <w:t>Identification Number</w:t>
            </w:r>
          </w:p>
        </w:tc>
      </w:tr>
      <w:tr>
        <w:trPr>
          <w:trHeight w:val="209"/>
        </w:trPr>
        <w:tc>
          <w:tcPr>
            <w:tcW w:w="31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9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1-8962</w:t>
            </w: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Pinnacle West Capital Corporation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4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86-0512431</w:t>
            </w:r>
          </w:p>
        </w:tc>
      </w:tr>
      <w:tr>
        <w:trPr>
          <w:trHeight w:val="216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60" w:type="dxa"/>
            <w:vAlign w:val="bottom"/>
            <w:gridSpan w:val="3"/>
          </w:tcPr>
          <w:p>
            <w:pPr>
              <w:jc w:val="center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(an Arizona corporation)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6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60" w:type="dxa"/>
            <w:vAlign w:val="bottom"/>
            <w:gridSpan w:val="3"/>
          </w:tcPr>
          <w:p>
            <w:pPr>
              <w:jc w:val="center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1"/>
              </w:rPr>
              <w:t>400 North Fifth Street, P.O. Box 53999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6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60" w:type="dxa"/>
            <w:vAlign w:val="bottom"/>
            <w:gridSpan w:val="3"/>
          </w:tcPr>
          <w:p>
            <w:pPr>
              <w:jc w:val="center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Phoenix, AZ 85072-3999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0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380" w:type="dxa"/>
            <w:vAlign w:val="bottom"/>
            <w:gridSpan w:val="3"/>
          </w:tcPr>
          <w:p>
            <w:pPr>
              <w:jc w:val="center"/>
              <w:ind w:left="7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(602) 250-1000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right="640" w:firstLine="225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Check the appropriate box below if the Form 8-K filing is intended to simultaneously satisfy the filing obligation of the registrant under any of the following provisions: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540" w:hanging="307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Written communications pursuant to Rule 425 under the Securities Act (17 CFR 230.425)</w:t>
      </w:r>
    </w:p>
    <w:p>
      <w:pPr>
        <w:spacing w:after="0" w:line="11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40" w:hanging="307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Soliciting material pursuant to Rule 14a-12 under the Exchange Act (17 CFR 240.14a-12)</w:t>
      </w:r>
    </w:p>
    <w:p>
      <w:pPr>
        <w:spacing w:after="0" w:line="11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40" w:hanging="307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Pre-commencement communications pursuant to Rule 14d-2(b) under the Exchange Act (17 CFR 240.14d-2(b))</w:t>
      </w:r>
    </w:p>
    <w:p>
      <w:pPr>
        <w:spacing w:after="0" w:line="11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540" w:hanging="307"/>
        <w:spacing w:after="0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Pre-commencement communications pursuant to Rule 13e-4(c) under the Exchange Act (17 CFR 240.13e-4(c))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143510</wp:posOffset>
            </wp:positionV>
            <wp:extent cx="724662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160655</wp:posOffset>
            </wp:positionV>
            <wp:extent cx="7246620" cy="260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570230</wp:posOffset>
            </wp:positionV>
            <wp:extent cx="7250430" cy="215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3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522" w:right="239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Item 8.01 Other Events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Pricing of Common Stock Offering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right="60" w:firstLine="225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On April 8, 2010, Pinnacle West Capital Corporation (“PNW”) issued a press release related to the pricing of its common stock offering, which is attached to this report as Exhibit 99.1.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Item 9.01 Financial Statements and Exhibits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(d) Exhibits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4"/>
              </w:rPr>
              <w:t>Exhibit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Registrant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80" w:type="dxa"/>
            <w:vAlign w:val="bottom"/>
            <w:vMerge w:val="restart"/>
          </w:tcPr>
          <w:p>
            <w:pPr>
              <w:ind w:left="4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No.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99.1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PNW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Press Release issued on April 8, 2010.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2"/>
        </w:trPr>
        <w:tc>
          <w:tcPr>
            <w:tcW w:w="4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7240905</wp:posOffset>
            </wp:positionH>
            <wp:positionV relativeFrom="paragraph">
              <wp:posOffset>-14605</wp:posOffset>
            </wp:positionV>
            <wp:extent cx="127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-14605</wp:posOffset>
            </wp:positionV>
            <wp:extent cx="12700" cy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931" w:right="239" w:bottom="1440" w:gutter="0" w:footer="0" w:header="0"/>
        </w:sectPr>
      </w:pPr>
    </w:p>
    <w:bookmarkStart w:id="2" w:name="page3"/>
    <w:bookmarkEnd w:id="2"/>
    <w:p>
      <w:pPr>
        <w:ind w:left="5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SIGNATURES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firstLine="225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Pursuant to the requirements of the Securities Exchange Act of 1934, the registrant has duly caused this report to be signed on its behalf by the undersigned hereunto duly authorized.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PINNACLE WEST CAPITAL CORPORATION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(Registrant)</w:t>
      </w:r>
    </w:p>
    <w:p>
      <w:pPr>
        <w:sectPr>
          <w:pgSz w:w="11900" w:h="16838" w:orient="portrait"/>
          <w:cols w:equalWidth="0" w:num="1">
            <w:col w:w="10520"/>
          </w:cols>
          <w:pgMar w:left="240" w:top="962" w:right="1139" w:bottom="1440" w:gutter="0" w:footer="0" w:header="0"/>
        </w:sect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Dated: April 8, 2010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By: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/s/ James R. Hatfield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4640" w:space="720"/>
            <w:col w:w="260" w:space="80"/>
            <w:col w:w="4820"/>
          </w:cols>
          <w:pgMar w:left="240" w:top="962" w:right="1139" w:bottom="1440" w:gutter="0" w:footer="0" w:header="0"/>
          <w:type w:val="continuous"/>
        </w:sectPr>
      </w:pPr>
    </w:p>
    <w:p>
      <w:pPr>
        <w:ind w:left="5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James R. Hatfield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3623945</wp:posOffset>
            </wp:positionH>
            <wp:positionV relativeFrom="paragraph">
              <wp:posOffset>-130810</wp:posOffset>
            </wp:positionV>
            <wp:extent cx="2564130" cy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Senior Vice President and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Chief Financial Officer</w:t>
      </w:r>
    </w:p>
    <w:p>
      <w:pPr>
        <w:sectPr>
          <w:pgSz w:w="11900" w:h="16838" w:orient="portrait"/>
          <w:cols w:equalWidth="0" w:num="1">
            <w:col w:w="10520"/>
          </w:cols>
          <w:pgMar w:left="240" w:top="962" w:right="1139" w:bottom="1440" w:gutter="0" w:footer="0" w:header="0"/>
          <w:type w:val="continuous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Exhibit 99.1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154940</wp:posOffset>
            </wp:positionV>
            <wp:extent cx="4639310" cy="5314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73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FOR IMMEDIATE RELEASE</w:t>
            </w:r>
          </w:p>
        </w:tc>
        <w:tc>
          <w:tcPr>
            <w:tcW w:w="4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April 8, 2010</w:t>
            </w:r>
          </w:p>
        </w:tc>
      </w:tr>
      <w:tr>
        <w:trPr>
          <w:trHeight w:val="220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Media Contacts:</w:t>
            </w:r>
          </w:p>
        </w:tc>
        <w:tc>
          <w:tcPr>
            <w:tcW w:w="5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Alan Bunnell, (602) 250-3376</w:t>
            </w:r>
          </w:p>
        </w:tc>
        <w:tc>
          <w:tcPr>
            <w:tcW w:w="4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Page 1 of 1</w:t>
            </w:r>
          </w:p>
        </w:tc>
      </w:tr>
      <w:tr>
        <w:trPr>
          <w:trHeight w:val="21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Analyst Contact:</w:t>
            </w:r>
          </w:p>
        </w:tc>
        <w:tc>
          <w:tcPr>
            <w:tcW w:w="5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Rebecca Hickman, (602) 250-5668</w:t>
            </w: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90"/>
        </w:trPr>
        <w:tc>
          <w:tcPr>
            <w:tcW w:w="1800" w:type="dxa"/>
            <w:vAlign w:val="bottom"/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Website:</w:t>
            </w:r>
          </w:p>
        </w:tc>
        <w:tc>
          <w:tcPr>
            <w:tcW w:w="5580" w:type="dxa"/>
            <w:vAlign w:val="bottom"/>
            <w:gridSpan w:val="2"/>
          </w:tcPr>
          <w:p>
            <w:pPr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www.pinnaclewest.com</w:t>
            </w: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0"/>
        </w:trPr>
        <w:tc>
          <w:tcPr>
            <w:tcW w:w="1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PINNACLE WEST ANNOUNCES PRICING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OF COMMON STOCK OFFERING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ind w:right="46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PHOENIX — Pinnacle West Capital Corporation (NYSE: PNW) announced today the pricing of its previously announced public offering of six million shares of common stock at $38.00 per share.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right="2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These securities will be issued under a shelf registration statement previously filed with the Securities and Exchange Commission. The transaction is expected to close on April 14, 2010, subject to customary closing conditions.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right="6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In connection with the offering, the Company has granted the underwriters an option for a period of 30 days to purchase up to an additional 900,000 shares of the Company’s common stock.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right="14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Barclays Capital, Credit Suisse, BofA Merrill Lynch, and Wells Fargo Securities are acting as joint book-running managers for the transaction. Investors can obtain a copy of the final prospectus supplement relating to the offering from: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660" w:hanging="314"/>
        <w:spacing w:after="0"/>
        <w:tabs>
          <w:tab w:leader="none" w:pos="6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b w:val="1"/>
          <w:bCs w:val="1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Barclays Capital Inc., c/o Broadridge Integrated Distribution Services, 1155 Long Island Ave., Edgewood, NY 11717, telephone: (888) 603-5847,</w:t>
      </w:r>
    </w:p>
    <w:p>
      <w:pPr>
        <w:spacing w:after="0" w:line="46" w:lineRule="exact"/>
        <w:rPr>
          <w:rFonts w:ascii="Arial" w:cs="Arial" w:eastAsia="Arial" w:hAnsi="Arial"/>
          <w:sz w:val="16"/>
          <w:szCs w:val="16"/>
          <w:b w:val="1"/>
          <w:bCs w:val="1"/>
          <w:color w:val="auto"/>
        </w:rPr>
      </w:pPr>
    </w:p>
    <w:p>
      <w:pPr>
        <w:ind w:left="660"/>
        <w:spacing w:after="0"/>
        <w:rPr>
          <w:rFonts w:ascii="Arial" w:cs="Arial" w:eastAsia="Arial" w:hAnsi="Arial"/>
          <w:sz w:val="16"/>
          <w:szCs w:val="16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fax: (631) 254-7140 or by e-mail at </w:t>
      </w: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Barclaysprospectus@broadridge.com</w:t>
      </w:r>
      <w:r>
        <w:rPr>
          <w:rFonts w:ascii="Arial" w:cs="Arial" w:eastAsia="Arial" w:hAnsi="Arial"/>
          <w:sz w:val="18"/>
          <w:szCs w:val="18"/>
          <w:color w:val="auto"/>
        </w:rPr>
        <w:t>;</w:t>
      </w:r>
    </w:p>
    <w:p>
      <w:pPr>
        <w:spacing w:after="0" w:line="116" w:lineRule="exact"/>
        <w:rPr>
          <w:rFonts w:ascii="Arial" w:cs="Arial" w:eastAsia="Arial" w:hAnsi="Arial"/>
          <w:sz w:val="16"/>
          <w:szCs w:val="16"/>
          <w:b w:val="1"/>
          <w:bCs w:val="1"/>
          <w:color w:val="auto"/>
        </w:rPr>
      </w:pPr>
    </w:p>
    <w:p>
      <w:pPr>
        <w:ind w:left="660" w:hanging="314"/>
        <w:spacing w:after="0"/>
        <w:tabs>
          <w:tab w:leader="none" w:pos="6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Credit Suisse Securities (USA) LLC, Prospectus Department, One Madison Ave., New York, NY 10010, telephone: (800) 221-1037;</w:t>
      </w:r>
    </w:p>
    <w:p>
      <w:pPr>
        <w:spacing w:after="0" w:line="130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660" w:right="120" w:hanging="314"/>
        <w:spacing w:after="0" w:line="277" w:lineRule="auto"/>
        <w:tabs>
          <w:tab w:leader="none" w:pos="6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BofA Merrill Lynch, Attn: Prospectus Department, 4 World Financial Center, New York, NY 10080, or by e-mail at </w:t>
      </w: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Prospectus.Requests@ml.com</w:t>
      </w:r>
      <w:r>
        <w:rPr>
          <w:rFonts w:ascii="Arial" w:cs="Arial" w:eastAsia="Arial" w:hAnsi="Arial"/>
          <w:sz w:val="18"/>
          <w:szCs w:val="18"/>
          <w:color w:val="auto"/>
        </w:rPr>
        <w:t>; or</w:t>
      </w:r>
    </w:p>
    <w:p>
      <w:pPr>
        <w:spacing w:after="0" w:line="75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660" w:right="1060" w:hanging="314"/>
        <w:spacing w:after="0" w:line="277" w:lineRule="auto"/>
        <w:tabs>
          <w:tab w:leader="none" w:pos="6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Wells Fargo Securities, Attn: Equity Syndicate Dept., 375 Park Ave., New York, NY 10152, telephone: (800) 326-5897 or by e-mail at </w:t>
      </w:r>
      <w:r>
        <w:rPr>
          <w:rFonts w:ascii="Arial" w:cs="Arial" w:eastAsia="Arial" w:hAnsi="Arial"/>
          <w:sz w:val="18"/>
          <w:szCs w:val="18"/>
          <w:u w:val="single" w:color="auto"/>
          <w:color w:val="auto"/>
        </w:rPr>
        <w:t>equity.syndicate@wachovia.com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right="20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Pinnacle West is a Phoenix-based company. Through its subsidiaries, the Company generates, sells and delivers electricity and sells energy-related products and services to retail and wholesale customers in the western United States.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-30-</w:t>
      </w:r>
    </w:p>
    <w:sectPr>
      <w:pgSz w:w="11900" w:h="16838" w:orient="portrait"/>
      <w:cols w:equalWidth="0" w:num="1">
        <w:col w:w="11420"/>
      </w:cols>
      <w:pgMar w:left="240" w:top="121" w:right="23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o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2020-01-29T19:21:06Z</dcterms:created>
  <dcterms:modified xsi:type="dcterms:W3CDTF">2020-01-29T19:21:06Z</dcterms:modified>
</cp:coreProperties>
</file>